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B68C5" w14:textId="7D600E71" w:rsidR="00691086" w:rsidRPr="00DB1D7C" w:rsidRDefault="008819A0">
      <w:pPr>
        <w:rPr>
          <w:i/>
        </w:rPr>
      </w:pPr>
      <w:bookmarkStart w:id="0" w:name="_GoBack"/>
      <w:bookmarkEnd w:id="0"/>
      <w:r w:rsidRPr="00DB1D7C">
        <w:rPr>
          <w:i/>
        </w:rPr>
        <w:t>FRAX threshold v</w:t>
      </w:r>
      <w:r w:rsidR="00267A0E">
        <w:rPr>
          <w:i/>
        </w:rPr>
        <w:t xml:space="preserve"> </w:t>
      </w:r>
      <w:r w:rsidR="001865B9">
        <w:rPr>
          <w:i/>
        </w:rPr>
        <w:t>submission</w:t>
      </w:r>
    </w:p>
    <w:p w14:paraId="0A2B68C6" w14:textId="6B8E50C1" w:rsidR="008819A0" w:rsidRPr="00DB1D7C" w:rsidRDefault="001D0A8F" w:rsidP="008819A0">
      <w:pPr>
        <w:jc w:val="right"/>
      </w:pPr>
      <w:r>
        <w:t>Submission to Archives of Osteoporosis</w:t>
      </w:r>
      <w:r w:rsidR="003B20E8" w:rsidRPr="00DB1D7C">
        <w:t xml:space="preserve">, </w:t>
      </w:r>
      <w:r w:rsidR="008C0317">
        <w:t>Revision 15 June</w:t>
      </w:r>
      <w:r w:rsidR="008819A0" w:rsidRPr="00DB1D7C">
        <w:t xml:space="preserve"> 201</w:t>
      </w:r>
      <w:r w:rsidR="003F092B">
        <w:t>6</w:t>
      </w:r>
    </w:p>
    <w:p w14:paraId="67D12CE2" w14:textId="1F450ED9" w:rsidR="00DF78B7" w:rsidRPr="00DF78B7" w:rsidRDefault="00DF78B7" w:rsidP="00DF78B7">
      <w:pPr>
        <w:rPr>
          <w:sz w:val="28"/>
          <w:szCs w:val="28"/>
        </w:rPr>
      </w:pPr>
      <w:r w:rsidRPr="00DF78B7">
        <w:rPr>
          <w:sz w:val="28"/>
          <w:szCs w:val="28"/>
        </w:rPr>
        <w:t>REVIEW</w:t>
      </w:r>
    </w:p>
    <w:p w14:paraId="3186D2F3" w14:textId="77777777" w:rsidR="004906EC" w:rsidRDefault="004906EC" w:rsidP="008819A0">
      <w:pPr>
        <w:jc w:val="center"/>
        <w:rPr>
          <w:b/>
          <w:sz w:val="28"/>
          <w:szCs w:val="28"/>
        </w:rPr>
      </w:pPr>
    </w:p>
    <w:p w14:paraId="0A2B68C7" w14:textId="77777777" w:rsidR="008819A0" w:rsidRPr="00DB1D7C" w:rsidRDefault="008819A0" w:rsidP="008819A0">
      <w:pPr>
        <w:jc w:val="center"/>
        <w:rPr>
          <w:b/>
          <w:sz w:val="28"/>
          <w:szCs w:val="28"/>
        </w:rPr>
      </w:pPr>
      <w:r w:rsidRPr="00DB1D7C">
        <w:rPr>
          <w:b/>
          <w:sz w:val="28"/>
          <w:szCs w:val="28"/>
        </w:rPr>
        <w:t>A systematic review of intervention thresholds based on FRAX</w:t>
      </w:r>
    </w:p>
    <w:p w14:paraId="0A2B68C8" w14:textId="77777777" w:rsidR="008819A0" w:rsidRPr="00DB1D7C" w:rsidRDefault="008819A0" w:rsidP="008819A0">
      <w:pPr>
        <w:jc w:val="center"/>
        <w:rPr>
          <w:b/>
          <w:sz w:val="28"/>
          <w:szCs w:val="28"/>
        </w:rPr>
      </w:pPr>
    </w:p>
    <w:p w14:paraId="0A2B68C9" w14:textId="4B45AFDF" w:rsidR="008819A0" w:rsidRPr="00DB1D7C" w:rsidRDefault="008819A0" w:rsidP="008819A0">
      <w:pPr>
        <w:jc w:val="center"/>
        <w:rPr>
          <w:sz w:val="24"/>
          <w:szCs w:val="24"/>
        </w:rPr>
      </w:pPr>
      <w:r w:rsidRPr="00DB1D7C">
        <w:rPr>
          <w:sz w:val="24"/>
          <w:szCs w:val="24"/>
        </w:rPr>
        <w:t>A report prepared for the National Osteoporosis Guideline Group</w:t>
      </w:r>
      <w:r w:rsidR="00C825FD">
        <w:rPr>
          <w:sz w:val="24"/>
          <w:szCs w:val="24"/>
        </w:rPr>
        <w:t xml:space="preserve"> and the International Osteoporosis Foundation</w:t>
      </w:r>
    </w:p>
    <w:p w14:paraId="0A2B68CA" w14:textId="77777777" w:rsidR="008819A0" w:rsidRPr="00DB1D7C" w:rsidRDefault="008819A0" w:rsidP="008819A0">
      <w:pPr>
        <w:jc w:val="center"/>
        <w:rPr>
          <w:b/>
          <w:sz w:val="28"/>
          <w:szCs w:val="28"/>
        </w:rPr>
      </w:pPr>
    </w:p>
    <w:p w14:paraId="0A2B68CB" w14:textId="77777777" w:rsidR="008819A0" w:rsidRPr="00DB1D7C" w:rsidRDefault="008819A0" w:rsidP="008819A0">
      <w:pPr>
        <w:jc w:val="center"/>
        <w:rPr>
          <w:b/>
          <w:sz w:val="28"/>
          <w:szCs w:val="28"/>
        </w:rPr>
      </w:pPr>
    </w:p>
    <w:p w14:paraId="0A2B68CD" w14:textId="040104DC" w:rsidR="008819A0" w:rsidRPr="00DB1D7C" w:rsidRDefault="008819A0" w:rsidP="008819A0">
      <w:pPr>
        <w:rPr>
          <w:rFonts w:ascii="Calibri" w:hAnsi="Calibri"/>
          <w:bCs/>
        </w:rPr>
      </w:pPr>
      <w:r w:rsidRPr="00DB1D7C">
        <w:rPr>
          <w:rFonts w:ascii="Calibri" w:hAnsi="Calibri"/>
          <w:sz w:val="24"/>
          <w:szCs w:val="24"/>
        </w:rPr>
        <w:t>John A Kanis</w:t>
      </w:r>
      <w:r w:rsidRPr="00DB1D7C">
        <w:rPr>
          <w:rFonts w:ascii="Calibri" w:hAnsi="Calibri"/>
          <w:sz w:val="24"/>
          <w:szCs w:val="24"/>
          <w:vertAlign w:val="superscript"/>
        </w:rPr>
        <w:t>1</w:t>
      </w:r>
      <w:r w:rsidR="001865B9">
        <w:rPr>
          <w:rFonts w:ascii="Calibri" w:hAnsi="Calibri"/>
          <w:sz w:val="24"/>
          <w:szCs w:val="24"/>
          <w:vertAlign w:val="superscript"/>
        </w:rPr>
        <w:t>,2</w:t>
      </w:r>
      <w:r w:rsidRPr="00DB1D7C">
        <w:rPr>
          <w:rFonts w:ascii="Calibri" w:hAnsi="Calibri"/>
          <w:sz w:val="24"/>
          <w:szCs w:val="24"/>
        </w:rPr>
        <w:t>, Nicholas C Harvey</w:t>
      </w:r>
      <w:r w:rsidR="001865B9">
        <w:rPr>
          <w:rFonts w:ascii="Calibri" w:hAnsi="Calibri"/>
          <w:sz w:val="24"/>
          <w:szCs w:val="24"/>
          <w:vertAlign w:val="superscript"/>
        </w:rPr>
        <w:t>3</w:t>
      </w:r>
      <w:r w:rsidRPr="00DB1D7C">
        <w:rPr>
          <w:rFonts w:ascii="Calibri" w:hAnsi="Calibri"/>
          <w:sz w:val="24"/>
          <w:szCs w:val="24"/>
        </w:rPr>
        <w:t xml:space="preserve">, </w:t>
      </w:r>
      <w:r w:rsidR="0006534F" w:rsidRPr="00DB1D7C">
        <w:rPr>
          <w:rFonts w:ascii="Calibri" w:hAnsi="Calibri"/>
          <w:sz w:val="24"/>
          <w:szCs w:val="24"/>
        </w:rPr>
        <w:t>Cyrus Cooper</w:t>
      </w:r>
      <w:r w:rsidR="001865B9">
        <w:rPr>
          <w:rFonts w:ascii="Calibri" w:hAnsi="Calibri"/>
          <w:sz w:val="24"/>
          <w:szCs w:val="24"/>
          <w:vertAlign w:val="superscript"/>
        </w:rPr>
        <w:t>3</w:t>
      </w:r>
      <w:r w:rsidR="0006534F" w:rsidRPr="00DB1D7C">
        <w:rPr>
          <w:rFonts w:ascii="Calibri" w:hAnsi="Calibri"/>
          <w:sz w:val="24"/>
          <w:szCs w:val="24"/>
        </w:rPr>
        <w:t xml:space="preserve">, </w:t>
      </w:r>
      <w:r w:rsidRPr="00DB1D7C">
        <w:rPr>
          <w:rFonts w:ascii="Calibri" w:hAnsi="Calibri"/>
          <w:sz w:val="24"/>
          <w:szCs w:val="24"/>
        </w:rPr>
        <w:t>Helena Johansson</w:t>
      </w:r>
      <w:r w:rsidRPr="00DB1D7C">
        <w:rPr>
          <w:rFonts w:ascii="Calibri" w:hAnsi="Calibri"/>
          <w:sz w:val="24"/>
          <w:szCs w:val="24"/>
          <w:vertAlign w:val="superscript"/>
        </w:rPr>
        <w:t>1</w:t>
      </w:r>
      <w:r w:rsidRPr="00DB1D7C">
        <w:rPr>
          <w:rFonts w:ascii="Calibri" w:hAnsi="Calibri"/>
          <w:sz w:val="24"/>
          <w:szCs w:val="24"/>
        </w:rPr>
        <w:t>, Anders Odén</w:t>
      </w:r>
      <w:r w:rsidRPr="00DB1D7C">
        <w:rPr>
          <w:rFonts w:ascii="Calibri" w:hAnsi="Calibri"/>
          <w:sz w:val="24"/>
          <w:szCs w:val="24"/>
          <w:vertAlign w:val="superscript"/>
        </w:rPr>
        <w:t>1</w:t>
      </w:r>
      <w:r w:rsidRPr="00DB1D7C">
        <w:rPr>
          <w:rFonts w:ascii="Calibri" w:hAnsi="Calibri"/>
          <w:sz w:val="24"/>
          <w:szCs w:val="24"/>
        </w:rPr>
        <w:t xml:space="preserve">, Eugene V </w:t>
      </w:r>
      <w:r w:rsidR="001D0A8F" w:rsidRPr="00DB1D7C">
        <w:rPr>
          <w:rFonts w:ascii="Calibri" w:hAnsi="Calibri"/>
          <w:sz w:val="24"/>
          <w:szCs w:val="24"/>
        </w:rPr>
        <w:t>McCloskey</w:t>
      </w:r>
      <w:r w:rsidR="001D0A8F" w:rsidRPr="00DB1D7C">
        <w:rPr>
          <w:rFonts w:ascii="Calibri" w:hAnsi="Calibri"/>
          <w:sz w:val="24"/>
          <w:szCs w:val="24"/>
          <w:vertAlign w:val="superscript"/>
        </w:rPr>
        <w:t>1,</w:t>
      </w:r>
      <w:r w:rsidR="002E68A8" w:rsidRPr="00DB1D7C">
        <w:rPr>
          <w:rFonts w:ascii="Calibri" w:hAnsi="Calibri"/>
          <w:bCs/>
        </w:rPr>
        <w:t xml:space="preserve"> the Advisory </w:t>
      </w:r>
      <w:r w:rsidR="00BC6A4F">
        <w:rPr>
          <w:rFonts w:ascii="Calibri" w:hAnsi="Calibri"/>
          <w:bCs/>
        </w:rPr>
        <w:t>Board</w:t>
      </w:r>
      <w:r w:rsidR="002E68A8" w:rsidRPr="00DB1D7C">
        <w:rPr>
          <w:rFonts w:ascii="Calibri" w:hAnsi="Calibri"/>
          <w:bCs/>
        </w:rPr>
        <w:t xml:space="preserve"> of the National Osteoporosis Guideline Group*</w:t>
      </w:r>
    </w:p>
    <w:p w14:paraId="0A2B68CE" w14:textId="77777777" w:rsidR="008819A0" w:rsidRPr="00DB1D7C" w:rsidRDefault="008819A0" w:rsidP="008819A0">
      <w:pPr>
        <w:rPr>
          <w:rFonts w:ascii="Calibri" w:hAnsi="Calibri"/>
          <w:b/>
          <w:bCs/>
        </w:rPr>
      </w:pPr>
    </w:p>
    <w:p w14:paraId="0A2B68CF" w14:textId="77777777" w:rsidR="008819A0" w:rsidRPr="00DB1D7C" w:rsidRDefault="008819A0" w:rsidP="008819A0">
      <w:pPr>
        <w:spacing w:after="240" w:line="360" w:lineRule="auto"/>
        <w:rPr>
          <w:rFonts w:ascii="Calibri" w:eastAsia="Calibri" w:hAnsi="Calibri" w:cs="Times New Roman"/>
          <w:sz w:val="24"/>
          <w:szCs w:val="24"/>
          <w:lang w:eastAsia="fr-FR"/>
        </w:rPr>
      </w:pPr>
    </w:p>
    <w:p w14:paraId="0A2B68D0" w14:textId="77777777" w:rsidR="008819A0" w:rsidRDefault="008819A0" w:rsidP="008819A0">
      <w:pPr>
        <w:spacing w:after="240" w:line="360" w:lineRule="auto"/>
        <w:rPr>
          <w:rFonts w:ascii="Calibri" w:eastAsia="Calibri" w:hAnsi="Calibri" w:cs="Times New Roman"/>
          <w:sz w:val="24"/>
          <w:szCs w:val="24"/>
          <w:lang w:eastAsia="fr-FR"/>
        </w:rPr>
      </w:pPr>
      <w:r w:rsidRPr="00DB1D7C">
        <w:rPr>
          <w:rFonts w:ascii="Calibri" w:eastAsia="Calibri" w:hAnsi="Calibri" w:cs="Times New Roman"/>
          <w:sz w:val="24"/>
          <w:szCs w:val="24"/>
          <w:vertAlign w:val="superscript"/>
          <w:lang w:eastAsia="fr-FR"/>
        </w:rPr>
        <w:t xml:space="preserve">1 </w:t>
      </w:r>
      <w:r w:rsidRPr="00DB1D7C">
        <w:rPr>
          <w:rFonts w:ascii="Calibri" w:eastAsia="Calibri" w:hAnsi="Calibri" w:cs="Times New Roman"/>
          <w:sz w:val="24"/>
          <w:szCs w:val="24"/>
          <w:lang w:eastAsia="fr-FR"/>
        </w:rPr>
        <w:t>Centre for Metabolic Diseases, University of Sheffield Medical School, Sheffield, United Kingdom</w:t>
      </w:r>
    </w:p>
    <w:p w14:paraId="56B06B6E" w14:textId="5BA7C2C7" w:rsidR="001865B9" w:rsidRPr="00DB1D7C" w:rsidRDefault="001865B9" w:rsidP="008819A0">
      <w:pPr>
        <w:spacing w:after="240" w:line="360" w:lineRule="auto"/>
        <w:rPr>
          <w:rFonts w:ascii="Calibri" w:eastAsia="Calibri" w:hAnsi="Calibri" w:cs="Times New Roman"/>
          <w:sz w:val="24"/>
          <w:szCs w:val="24"/>
          <w:lang w:eastAsia="fr-FR"/>
        </w:rPr>
      </w:pPr>
      <w:r w:rsidRPr="001865B9">
        <w:rPr>
          <w:rFonts w:ascii="Calibri" w:eastAsia="Calibri" w:hAnsi="Calibri" w:cs="Times New Roman"/>
          <w:sz w:val="24"/>
          <w:szCs w:val="24"/>
          <w:vertAlign w:val="superscript"/>
          <w:lang w:eastAsia="fr-FR"/>
        </w:rPr>
        <w:t>2</w:t>
      </w:r>
      <w:r w:rsidRPr="001865B9">
        <w:rPr>
          <w:rFonts w:ascii="Myriad Pro" w:eastAsiaTheme="minorEastAsia" w:hAnsi="Myriad Pro" w:cs="Arial"/>
          <w:lang w:val="en-AU"/>
        </w:rPr>
        <w:t xml:space="preserve"> </w:t>
      </w:r>
      <w:r w:rsidRPr="001865B9">
        <w:rPr>
          <w:rFonts w:ascii="Calibri" w:eastAsia="Calibri" w:hAnsi="Calibri" w:cs="Times New Roman"/>
          <w:sz w:val="24"/>
          <w:szCs w:val="24"/>
          <w:lang w:val="en-AU" w:eastAsia="fr-FR"/>
        </w:rPr>
        <w:t>Institute of Health and Ageing, Australian Catholic University</w:t>
      </w:r>
      <w:r>
        <w:rPr>
          <w:rFonts w:ascii="Calibri" w:eastAsia="Calibri" w:hAnsi="Calibri" w:cs="Times New Roman"/>
          <w:sz w:val="24"/>
          <w:szCs w:val="24"/>
          <w:lang w:val="en-AU" w:eastAsia="fr-FR"/>
        </w:rPr>
        <w:t>,</w:t>
      </w:r>
      <w:r w:rsidRPr="001865B9">
        <w:rPr>
          <w:rFonts w:ascii="Calibri" w:eastAsia="Calibri" w:hAnsi="Calibri" w:cs="Times New Roman"/>
          <w:sz w:val="24"/>
          <w:szCs w:val="24"/>
          <w:lang w:val="en-AU" w:eastAsia="fr-FR"/>
        </w:rPr>
        <w:t xml:space="preserve"> Melbourne</w:t>
      </w:r>
      <w:r>
        <w:rPr>
          <w:rFonts w:ascii="Calibri" w:eastAsia="Calibri" w:hAnsi="Calibri" w:cs="Times New Roman"/>
          <w:sz w:val="24"/>
          <w:szCs w:val="24"/>
          <w:lang w:val="en-AU" w:eastAsia="fr-FR"/>
        </w:rPr>
        <w:t>, Australia</w:t>
      </w:r>
    </w:p>
    <w:p w14:paraId="0A2B68D2" w14:textId="2273A220" w:rsidR="008819A0" w:rsidRPr="00DB1D7C" w:rsidRDefault="001865B9" w:rsidP="008819A0">
      <w:pPr>
        <w:spacing w:after="240" w:line="360" w:lineRule="auto"/>
        <w:rPr>
          <w:rFonts w:ascii="Calibri" w:eastAsia="Calibri" w:hAnsi="Calibri" w:cs="Times New Roman"/>
          <w:sz w:val="24"/>
          <w:szCs w:val="24"/>
          <w:lang w:eastAsia="fr-FR"/>
        </w:rPr>
      </w:pPr>
      <w:r>
        <w:rPr>
          <w:rFonts w:ascii="Calibri" w:eastAsia="Calibri" w:hAnsi="Calibri" w:cs="Times New Roman"/>
          <w:sz w:val="24"/>
          <w:szCs w:val="20"/>
          <w:vertAlign w:val="superscript"/>
          <w:lang w:eastAsia="fr-FR"/>
        </w:rPr>
        <w:t>3</w:t>
      </w:r>
      <w:r w:rsidR="008819A0" w:rsidRPr="00DB1D7C">
        <w:rPr>
          <w:rFonts w:ascii="Calibri" w:eastAsia="Calibri" w:hAnsi="Calibri" w:cs="Times New Roman"/>
          <w:sz w:val="24"/>
          <w:szCs w:val="20"/>
          <w:vertAlign w:val="superscript"/>
          <w:lang w:eastAsia="fr-FR"/>
        </w:rPr>
        <w:t xml:space="preserve"> </w:t>
      </w:r>
      <w:r w:rsidR="008819A0" w:rsidRPr="00DB1D7C">
        <w:rPr>
          <w:rFonts w:ascii="Calibri" w:eastAsia="Calibri" w:hAnsi="Calibri" w:cs="Times New Roman"/>
          <w:sz w:val="24"/>
          <w:szCs w:val="20"/>
          <w:lang w:eastAsia="fr-FR"/>
        </w:rPr>
        <w:t>MRC Lifecourse Epidemiology Unit, University of Southampton, UK</w:t>
      </w:r>
    </w:p>
    <w:p w14:paraId="0A2B68D3" w14:textId="42DE5E37" w:rsidR="008819A0" w:rsidRDefault="002E68A8" w:rsidP="002B0FA6">
      <w:pPr>
        <w:spacing w:after="240" w:line="360" w:lineRule="auto"/>
        <w:ind w:left="142"/>
        <w:rPr>
          <w:lang w:eastAsia="fr-FR"/>
        </w:rPr>
      </w:pPr>
      <w:r w:rsidRPr="00BC6A4F">
        <w:rPr>
          <w:lang w:eastAsia="fr-FR"/>
        </w:rPr>
        <w:t xml:space="preserve">*Advisory </w:t>
      </w:r>
      <w:r w:rsidR="00BC6A4F" w:rsidRPr="00BC6A4F">
        <w:rPr>
          <w:lang w:eastAsia="fr-FR"/>
        </w:rPr>
        <w:t>B</w:t>
      </w:r>
      <w:r w:rsidRPr="00BC6A4F">
        <w:rPr>
          <w:lang w:eastAsia="fr-FR"/>
        </w:rPr>
        <w:t xml:space="preserve">oard </w:t>
      </w:r>
      <w:r w:rsidR="00BC6A4F" w:rsidRPr="00BC6A4F">
        <w:rPr>
          <w:lang w:eastAsia="fr-FR"/>
        </w:rPr>
        <w:t>the National Osteoporosis Guideline Group</w:t>
      </w:r>
      <w:r w:rsidR="00BC6A4F">
        <w:rPr>
          <w:lang w:eastAsia="fr-FR"/>
        </w:rPr>
        <w:t>:</w:t>
      </w:r>
      <w:r w:rsidR="002B0FA6">
        <w:rPr>
          <w:lang w:eastAsia="fr-FR"/>
        </w:rPr>
        <w:t xml:space="preserve"> Cyrus Cooper, Nic</w:t>
      </w:r>
      <w:r w:rsidR="005C0121">
        <w:rPr>
          <w:lang w:eastAsia="fr-FR"/>
        </w:rPr>
        <w:t>holas</w:t>
      </w:r>
      <w:r w:rsidR="002B0FA6">
        <w:rPr>
          <w:lang w:eastAsia="fr-FR"/>
        </w:rPr>
        <w:t xml:space="preserve"> Harvey, Eugene McCloskey, Ken </w:t>
      </w:r>
      <w:r w:rsidR="00DF78B7">
        <w:rPr>
          <w:lang w:eastAsia="fr-FR"/>
        </w:rPr>
        <w:t xml:space="preserve">E </w:t>
      </w:r>
      <w:r w:rsidR="002B0FA6">
        <w:rPr>
          <w:lang w:eastAsia="fr-FR"/>
        </w:rPr>
        <w:t>Poole</w:t>
      </w:r>
      <w:r w:rsidR="00DF78B7" w:rsidRPr="00DF78B7">
        <w:rPr>
          <w:rFonts w:ascii="Arial" w:hAnsi="Arial" w:cs="Arial"/>
          <w:color w:val="000000"/>
          <w:sz w:val="20"/>
          <w:szCs w:val="20"/>
          <w:shd w:val="clear" w:color="auto" w:fill="FFFFFF"/>
        </w:rPr>
        <w:t xml:space="preserve"> </w:t>
      </w:r>
      <w:r w:rsidR="00DF78B7">
        <w:rPr>
          <w:rFonts w:ascii="Arial" w:hAnsi="Arial" w:cs="Arial"/>
          <w:color w:val="000000"/>
          <w:sz w:val="20"/>
          <w:szCs w:val="20"/>
          <w:shd w:val="clear" w:color="auto" w:fill="FFFFFF"/>
        </w:rPr>
        <w:t>(</w:t>
      </w:r>
      <w:r w:rsidR="00DF78B7" w:rsidRPr="00DF78B7">
        <w:rPr>
          <w:lang w:eastAsia="fr-FR"/>
        </w:rPr>
        <w:t>Department of Medicine, University of Cambridge, Cambridge, UK</w:t>
      </w:r>
      <w:r w:rsidR="00DF78B7">
        <w:rPr>
          <w:lang w:eastAsia="fr-FR"/>
        </w:rPr>
        <w:t>)</w:t>
      </w:r>
      <w:r w:rsidR="002B0FA6">
        <w:rPr>
          <w:lang w:eastAsia="fr-FR"/>
        </w:rPr>
        <w:t xml:space="preserve">, John </w:t>
      </w:r>
      <w:r w:rsidR="00BC6A4F">
        <w:rPr>
          <w:lang w:eastAsia="fr-FR"/>
        </w:rPr>
        <w:t xml:space="preserve">A </w:t>
      </w:r>
      <w:r w:rsidR="002B0FA6">
        <w:rPr>
          <w:lang w:eastAsia="fr-FR"/>
        </w:rPr>
        <w:t>Kanis</w:t>
      </w:r>
      <w:r w:rsidR="008E7575">
        <w:rPr>
          <w:lang w:eastAsia="fr-FR"/>
        </w:rPr>
        <w:t>, Neil Gittoes</w:t>
      </w:r>
      <w:r w:rsidR="00DF78B7" w:rsidRPr="00DF78B7">
        <w:rPr>
          <w:rFonts w:ascii="Arial" w:hAnsi="Arial" w:cs="Arial"/>
          <w:color w:val="000000"/>
          <w:sz w:val="20"/>
          <w:szCs w:val="20"/>
          <w:shd w:val="clear" w:color="auto" w:fill="FFFFFF"/>
        </w:rPr>
        <w:t xml:space="preserve"> </w:t>
      </w:r>
      <w:r w:rsidR="00DF78B7">
        <w:rPr>
          <w:rFonts w:ascii="Arial" w:hAnsi="Arial" w:cs="Arial"/>
          <w:color w:val="000000"/>
          <w:sz w:val="20"/>
          <w:szCs w:val="20"/>
          <w:shd w:val="clear" w:color="auto" w:fill="FFFFFF"/>
        </w:rPr>
        <w:t>(</w:t>
      </w:r>
      <w:r w:rsidR="00DF78B7" w:rsidRPr="00DF78B7">
        <w:rPr>
          <w:lang w:eastAsia="fr-FR"/>
        </w:rPr>
        <w:t>Department of Endocrinology, University Hospitals Birmingham and University of Birmingham, Birmingham</w:t>
      </w:r>
      <w:r w:rsidR="00DF78B7">
        <w:rPr>
          <w:lang w:eastAsia="fr-FR"/>
        </w:rPr>
        <w:t>, UK)</w:t>
      </w:r>
      <w:r w:rsidR="00BC6A4F">
        <w:rPr>
          <w:lang w:eastAsia="fr-FR"/>
        </w:rPr>
        <w:t>, Sally Hope</w:t>
      </w:r>
      <w:r w:rsidR="002B0FA6">
        <w:rPr>
          <w:lang w:eastAsia="fr-FR"/>
        </w:rPr>
        <w:t xml:space="preserve"> </w:t>
      </w:r>
      <w:r w:rsidR="00DF78B7">
        <w:rPr>
          <w:lang w:eastAsia="fr-FR"/>
        </w:rPr>
        <w:t>(</w:t>
      </w:r>
      <w:r w:rsidR="00DF78B7" w:rsidRPr="00DF78B7">
        <w:rPr>
          <w:lang w:eastAsia="fr-FR"/>
        </w:rPr>
        <w:t>Metabolic Bone Unit/Oxfordshire Osteoporosis Service, Nuffield Orthopaedic Centre, Oxford, UK</w:t>
      </w:r>
      <w:r w:rsidR="00DF78B7">
        <w:rPr>
          <w:lang w:eastAsia="fr-FR"/>
        </w:rPr>
        <w:t>)</w:t>
      </w:r>
      <w:r w:rsidR="00DF78B7" w:rsidRPr="00DF78B7">
        <w:rPr>
          <w:lang w:eastAsia="fr-FR"/>
        </w:rPr>
        <w:t>.</w:t>
      </w:r>
    </w:p>
    <w:p w14:paraId="0A2B68D4" w14:textId="77777777" w:rsidR="008819A0" w:rsidRPr="00DB1D7C" w:rsidRDefault="008819A0" w:rsidP="008819A0">
      <w:pPr>
        <w:spacing w:after="240" w:line="360" w:lineRule="auto"/>
        <w:rPr>
          <w:rFonts w:ascii="Calibri" w:eastAsia="Calibri" w:hAnsi="Calibri" w:cs="Times New Roman"/>
          <w:b/>
          <w:bCs/>
          <w:sz w:val="24"/>
          <w:szCs w:val="24"/>
          <w:lang w:eastAsia="fr-FR"/>
        </w:rPr>
      </w:pPr>
    </w:p>
    <w:p w14:paraId="0A2B68D5" w14:textId="77777777" w:rsidR="008819A0" w:rsidRPr="00DB1D7C" w:rsidRDefault="008819A0" w:rsidP="008819A0">
      <w:pPr>
        <w:rPr>
          <w:rFonts w:ascii="Calibri" w:hAnsi="Calibri"/>
          <w:color w:val="0563C1" w:themeColor="hyperlink"/>
          <w:sz w:val="24"/>
          <w:szCs w:val="24"/>
          <w:u w:val="single"/>
        </w:rPr>
      </w:pPr>
      <w:r w:rsidRPr="00DB1D7C">
        <w:rPr>
          <w:rFonts w:ascii="Calibri" w:hAnsi="Calibri"/>
          <w:b/>
          <w:bCs/>
          <w:sz w:val="24"/>
          <w:szCs w:val="24"/>
        </w:rPr>
        <w:t>Address for Correspondence:</w:t>
      </w:r>
      <w:r w:rsidRPr="00DB1D7C">
        <w:rPr>
          <w:rFonts w:ascii="Calibri" w:hAnsi="Calibri"/>
          <w:sz w:val="24"/>
          <w:szCs w:val="24"/>
        </w:rPr>
        <w:t xml:space="preserve"> John A Kanis, Centre for Metabolic Bone Diseases, University of Sheffield Medical School, Beech Hill Road, Sheffield S10 2RX, UK; Tel: +44 114 285 1109; Fax: +44 114 285 1813; </w:t>
      </w:r>
      <w:hyperlink r:id="rId9" w:history="1">
        <w:r w:rsidRPr="00DB1D7C">
          <w:rPr>
            <w:rFonts w:ascii="Calibri" w:hAnsi="Calibri"/>
            <w:color w:val="0563C1" w:themeColor="hyperlink"/>
            <w:sz w:val="24"/>
            <w:szCs w:val="24"/>
            <w:u w:val="single"/>
          </w:rPr>
          <w:t>w.j.pontefract@sheffield.ac.uk</w:t>
        </w:r>
      </w:hyperlink>
    </w:p>
    <w:p w14:paraId="0A2B68D6" w14:textId="77777777" w:rsidR="008819A0" w:rsidRPr="00DB1D7C" w:rsidRDefault="008819A0">
      <w:pPr>
        <w:rPr>
          <w:rFonts w:ascii="Calibri" w:hAnsi="Calibri"/>
          <w:color w:val="0563C1" w:themeColor="hyperlink"/>
          <w:sz w:val="24"/>
          <w:szCs w:val="24"/>
          <w:u w:val="single"/>
        </w:rPr>
      </w:pPr>
      <w:r w:rsidRPr="00DB1D7C">
        <w:rPr>
          <w:rFonts w:ascii="Calibri" w:hAnsi="Calibri"/>
          <w:color w:val="0563C1" w:themeColor="hyperlink"/>
          <w:sz w:val="24"/>
          <w:szCs w:val="24"/>
          <w:u w:val="single"/>
        </w:rPr>
        <w:br w:type="page"/>
      </w:r>
    </w:p>
    <w:p w14:paraId="37576503" w14:textId="4B8237F5" w:rsidR="00DF78B7" w:rsidRDefault="00522A8F" w:rsidP="008819A0">
      <w:pPr>
        <w:rPr>
          <w:rFonts w:ascii="Calibri" w:hAnsi="Calibri"/>
          <w:b/>
          <w:sz w:val="28"/>
          <w:szCs w:val="28"/>
        </w:rPr>
      </w:pPr>
      <w:r>
        <w:rPr>
          <w:rFonts w:ascii="Calibri" w:hAnsi="Calibri"/>
          <w:b/>
          <w:sz w:val="28"/>
          <w:szCs w:val="28"/>
        </w:rPr>
        <w:lastRenderedPageBreak/>
        <w:t>Abstract</w:t>
      </w:r>
    </w:p>
    <w:p w14:paraId="5A765D40" w14:textId="7938927F" w:rsidR="00522A8F" w:rsidRPr="00316577" w:rsidRDefault="00522A8F" w:rsidP="00522A8F">
      <w:pPr>
        <w:spacing w:line="276" w:lineRule="auto"/>
        <w:rPr>
          <w:sz w:val="24"/>
          <w:szCs w:val="24"/>
        </w:rPr>
      </w:pPr>
      <w:r w:rsidRPr="00316577">
        <w:rPr>
          <w:sz w:val="24"/>
          <w:szCs w:val="24"/>
        </w:rPr>
        <w:t xml:space="preserve">In most </w:t>
      </w:r>
      <w:r w:rsidR="00C825FD">
        <w:rPr>
          <w:sz w:val="24"/>
          <w:szCs w:val="24"/>
        </w:rPr>
        <w:t xml:space="preserve">assessment </w:t>
      </w:r>
      <w:r w:rsidRPr="00316577">
        <w:rPr>
          <w:sz w:val="24"/>
          <w:szCs w:val="24"/>
        </w:rPr>
        <w:t>guidelines, treatment for osteoporosis is recommended in individuals with prior fragility fractures, especially fractures at spine and hip.  However, for those without prior fractures, the intervention thresholds can be derived using different methods. The aim of this report was to undertake a systematic review of the available information on the use of FRAX</w:t>
      </w:r>
      <w:r w:rsidR="00285B68" w:rsidRPr="00316577">
        <w:rPr>
          <w:sz w:val="24"/>
          <w:szCs w:val="24"/>
        </w:rPr>
        <w:t>®</w:t>
      </w:r>
      <w:r w:rsidRPr="00316577">
        <w:rPr>
          <w:sz w:val="24"/>
          <w:szCs w:val="24"/>
        </w:rPr>
        <w:t xml:space="preserve"> in assessment guidelines, in particular the setting of thresholds and their validation.  </w:t>
      </w:r>
      <w:r w:rsidR="00285B68" w:rsidRPr="00316577">
        <w:rPr>
          <w:sz w:val="24"/>
          <w:szCs w:val="24"/>
        </w:rPr>
        <w:t>W</w:t>
      </w:r>
      <w:r w:rsidRPr="00316577">
        <w:rPr>
          <w:sz w:val="24"/>
          <w:szCs w:val="24"/>
        </w:rPr>
        <w:t xml:space="preserve">e identified </w:t>
      </w:r>
      <w:r w:rsidR="002F3566">
        <w:rPr>
          <w:sz w:val="24"/>
          <w:szCs w:val="24"/>
        </w:rPr>
        <w:t>120</w:t>
      </w:r>
      <w:r w:rsidRPr="00316577">
        <w:rPr>
          <w:sz w:val="24"/>
          <w:szCs w:val="24"/>
        </w:rPr>
        <w:t xml:space="preserve"> guidelines or academic papers that </w:t>
      </w:r>
      <w:r w:rsidR="00285B68" w:rsidRPr="00316577">
        <w:rPr>
          <w:sz w:val="24"/>
          <w:szCs w:val="24"/>
        </w:rPr>
        <w:t xml:space="preserve">incorporated FRAX </w:t>
      </w:r>
      <w:r w:rsidR="00285B68" w:rsidRPr="002F3566">
        <w:rPr>
          <w:sz w:val="24"/>
          <w:szCs w:val="24"/>
        </w:rPr>
        <w:t xml:space="preserve">of which 38 </w:t>
      </w:r>
      <w:r w:rsidRPr="002F3566">
        <w:rPr>
          <w:sz w:val="24"/>
          <w:szCs w:val="24"/>
        </w:rPr>
        <w:t>provided no clear statement on how the fracture probabilities derived are to be used in decision-making in clinical practice.</w:t>
      </w:r>
      <w:r w:rsidR="00285B68" w:rsidRPr="00316577">
        <w:rPr>
          <w:sz w:val="24"/>
          <w:szCs w:val="24"/>
        </w:rPr>
        <w:t xml:space="preserve"> The remainder recommended a fixed intervention threshold (n=</w:t>
      </w:r>
      <w:r w:rsidR="002F3566">
        <w:rPr>
          <w:sz w:val="24"/>
          <w:szCs w:val="24"/>
        </w:rPr>
        <w:t>58</w:t>
      </w:r>
      <w:r w:rsidR="00285B68" w:rsidRPr="00316577">
        <w:rPr>
          <w:sz w:val="24"/>
          <w:szCs w:val="24"/>
        </w:rPr>
        <w:t>), most commonly as a component of more complex guidance (e.g. bone mineral density</w:t>
      </w:r>
      <w:r w:rsidR="00F34886" w:rsidRPr="00316577">
        <w:rPr>
          <w:sz w:val="24"/>
          <w:szCs w:val="24"/>
        </w:rPr>
        <w:t xml:space="preserve"> (BMD) </w:t>
      </w:r>
      <w:r w:rsidR="00285B68" w:rsidRPr="00316577">
        <w:rPr>
          <w:sz w:val="24"/>
          <w:szCs w:val="24"/>
        </w:rPr>
        <w:t xml:space="preserve">thresholds) or an </w:t>
      </w:r>
      <w:r w:rsidR="00285B68" w:rsidRPr="002F3566">
        <w:rPr>
          <w:sz w:val="24"/>
          <w:szCs w:val="24"/>
        </w:rPr>
        <w:t>age-dependent threshold (n=</w:t>
      </w:r>
      <w:r w:rsidR="002F3566" w:rsidRPr="002F3566">
        <w:rPr>
          <w:sz w:val="24"/>
          <w:szCs w:val="24"/>
        </w:rPr>
        <w:t>2</w:t>
      </w:r>
      <w:r w:rsidR="00C825FD">
        <w:rPr>
          <w:sz w:val="24"/>
          <w:szCs w:val="24"/>
        </w:rPr>
        <w:t>2</w:t>
      </w:r>
      <w:r w:rsidR="00285B68" w:rsidRPr="002F3566">
        <w:rPr>
          <w:sz w:val="24"/>
          <w:szCs w:val="24"/>
        </w:rPr>
        <w:t xml:space="preserve">). </w:t>
      </w:r>
      <w:r w:rsidR="00C825FD">
        <w:rPr>
          <w:sz w:val="24"/>
          <w:szCs w:val="24"/>
        </w:rPr>
        <w:t xml:space="preserve">Two guidelines have adopted both age-dependent and fixed thresholds.  </w:t>
      </w:r>
      <w:r w:rsidR="00285B68" w:rsidRPr="002F3566">
        <w:rPr>
          <w:sz w:val="24"/>
          <w:szCs w:val="24"/>
        </w:rPr>
        <w:t>Fixed</w:t>
      </w:r>
      <w:r w:rsidR="00285B68" w:rsidRPr="00316577">
        <w:rPr>
          <w:sz w:val="24"/>
          <w:szCs w:val="24"/>
        </w:rPr>
        <w:t xml:space="preserve"> probability thresholds have ranged </w:t>
      </w:r>
      <w:r w:rsidR="00285B68" w:rsidRPr="002F3566">
        <w:rPr>
          <w:sz w:val="24"/>
          <w:szCs w:val="24"/>
        </w:rPr>
        <w:t>from 4 to 20 % for a major fracture and 1.3-5 %</w:t>
      </w:r>
      <w:r w:rsidR="00285B68" w:rsidRPr="00316577">
        <w:rPr>
          <w:sz w:val="24"/>
          <w:szCs w:val="24"/>
        </w:rPr>
        <w:t xml:space="preserve"> for hip fracture. More than one </w:t>
      </w:r>
      <w:r w:rsidR="00285B68" w:rsidRPr="002F3566">
        <w:rPr>
          <w:sz w:val="24"/>
          <w:szCs w:val="24"/>
        </w:rPr>
        <w:t>half (3</w:t>
      </w:r>
      <w:r w:rsidR="002F3566" w:rsidRPr="002F3566">
        <w:rPr>
          <w:sz w:val="24"/>
          <w:szCs w:val="24"/>
        </w:rPr>
        <w:t>9</w:t>
      </w:r>
      <w:r w:rsidR="00285B68" w:rsidRPr="002F3566">
        <w:rPr>
          <w:sz w:val="24"/>
          <w:szCs w:val="24"/>
        </w:rPr>
        <w:t>) of the 5</w:t>
      </w:r>
      <w:r w:rsidR="002F3566" w:rsidRPr="002F3566">
        <w:rPr>
          <w:sz w:val="24"/>
          <w:szCs w:val="24"/>
        </w:rPr>
        <w:t>8</w:t>
      </w:r>
      <w:r w:rsidR="00285B68" w:rsidRPr="002F3566">
        <w:rPr>
          <w:sz w:val="24"/>
          <w:szCs w:val="24"/>
        </w:rPr>
        <w:t xml:space="preserve"> publications</w:t>
      </w:r>
      <w:r w:rsidR="00285B68" w:rsidRPr="00316577">
        <w:rPr>
          <w:sz w:val="24"/>
          <w:szCs w:val="24"/>
        </w:rPr>
        <w:t xml:space="preserve"> identified utilized a threshold probability of 20 % for a major osteoporotic fracture, many of which also mention a hip fracture probability of 3 % as an alternative intervention threshold.  In nearly all instances, no rationale is provided other than that this was the threshold used by the National Osteoporosis Foundation of the US.</w:t>
      </w:r>
      <w:r w:rsidR="00894FE3" w:rsidRPr="00316577">
        <w:rPr>
          <w:sz w:val="24"/>
          <w:szCs w:val="24"/>
        </w:rPr>
        <w:t xml:space="preserve"> Where undertaken, fixed probability thresholds have been determined from tests of discrimination (Hong Kong), health economic assessment (US, Switzerland), to match the prevalence of osteoporosis (China) or to align with pre-existing guidelines or reimbursement criteria (Japan, Poland).  Age-dependent intervention thresholds</w:t>
      </w:r>
      <w:r w:rsidR="00F33492" w:rsidRPr="00316577">
        <w:rPr>
          <w:sz w:val="24"/>
          <w:szCs w:val="24"/>
        </w:rPr>
        <w:t>, first developed by</w:t>
      </w:r>
      <w:r w:rsidR="00894FE3" w:rsidRPr="00316577">
        <w:rPr>
          <w:sz w:val="24"/>
          <w:szCs w:val="24"/>
        </w:rPr>
        <w:t xml:space="preserve"> </w:t>
      </w:r>
      <w:r w:rsidR="00F33492" w:rsidRPr="00316577">
        <w:rPr>
          <w:sz w:val="24"/>
          <w:szCs w:val="24"/>
        </w:rPr>
        <w:t xml:space="preserve">the National Osteoporosis Guideline Group (NOGG), </w:t>
      </w:r>
      <w:r w:rsidR="00894FE3" w:rsidRPr="00316577">
        <w:rPr>
          <w:sz w:val="24"/>
          <w:szCs w:val="24"/>
        </w:rPr>
        <w:t>are based on the rationale that if a woman with a prior fragility fracture is eligible for treatment, then, at any given age, a man or woman with the same fracture probability but in the absence of a previous fracture (i.e. at the ‘fracture threshold’) should also be eligible.</w:t>
      </w:r>
      <w:r w:rsidR="00F33492" w:rsidRPr="00316577">
        <w:rPr>
          <w:sz w:val="24"/>
          <w:szCs w:val="24"/>
        </w:rPr>
        <w:t xml:space="preserve"> </w:t>
      </w:r>
      <w:r w:rsidR="00C825FD">
        <w:rPr>
          <w:sz w:val="24"/>
          <w:szCs w:val="24"/>
        </w:rPr>
        <w:t>U</w:t>
      </w:r>
      <w:r w:rsidR="00F33492" w:rsidRPr="00316577">
        <w:rPr>
          <w:sz w:val="24"/>
          <w:szCs w:val="24"/>
        </w:rPr>
        <w:t xml:space="preserve">nder current NOGG guidelines, based on age-dependent probability thresholds, inequalities in access to therapy arise especially at older ages (≥ 70 years) depending on the presence or absence of a prior fracture. An alternative threshold using a hybrid model reduces this disparity. The use of FRAX </w:t>
      </w:r>
      <w:r w:rsidR="00F34886" w:rsidRPr="00316577">
        <w:rPr>
          <w:sz w:val="24"/>
          <w:szCs w:val="24"/>
        </w:rPr>
        <w:t xml:space="preserve">(fixed or age-dependent thresholds) </w:t>
      </w:r>
      <w:r w:rsidR="00F33492" w:rsidRPr="00316577">
        <w:rPr>
          <w:sz w:val="24"/>
          <w:szCs w:val="24"/>
        </w:rPr>
        <w:t>as the gateway to assessmen</w:t>
      </w:r>
      <w:r w:rsidR="00F34886" w:rsidRPr="00316577">
        <w:rPr>
          <w:sz w:val="24"/>
          <w:szCs w:val="24"/>
        </w:rPr>
        <w:t>t identifies individuals at high risk more effectively than the use of BMD.  However, the setting of intervention thresholds need to be country-specific.</w:t>
      </w:r>
    </w:p>
    <w:p w14:paraId="0EC83F12" w14:textId="44D84CEE" w:rsidR="00F34886" w:rsidRDefault="00F34886" w:rsidP="00522A8F">
      <w:pPr>
        <w:spacing w:line="276" w:lineRule="auto"/>
        <w:rPr>
          <w:rFonts w:ascii="Calibri" w:hAnsi="Calibri"/>
          <w:b/>
          <w:sz w:val="28"/>
          <w:szCs w:val="28"/>
        </w:rPr>
      </w:pPr>
      <w:r>
        <w:rPr>
          <w:rFonts w:ascii="Calibri" w:hAnsi="Calibri"/>
          <w:b/>
          <w:sz w:val="28"/>
          <w:szCs w:val="28"/>
        </w:rPr>
        <w:t>Key words</w:t>
      </w:r>
    </w:p>
    <w:p w14:paraId="334E9197" w14:textId="5AF904D7" w:rsidR="00522A8F" w:rsidRPr="00316577" w:rsidRDefault="00316577">
      <w:pPr>
        <w:rPr>
          <w:rFonts w:ascii="Calibri" w:hAnsi="Calibri"/>
          <w:sz w:val="24"/>
          <w:szCs w:val="24"/>
        </w:rPr>
      </w:pPr>
      <w:r w:rsidRPr="00316577">
        <w:rPr>
          <w:rFonts w:ascii="Calibri" w:hAnsi="Calibri"/>
          <w:sz w:val="24"/>
          <w:szCs w:val="24"/>
        </w:rPr>
        <w:t xml:space="preserve">Assessment guidelines · Calibration · </w:t>
      </w:r>
      <w:r>
        <w:rPr>
          <w:rFonts w:ascii="Calibri" w:hAnsi="Calibri"/>
          <w:sz w:val="24"/>
          <w:szCs w:val="24"/>
        </w:rPr>
        <w:t>Discrimination</w:t>
      </w:r>
      <w:r w:rsidRPr="00316577">
        <w:rPr>
          <w:rFonts w:ascii="Calibri" w:hAnsi="Calibri"/>
          <w:sz w:val="24"/>
          <w:szCs w:val="24"/>
        </w:rPr>
        <w:t xml:space="preserve"> · </w:t>
      </w:r>
      <w:r>
        <w:rPr>
          <w:rFonts w:ascii="Calibri" w:hAnsi="Calibri"/>
          <w:sz w:val="24"/>
          <w:szCs w:val="24"/>
        </w:rPr>
        <w:t>FRAX</w:t>
      </w:r>
      <w:r w:rsidR="00F34886" w:rsidRPr="00316577">
        <w:rPr>
          <w:rFonts w:ascii="Calibri" w:hAnsi="Calibri"/>
          <w:sz w:val="24"/>
          <w:szCs w:val="24"/>
        </w:rPr>
        <w:t xml:space="preserve"> ·</w:t>
      </w:r>
      <w:r w:rsidRPr="00316577">
        <w:rPr>
          <w:rFonts w:ascii="Calibri" w:hAnsi="Calibri"/>
          <w:sz w:val="24"/>
          <w:szCs w:val="24"/>
        </w:rPr>
        <w:t xml:space="preserve"> Intervention threshold </w:t>
      </w:r>
      <w:r w:rsidR="00522A8F" w:rsidRPr="00316577">
        <w:rPr>
          <w:rFonts w:ascii="Calibri" w:hAnsi="Calibri"/>
          <w:sz w:val="24"/>
          <w:szCs w:val="24"/>
        </w:rPr>
        <w:br w:type="page"/>
      </w:r>
    </w:p>
    <w:p w14:paraId="4654228F" w14:textId="11BA4DFD" w:rsidR="0004208C" w:rsidRPr="00DB1D7C" w:rsidRDefault="0004208C" w:rsidP="008819A0">
      <w:pPr>
        <w:rPr>
          <w:rFonts w:ascii="Calibri" w:hAnsi="Calibri"/>
          <w:b/>
          <w:sz w:val="28"/>
          <w:szCs w:val="28"/>
        </w:rPr>
      </w:pPr>
      <w:r w:rsidRPr="00DB1D7C">
        <w:rPr>
          <w:rFonts w:ascii="Calibri" w:hAnsi="Calibri"/>
          <w:b/>
          <w:sz w:val="28"/>
          <w:szCs w:val="28"/>
        </w:rPr>
        <w:lastRenderedPageBreak/>
        <w:t>Contents</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6"/>
        <w:gridCol w:w="283"/>
        <w:gridCol w:w="709"/>
      </w:tblGrid>
      <w:tr w:rsidR="0004208C" w:rsidRPr="00A36A1B" w14:paraId="034C1713" w14:textId="77777777" w:rsidTr="00A36A1B">
        <w:tc>
          <w:tcPr>
            <w:tcW w:w="6946" w:type="dxa"/>
          </w:tcPr>
          <w:p w14:paraId="4FB6236D" w14:textId="173C9AF4" w:rsidR="0004208C" w:rsidRPr="00A36A1B" w:rsidRDefault="0004208C" w:rsidP="00494BFD">
            <w:pPr>
              <w:spacing w:line="276" w:lineRule="auto"/>
              <w:rPr>
                <w:b/>
                <w:sz w:val="28"/>
                <w:szCs w:val="24"/>
              </w:rPr>
            </w:pPr>
            <w:r w:rsidRPr="00A36A1B">
              <w:rPr>
                <w:b/>
                <w:sz w:val="28"/>
                <w:szCs w:val="24"/>
              </w:rPr>
              <w:t>Executive Summary</w:t>
            </w:r>
          </w:p>
        </w:tc>
        <w:tc>
          <w:tcPr>
            <w:tcW w:w="283" w:type="dxa"/>
          </w:tcPr>
          <w:p w14:paraId="1979D9ED" w14:textId="10A67A45" w:rsidR="0004208C" w:rsidRPr="00A36A1B" w:rsidRDefault="0004208C" w:rsidP="00494BFD">
            <w:pPr>
              <w:spacing w:line="276" w:lineRule="auto"/>
              <w:rPr>
                <w:b/>
                <w:sz w:val="24"/>
                <w:szCs w:val="24"/>
              </w:rPr>
            </w:pPr>
          </w:p>
        </w:tc>
        <w:tc>
          <w:tcPr>
            <w:tcW w:w="709" w:type="dxa"/>
          </w:tcPr>
          <w:p w14:paraId="72AA1DF4" w14:textId="051394AB" w:rsidR="0004208C" w:rsidRPr="00A36A1B" w:rsidRDefault="00095766" w:rsidP="00315AE5">
            <w:pPr>
              <w:spacing w:line="276" w:lineRule="auto"/>
              <w:jc w:val="right"/>
              <w:rPr>
                <w:sz w:val="24"/>
                <w:szCs w:val="24"/>
              </w:rPr>
            </w:pPr>
            <w:r>
              <w:rPr>
                <w:sz w:val="24"/>
                <w:szCs w:val="24"/>
              </w:rPr>
              <w:t>5</w:t>
            </w:r>
          </w:p>
        </w:tc>
      </w:tr>
      <w:tr w:rsidR="0004208C" w:rsidRPr="00A36A1B" w14:paraId="6BA74817" w14:textId="77777777" w:rsidTr="00A36A1B">
        <w:tc>
          <w:tcPr>
            <w:tcW w:w="6946" w:type="dxa"/>
          </w:tcPr>
          <w:p w14:paraId="191DEA14" w14:textId="0778E401" w:rsidR="0004208C" w:rsidRPr="00A36A1B" w:rsidRDefault="00DF028E" w:rsidP="00494BFD">
            <w:pPr>
              <w:spacing w:line="276" w:lineRule="auto"/>
              <w:rPr>
                <w:b/>
                <w:sz w:val="28"/>
                <w:szCs w:val="24"/>
              </w:rPr>
            </w:pPr>
            <w:r w:rsidRPr="00A36A1B">
              <w:rPr>
                <w:b/>
                <w:sz w:val="28"/>
                <w:szCs w:val="24"/>
              </w:rPr>
              <w:t>Introduction</w:t>
            </w:r>
          </w:p>
        </w:tc>
        <w:tc>
          <w:tcPr>
            <w:tcW w:w="283" w:type="dxa"/>
          </w:tcPr>
          <w:p w14:paraId="2BA9C142" w14:textId="10C3CA7A" w:rsidR="0004208C" w:rsidRPr="00A36A1B" w:rsidRDefault="0004208C" w:rsidP="00494BFD">
            <w:pPr>
              <w:spacing w:line="276" w:lineRule="auto"/>
              <w:rPr>
                <w:b/>
                <w:sz w:val="24"/>
                <w:szCs w:val="24"/>
              </w:rPr>
            </w:pPr>
          </w:p>
        </w:tc>
        <w:tc>
          <w:tcPr>
            <w:tcW w:w="709" w:type="dxa"/>
          </w:tcPr>
          <w:p w14:paraId="2A67D01A" w14:textId="272405EB" w:rsidR="0004208C" w:rsidRPr="00A36A1B" w:rsidRDefault="00095766" w:rsidP="00E178C3">
            <w:pPr>
              <w:spacing w:line="276" w:lineRule="auto"/>
              <w:jc w:val="right"/>
              <w:rPr>
                <w:sz w:val="24"/>
                <w:szCs w:val="24"/>
              </w:rPr>
            </w:pPr>
            <w:r>
              <w:rPr>
                <w:sz w:val="24"/>
                <w:szCs w:val="24"/>
              </w:rPr>
              <w:t>9</w:t>
            </w:r>
          </w:p>
        </w:tc>
      </w:tr>
      <w:tr w:rsidR="0034445C" w:rsidRPr="00A36A1B" w14:paraId="651F5AC8" w14:textId="77777777" w:rsidTr="00A36A1B">
        <w:tc>
          <w:tcPr>
            <w:tcW w:w="6946" w:type="dxa"/>
          </w:tcPr>
          <w:p w14:paraId="12601AB4" w14:textId="6771318C" w:rsidR="0034445C" w:rsidRPr="00A36A1B" w:rsidRDefault="0034445C" w:rsidP="00494BFD">
            <w:pPr>
              <w:spacing w:line="276" w:lineRule="auto"/>
              <w:rPr>
                <w:b/>
                <w:sz w:val="28"/>
                <w:szCs w:val="24"/>
              </w:rPr>
            </w:pPr>
            <w:r w:rsidRPr="00A36A1B">
              <w:rPr>
                <w:b/>
                <w:sz w:val="28"/>
                <w:szCs w:val="24"/>
              </w:rPr>
              <w:t>Research questions</w:t>
            </w:r>
          </w:p>
        </w:tc>
        <w:tc>
          <w:tcPr>
            <w:tcW w:w="283" w:type="dxa"/>
          </w:tcPr>
          <w:p w14:paraId="0BED280C" w14:textId="77777777" w:rsidR="0034445C" w:rsidRPr="00A36A1B" w:rsidRDefault="0034445C" w:rsidP="00494BFD">
            <w:pPr>
              <w:spacing w:line="276" w:lineRule="auto"/>
              <w:rPr>
                <w:b/>
                <w:sz w:val="24"/>
                <w:szCs w:val="24"/>
              </w:rPr>
            </w:pPr>
          </w:p>
        </w:tc>
        <w:tc>
          <w:tcPr>
            <w:tcW w:w="709" w:type="dxa"/>
          </w:tcPr>
          <w:p w14:paraId="24261C7B" w14:textId="2FAFA6D2" w:rsidR="0034445C" w:rsidRPr="00A36A1B" w:rsidRDefault="002C6E6A" w:rsidP="00095766">
            <w:pPr>
              <w:spacing w:line="276" w:lineRule="auto"/>
              <w:jc w:val="right"/>
              <w:rPr>
                <w:sz w:val="24"/>
                <w:szCs w:val="24"/>
              </w:rPr>
            </w:pPr>
            <w:r w:rsidRPr="00A36A1B">
              <w:rPr>
                <w:sz w:val="24"/>
                <w:szCs w:val="24"/>
              </w:rPr>
              <w:t>1</w:t>
            </w:r>
            <w:r w:rsidR="00095766">
              <w:rPr>
                <w:sz w:val="24"/>
                <w:szCs w:val="24"/>
              </w:rPr>
              <w:t>2</w:t>
            </w:r>
          </w:p>
        </w:tc>
      </w:tr>
      <w:tr w:rsidR="0004208C" w:rsidRPr="00A36A1B" w14:paraId="1AAE78A8" w14:textId="77777777" w:rsidTr="00A36A1B">
        <w:tc>
          <w:tcPr>
            <w:tcW w:w="6946" w:type="dxa"/>
          </w:tcPr>
          <w:p w14:paraId="0B85819C" w14:textId="1C0F08D9" w:rsidR="0004208C" w:rsidRPr="00A36A1B" w:rsidRDefault="00DF028E" w:rsidP="00494BFD">
            <w:pPr>
              <w:spacing w:line="276" w:lineRule="auto"/>
              <w:rPr>
                <w:b/>
                <w:sz w:val="28"/>
                <w:szCs w:val="24"/>
              </w:rPr>
            </w:pPr>
            <w:r w:rsidRPr="00A36A1B">
              <w:rPr>
                <w:b/>
                <w:sz w:val="28"/>
                <w:szCs w:val="24"/>
              </w:rPr>
              <w:t>Methods</w:t>
            </w:r>
          </w:p>
        </w:tc>
        <w:tc>
          <w:tcPr>
            <w:tcW w:w="283" w:type="dxa"/>
          </w:tcPr>
          <w:p w14:paraId="1BC9FCD7" w14:textId="77777777" w:rsidR="0004208C" w:rsidRPr="00A36A1B" w:rsidRDefault="0004208C" w:rsidP="00494BFD">
            <w:pPr>
              <w:spacing w:line="276" w:lineRule="auto"/>
              <w:rPr>
                <w:b/>
                <w:sz w:val="24"/>
                <w:szCs w:val="24"/>
              </w:rPr>
            </w:pPr>
          </w:p>
        </w:tc>
        <w:tc>
          <w:tcPr>
            <w:tcW w:w="709" w:type="dxa"/>
          </w:tcPr>
          <w:p w14:paraId="2EF57C4E" w14:textId="64BFB49C" w:rsidR="0004208C" w:rsidRPr="00A36A1B" w:rsidRDefault="002C6E6A" w:rsidP="00095766">
            <w:pPr>
              <w:spacing w:line="276" w:lineRule="auto"/>
              <w:jc w:val="right"/>
              <w:rPr>
                <w:sz w:val="24"/>
                <w:szCs w:val="24"/>
              </w:rPr>
            </w:pPr>
            <w:r w:rsidRPr="00A36A1B">
              <w:rPr>
                <w:sz w:val="24"/>
                <w:szCs w:val="24"/>
              </w:rPr>
              <w:t>1</w:t>
            </w:r>
            <w:r w:rsidR="00095766">
              <w:rPr>
                <w:sz w:val="24"/>
                <w:szCs w:val="24"/>
              </w:rPr>
              <w:t>2</w:t>
            </w:r>
          </w:p>
        </w:tc>
      </w:tr>
      <w:tr w:rsidR="00E178C3" w:rsidRPr="00A36A1B" w14:paraId="745459CA" w14:textId="77777777" w:rsidTr="00A36A1B">
        <w:tc>
          <w:tcPr>
            <w:tcW w:w="6946" w:type="dxa"/>
          </w:tcPr>
          <w:p w14:paraId="239D2554" w14:textId="0AE7C2DC" w:rsidR="00E178C3" w:rsidRPr="00A36A1B" w:rsidRDefault="00E178C3" w:rsidP="00E178C3">
            <w:pPr>
              <w:spacing w:line="276" w:lineRule="auto"/>
              <w:rPr>
                <w:b/>
                <w:sz w:val="24"/>
                <w:szCs w:val="24"/>
              </w:rPr>
            </w:pPr>
            <w:r w:rsidRPr="00A36A1B">
              <w:rPr>
                <w:b/>
                <w:sz w:val="24"/>
                <w:szCs w:val="24"/>
              </w:rPr>
              <w:t xml:space="preserve">     Design</w:t>
            </w:r>
          </w:p>
        </w:tc>
        <w:tc>
          <w:tcPr>
            <w:tcW w:w="283" w:type="dxa"/>
          </w:tcPr>
          <w:p w14:paraId="5EADC64E" w14:textId="77777777" w:rsidR="00E178C3" w:rsidRPr="00A36A1B" w:rsidRDefault="00E178C3" w:rsidP="00494BFD">
            <w:pPr>
              <w:spacing w:line="276" w:lineRule="auto"/>
              <w:rPr>
                <w:b/>
                <w:sz w:val="24"/>
                <w:szCs w:val="24"/>
              </w:rPr>
            </w:pPr>
          </w:p>
        </w:tc>
        <w:tc>
          <w:tcPr>
            <w:tcW w:w="709" w:type="dxa"/>
          </w:tcPr>
          <w:p w14:paraId="4B9D806B" w14:textId="3CFF0D5B" w:rsidR="00E178C3" w:rsidRPr="00A36A1B" w:rsidRDefault="0036603A" w:rsidP="00095766">
            <w:pPr>
              <w:spacing w:line="276" w:lineRule="auto"/>
              <w:jc w:val="right"/>
              <w:rPr>
                <w:sz w:val="24"/>
                <w:szCs w:val="24"/>
              </w:rPr>
            </w:pPr>
            <w:r w:rsidRPr="00A36A1B">
              <w:rPr>
                <w:sz w:val="24"/>
                <w:szCs w:val="24"/>
              </w:rPr>
              <w:t>1</w:t>
            </w:r>
            <w:r w:rsidR="00095766">
              <w:rPr>
                <w:sz w:val="24"/>
                <w:szCs w:val="24"/>
              </w:rPr>
              <w:t>2</w:t>
            </w:r>
          </w:p>
        </w:tc>
      </w:tr>
      <w:tr w:rsidR="00E178C3" w:rsidRPr="00A36A1B" w14:paraId="60019A33" w14:textId="77777777" w:rsidTr="00A36A1B">
        <w:tc>
          <w:tcPr>
            <w:tcW w:w="6946" w:type="dxa"/>
          </w:tcPr>
          <w:p w14:paraId="5A253454" w14:textId="782B2E16" w:rsidR="00E178C3" w:rsidRPr="00A36A1B" w:rsidRDefault="00E178C3" w:rsidP="00494BFD">
            <w:pPr>
              <w:spacing w:line="276" w:lineRule="auto"/>
              <w:rPr>
                <w:b/>
                <w:sz w:val="24"/>
                <w:szCs w:val="24"/>
              </w:rPr>
            </w:pPr>
            <w:r w:rsidRPr="00A36A1B">
              <w:rPr>
                <w:b/>
                <w:sz w:val="24"/>
                <w:szCs w:val="24"/>
              </w:rPr>
              <w:t xml:space="preserve">     Outcomes</w:t>
            </w:r>
          </w:p>
        </w:tc>
        <w:tc>
          <w:tcPr>
            <w:tcW w:w="283" w:type="dxa"/>
          </w:tcPr>
          <w:p w14:paraId="60555D58" w14:textId="77777777" w:rsidR="00E178C3" w:rsidRPr="00A36A1B" w:rsidRDefault="00E178C3" w:rsidP="00494BFD">
            <w:pPr>
              <w:spacing w:line="276" w:lineRule="auto"/>
              <w:rPr>
                <w:b/>
                <w:sz w:val="24"/>
                <w:szCs w:val="24"/>
              </w:rPr>
            </w:pPr>
          </w:p>
        </w:tc>
        <w:tc>
          <w:tcPr>
            <w:tcW w:w="709" w:type="dxa"/>
          </w:tcPr>
          <w:p w14:paraId="45EAE936" w14:textId="79623447" w:rsidR="00E178C3" w:rsidRPr="00A36A1B" w:rsidRDefault="0036603A" w:rsidP="00095766">
            <w:pPr>
              <w:spacing w:line="276" w:lineRule="auto"/>
              <w:jc w:val="right"/>
              <w:rPr>
                <w:sz w:val="24"/>
                <w:szCs w:val="24"/>
              </w:rPr>
            </w:pPr>
            <w:r w:rsidRPr="00A36A1B">
              <w:rPr>
                <w:sz w:val="24"/>
                <w:szCs w:val="24"/>
              </w:rPr>
              <w:t>1</w:t>
            </w:r>
            <w:r w:rsidR="00095766">
              <w:rPr>
                <w:sz w:val="24"/>
                <w:szCs w:val="24"/>
              </w:rPr>
              <w:t>2</w:t>
            </w:r>
          </w:p>
        </w:tc>
      </w:tr>
      <w:tr w:rsidR="00E178C3" w:rsidRPr="00A36A1B" w14:paraId="27EB0030" w14:textId="77777777" w:rsidTr="00A36A1B">
        <w:tc>
          <w:tcPr>
            <w:tcW w:w="6946" w:type="dxa"/>
          </w:tcPr>
          <w:p w14:paraId="178FB70E" w14:textId="2B93FCBA" w:rsidR="00E178C3" w:rsidRPr="00A36A1B" w:rsidRDefault="00E178C3" w:rsidP="00494BFD">
            <w:pPr>
              <w:spacing w:line="276" w:lineRule="auto"/>
              <w:rPr>
                <w:b/>
                <w:sz w:val="24"/>
                <w:szCs w:val="24"/>
              </w:rPr>
            </w:pPr>
            <w:r w:rsidRPr="00A36A1B">
              <w:rPr>
                <w:b/>
                <w:sz w:val="24"/>
                <w:szCs w:val="24"/>
              </w:rPr>
              <w:t xml:space="preserve">     Inclusion criteria</w:t>
            </w:r>
          </w:p>
        </w:tc>
        <w:tc>
          <w:tcPr>
            <w:tcW w:w="283" w:type="dxa"/>
          </w:tcPr>
          <w:p w14:paraId="7F6E4EFA" w14:textId="77777777" w:rsidR="00E178C3" w:rsidRPr="00A36A1B" w:rsidRDefault="00E178C3" w:rsidP="00494BFD">
            <w:pPr>
              <w:spacing w:line="276" w:lineRule="auto"/>
              <w:rPr>
                <w:b/>
                <w:sz w:val="24"/>
                <w:szCs w:val="24"/>
              </w:rPr>
            </w:pPr>
          </w:p>
        </w:tc>
        <w:tc>
          <w:tcPr>
            <w:tcW w:w="709" w:type="dxa"/>
          </w:tcPr>
          <w:p w14:paraId="45D8C42E" w14:textId="006324C8" w:rsidR="00E178C3" w:rsidRPr="00A36A1B" w:rsidRDefault="0036603A" w:rsidP="00095766">
            <w:pPr>
              <w:spacing w:line="276" w:lineRule="auto"/>
              <w:jc w:val="right"/>
              <w:rPr>
                <w:sz w:val="24"/>
                <w:szCs w:val="24"/>
              </w:rPr>
            </w:pPr>
            <w:r w:rsidRPr="00A36A1B">
              <w:rPr>
                <w:sz w:val="24"/>
                <w:szCs w:val="24"/>
              </w:rPr>
              <w:t>1</w:t>
            </w:r>
            <w:r w:rsidR="00095766">
              <w:rPr>
                <w:sz w:val="24"/>
                <w:szCs w:val="24"/>
              </w:rPr>
              <w:t>2</w:t>
            </w:r>
          </w:p>
        </w:tc>
      </w:tr>
      <w:tr w:rsidR="00E178C3" w:rsidRPr="00A36A1B" w14:paraId="14750988" w14:textId="77777777" w:rsidTr="00A36A1B">
        <w:tc>
          <w:tcPr>
            <w:tcW w:w="6946" w:type="dxa"/>
          </w:tcPr>
          <w:p w14:paraId="20E6D659" w14:textId="6753336D" w:rsidR="00E178C3" w:rsidRPr="00A36A1B" w:rsidRDefault="00E178C3" w:rsidP="00494BFD">
            <w:pPr>
              <w:spacing w:line="276" w:lineRule="auto"/>
              <w:rPr>
                <w:b/>
                <w:sz w:val="24"/>
                <w:szCs w:val="24"/>
              </w:rPr>
            </w:pPr>
            <w:r w:rsidRPr="00A36A1B">
              <w:rPr>
                <w:b/>
                <w:sz w:val="24"/>
                <w:szCs w:val="24"/>
              </w:rPr>
              <w:t xml:space="preserve">     Exclusion criteria</w:t>
            </w:r>
          </w:p>
        </w:tc>
        <w:tc>
          <w:tcPr>
            <w:tcW w:w="283" w:type="dxa"/>
          </w:tcPr>
          <w:p w14:paraId="52B9CD34" w14:textId="77777777" w:rsidR="00E178C3" w:rsidRPr="00A36A1B" w:rsidRDefault="00E178C3" w:rsidP="00494BFD">
            <w:pPr>
              <w:spacing w:line="276" w:lineRule="auto"/>
              <w:rPr>
                <w:b/>
                <w:sz w:val="24"/>
                <w:szCs w:val="24"/>
              </w:rPr>
            </w:pPr>
          </w:p>
        </w:tc>
        <w:tc>
          <w:tcPr>
            <w:tcW w:w="709" w:type="dxa"/>
          </w:tcPr>
          <w:p w14:paraId="3D02188F" w14:textId="662C73AA" w:rsidR="00E178C3" w:rsidRPr="00A36A1B" w:rsidRDefault="0036603A" w:rsidP="00095766">
            <w:pPr>
              <w:spacing w:line="276" w:lineRule="auto"/>
              <w:jc w:val="right"/>
              <w:rPr>
                <w:sz w:val="24"/>
                <w:szCs w:val="24"/>
              </w:rPr>
            </w:pPr>
            <w:r w:rsidRPr="00A36A1B">
              <w:rPr>
                <w:sz w:val="24"/>
                <w:szCs w:val="24"/>
              </w:rPr>
              <w:t>1</w:t>
            </w:r>
            <w:r w:rsidR="00095766">
              <w:rPr>
                <w:sz w:val="24"/>
                <w:szCs w:val="24"/>
              </w:rPr>
              <w:t>3</w:t>
            </w:r>
          </w:p>
        </w:tc>
      </w:tr>
      <w:tr w:rsidR="00E178C3" w:rsidRPr="00A36A1B" w14:paraId="628A4326" w14:textId="77777777" w:rsidTr="00A36A1B">
        <w:tc>
          <w:tcPr>
            <w:tcW w:w="6946" w:type="dxa"/>
          </w:tcPr>
          <w:p w14:paraId="592E0D44" w14:textId="7DE8BDDA" w:rsidR="00E178C3" w:rsidRPr="00A36A1B" w:rsidRDefault="00E178C3" w:rsidP="00E178C3">
            <w:pPr>
              <w:rPr>
                <w:b/>
                <w:sz w:val="24"/>
                <w:szCs w:val="24"/>
              </w:rPr>
            </w:pPr>
            <w:r w:rsidRPr="00A36A1B">
              <w:rPr>
                <w:b/>
                <w:sz w:val="24"/>
                <w:szCs w:val="24"/>
              </w:rPr>
              <w:t xml:space="preserve">     Search strategy for identification of studies</w:t>
            </w:r>
          </w:p>
        </w:tc>
        <w:tc>
          <w:tcPr>
            <w:tcW w:w="283" w:type="dxa"/>
          </w:tcPr>
          <w:p w14:paraId="56BFC005" w14:textId="77777777" w:rsidR="00E178C3" w:rsidRPr="00A36A1B" w:rsidRDefault="00E178C3" w:rsidP="00494BFD">
            <w:pPr>
              <w:spacing w:line="276" w:lineRule="auto"/>
              <w:rPr>
                <w:b/>
                <w:sz w:val="24"/>
                <w:szCs w:val="24"/>
              </w:rPr>
            </w:pPr>
          </w:p>
        </w:tc>
        <w:tc>
          <w:tcPr>
            <w:tcW w:w="709" w:type="dxa"/>
          </w:tcPr>
          <w:p w14:paraId="15366340" w14:textId="6512585E" w:rsidR="00E178C3" w:rsidRPr="00A36A1B" w:rsidRDefault="0036603A" w:rsidP="00095766">
            <w:pPr>
              <w:spacing w:line="276" w:lineRule="auto"/>
              <w:jc w:val="right"/>
              <w:rPr>
                <w:sz w:val="24"/>
                <w:szCs w:val="24"/>
              </w:rPr>
            </w:pPr>
            <w:r w:rsidRPr="00A36A1B">
              <w:rPr>
                <w:sz w:val="24"/>
                <w:szCs w:val="24"/>
              </w:rPr>
              <w:t>1</w:t>
            </w:r>
            <w:r w:rsidR="00095766">
              <w:rPr>
                <w:sz w:val="24"/>
                <w:szCs w:val="24"/>
              </w:rPr>
              <w:t>3</w:t>
            </w:r>
          </w:p>
        </w:tc>
      </w:tr>
      <w:tr w:rsidR="00E178C3" w:rsidRPr="00A36A1B" w14:paraId="09BF4060" w14:textId="77777777" w:rsidTr="00A36A1B">
        <w:tc>
          <w:tcPr>
            <w:tcW w:w="6946" w:type="dxa"/>
          </w:tcPr>
          <w:p w14:paraId="48E0A83E" w14:textId="64C84B8E" w:rsidR="00E178C3" w:rsidRPr="00A36A1B" w:rsidRDefault="00E178C3" w:rsidP="00494BFD">
            <w:pPr>
              <w:spacing w:line="276" w:lineRule="auto"/>
              <w:rPr>
                <w:b/>
                <w:sz w:val="24"/>
                <w:szCs w:val="24"/>
              </w:rPr>
            </w:pPr>
            <w:r w:rsidRPr="00A36A1B">
              <w:rPr>
                <w:b/>
                <w:sz w:val="24"/>
                <w:szCs w:val="24"/>
              </w:rPr>
              <w:t xml:space="preserve">     Screening of abstracts</w:t>
            </w:r>
          </w:p>
        </w:tc>
        <w:tc>
          <w:tcPr>
            <w:tcW w:w="283" w:type="dxa"/>
          </w:tcPr>
          <w:p w14:paraId="6DA33BCC" w14:textId="77777777" w:rsidR="00E178C3" w:rsidRPr="00A36A1B" w:rsidRDefault="00E178C3" w:rsidP="00494BFD">
            <w:pPr>
              <w:spacing w:line="276" w:lineRule="auto"/>
              <w:rPr>
                <w:b/>
                <w:sz w:val="24"/>
                <w:szCs w:val="24"/>
              </w:rPr>
            </w:pPr>
          </w:p>
        </w:tc>
        <w:tc>
          <w:tcPr>
            <w:tcW w:w="709" w:type="dxa"/>
          </w:tcPr>
          <w:p w14:paraId="2A39E2D1" w14:textId="7FF5B11F" w:rsidR="00E178C3" w:rsidRPr="00A36A1B" w:rsidRDefault="0036603A" w:rsidP="00095766">
            <w:pPr>
              <w:spacing w:line="276" w:lineRule="auto"/>
              <w:jc w:val="right"/>
              <w:rPr>
                <w:sz w:val="24"/>
                <w:szCs w:val="24"/>
              </w:rPr>
            </w:pPr>
            <w:r w:rsidRPr="00A36A1B">
              <w:rPr>
                <w:sz w:val="24"/>
                <w:szCs w:val="24"/>
              </w:rPr>
              <w:t>1</w:t>
            </w:r>
            <w:r w:rsidR="00095766">
              <w:rPr>
                <w:sz w:val="24"/>
                <w:szCs w:val="24"/>
              </w:rPr>
              <w:t>3</w:t>
            </w:r>
          </w:p>
        </w:tc>
      </w:tr>
      <w:tr w:rsidR="00E178C3" w:rsidRPr="00A36A1B" w14:paraId="37257803" w14:textId="77777777" w:rsidTr="00A36A1B">
        <w:tc>
          <w:tcPr>
            <w:tcW w:w="6946" w:type="dxa"/>
          </w:tcPr>
          <w:p w14:paraId="5AFAAE75" w14:textId="73076E0F" w:rsidR="00E178C3" w:rsidRPr="00A36A1B" w:rsidRDefault="00E178C3" w:rsidP="00494BFD">
            <w:pPr>
              <w:spacing w:line="276" w:lineRule="auto"/>
              <w:rPr>
                <w:b/>
                <w:sz w:val="24"/>
                <w:szCs w:val="24"/>
              </w:rPr>
            </w:pPr>
            <w:r w:rsidRPr="00A36A1B">
              <w:rPr>
                <w:b/>
                <w:sz w:val="24"/>
                <w:szCs w:val="24"/>
              </w:rPr>
              <w:t xml:space="preserve">     Data extraction and quality assessment</w:t>
            </w:r>
          </w:p>
        </w:tc>
        <w:tc>
          <w:tcPr>
            <w:tcW w:w="283" w:type="dxa"/>
          </w:tcPr>
          <w:p w14:paraId="5E03ACDF" w14:textId="77777777" w:rsidR="00E178C3" w:rsidRPr="00A36A1B" w:rsidRDefault="00E178C3" w:rsidP="00494BFD">
            <w:pPr>
              <w:spacing w:line="276" w:lineRule="auto"/>
              <w:rPr>
                <w:b/>
                <w:sz w:val="24"/>
                <w:szCs w:val="24"/>
              </w:rPr>
            </w:pPr>
          </w:p>
        </w:tc>
        <w:tc>
          <w:tcPr>
            <w:tcW w:w="709" w:type="dxa"/>
          </w:tcPr>
          <w:p w14:paraId="4E0BD634" w14:textId="1AACAA1D" w:rsidR="00E178C3" w:rsidRPr="00A36A1B" w:rsidRDefault="0036603A" w:rsidP="00095766">
            <w:pPr>
              <w:spacing w:line="276" w:lineRule="auto"/>
              <w:jc w:val="right"/>
              <w:rPr>
                <w:sz w:val="24"/>
                <w:szCs w:val="24"/>
              </w:rPr>
            </w:pPr>
            <w:r w:rsidRPr="00A36A1B">
              <w:rPr>
                <w:sz w:val="24"/>
                <w:szCs w:val="24"/>
              </w:rPr>
              <w:t>1</w:t>
            </w:r>
            <w:r w:rsidR="00095766">
              <w:rPr>
                <w:sz w:val="24"/>
                <w:szCs w:val="24"/>
              </w:rPr>
              <w:t>4</w:t>
            </w:r>
          </w:p>
        </w:tc>
      </w:tr>
      <w:tr w:rsidR="00E178C3" w:rsidRPr="00A36A1B" w14:paraId="586F86E5" w14:textId="77777777" w:rsidTr="00A36A1B">
        <w:tc>
          <w:tcPr>
            <w:tcW w:w="6946" w:type="dxa"/>
          </w:tcPr>
          <w:p w14:paraId="1EA65547" w14:textId="7F162FBB" w:rsidR="00E178C3" w:rsidRPr="00A36A1B" w:rsidRDefault="00E178C3" w:rsidP="00494BFD">
            <w:pPr>
              <w:spacing w:line="276" w:lineRule="auto"/>
              <w:rPr>
                <w:b/>
                <w:sz w:val="24"/>
                <w:szCs w:val="24"/>
              </w:rPr>
            </w:pPr>
            <w:r w:rsidRPr="00A36A1B">
              <w:rPr>
                <w:b/>
                <w:sz w:val="24"/>
                <w:szCs w:val="24"/>
              </w:rPr>
              <w:t xml:space="preserve">     Data synthesis</w:t>
            </w:r>
          </w:p>
        </w:tc>
        <w:tc>
          <w:tcPr>
            <w:tcW w:w="283" w:type="dxa"/>
          </w:tcPr>
          <w:p w14:paraId="6E224C59" w14:textId="77777777" w:rsidR="00E178C3" w:rsidRPr="00A36A1B" w:rsidRDefault="00E178C3" w:rsidP="00494BFD">
            <w:pPr>
              <w:spacing w:line="276" w:lineRule="auto"/>
              <w:rPr>
                <w:b/>
                <w:sz w:val="24"/>
                <w:szCs w:val="24"/>
              </w:rPr>
            </w:pPr>
          </w:p>
        </w:tc>
        <w:tc>
          <w:tcPr>
            <w:tcW w:w="709" w:type="dxa"/>
          </w:tcPr>
          <w:p w14:paraId="34D7DE14" w14:textId="38FD5C0E" w:rsidR="00E178C3" w:rsidRPr="00A36A1B" w:rsidRDefault="0036603A" w:rsidP="00095766">
            <w:pPr>
              <w:spacing w:line="276" w:lineRule="auto"/>
              <w:jc w:val="right"/>
              <w:rPr>
                <w:sz w:val="24"/>
                <w:szCs w:val="24"/>
              </w:rPr>
            </w:pPr>
            <w:r w:rsidRPr="00A36A1B">
              <w:rPr>
                <w:sz w:val="24"/>
                <w:szCs w:val="24"/>
              </w:rPr>
              <w:t>1</w:t>
            </w:r>
            <w:r w:rsidR="00095766">
              <w:rPr>
                <w:sz w:val="24"/>
                <w:szCs w:val="24"/>
              </w:rPr>
              <w:t>4</w:t>
            </w:r>
          </w:p>
        </w:tc>
      </w:tr>
      <w:tr w:rsidR="0004208C" w:rsidRPr="00A36A1B" w14:paraId="07DD8D0E" w14:textId="77777777" w:rsidTr="00A36A1B">
        <w:tc>
          <w:tcPr>
            <w:tcW w:w="6946" w:type="dxa"/>
          </w:tcPr>
          <w:p w14:paraId="325780FA" w14:textId="21A32793" w:rsidR="0004208C" w:rsidRPr="00A36A1B" w:rsidRDefault="00DF028E" w:rsidP="00494BFD">
            <w:pPr>
              <w:spacing w:line="276" w:lineRule="auto"/>
              <w:rPr>
                <w:b/>
                <w:sz w:val="28"/>
                <w:szCs w:val="24"/>
              </w:rPr>
            </w:pPr>
            <w:r w:rsidRPr="00A36A1B">
              <w:rPr>
                <w:b/>
                <w:sz w:val="28"/>
                <w:szCs w:val="24"/>
              </w:rPr>
              <w:t>Results</w:t>
            </w:r>
          </w:p>
        </w:tc>
        <w:tc>
          <w:tcPr>
            <w:tcW w:w="283" w:type="dxa"/>
          </w:tcPr>
          <w:p w14:paraId="61FBB648" w14:textId="688CEC44" w:rsidR="0004208C" w:rsidRPr="00A36A1B" w:rsidRDefault="0004208C" w:rsidP="00494BFD">
            <w:pPr>
              <w:spacing w:line="276" w:lineRule="auto"/>
              <w:rPr>
                <w:b/>
                <w:sz w:val="24"/>
                <w:szCs w:val="24"/>
              </w:rPr>
            </w:pPr>
          </w:p>
        </w:tc>
        <w:tc>
          <w:tcPr>
            <w:tcW w:w="709" w:type="dxa"/>
          </w:tcPr>
          <w:p w14:paraId="108CE298" w14:textId="40FE44B8" w:rsidR="0004208C" w:rsidRPr="00A36A1B" w:rsidRDefault="00E178C3" w:rsidP="00095766">
            <w:pPr>
              <w:spacing w:line="276" w:lineRule="auto"/>
              <w:jc w:val="right"/>
              <w:rPr>
                <w:sz w:val="24"/>
                <w:szCs w:val="24"/>
              </w:rPr>
            </w:pPr>
            <w:r w:rsidRPr="00A36A1B">
              <w:rPr>
                <w:sz w:val="24"/>
                <w:szCs w:val="24"/>
              </w:rPr>
              <w:t>1</w:t>
            </w:r>
            <w:r w:rsidR="00095766">
              <w:rPr>
                <w:sz w:val="24"/>
                <w:szCs w:val="24"/>
              </w:rPr>
              <w:t>4</w:t>
            </w:r>
          </w:p>
        </w:tc>
      </w:tr>
      <w:tr w:rsidR="0004208C" w:rsidRPr="00A36A1B" w14:paraId="2E388262" w14:textId="77777777" w:rsidTr="00A36A1B">
        <w:tc>
          <w:tcPr>
            <w:tcW w:w="6946" w:type="dxa"/>
          </w:tcPr>
          <w:p w14:paraId="59790F87" w14:textId="3B0923EE" w:rsidR="0004208C" w:rsidRPr="00736F30" w:rsidRDefault="007405C8" w:rsidP="00494BFD">
            <w:pPr>
              <w:spacing w:line="276" w:lineRule="auto"/>
              <w:rPr>
                <w:b/>
                <w:sz w:val="24"/>
                <w:szCs w:val="24"/>
              </w:rPr>
            </w:pPr>
            <w:r w:rsidRPr="00736F30">
              <w:rPr>
                <w:b/>
                <w:sz w:val="24"/>
                <w:szCs w:val="24"/>
              </w:rPr>
              <w:t xml:space="preserve">     </w:t>
            </w:r>
            <w:r w:rsidR="00DF028E" w:rsidRPr="00736F30">
              <w:rPr>
                <w:b/>
                <w:sz w:val="24"/>
                <w:szCs w:val="24"/>
              </w:rPr>
              <w:t>The use of a fixed FRAX intervention threshold</w:t>
            </w:r>
          </w:p>
        </w:tc>
        <w:tc>
          <w:tcPr>
            <w:tcW w:w="283" w:type="dxa"/>
          </w:tcPr>
          <w:p w14:paraId="145585C9" w14:textId="77777777" w:rsidR="0004208C" w:rsidRPr="00A36A1B" w:rsidRDefault="0004208C" w:rsidP="00494BFD">
            <w:pPr>
              <w:spacing w:line="276" w:lineRule="auto"/>
              <w:rPr>
                <w:b/>
                <w:sz w:val="24"/>
                <w:szCs w:val="24"/>
              </w:rPr>
            </w:pPr>
          </w:p>
        </w:tc>
        <w:tc>
          <w:tcPr>
            <w:tcW w:w="709" w:type="dxa"/>
          </w:tcPr>
          <w:p w14:paraId="2FFA3E65" w14:textId="5E53B2DB" w:rsidR="0004208C" w:rsidRPr="00A36A1B" w:rsidRDefault="0036603A" w:rsidP="00315AE5">
            <w:pPr>
              <w:spacing w:line="276" w:lineRule="auto"/>
              <w:jc w:val="right"/>
              <w:rPr>
                <w:sz w:val="24"/>
                <w:szCs w:val="24"/>
              </w:rPr>
            </w:pPr>
            <w:r w:rsidRPr="00A36A1B">
              <w:rPr>
                <w:sz w:val="24"/>
                <w:szCs w:val="24"/>
              </w:rPr>
              <w:t>17</w:t>
            </w:r>
          </w:p>
        </w:tc>
      </w:tr>
      <w:tr w:rsidR="006665FB" w:rsidRPr="00A36A1B" w14:paraId="60B9E8FD" w14:textId="77777777" w:rsidTr="00A36A1B">
        <w:tc>
          <w:tcPr>
            <w:tcW w:w="6946" w:type="dxa"/>
          </w:tcPr>
          <w:p w14:paraId="48EEAD56" w14:textId="1EFE0051" w:rsidR="006665FB" w:rsidRPr="00736F30" w:rsidRDefault="006665FB" w:rsidP="00494BFD">
            <w:pPr>
              <w:spacing w:line="276" w:lineRule="auto"/>
              <w:rPr>
                <w:sz w:val="24"/>
                <w:szCs w:val="24"/>
              </w:rPr>
            </w:pPr>
            <w:r w:rsidRPr="00736F30">
              <w:rPr>
                <w:i/>
                <w:sz w:val="24"/>
                <w:szCs w:val="24"/>
              </w:rPr>
              <w:t xml:space="preserve">          National Osteoporosis Foundation, US  </w:t>
            </w:r>
          </w:p>
        </w:tc>
        <w:tc>
          <w:tcPr>
            <w:tcW w:w="283" w:type="dxa"/>
          </w:tcPr>
          <w:p w14:paraId="077C9DE1" w14:textId="06E30339" w:rsidR="006665FB" w:rsidRPr="00A36A1B" w:rsidRDefault="006665FB" w:rsidP="00494BFD">
            <w:pPr>
              <w:spacing w:line="276" w:lineRule="auto"/>
              <w:rPr>
                <w:b/>
                <w:sz w:val="24"/>
                <w:szCs w:val="24"/>
              </w:rPr>
            </w:pPr>
          </w:p>
        </w:tc>
        <w:tc>
          <w:tcPr>
            <w:tcW w:w="709" w:type="dxa"/>
          </w:tcPr>
          <w:p w14:paraId="52C167DA" w14:textId="4C015A58" w:rsidR="006665FB" w:rsidRPr="00A36A1B" w:rsidRDefault="0036603A" w:rsidP="00315AE5">
            <w:pPr>
              <w:spacing w:line="276" w:lineRule="auto"/>
              <w:jc w:val="right"/>
              <w:rPr>
                <w:sz w:val="24"/>
                <w:szCs w:val="24"/>
              </w:rPr>
            </w:pPr>
            <w:r w:rsidRPr="00A36A1B">
              <w:rPr>
                <w:sz w:val="24"/>
                <w:szCs w:val="24"/>
              </w:rPr>
              <w:t>21</w:t>
            </w:r>
          </w:p>
        </w:tc>
      </w:tr>
      <w:tr w:rsidR="006665FB" w:rsidRPr="00A36A1B" w14:paraId="5645D05C" w14:textId="77777777" w:rsidTr="00A36A1B">
        <w:tc>
          <w:tcPr>
            <w:tcW w:w="6946" w:type="dxa"/>
          </w:tcPr>
          <w:p w14:paraId="572C2719" w14:textId="115EE883" w:rsidR="006665FB" w:rsidRPr="00736F30" w:rsidRDefault="006665FB" w:rsidP="00494BFD">
            <w:pPr>
              <w:spacing w:line="276" w:lineRule="auto"/>
              <w:rPr>
                <w:sz w:val="24"/>
                <w:szCs w:val="24"/>
              </w:rPr>
            </w:pPr>
            <w:r w:rsidRPr="00736F30">
              <w:rPr>
                <w:sz w:val="24"/>
                <w:szCs w:val="24"/>
              </w:rPr>
              <w:t xml:space="preserve">          </w:t>
            </w:r>
            <w:r w:rsidRPr="00736F30">
              <w:rPr>
                <w:i/>
                <w:sz w:val="24"/>
                <w:szCs w:val="24"/>
              </w:rPr>
              <w:t>The US Preventive Services Task Force</w:t>
            </w:r>
          </w:p>
        </w:tc>
        <w:tc>
          <w:tcPr>
            <w:tcW w:w="283" w:type="dxa"/>
          </w:tcPr>
          <w:p w14:paraId="53E4C738" w14:textId="77777777" w:rsidR="006665FB" w:rsidRPr="00A36A1B" w:rsidRDefault="006665FB" w:rsidP="00494BFD">
            <w:pPr>
              <w:spacing w:line="276" w:lineRule="auto"/>
              <w:rPr>
                <w:b/>
                <w:sz w:val="24"/>
                <w:szCs w:val="24"/>
              </w:rPr>
            </w:pPr>
          </w:p>
        </w:tc>
        <w:tc>
          <w:tcPr>
            <w:tcW w:w="709" w:type="dxa"/>
          </w:tcPr>
          <w:p w14:paraId="0ABB80B8" w14:textId="6AF3B330" w:rsidR="006665FB" w:rsidRPr="00A36A1B" w:rsidRDefault="0036603A" w:rsidP="00315AE5">
            <w:pPr>
              <w:spacing w:line="276" w:lineRule="auto"/>
              <w:jc w:val="right"/>
              <w:rPr>
                <w:sz w:val="24"/>
                <w:szCs w:val="24"/>
              </w:rPr>
            </w:pPr>
            <w:r w:rsidRPr="00A36A1B">
              <w:rPr>
                <w:sz w:val="24"/>
                <w:szCs w:val="24"/>
              </w:rPr>
              <w:t>22</w:t>
            </w:r>
          </w:p>
        </w:tc>
      </w:tr>
      <w:tr w:rsidR="0004208C" w:rsidRPr="00A36A1B" w14:paraId="3D86F117" w14:textId="77777777" w:rsidTr="00A36A1B">
        <w:tc>
          <w:tcPr>
            <w:tcW w:w="6946" w:type="dxa"/>
          </w:tcPr>
          <w:p w14:paraId="4F573821" w14:textId="74398E3F" w:rsidR="0004208C" w:rsidRPr="00736F30" w:rsidRDefault="006665FB" w:rsidP="00494BFD">
            <w:pPr>
              <w:spacing w:line="276" w:lineRule="auto"/>
              <w:rPr>
                <w:sz w:val="24"/>
                <w:szCs w:val="24"/>
              </w:rPr>
            </w:pPr>
            <w:r w:rsidRPr="00736F30">
              <w:rPr>
                <w:i/>
                <w:sz w:val="24"/>
                <w:szCs w:val="24"/>
              </w:rPr>
              <w:t xml:space="preserve">          American College of Rheumatology</w:t>
            </w:r>
          </w:p>
        </w:tc>
        <w:tc>
          <w:tcPr>
            <w:tcW w:w="283" w:type="dxa"/>
          </w:tcPr>
          <w:p w14:paraId="60113A9B" w14:textId="6476F2F7" w:rsidR="0004208C" w:rsidRPr="00A36A1B" w:rsidRDefault="0004208C" w:rsidP="00494BFD">
            <w:pPr>
              <w:spacing w:line="276" w:lineRule="auto"/>
              <w:rPr>
                <w:b/>
                <w:sz w:val="24"/>
                <w:szCs w:val="24"/>
              </w:rPr>
            </w:pPr>
          </w:p>
        </w:tc>
        <w:tc>
          <w:tcPr>
            <w:tcW w:w="709" w:type="dxa"/>
          </w:tcPr>
          <w:p w14:paraId="10022660" w14:textId="222E34BF" w:rsidR="0004208C" w:rsidRPr="00A36A1B" w:rsidRDefault="0036603A" w:rsidP="00315AE5">
            <w:pPr>
              <w:spacing w:line="276" w:lineRule="auto"/>
              <w:jc w:val="right"/>
              <w:rPr>
                <w:sz w:val="24"/>
                <w:szCs w:val="24"/>
              </w:rPr>
            </w:pPr>
            <w:r w:rsidRPr="00A36A1B">
              <w:rPr>
                <w:sz w:val="24"/>
                <w:szCs w:val="24"/>
              </w:rPr>
              <w:t>23</w:t>
            </w:r>
          </w:p>
        </w:tc>
      </w:tr>
      <w:tr w:rsidR="007405C8" w:rsidRPr="00A36A1B" w14:paraId="2F32CB1F" w14:textId="77777777" w:rsidTr="00A36A1B">
        <w:tc>
          <w:tcPr>
            <w:tcW w:w="6946" w:type="dxa"/>
          </w:tcPr>
          <w:p w14:paraId="454727F2" w14:textId="68C67AD2" w:rsidR="007405C8" w:rsidRPr="00736F30" w:rsidRDefault="006665FB" w:rsidP="00494BFD">
            <w:pPr>
              <w:spacing w:line="276" w:lineRule="auto"/>
              <w:rPr>
                <w:sz w:val="24"/>
                <w:szCs w:val="24"/>
              </w:rPr>
            </w:pPr>
            <w:r w:rsidRPr="00736F30">
              <w:rPr>
                <w:i/>
                <w:sz w:val="24"/>
                <w:szCs w:val="24"/>
              </w:rPr>
              <w:t xml:space="preserve">          Japanese National Guidelines</w:t>
            </w:r>
          </w:p>
        </w:tc>
        <w:tc>
          <w:tcPr>
            <w:tcW w:w="283" w:type="dxa"/>
          </w:tcPr>
          <w:p w14:paraId="55D453EB" w14:textId="77777777" w:rsidR="007405C8" w:rsidRPr="00A36A1B" w:rsidRDefault="007405C8" w:rsidP="00494BFD">
            <w:pPr>
              <w:spacing w:line="276" w:lineRule="auto"/>
              <w:rPr>
                <w:b/>
                <w:sz w:val="24"/>
                <w:szCs w:val="24"/>
              </w:rPr>
            </w:pPr>
          </w:p>
        </w:tc>
        <w:tc>
          <w:tcPr>
            <w:tcW w:w="709" w:type="dxa"/>
          </w:tcPr>
          <w:p w14:paraId="4DA43284" w14:textId="61AA440C" w:rsidR="007405C8" w:rsidRPr="00A36A1B" w:rsidRDefault="0036603A" w:rsidP="00315AE5">
            <w:pPr>
              <w:spacing w:line="276" w:lineRule="auto"/>
              <w:jc w:val="right"/>
              <w:rPr>
                <w:sz w:val="24"/>
                <w:szCs w:val="24"/>
              </w:rPr>
            </w:pPr>
            <w:r w:rsidRPr="00A36A1B">
              <w:rPr>
                <w:sz w:val="24"/>
                <w:szCs w:val="24"/>
              </w:rPr>
              <w:t>23</w:t>
            </w:r>
          </w:p>
        </w:tc>
      </w:tr>
      <w:tr w:rsidR="006665FB" w:rsidRPr="00A36A1B" w14:paraId="5F681DED" w14:textId="77777777" w:rsidTr="00A36A1B">
        <w:tc>
          <w:tcPr>
            <w:tcW w:w="6946" w:type="dxa"/>
          </w:tcPr>
          <w:p w14:paraId="13969822" w14:textId="4BBCC57B" w:rsidR="006665FB" w:rsidRPr="00736F30" w:rsidRDefault="006665FB" w:rsidP="00494BFD">
            <w:pPr>
              <w:spacing w:line="276" w:lineRule="auto"/>
              <w:rPr>
                <w:sz w:val="24"/>
                <w:szCs w:val="24"/>
              </w:rPr>
            </w:pPr>
            <w:r w:rsidRPr="00736F30">
              <w:rPr>
                <w:i/>
                <w:sz w:val="24"/>
                <w:szCs w:val="24"/>
              </w:rPr>
              <w:t xml:space="preserve">          Poland</w:t>
            </w:r>
          </w:p>
        </w:tc>
        <w:tc>
          <w:tcPr>
            <w:tcW w:w="283" w:type="dxa"/>
          </w:tcPr>
          <w:p w14:paraId="13570F12" w14:textId="77777777" w:rsidR="006665FB" w:rsidRPr="00A36A1B" w:rsidRDefault="006665FB" w:rsidP="00494BFD">
            <w:pPr>
              <w:spacing w:line="276" w:lineRule="auto"/>
              <w:rPr>
                <w:b/>
                <w:sz w:val="24"/>
                <w:szCs w:val="24"/>
              </w:rPr>
            </w:pPr>
          </w:p>
        </w:tc>
        <w:tc>
          <w:tcPr>
            <w:tcW w:w="709" w:type="dxa"/>
          </w:tcPr>
          <w:p w14:paraId="0DE9DA4B" w14:textId="5C017732" w:rsidR="006665FB" w:rsidRPr="00A36A1B" w:rsidRDefault="0036603A" w:rsidP="00315AE5">
            <w:pPr>
              <w:spacing w:line="276" w:lineRule="auto"/>
              <w:jc w:val="right"/>
              <w:rPr>
                <w:sz w:val="24"/>
                <w:szCs w:val="24"/>
              </w:rPr>
            </w:pPr>
            <w:r w:rsidRPr="00A36A1B">
              <w:rPr>
                <w:sz w:val="24"/>
                <w:szCs w:val="24"/>
              </w:rPr>
              <w:t>24</w:t>
            </w:r>
          </w:p>
        </w:tc>
      </w:tr>
      <w:tr w:rsidR="006665FB" w:rsidRPr="00A36A1B" w14:paraId="26C24F4A" w14:textId="77777777" w:rsidTr="00A36A1B">
        <w:tc>
          <w:tcPr>
            <w:tcW w:w="6946" w:type="dxa"/>
          </w:tcPr>
          <w:p w14:paraId="252DAEC9" w14:textId="4B625668" w:rsidR="006665FB" w:rsidRPr="00736F30" w:rsidRDefault="006665FB" w:rsidP="00494BFD">
            <w:pPr>
              <w:spacing w:line="276" w:lineRule="auto"/>
              <w:rPr>
                <w:sz w:val="24"/>
                <w:szCs w:val="24"/>
              </w:rPr>
            </w:pPr>
            <w:r w:rsidRPr="00736F30">
              <w:rPr>
                <w:i/>
                <w:sz w:val="24"/>
                <w:szCs w:val="24"/>
              </w:rPr>
              <w:t xml:space="preserve">          Hong Kong</w:t>
            </w:r>
            <w:r w:rsidRPr="00736F30">
              <w:rPr>
                <w:i/>
                <w:sz w:val="24"/>
                <w:szCs w:val="24"/>
              </w:rPr>
              <w:tab/>
            </w:r>
          </w:p>
        </w:tc>
        <w:tc>
          <w:tcPr>
            <w:tcW w:w="283" w:type="dxa"/>
          </w:tcPr>
          <w:p w14:paraId="6497215F" w14:textId="77777777" w:rsidR="006665FB" w:rsidRPr="00A36A1B" w:rsidRDefault="006665FB" w:rsidP="00494BFD">
            <w:pPr>
              <w:spacing w:line="276" w:lineRule="auto"/>
              <w:rPr>
                <w:b/>
                <w:sz w:val="24"/>
                <w:szCs w:val="24"/>
              </w:rPr>
            </w:pPr>
          </w:p>
        </w:tc>
        <w:tc>
          <w:tcPr>
            <w:tcW w:w="709" w:type="dxa"/>
          </w:tcPr>
          <w:p w14:paraId="14E816E0" w14:textId="3F469627" w:rsidR="006665FB" w:rsidRPr="00A36A1B" w:rsidRDefault="0036603A" w:rsidP="00315AE5">
            <w:pPr>
              <w:spacing w:line="276" w:lineRule="auto"/>
              <w:jc w:val="right"/>
              <w:rPr>
                <w:sz w:val="24"/>
                <w:szCs w:val="24"/>
              </w:rPr>
            </w:pPr>
            <w:r w:rsidRPr="00A36A1B">
              <w:rPr>
                <w:sz w:val="24"/>
                <w:szCs w:val="24"/>
              </w:rPr>
              <w:t>25</w:t>
            </w:r>
          </w:p>
        </w:tc>
      </w:tr>
      <w:tr w:rsidR="00095766" w:rsidRPr="00A36A1B" w14:paraId="1E7CB550" w14:textId="77777777" w:rsidTr="00A36A1B">
        <w:tc>
          <w:tcPr>
            <w:tcW w:w="6946" w:type="dxa"/>
          </w:tcPr>
          <w:p w14:paraId="1A2DFFE9" w14:textId="4463C15E" w:rsidR="00095766" w:rsidRPr="00736F30" w:rsidRDefault="00095766" w:rsidP="00095766">
            <w:pPr>
              <w:spacing w:line="276" w:lineRule="auto"/>
              <w:rPr>
                <w:i/>
                <w:sz w:val="24"/>
                <w:szCs w:val="24"/>
              </w:rPr>
            </w:pPr>
            <w:r>
              <w:rPr>
                <w:i/>
                <w:sz w:val="24"/>
                <w:szCs w:val="24"/>
              </w:rPr>
              <w:t xml:space="preserve">         China</w:t>
            </w:r>
          </w:p>
        </w:tc>
        <w:tc>
          <w:tcPr>
            <w:tcW w:w="283" w:type="dxa"/>
          </w:tcPr>
          <w:p w14:paraId="71BF502E" w14:textId="77777777" w:rsidR="00095766" w:rsidRPr="00A36A1B" w:rsidRDefault="00095766" w:rsidP="00494BFD">
            <w:pPr>
              <w:spacing w:line="276" w:lineRule="auto"/>
              <w:rPr>
                <w:b/>
                <w:sz w:val="24"/>
                <w:szCs w:val="24"/>
              </w:rPr>
            </w:pPr>
          </w:p>
        </w:tc>
        <w:tc>
          <w:tcPr>
            <w:tcW w:w="709" w:type="dxa"/>
          </w:tcPr>
          <w:p w14:paraId="5373D9F0" w14:textId="41FE1574" w:rsidR="00095766" w:rsidRPr="00A36A1B" w:rsidRDefault="00095766" w:rsidP="00315AE5">
            <w:pPr>
              <w:spacing w:line="276" w:lineRule="auto"/>
              <w:jc w:val="right"/>
              <w:rPr>
                <w:sz w:val="24"/>
                <w:szCs w:val="24"/>
              </w:rPr>
            </w:pPr>
            <w:r>
              <w:rPr>
                <w:sz w:val="24"/>
                <w:szCs w:val="24"/>
              </w:rPr>
              <w:t>25</w:t>
            </w:r>
          </w:p>
        </w:tc>
      </w:tr>
      <w:tr w:rsidR="006665FB" w:rsidRPr="00A36A1B" w14:paraId="56467B09" w14:textId="77777777" w:rsidTr="00A36A1B">
        <w:tc>
          <w:tcPr>
            <w:tcW w:w="6946" w:type="dxa"/>
          </w:tcPr>
          <w:p w14:paraId="6CE32096" w14:textId="092782A3" w:rsidR="006665FB" w:rsidRPr="00736F30" w:rsidRDefault="006665FB" w:rsidP="00494BFD">
            <w:pPr>
              <w:spacing w:line="276" w:lineRule="auto"/>
              <w:rPr>
                <w:i/>
                <w:sz w:val="24"/>
                <w:szCs w:val="24"/>
              </w:rPr>
            </w:pPr>
            <w:r w:rsidRPr="00736F30">
              <w:rPr>
                <w:i/>
                <w:sz w:val="24"/>
                <w:szCs w:val="24"/>
              </w:rPr>
              <w:t xml:space="preserve">          Switzerland</w:t>
            </w:r>
          </w:p>
        </w:tc>
        <w:tc>
          <w:tcPr>
            <w:tcW w:w="283" w:type="dxa"/>
          </w:tcPr>
          <w:p w14:paraId="60661E70" w14:textId="77777777" w:rsidR="006665FB" w:rsidRPr="00A36A1B" w:rsidRDefault="006665FB" w:rsidP="00494BFD">
            <w:pPr>
              <w:spacing w:line="276" w:lineRule="auto"/>
              <w:rPr>
                <w:b/>
                <w:sz w:val="24"/>
                <w:szCs w:val="24"/>
              </w:rPr>
            </w:pPr>
          </w:p>
        </w:tc>
        <w:tc>
          <w:tcPr>
            <w:tcW w:w="709" w:type="dxa"/>
          </w:tcPr>
          <w:p w14:paraId="48AAA9F2" w14:textId="11FB199B" w:rsidR="006665FB" w:rsidRPr="00A36A1B" w:rsidRDefault="0036603A" w:rsidP="00315AE5">
            <w:pPr>
              <w:spacing w:line="276" w:lineRule="auto"/>
              <w:jc w:val="right"/>
              <w:rPr>
                <w:sz w:val="24"/>
                <w:szCs w:val="24"/>
              </w:rPr>
            </w:pPr>
            <w:r w:rsidRPr="00A36A1B">
              <w:rPr>
                <w:sz w:val="24"/>
                <w:szCs w:val="24"/>
              </w:rPr>
              <w:t>25</w:t>
            </w:r>
          </w:p>
        </w:tc>
      </w:tr>
      <w:tr w:rsidR="006665FB" w:rsidRPr="00A36A1B" w14:paraId="09C6E282" w14:textId="77777777" w:rsidTr="00A36A1B">
        <w:tc>
          <w:tcPr>
            <w:tcW w:w="6946" w:type="dxa"/>
          </w:tcPr>
          <w:p w14:paraId="4DBB3F1E" w14:textId="094DEF58" w:rsidR="006665FB" w:rsidRPr="00736F30" w:rsidRDefault="006665FB" w:rsidP="00494BFD">
            <w:pPr>
              <w:spacing w:line="276" w:lineRule="auto"/>
              <w:rPr>
                <w:sz w:val="24"/>
                <w:szCs w:val="24"/>
              </w:rPr>
            </w:pPr>
            <w:r w:rsidRPr="00736F30">
              <w:rPr>
                <w:i/>
                <w:sz w:val="24"/>
                <w:szCs w:val="24"/>
              </w:rPr>
              <w:t xml:space="preserve">          Scottish Intercollegiate Guidelines Network (SIGN)</w:t>
            </w:r>
          </w:p>
        </w:tc>
        <w:tc>
          <w:tcPr>
            <w:tcW w:w="283" w:type="dxa"/>
          </w:tcPr>
          <w:p w14:paraId="23713C44" w14:textId="77777777" w:rsidR="006665FB" w:rsidRPr="00A36A1B" w:rsidRDefault="006665FB" w:rsidP="00494BFD">
            <w:pPr>
              <w:spacing w:line="276" w:lineRule="auto"/>
              <w:rPr>
                <w:b/>
                <w:sz w:val="24"/>
                <w:szCs w:val="24"/>
              </w:rPr>
            </w:pPr>
          </w:p>
        </w:tc>
        <w:tc>
          <w:tcPr>
            <w:tcW w:w="709" w:type="dxa"/>
          </w:tcPr>
          <w:p w14:paraId="4A21B26D" w14:textId="04BB462B" w:rsidR="006665FB" w:rsidRPr="00A36A1B" w:rsidRDefault="0036603A" w:rsidP="00095766">
            <w:pPr>
              <w:spacing w:line="276" w:lineRule="auto"/>
              <w:jc w:val="right"/>
              <w:rPr>
                <w:sz w:val="24"/>
                <w:szCs w:val="24"/>
              </w:rPr>
            </w:pPr>
            <w:r w:rsidRPr="00A36A1B">
              <w:rPr>
                <w:sz w:val="24"/>
                <w:szCs w:val="24"/>
              </w:rPr>
              <w:t>2</w:t>
            </w:r>
            <w:r w:rsidR="00095766">
              <w:rPr>
                <w:sz w:val="24"/>
                <w:szCs w:val="24"/>
              </w:rPr>
              <w:t>6</w:t>
            </w:r>
          </w:p>
        </w:tc>
      </w:tr>
      <w:tr w:rsidR="0036603A" w:rsidRPr="00A36A1B" w14:paraId="2E581780" w14:textId="77777777" w:rsidTr="00A36A1B">
        <w:tc>
          <w:tcPr>
            <w:tcW w:w="6946" w:type="dxa"/>
          </w:tcPr>
          <w:p w14:paraId="0E1799B4" w14:textId="4C87C3FA" w:rsidR="0036603A" w:rsidRPr="00736F30" w:rsidRDefault="0036603A" w:rsidP="00494BFD">
            <w:pPr>
              <w:spacing w:line="276" w:lineRule="auto"/>
              <w:rPr>
                <w:i/>
                <w:sz w:val="24"/>
                <w:szCs w:val="24"/>
              </w:rPr>
            </w:pPr>
            <w:r w:rsidRPr="00736F30">
              <w:rPr>
                <w:i/>
                <w:sz w:val="24"/>
                <w:szCs w:val="24"/>
              </w:rPr>
              <w:t xml:space="preserve">         Taiwan</w:t>
            </w:r>
          </w:p>
        </w:tc>
        <w:tc>
          <w:tcPr>
            <w:tcW w:w="283" w:type="dxa"/>
          </w:tcPr>
          <w:p w14:paraId="3A705426" w14:textId="77777777" w:rsidR="0036603A" w:rsidRPr="00A36A1B" w:rsidRDefault="0036603A" w:rsidP="00494BFD">
            <w:pPr>
              <w:spacing w:line="276" w:lineRule="auto"/>
              <w:rPr>
                <w:b/>
                <w:sz w:val="24"/>
                <w:szCs w:val="24"/>
              </w:rPr>
            </w:pPr>
          </w:p>
        </w:tc>
        <w:tc>
          <w:tcPr>
            <w:tcW w:w="709" w:type="dxa"/>
          </w:tcPr>
          <w:p w14:paraId="025913C5" w14:textId="37C9AE7B" w:rsidR="0036603A" w:rsidRPr="00A36A1B" w:rsidRDefault="0036603A" w:rsidP="00095766">
            <w:pPr>
              <w:spacing w:line="276" w:lineRule="auto"/>
              <w:jc w:val="right"/>
              <w:rPr>
                <w:sz w:val="24"/>
                <w:szCs w:val="24"/>
              </w:rPr>
            </w:pPr>
            <w:r w:rsidRPr="00A36A1B">
              <w:rPr>
                <w:sz w:val="24"/>
                <w:szCs w:val="24"/>
              </w:rPr>
              <w:t>2</w:t>
            </w:r>
            <w:r w:rsidR="00095766">
              <w:rPr>
                <w:sz w:val="24"/>
                <w:szCs w:val="24"/>
              </w:rPr>
              <w:t>8</w:t>
            </w:r>
          </w:p>
        </w:tc>
      </w:tr>
      <w:tr w:rsidR="007405C8" w:rsidRPr="00A36A1B" w14:paraId="07DA92A0" w14:textId="77777777" w:rsidTr="00A36A1B">
        <w:tc>
          <w:tcPr>
            <w:tcW w:w="6946" w:type="dxa"/>
          </w:tcPr>
          <w:p w14:paraId="75C742F7" w14:textId="37CF9D1B" w:rsidR="007405C8" w:rsidRPr="00736F30" w:rsidRDefault="007405C8" w:rsidP="00494BFD">
            <w:pPr>
              <w:spacing w:line="276" w:lineRule="auto"/>
              <w:rPr>
                <w:b/>
                <w:sz w:val="24"/>
                <w:szCs w:val="24"/>
              </w:rPr>
            </w:pPr>
            <w:r w:rsidRPr="00736F30">
              <w:rPr>
                <w:b/>
                <w:sz w:val="24"/>
                <w:szCs w:val="24"/>
              </w:rPr>
              <w:t xml:space="preserve">     Age dependent intervention thresholds using FRAX</w:t>
            </w:r>
          </w:p>
        </w:tc>
        <w:tc>
          <w:tcPr>
            <w:tcW w:w="283" w:type="dxa"/>
          </w:tcPr>
          <w:p w14:paraId="78610366" w14:textId="77777777" w:rsidR="007405C8" w:rsidRPr="00A36A1B" w:rsidRDefault="007405C8" w:rsidP="00494BFD">
            <w:pPr>
              <w:spacing w:line="276" w:lineRule="auto"/>
              <w:rPr>
                <w:b/>
                <w:sz w:val="24"/>
                <w:szCs w:val="24"/>
              </w:rPr>
            </w:pPr>
          </w:p>
        </w:tc>
        <w:tc>
          <w:tcPr>
            <w:tcW w:w="709" w:type="dxa"/>
          </w:tcPr>
          <w:p w14:paraId="3CCC620E" w14:textId="6BC27709" w:rsidR="007405C8" w:rsidRPr="00A36A1B" w:rsidRDefault="00315AE5" w:rsidP="00E178C3">
            <w:pPr>
              <w:spacing w:line="276" w:lineRule="auto"/>
              <w:jc w:val="right"/>
              <w:rPr>
                <w:sz w:val="24"/>
                <w:szCs w:val="24"/>
              </w:rPr>
            </w:pPr>
            <w:r w:rsidRPr="00A36A1B">
              <w:rPr>
                <w:sz w:val="24"/>
                <w:szCs w:val="24"/>
              </w:rPr>
              <w:t>2</w:t>
            </w:r>
            <w:r w:rsidR="00E178C3" w:rsidRPr="00A36A1B">
              <w:rPr>
                <w:sz w:val="24"/>
                <w:szCs w:val="24"/>
              </w:rPr>
              <w:t>9</w:t>
            </w:r>
          </w:p>
        </w:tc>
      </w:tr>
      <w:tr w:rsidR="006665FB" w:rsidRPr="00A36A1B" w14:paraId="4E7020B0" w14:textId="77777777" w:rsidTr="00A36A1B">
        <w:tc>
          <w:tcPr>
            <w:tcW w:w="6946" w:type="dxa"/>
          </w:tcPr>
          <w:p w14:paraId="29851052" w14:textId="1884E4C7" w:rsidR="006665FB" w:rsidRPr="00736F30" w:rsidRDefault="006665FB" w:rsidP="00494BFD">
            <w:pPr>
              <w:spacing w:line="276" w:lineRule="auto"/>
              <w:rPr>
                <w:i/>
                <w:sz w:val="24"/>
                <w:szCs w:val="24"/>
              </w:rPr>
            </w:pPr>
            <w:r w:rsidRPr="00736F30">
              <w:rPr>
                <w:i/>
                <w:sz w:val="24"/>
                <w:szCs w:val="24"/>
              </w:rPr>
              <w:t xml:space="preserve">          Principles of derivation</w:t>
            </w:r>
          </w:p>
        </w:tc>
        <w:tc>
          <w:tcPr>
            <w:tcW w:w="283" w:type="dxa"/>
          </w:tcPr>
          <w:p w14:paraId="70CFED2E" w14:textId="77777777" w:rsidR="006665FB" w:rsidRPr="00A36A1B" w:rsidRDefault="006665FB" w:rsidP="00494BFD">
            <w:pPr>
              <w:spacing w:line="276" w:lineRule="auto"/>
              <w:rPr>
                <w:b/>
                <w:sz w:val="24"/>
                <w:szCs w:val="24"/>
              </w:rPr>
            </w:pPr>
          </w:p>
        </w:tc>
        <w:tc>
          <w:tcPr>
            <w:tcW w:w="709" w:type="dxa"/>
          </w:tcPr>
          <w:p w14:paraId="73CB0448" w14:textId="18C43CA4" w:rsidR="006665FB" w:rsidRPr="00A36A1B" w:rsidRDefault="00BB57D4" w:rsidP="00315AE5">
            <w:pPr>
              <w:spacing w:line="276" w:lineRule="auto"/>
              <w:jc w:val="right"/>
              <w:rPr>
                <w:sz w:val="24"/>
                <w:szCs w:val="24"/>
              </w:rPr>
            </w:pPr>
            <w:r w:rsidRPr="00A36A1B">
              <w:rPr>
                <w:sz w:val="24"/>
                <w:szCs w:val="24"/>
              </w:rPr>
              <w:t>29</w:t>
            </w:r>
          </w:p>
        </w:tc>
      </w:tr>
      <w:tr w:rsidR="007405C8" w:rsidRPr="00A36A1B" w14:paraId="1652DB0D" w14:textId="77777777" w:rsidTr="00A36A1B">
        <w:tc>
          <w:tcPr>
            <w:tcW w:w="6946" w:type="dxa"/>
          </w:tcPr>
          <w:p w14:paraId="49A50CB4" w14:textId="286B7F65" w:rsidR="007405C8" w:rsidRPr="00736F30" w:rsidRDefault="008A342C" w:rsidP="00494BFD">
            <w:pPr>
              <w:spacing w:line="276" w:lineRule="auto"/>
              <w:rPr>
                <w:sz w:val="24"/>
                <w:szCs w:val="24"/>
              </w:rPr>
            </w:pPr>
            <w:r w:rsidRPr="00736F30">
              <w:rPr>
                <w:sz w:val="24"/>
                <w:szCs w:val="24"/>
              </w:rPr>
              <w:t xml:space="preserve">          </w:t>
            </w:r>
            <w:r w:rsidRPr="00736F30">
              <w:rPr>
                <w:i/>
                <w:sz w:val="24"/>
                <w:szCs w:val="24"/>
              </w:rPr>
              <w:t>Management algorithm</w:t>
            </w:r>
          </w:p>
        </w:tc>
        <w:tc>
          <w:tcPr>
            <w:tcW w:w="283" w:type="dxa"/>
          </w:tcPr>
          <w:p w14:paraId="5BE53BAB" w14:textId="77777777" w:rsidR="007405C8" w:rsidRPr="00A36A1B" w:rsidRDefault="007405C8" w:rsidP="00494BFD">
            <w:pPr>
              <w:spacing w:line="276" w:lineRule="auto"/>
              <w:rPr>
                <w:b/>
                <w:sz w:val="24"/>
                <w:szCs w:val="24"/>
              </w:rPr>
            </w:pPr>
          </w:p>
        </w:tc>
        <w:tc>
          <w:tcPr>
            <w:tcW w:w="709" w:type="dxa"/>
          </w:tcPr>
          <w:p w14:paraId="042EE6A4" w14:textId="3B571634" w:rsidR="007405C8" w:rsidRPr="00A36A1B" w:rsidRDefault="00BB57D4" w:rsidP="00315AE5">
            <w:pPr>
              <w:spacing w:line="276" w:lineRule="auto"/>
              <w:jc w:val="right"/>
              <w:rPr>
                <w:sz w:val="24"/>
                <w:szCs w:val="24"/>
              </w:rPr>
            </w:pPr>
            <w:r w:rsidRPr="00A36A1B">
              <w:rPr>
                <w:sz w:val="24"/>
                <w:szCs w:val="24"/>
              </w:rPr>
              <w:t>30</w:t>
            </w:r>
          </w:p>
        </w:tc>
      </w:tr>
      <w:tr w:rsidR="007405C8" w:rsidRPr="00A36A1B" w14:paraId="734A2CD6" w14:textId="77777777" w:rsidTr="00A36A1B">
        <w:tc>
          <w:tcPr>
            <w:tcW w:w="6946" w:type="dxa"/>
          </w:tcPr>
          <w:p w14:paraId="776BE40F" w14:textId="71587A21" w:rsidR="007405C8" w:rsidRPr="00736F30" w:rsidRDefault="008A342C" w:rsidP="00494BFD">
            <w:pPr>
              <w:spacing w:line="276" w:lineRule="auto"/>
              <w:rPr>
                <w:sz w:val="24"/>
                <w:szCs w:val="24"/>
              </w:rPr>
            </w:pPr>
            <w:r w:rsidRPr="00736F30">
              <w:rPr>
                <w:sz w:val="24"/>
                <w:szCs w:val="24"/>
              </w:rPr>
              <w:t xml:space="preserve">          </w:t>
            </w:r>
            <w:r w:rsidRPr="00736F30">
              <w:rPr>
                <w:i/>
                <w:sz w:val="24"/>
                <w:szCs w:val="24"/>
              </w:rPr>
              <w:t>National Osteoporosis Guideline Group (NOGG), UK</w:t>
            </w:r>
          </w:p>
        </w:tc>
        <w:tc>
          <w:tcPr>
            <w:tcW w:w="283" w:type="dxa"/>
          </w:tcPr>
          <w:p w14:paraId="0119171A" w14:textId="77777777" w:rsidR="007405C8" w:rsidRPr="00A36A1B" w:rsidRDefault="007405C8" w:rsidP="00494BFD">
            <w:pPr>
              <w:spacing w:line="276" w:lineRule="auto"/>
              <w:rPr>
                <w:b/>
                <w:sz w:val="24"/>
                <w:szCs w:val="24"/>
              </w:rPr>
            </w:pPr>
          </w:p>
        </w:tc>
        <w:tc>
          <w:tcPr>
            <w:tcW w:w="709" w:type="dxa"/>
          </w:tcPr>
          <w:p w14:paraId="3A97F977" w14:textId="79ADE6AA" w:rsidR="007405C8" w:rsidRPr="00A36A1B" w:rsidRDefault="00FB4B42" w:rsidP="00095766">
            <w:pPr>
              <w:spacing w:line="276" w:lineRule="auto"/>
              <w:jc w:val="right"/>
              <w:rPr>
                <w:sz w:val="24"/>
                <w:szCs w:val="24"/>
              </w:rPr>
            </w:pPr>
            <w:r w:rsidRPr="00A36A1B">
              <w:rPr>
                <w:sz w:val="24"/>
                <w:szCs w:val="24"/>
              </w:rPr>
              <w:t>3</w:t>
            </w:r>
            <w:r w:rsidR="00095766">
              <w:rPr>
                <w:sz w:val="24"/>
                <w:szCs w:val="24"/>
              </w:rPr>
              <w:t>1</w:t>
            </w:r>
          </w:p>
        </w:tc>
      </w:tr>
      <w:tr w:rsidR="006665FB" w:rsidRPr="00A36A1B" w14:paraId="20A62A8B" w14:textId="77777777" w:rsidTr="00A36A1B">
        <w:tc>
          <w:tcPr>
            <w:tcW w:w="6946" w:type="dxa"/>
          </w:tcPr>
          <w:p w14:paraId="3C3D66E6" w14:textId="36E35C1B" w:rsidR="006665FB" w:rsidRPr="00736F30" w:rsidRDefault="006665FB" w:rsidP="00494BFD">
            <w:pPr>
              <w:spacing w:line="276" w:lineRule="auto"/>
              <w:rPr>
                <w:sz w:val="24"/>
                <w:szCs w:val="24"/>
              </w:rPr>
            </w:pPr>
            <w:r w:rsidRPr="00736F30">
              <w:rPr>
                <w:i/>
                <w:sz w:val="24"/>
                <w:szCs w:val="24"/>
              </w:rPr>
              <w:t xml:space="preserve">          Uptake and impact of NOGG</w:t>
            </w:r>
          </w:p>
        </w:tc>
        <w:tc>
          <w:tcPr>
            <w:tcW w:w="283" w:type="dxa"/>
          </w:tcPr>
          <w:p w14:paraId="1AA16A1C" w14:textId="77777777" w:rsidR="006665FB" w:rsidRPr="00A36A1B" w:rsidRDefault="006665FB" w:rsidP="00494BFD">
            <w:pPr>
              <w:spacing w:line="276" w:lineRule="auto"/>
              <w:rPr>
                <w:b/>
                <w:sz w:val="24"/>
                <w:szCs w:val="24"/>
              </w:rPr>
            </w:pPr>
          </w:p>
        </w:tc>
        <w:tc>
          <w:tcPr>
            <w:tcW w:w="709" w:type="dxa"/>
          </w:tcPr>
          <w:p w14:paraId="3D7084DF" w14:textId="6A38D4A0" w:rsidR="006665FB" w:rsidRPr="00A36A1B" w:rsidRDefault="00FB4B42" w:rsidP="00315AE5">
            <w:pPr>
              <w:spacing w:line="276" w:lineRule="auto"/>
              <w:jc w:val="right"/>
              <w:rPr>
                <w:sz w:val="24"/>
                <w:szCs w:val="24"/>
              </w:rPr>
            </w:pPr>
            <w:r w:rsidRPr="00A36A1B">
              <w:rPr>
                <w:sz w:val="24"/>
                <w:szCs w:val="24"/>
              </w:rPr>
              <w:t>32</w:t>
            </w:r>
          </w:p>
        </w:tc>
      </w:tr>
      <w:tr w:rsidR="008A342C" w:rsidRPr="00A36A1B" w14:paraId="5D16825E" w14:textId="77777777" w:rsidTr="00A36A1B">
        <w:tc>
          <w:tcPr>
            <w:tcW w:w="6946" w:type="dxa"/>
          </w:tcPr>
          <w:p w14:paraId="6E3918A3" w14:textId="53E50540" w:rsidR="008A342C" w:rsidRPr="00736F30" w:rsidRDefault="008A342C" w:rsidP="00494BFD">
            <w:pPr>
              <w:spacing w:line="276" w:lineRule="auto"/>
              <w:rPr>
                <w:sz w:val="24"/>
                <w:szCs w:val="24"/>
              </w:rPr>
            </w:pPr>
            <w:r w:rsidRPr="00736F30">
              <w:rPr>
                <w:sz w:val="24"/>
                <w:szCs w:val="24"/>
              </w:rPr>
              <w:t xml:space="preserve">          </w:t>
            </w:r>
            <w:r w:rsidR="00EC1ED6" w:rsidRPr="00736F30">
              <w:rPr>
                <w:i/>
                <w:sz w:val="24"/>
                <w:szCs w:val="24"/>
              </w:rPr>
              <w:t>Age-dependent thresholds in other countries</w:t>
            </w:r>
          </w:p>
        </w:tc>
        <w:tc>
          <w:tcPr>
            <w:tcW w:w="283" w:type="dxa"/>
          </w:tcPr>
          <w:p w14:paraId="1F730BA5" w14:textId="77777777" w:rsidR="008A342C" w:rsidRPr="00A36A1B" w:rsidRDefault="008A342C" w:rsidP="00494BFD">
            <w:pPr>
              <w:spacing w:line="276" w:lineRule="auto"/>
              <w:rPr>
                <w:b/>
                <w:sz w:val="24"/>
                <w:szCs w:val="24"/>
              </w:rPr>
            </w:pPr>
          </w:p>
        </w:tc>
        <w:tc>
          <w:tcPr>
            <w:tcW w:w="709" w:type="dxa"/>
          </w:tcPr>
          <w:p w14:paraId="1B92781C" w14:textId="2141DB1D" w:rsidR="008A342C" w:rsidRPr="00A36A1B" w:rsidRDefault="00FB4B42" w:rsidP="00315AE5">
            <w:pPr>
              <w:spacing w:line="276" w:lineRule="auto"/>
              <w:jc w:val="right"/>
              <w:rPr>
                <w:sz w:val="24"/>
                <w:szCs w:val="24"/>
              </w:rPr>
            </w:pPr>
            <w:r w:rsidRPr="00A36A1B">
              <w:rPr>
                <w:sz w:val="24"/>
                <w:szCs w:val="24"/>
              </w:rPr>
              <w:t>34</w:t>
            </w:r>
          </w:p>
        </w:tc>
      </w:tr>
      <w:tr w:rsidR="008A342C" w:rsidRPr="00A36A1B" w14:paraId="433F2AE4" w14:textId="77777777" w:rsidTr="00A36A1B">
        <w:tc>
          <w:tcPr>
            <w:tcW w:w="6946" w:type="dxa"/>
          </w:tcPr>
          <w:p w14:paraId="3212D5DA" w14:textId="0962BB15" w:rsidR="008A342C" w:rsidRPr="00736F30" w:rsidRDefault="008A342C" w:rsidP="00494BFD">
            <w:pPr>
              <w:spacing w:line="276" w:lineRule="auto"/>
              <w:rPr>
                <w:sz w:val="24"/>
                <w:szCs w:val="24"/>
              </w:rPr>
            </w:pPr>
            <w:r w:rsidRPr="00736F30">
              <w:rPr>
                <w:sz w:val="24"/>
                <w:szCs w:val="24"/>
              </w:rPr>
              <w:t xml:space="preserve">          </w:t>
            </w:r>
            <w:r w:rsidRPr="00736F30">
              <w:rPr>
                <w:i/>
                <w:sz w:val="24"/>
                <w:szCs w:val="24"/>
              </w:rPr>
              <w:t>Poland</w:t>
            </w:r>
          </w:p>
        </w:tc>
        <w:tc>
          <w:tcPr>
            <w:tcW w:w="283" w:type="dxa"/>
          </w:tcPr>
          <w:p w14:paraId="17A2DF38" w14:textId="77777777" w:rsidR="008A342C" w:rsidRPr="00A36A1B" w:rsidRDefault="008A342C" w:rsidP="00494BFD">
            <w:pPr>
              <w:spacing w:line="276" w:lineRule="auto"/>
              <w:rPr>
                <w:b/>
                <w:sz w:val="24"/>
                <w:szCs w:val="24"/>
              </w:rPr>
            </w:pPr>
          </w:p>
        </w:tc>
        <w:tc>
          <w:tcPr>
            <w:tcW w:w="709" w:type="dxa"/>
          </w:tcPr>
          <w:p w14:paraId="5E5A24B5" w14:textId="767FAAF8" w:rsidR="008A342C" w:rsidRPr="00A36A1B" w:rsidRDefault="00FB4B42" w:rsidP="00315AE5">
            <w:pPr>
              <w:spacing w:line="276" w:lineRule="auto"/>
              <w:jc w:val="right"/>
              <w:rPr>
                <w:sz w:val="24"/>
                <w:szCs w:val="24"/>
              </w:rPr>
            </w:pPr>
            <w:r w:rsidRPr="00A36A1B">
              <w:rPr>
                <w:sz w:val="24"/>
                <w:szCs w:val="24"/>
              </w:rPr>
              <w:t>36</w:t>
            </w:r>
          </w:p>
        </w:tc>
      </w:tr>
      <w:tr w:rsidR="000E3DA7" w:rsidRPr="00A36A1B" w14:paraId="65AAEC95" w14:textId="77777777" w:rsidTr="00A36A1B">
        <w:tc>
          <w:tcPr>
            <w:tcW w:w="6946" w:type="dxa"/>
          </w:tcPr>
          <w:p w14:paraId="6F16B6C4" w14:textId="70AF969D" w:rsidR="000E3DA7" w:rsidRPr="000E3DA7" w:rsidRDefault="000E3DA7" w:rsidP="000E3DA7">
            <w:pPr>
              <w:spacing w:line="276" w:lineRule="auto"/>
              <w:rPr>
                <w:i/>
                <w:sz w:val="24"/>
                <w:szCs w:val="24"/>
              </w:rPr>
            </w:pPr>
            <w:r>
              <w:rPr>
                <w:i/>
                <w:sz w:val="24"/>
                <w:szCs w:val="24"/>
              </w:rPr>
              <w:t xml:space="preserve">          </w:t>
            </w:r>
            <w:r w:rsidRPr="000E3DA7">
              <w:rPr>
                <w:i/>
                <w:sz w:val="24"/>
                <w:szCs w:val="24"/>
              </w:rPr>
              <w:t>Australia</w:t>
            </w:r>
          </w:p>
        </w:tc>
        <w:tc>
          <w:tcPr>
            <w:tcW w:w="283" w:type="dxa"/>
          </w:tcPr>
          <w:p w14:paraId="556E771C" w14:textId="77777777" w:rsidR="000E3DA7" w:rsidRPr="00A36A1B" w:rsidRDefault="000E3DA7" w:rsidP="00494BFD">
            <w:pPr>
              <w:spacing w:line="276" w:lineRule="auto"/>
              <w:rPr>
                <w:b/>
                <w:sz w:val="24"/>
                <w:szCs w:val="24"/>
              </w:rPr>
            </w:pPr>
          </w:p>
        </w:tc>
        <w:tc>
          <w:tcPr>
            <w:tcW w:w="709" w:type="dxa"/>
          </w:tcPr>
          <w:p w14:paraId="09DC5B65" w14:textId="1B3206E3" w:rsidR="000E3DA7" w:rsidRPr="00A36A1B" w:rsidRDefault="000E3DA7" w:rsidP="00315AE5">
            <w:pPr>
              <w:spacing w:line="276" w:lineRule="auto"/>
              <w:jc w:val="right"/>
              <w:rPr>
                <w:sz w:val="24"/>
                <w:szCs w:val="24"/>
              </w:rPr>
            </w:pPr>
            <w:r>
              <w:rPr>
                <w:sz w:val="24"/>
                <w:szCs w:val="24"/>
              </w:rPr>
              <w:t>37</w:t>
            </w:r>
          </w:p>
        </w:tc>
      </w:tr>
      <w:tr w:rsidR="00FB4B42" w:rsidRPr="00A36A1B" w14:paraId="0FDFB251" w14:textId="77777777" w:rsidTr="00A36A1B">
        <w:tc>
          <w:tcPr>
            <w:tcW w:w="6946" w:type="dxa"/>
          </w:tcPr>
          <w:p w14:paraId="37A4C26B" w14:textId="62243FC6" w:rsidR="00FB4B42" w:rsidRPr="00736F30" w:rsidRDefault="00FB4B42" w:rsidP="00494BFD">
            <w:pPr>
              <w:spacing w:line="276" w:lineRule="auto"/>
              <w:rPr>
                <w:i/>
                <w:sz w:val="24"/>
                <w:szCs w:val="24"/>
              </w:rPr>
            </w:pPr>
            <w:r w:rsidRPr="00736F30">
              <w:rPr>
                <w:i/>
                <w:sz w:val="24"/>
                <w:szCs w:val="24"/>
              </w:rPr>
              <w:t xml:space="preserve">          Hong Kong </w:t>
            </w:r>
          </w:p>
        </w:tc>
        <w:tc>
          <w:tcPr>
            <w:tcW w:w="283" w:type="dxa"/>
          </w:tcPr>
          <w:p w14:paraId="46C352BF" w14:textId="77777777" w:rsidR="00FB4B42" w:rsidRPr="00A36A1B" w:rsidRDefault="00FB4B42" w:rsidP="00494BFD">
            <w:pPr>
              <w:spacing w:line="276" w:lineRule="auto"/>
              <w:rPr>
                <w:b/>
                <w:sz w:val="24"/>
                <w:szCs w:val="24"/>
              </w:rPr>
            </w:pPr>
          </w:p>
        </w:tc>
        <w:tc>
          <w:tcPr>
            <w:tcW w:w="709" w:type="dxa"/>
          </w:tcPr>
          <w:p w14:paraId="4E4A34FD" w14:textId="318BAC3C" w:rsidR="00FB4B42" w:rsidRPr="00A36A1B" w:rsidRDefault="00FB4B42" w:rsidP="000E3DA7">
            <w:pPr>
              <w:spacing w:line="276" w:lineRule="auto"/>
              <w:jc w:val="right"/>
              <w:rPr>
                <w:sz w:val="24"/>
                <w:szCs w:val="24"/>
              </w:rPr>
            </w:pPr>
            <w:r w:rsidRPr="00A36A1B">
              <w:rPr>
                <w:sz w:val="24"/>
                <w:szCs w:val="24"/>
              </w:rPr>
              <w:t>3</w:t>
            </w:r>
            <w:r w:rsidR="000E3DA7">
              <w:rPr>
                <w:sz w:val="24"/>
                <w:szCs w:val="24"/>
              </w:rPr>
              <w:t>7</w:t>
            </w:r>
          </w:p>
        </w:tc>
      </w:tr>
      <w:tr w:rsidR="008A342C" w:rsidRPr="00A36A1B" w14:paraId="65C9CC4F" w14:textId="77777777" w:rsidTr="00A36A1B">
        <w:tc>
          <w:tcPr>
            <w:tcW w:w="6946" w:type="dxa"/>
          </w:tcPr>
          <w:p w14:paraId="04B92768" w14:textId="2BAFD179" w:rsidR="008A342C" w:rsidRPr="00736F30" w:rsidRDefault="008A342C" w:rsidP="00494BFD">
            <w:pPr>
              <w:spacing w:line="276" w:lineRule="auto"/>
              <w:rPr>
                <w:sz w:val="24"/>
                <w:szCs w:val="24"/>
              </w:rPr>
            </w:pPr>
            <w:r w:rsidRPr="00736F30">
              <w:rPr>
                <w:sz w:val="24"/>
                <w:szCs w:val="24"/>
              </w:rPr>
              <w:t xml:space="preserve">           </w:t>
            </w:r>
            <w:r w:rsidRPr="00736F30">
              <w:rPr>
                <w:i/>
                <w:sz w:val="24"/>
                <w:szCs w:val="24"/>
              </w:rPr>
              <w:t>Japan</w:t>
            </w:r>
          </w:p>
        </w:tc>
        <w:tc>
          <w:tcPr>
            <w:tcW w:w="283" w:type="dxa"/>
          </w:tcPr>
          <w:p w14:paraId="4E2984F7" w14:textId="77777777" w:rsidR="008A342C" w:rsidRPr="00A36A1B" w:rsidRDefault="008A342C" w:rsidP="00494BFD">
            <w:pPr>
              <w:spacing w:line="276" w:lineRule="auto"/>
              <w:rPr>
                <w:b/>
                <w:sz w:val="24"/>
                <w:szCs w:val="24"/>
              </w:rPr>
            </w:pPr>
          </w:p>
        </w:tc>
        <w:tc>
          <w:tcPr>
            <w:tcW w:w="709" w:type="dxa"/>
          </w:tcPr>
          <w:p w14:paraId="29DEDCCF" w14:textId="23AF6E77" w:rsidR="008A342C" w:rsidRPr="00A36A1B" w:rsidRDefault="00FB4B42" w:rsidP="00315AE5">
            <w:pPr>
              <w:spacing w:line="276" w:lineRule="auto"/>
              <w:jc w:val="right"/>
              <w:rPr>
                <w:sz w:val="24"/>
                <w:szCs w:val="24"/>
              </w:rPr>
            </w:pPr>
            <w:r w:rsidRPr="00A36A1B">
              <w:rPr>
                <w:sz w:val="24"/>
                <w:szCs w:val="24"/>
              </w:rPr>
              <w:t>38</w:t>
            </w:r>
          </w:p>
        </w:tc>
      </w:tr>
      <w:tr w:rsidR="008A342C" w:rsidRPr="00A36A1B" w14:paraId="526A5B71" w14:textId="77777777" w:rsidTr="00A36A1B">
        <w:tc>
          <w:tcPr>
            <w:tcW w:w="6946" w:type="dxa"/>
          </w:tcPr>
          <w:p w14:paraId="4D654D17" w14:textId="04C4C4BB" w:rsidR="008A342C" w:rsidRPr="00736F30" w:rsidRDefault="008A342C" w:rsidP="00494BFD">
            <w:pPr>
              <w:spacing w:line="276" w:lineRule="auto"/>
              <w:rPr>
                <w:b/>
                <w:sz w:val="24"/>
                <w:szCs w:val="24"/>
              </w:rPr>
            </w:pPr>
            <w:r w:rsidRPr="00736F30">
              <w:rPr>
                <w:b/>
                <w:sz w:val="24"/>
                <w:szCs w:val="24"/>
              </w:rPr>
              <w:t xml:space="preserve">     Hybrid intervention thresholds using FRAX</w:t>
            </w:r>
          </w:p>
        </w:tc>
        <w:tc>
          <w:tcPr>
            <w:tcW w:w="283" w:type="dxa"/>
          </w:tcPr>
          <w:p w14:paraId="424B3F80" w14:textId="77777777" w:rsidR="008A342C" w:rsidRPr="00A36A1B" w:rsidRDefault="008A342C" w:rsidP="00494BFD">
            <w:pPr>
              <w:spacing w:line="276" w:lineRule="auto"/>
              <w:rPr>
                <w:b/>
                <w:sz w:val="24"/>
                <w:szCs w:val="24"/>
              </w:rPr>
            </w:pPr>
          </w:p>
        </w:tc>
        <w:tc>
          <w:tcPr>
            <w:tcW w:w="709" w:type="dxa"/>
          </w:tcPr>
          <w:p w14:paraId="5BCFEAAA" w14:textId="1BC9B03E" w:rsidR="008A342C" w:rsidRPr="00A36A1B" w:rsidRDefault="00E178C3" w:rsidP="00FB4B42">
            <w:pPr>
              <w:spacing w:line="276" w:lineRule="auto"/>
              <w:jc w:val="right"/>
              <w:rPr>
                <w:sz w:val="24"/>
                <w:szCs w:val="24"/>
              </w:rPr>
            </w:pPr>
            <w:r w:rsidRPr="00A36A1B">
              <w:rPr>
                <w:sz w:val="24"/>
                <w:szCs w:val="24"/>
              </w:rPr>
              <w:t>3</w:t>
            </w:r>
            <w:r w:rsidR="00FB4B42" w:rsidRPr="00A36A1B">
              <w:rPr>
                <w:sz w:val="24"/>
                <w:szCs w:val="24"/>
              </w:rPr>
              <w:t>8</w:t>
            </w:r>
          </w:p>
        </w:tc>
      </w:tr>
      <w:tr w:rsidR="008A342C" w:rsidRPr="00A36A1B" w14:paraId="10C4AB3A" w14:textId="77777777" w:rsidTr="00A36A1B">
        <w:tc>
          <w:tcPr>
            <w:tcW w:w="6946" w:type="dxa"/>
          </w:tcPr>
          <w:p w14:paraId="72D2D1D3" w14:textId="0BBBDAFB" w:rsidR="008A342C" w:rsidRPr="00736F30" w:rsidRDefault="008A342C" w:rsidP="00494BFD">
            <w:pPr>
              <w:spacing w:line="276" w:lineRule="auto"/>
              <w:rPr>
                <w:sz w:val="24"/>
                <w:szCs w:val="24"/>
              </w:rPr>
            </w:pPr>
            <w:r w:rsidRPr="00736F30">
              <w:rPr>
                <w:sz w:val="24"/>
                <w:szCs w:val="24"/>
              </w:rPr>
              <w:t xml:space="preserve">          </w:t>
            </w:r>
            <w:r w:rsidRPr="00736F30">
              <w:rPr>
                <w:i/>
                <w:sz w:val="24"/>
                <w:szCs w:val="24"/>
              </w:rPr>
              <w:t>Lebanon</w:t>
            </w:r>
          </w:p>
        </w:tc>
        <w:tc>
          <w:tcPr>
            <w:tcW w:w="283" w:type="dxa"/>
          </w:tcPr>
          <w:p w14:paraId="1CC8741B" w14:textId="77777777" w:rsidR="008A342C" w:rsidRPr="00A36A1B" w:rsidRDefault="008A342C" w:rsidP="00494BFD">
            <w:pPr>
              <w:spacing w:line="276" w:lineRule="auto"/>
              <w:rPr>
                <w:b/>
                <w:sz w:val="24"/>
                <w:szCs w:val="24"/>
              </w:rPr>
            </w:pPr>
          </w:p>
        </w:tc>
        <w:tc>
          <w:tcPr>
            <w:tcW w:w="709" w:type="dxa"/>
          </w:tcPr>
          <w:p w14:paraId="511AEB60" w14:textId="124693B9" w:rsidR="008A342C" w:rsidRPr="00A36A1B" w:rsidRDefault="000E3DA7" w:rsidP="00315AE5">
            <w:pPr>
              <w:spacing w:line="276" w:lineRule="auto"/>
              <w:jc w:val="right"/>
              <w:rPr>
                <w:sz w:val="24"/>
                <w:szCs w:val="24"/>
              </w:rPr>
            </w:pPr>
            <w:r>
              <w:rPr>
                <w:sz w:val="24"/>
                <w:szCs w:val="24"/>
              </w:rPr>
              <w:t>39</w:t>
            </w:r>
          </w:p>
        </w:tc>
      </w:tr>
      <w:tr w:rsidR="008A342C" w:rsidRPr="00A36A1B" w14:paraId="0E137586" w14:textId="77777777" w:rsidTr="00A36A1B">
        <w:tc>
          <w:tcPr>
            <w:tcW w:w="6946" w:type="dxa"/>
            <w:shd w:val="clear" w:color="auto" w:fill="auto"/>
          </w:tcPr>
          <w:p w14:paraId="4E1B3B3E" w14:textId="40CC86A1" w:rsidR="008A342C" w:rsidRPr="00736F30" w:rsidRDefault="008A342C" w:rsidP="00494BFD">
            <w:pPr>
              <w:spacing w:line="276" w:lineRule="auto"/>
              <w:rPr>
                <w:sz w:val="24"/>
                <w:szCs w:val="24"/>
                <w:highlight w:val="cyan"/>
              </w:rPr>
            </w:pPr>
            <w:r w:rsidRPr="00736F30">
              <w:rPr>
                <w:sz w:val="24"/>
                <w:szCs w:val="24"/>
              </w:rPr>
              <w:t xml:space="preserve">          </w:t>
            </w:r>
            <w:r w:rsidRPr="00736F30">
              <w:rPr>
                <w:i/>
                <w:sz w:val="24"/>
                <w:szCs w:val="24"/>
              </w:rPr>
              <w:t>UK</w:t>
            </w:r>
          </w:p>
        </w:tc>
        <w:tc>
          <w:tcPr>
            <w:tcW w:w="283" w:type="dxa"/>
          </w:tcPr>
          <w:p w14:paraId="05BC965D" w14:textId="77777777" w:rsidR="008A342C" w:rsidRPr="00A36A1B" w:rsidRDefault="008A342C" w:rsidP="00494BFD">
            <w:pPr>
              <w:spacing w:line="276" w:lineRule="auto"/>
              <w:rPr>
                <w:b/>
                <w:sz w:val="24"/>
                <w:szCs w:val="24"/>
                <w:highlight w:val="cyan"/>
              </w:rPr>
            </w:pPr>
          </w:p>
        </w:tc>
        <w:tc>
          <w:tcPr>
            <w:tcW w:w="709" w:type="dxa"/>
          </w:tcPr>
          <w:p w14:paraId="2EE12349" w14:textId="70F27C45" w:rsidR="008A342C" w:rsidRPr="00A36A1B" w:rsidRDefault="00FB4B42" w:rsidP="00315AE5">
            <w:pPr>
              <w:spacing w:line="276" w:lineRule="auto"/>
              <w:jc w:val="right"/>
              <w:rPr>
                <w:sz w:val="24"/>
                <w:szCs w:val="24"/>
                <w:highlight w:val="cyan"/>
              </w:rPr>
            </w:pPr>
            <w:r w:rsidRPr="00A36A1B">
              <w:rPr>
                <w:sz w:val="24"/>
                <w:szCs w:val="24"/>
              </w:rPr>
              <w:t>39</w:t>
            </w:r>
          </w:p>
        </w:tc>
      </w:tr>
      <w:tr w:rsidR="008A342C" w:rsidRPr="00A36A1B" w14:paraId="656F0AA0" w14:textId="77777777" w:rsidTr="00A36A1B">
        <w:tc>
          <w:tcPr>
            <w:tcW w:w="6946" w:type="dxa"/>
          </w:tcPr>
          <w:p w14:paraId="2E531245" w14:textId="1897E514" w:rsidR="008A342C" w:rsidRPr="00736F30" w:rsidRDefault="00DF64F0" w:rsidP="00494BFD">
            <w:pPr>
              <w:spacing w:line="276" w:lineRule="auto"/>
              <w:rPr>
                <w:b/>
                <w:sz w:val="24"/>
                <w:szCs w:val="24"/>
              </w:rPr>
            </w:pPr>
            <w:r w:rsidRPr="00736F30">
              <w:rPr>
                <w:b/>
                <w:sz w:val="24"/>
                <w:szCs w:val="24"/>
              </w:rPr>
              <w:t xml:space="preserve">     </w:t>
            </w:r>
            <w:r w:rsidR="008A342C" w:rsidRPr="00736F30">
              <w:rPr>
                <w:b/>
                <w:sz w:val="24"/>
                <w:szCs w:val="24"/>
              </w:rPr>
              <w:t>Health economic approach to intervention thresholds with FRAX</w:t>
            </w:r>
          </w:p>
        </w:tc>
        <w:tc>
          <w:tcPr>
            <w:tcW w:w="283" w:type="dxa"/>
          </w:tcPr>
          <w:p w14:paraId="43F0A540" w14:textId="77777777" w:rsidR="008A342C" w:rsidRPr="00A36A1B" w:rsidRDefault="008A342C" w:rsidP="00494BFD">
            <w:pPr>
              <w:spacing w:line="276" w:lineRule="auto"/>
              <w:rPr>
                <w:b/>
                <w:sz w:val="24"/>
                <w:szCs w:val="24"/>
              </w:rPr>
            </w:pPr>
          </w:p>
        </w:tc>
        <w:tc>
          <w:tcPr>
            <w:tcW w:w="709" w:type="dxa"/>
          </w:tcPr>
          <w:p w14:paraId="02006D55" w14:textId="068B875C" w:rsidR="008A342C" w:rsidRPr="00A36A1B" w:rsidRDefault="00E178C3" w:rsidP="00FB4B42">
            <w:pPr>
              <w:spacing w:line="276" w:lineRule="auto"/>
              <w:jc w:val="right"/>
              <w:rPr>
                <w:sz w:val="24"/>
                <w:szCs w:val="24"/>
              </w:rPr>
            </w:pPr>
            <w:r w:rsidRPr="00A36A1B">
              <w:rPr>
                <w:sz w:val="24"/>
                <w:szCs w:val="24"/>
              </w:rPr>
              <w:t>4</w:t>
            </w:r>
            <w:r w:rsidR="00FB4B42" w:rsidRPr="00A36A1B">
              <w:rPr>
                <w:sz w:val="24"/>
                <w:szCs w:val="24"/>
              </w:rPr>
              <w:t>2</w:t>
            </w:r>
          </w:p>
        </w:tc>
      </w:tr>
      <w:tr w:rsidR="008A342C" w:rsidRPr="00A36A1B" w14:paraId="4C48F266" w14:textId="77777777" w:rsidTr="00A36A1B">
        <w:tc>
          <w:tcPr>
            <w:tcW w:w="6946" w:type="dxa"/>
          </w:tcPr>
          <w:p w14:paraId="4B5517C9" w14:textId="19F323F9" w:rsidR="008A342C" w:rsidRPr="00736F30" w:rsidRDefault="00DF64F0" w:rsidP="00494BFD">
            <w:pPr>
              <w:spacing w:line="276" w:lineRule="auto"/>
              <w:rPr>
                <w:sz w:val="24"/>
                <w:szCs w:val="24"/>
              </w:rPr>
            </w:pPr>
            <w:r w:rsidRPr="00736F30">
              <w:rPr>
                <w:b/>
                <w:sz w:val="24"/>
                <w:szCs w:val="24"/>
              </w:rPr>
              <w:t xml:space="preserve">          </w:t>
            </w:r>
            <w:r w:rsidR="00CA076F" w:rsidRPr="00736F30">
              <w:rPr>
                <w:i/>
                <w:sz w:val="24"/>
                <w:szCs w:val="24"/>
              </w:rPr>
              <w:t>Cost effectiveness of intervention based on FRAX</w:t>
            </w:r>
          </w:p>
        </w:tc>
        <w:tc>
          <w:tcPr>
            <w:tcW w:w="283" w:type="dxa"/>
          </w:tcPr>
          <w:p w14:paraId="1A7E464D" w14:textId="77777777" w:rsidR="008A342C" w:rsidRPr="00A36A1B" w:rsidRDefault="008A342C" w:rsidP="00494BFD">
            <w:pPr>
              <w:spacing w:line="276" w:lineRule="auto"/>
              <w:rPr>
                <w:b/>
                <w:sz w:val="24"/>
                <w:szCs w:val="24"/>
              </w:rPr>
            </w:pPr>
          </w:p>
        </w:tc>
        <w:tc>
          <w:tcPr>
            <w:tcW w:w="709" w:type="dxa"/>
          </w:tcPr>
          <w:p w14:paraId="795BA800" w14:textId="42378B2D" w:rsidR="008A342C" w:rsidRPr="00A36A1B" w:rsidRDefault="00FB4B42" w:rsidP="00FB4B42">
            <w:pPr>
              <w:spacing w:line="276" w:lineRule="auto"/>
              <w:jc w:val="right"/>
              <w:rPr>
                <w:sz w:val="24"/>
                <w:szCs w:val="24"/>
              </w:rPr>
            </w:pPr>
            <w:r w:rsidRPr="00A36A1B">
              <w:rPr>
                <w:sz w:val="24"/>
                <w:szCs w:val="24"/>
              </w:rPr>
              <w:t>42</w:t>
            </w:r>
          </w:p>
        </w:tc>
      </w:tr>
      <w:tr w:rsidR="00DF64F0" w:rsidRPr="00A36A1B" w14:paraId="7DBD9101" w14:textId="77777777" w:rsidTr="00A36A1B">
        <w:tc>
          <w:tcPr>
            <w:tcW w:w="6946" w:type="dxa"/>
          </w:tcPr>
          <w:p w14:paraId="3136F3A4" w14:textId="3B5E567A" w:rsidR="00DF64F0" w:rsidRPr="00736F30" w:rsidRDefault="00DF64F0" w:rsidP="00494BFD">
            <w:pPr>
              <w:spacing w:line="276" w:lineRule="auto"/>
              <w:rPr>
                <w:b/>
                <w:sz w:val="24"/>
                <w:szCs w:val="24"/>
              </w:rPr>
            </w:pPr>
            <w:r w:rsidRPr="00736F30">
              <w:rPr>
                <w:b/>
                <w:sz w:val="24"/>
                <w:szCs w:val="24"/>
              </w:rPr>
              <w:lastRenderedPageBreak/>
              <w:t xml:space="preserve">     </w:t>
            </w:r>
            <w:r w:rsidR="0007526E" w:rsidRPr="00736F30">
              <w:rPr>
                <w:b/>
                <w:sz w:val="24"/>
                <w:szCs w:val="24"/>
              </w:rPr>
              <w:t>D</w:t>
            </w:r>
            <w:r w:rsidR="00F9475A" w:rsidRPr="00736F30">
              <w:rPr>
                <w:b/>
                <w:sz w:val="24"/>
                <w:szCs w:val="24"/>
              </w:rPr>
              <w:t>iscrimination of FRAX</w:t>
            </w:r>
          </w:p>
        </w:tc>
        <w:tc>
          <w:tcPr>
            <w:tcW w:w="283" w:type="dxa"/>
          </w:tcPr>
          <w:p w14:paraId="242DAB6E" w14:textId="77777777" w:rsidR="00DF64F0" w:rsidRPr="00A36A1B" w:rsidRDefault="00DF64F0" w:rsidP="00494BFD">
            <w:pPr>
              <w:spacing w:line="276" w:lineRule="auto"/>
              <w:rPr>
                <w:b/>
                <w:sz w:val="24"/>
                <w:szCs w:val="24"/>
              </w:rPr>
            </w:pPr>
          </w:p>
        </w:tc>
        <w:tc>
          <w:tcPr>
            <w:tcW w:w="709" w:type="dxa"/>
          </w:tcPr>
          <w:p w14:paraId="07164E11" w14:textId="3548D65B" w:rsidR="00DF64F0" w:rsidRPr="00A36A1B" w:rsidRDefault="00315AE5" w:rsidP="0058395A">
            <w:pPr>
              <w:spacing w:line="276" w:lineRule="auto"/>
              <w:jc w:val="right"/>
              <w:rPr>
                <w:sz w:val="24"/>
                <w:szCs w:val="24"/>
              </w:rPr>
            </w:pPr>
            <w:r w:rsidRPr="00A36A1B">
              <w:rPr>
                <w:sz w:val="24"/>
                <w:szCs w:val="24"/>
              </w:rPr>
              <w:t>4</w:t>
            </w:r>
            <w:r w:rsidR="0058395A" w:rsidRPr="00A36A1B">
              <w:rPr>
                <w:sz w:val="24"/>
                <w:szCs w:val="24"/>
              </w:rPr>
              <w:t>8</w:t>
            </w:r>
          </w:p>
        </w:tc>
      </w:tr>
      <w:tr w:rsidR="00F9475A" w:rsidRPr="00A36A1B" w14:paraId="5A63457C" w14:textId="77777777" w:rsidTr="00A36A1B">
        <w:tc>
          <w:tcPr>
            <w:tcW w:w="6946" w:type="dxa"/>
          </w:tcPr>
          <w:p w14:paraId="4D199236" w14:textId="67D42DF8" w:rsidR="00F9475A" w:rsidRPr="00736F30" w:rsidRDefault="0007526E" w:rsidP="00494BFD">
            <w:pPr>
              <w:spacing w:line="276" w:lineRule="auto"/>
              <w:rPr>
                <w:sz w:val="24"/>
                <w:szCs w:val="24"/>
              </w:rPr>
            </w:pPr>
            <w:r w:rsidRPr="00736F30">
              <w:rPr>
                <w:i/>
                <w:sz w:val="24"/>
                <w:szCs w:val="24"/>
              </w:rPr>
              <w:t xml:space="preserve">          Comparing cohort-specific models with FRAX</w:t>
            </w:r>
          </w:p>
        </w:tc>
        <w:tc>
          <w:tcPr>
            <w:tcW w:w="283" w:type="dxa"/>
          </w:tcPr>
          <w:p w14:paraId="690AF576" w14:textId="77777777" w:rsidR="00F9475A" w:rsidRPr="00A36A1B" w:rsidRDefault="00F9475A" w:rsidP="00494BFD">
            <w:pPr>
              <w:spacing w:line="276" w:lineRule="auto"/>
              <w:rPr>
                <w:b/>
                <w:sz w:val="24"/>
                <w:szCs w:val="24"/>
              </w:rPr>
            </w:pPr>
          </w:p>
        </w:tc>
        <w:tc>
          <w:tcPr>
            <w:tcW w:w="709" w:type="dxa"/>
          </w:tcPr>
          <w:p w14:paraId="64779385" w14:textId="01F270D7" w:rsidR="00F9475A" w:rsidRPr="00A36A1B" w:rsidRDefault="0058395A" w:rsidP="00315AE5">
            <w:pPr>
              <w:spacing w:line="276" w:lineRule="auto"/>
              <w:jc w:val="right"/>
              <w:rPr>
                <w:sz w:val="24"/>
                <w:szCs w:val="24"/>
              </w:rPr>
            </w:pPr>
            <w:r w:rsidRPr="00A36A1B">
              <w:rPr>
                <w:sz w:val="24"/>
                <w:szCs w:val="24"/>
              </w:rPr>
              <w:t>49</w:t>
            </w:r>
          </w:p>
        </w:tc>
      </w:tr>
      <w:tr w:rsidR="00F9475A" w:rsidRPr="00A36A1B" w14:paraId="4A5C8D39" w14:textId="77777777" w:rsidTr="00A36A1B">
        <w:tc>
          <w:tcPr>
            <w:tcW w:w="6946" w:type="dxa"/>
          </w:tcPr>
          <w:p w14:paraId="3AB135D1" w14:textId="35E2803E" w:rsidR="00F9475A" w:rsidRPr="00A36A1B" w:rsidRDefault="0007526E" w:rsidP="00494BFD">
            <w:pPr>
              <w:spacing w:line="276" w:lineRule="auto"/>
              <w:rPr>
                <w:b/>
                <w:sz w:val="24"/>
                <w:szCs w:val="24"/>
              </w:rPr>
            </w:pPr>
            <w:r w:rsidRPr="00A36A1B">
              <w:rPr>
                <w:b/>
                <w:sz w:val="24"/>
                <w:szCs w:val="24"/>
              </w:rPr>
              <w:t xml:space="preserve">     Calibration of FRAX</w:t>
            </w:r>
          </w:p>
        </w:tc>
        <w:tc>
          <w:tcPr>
            <w:tcW w:w="283" w:type="dxa"/>
          </w:tcPr>
          <w:p w14:paraId="3B6A5AA2" w14:textId="77777777" w:rsidR="00F9475A" w:rsidRPr="00A36A1B" w:rsidRDefault="00F9475A" w:rsidP="00494BFD">
            <w:pPr>
              <w:spacing w:line="276" w:lineRule="auto"/>
              <w:rPr>
                <w:b/>
                <w:sz w:val="24"/>
                <w:szCs w:val="24"/>
              </w:rPr>
            </w:pPr>
          </w:p>
        </w:tc>
        <w:tc>
          <w:tcPr>
            <w:tcW w:w="709" w:type="dxa"/>
          </w:tcPr>
          <w:p w14:paraId="7A23CC2B" w14:textId="394975D7" w:rsidR="00F9475A" w:rsidRPr="00A36A1B" w:rsidRDefault="00E178C3" w:rsidP="0058395A">
            <w:pPr>
              <w:spacing w:line="276" w:lineRule="auto"/>
              <w:jc w:val="right"/>
              <w:rPr>
                <w:sz w:val="24"/>
                <w:szCs w:val="24"/>
              </w:rPr>
            </w:pPr>
            <w:r w:rsidRPr="00A36A1B">
              <w:rPr>
                <w:sz w:val="24"/>
                <w:szCs w:val="24"/>
              </w:rPr>
              <w:t>5</w:t>
            </w:r>
            <w:r w:rsidR="0058395A" w:rsidRPr="00A36A1B">
              <w:rPr>
                <w:sz w:val="24"/>
                <w:szCs w:val="24"/>
              </w:rPr>
              <w:t>0</w:t>
            </w:r>
          </w:p>
        </w:tc>
      </w:tr>
      <w:tr w:rsidR="0058395A" w:rsidRPr="00A36A1B" w14:paraId="1BA5DC34" w14:textId="77777777" w:rsidTr="00A36A1B">
        <w:tc>
          <w:tcPr>
            <w:tcW w:w="6946" w:type="dxa"/>
          </w:tcPr>
          <w:p w14:paraId="48899D87" w14:textId="09D4A045" w:rsidR="0058395A" w:rsidRPr="00736F30" w:rsidRDefault="0058395A" w:rsidP="0058395A">
            <w:pPr>
              <w:spacing w:line="276" w:lineRule="auto"/>
              <w:rPr>
                <w:sz w:val="24"/>
                <w:szCs w:val="24"/>
              </w:rPr>
            </w:pPr>
            <w:r w:rsidRPr="00736F30">
              <w:rPr>
                <w:i/>
                <w:sz w:val="24"/>
                <w:szCs w:val="24"/>
              </w:rPr>
              <w:t xml:space="preserve">          England</w:t>
            </w:r>
          </w:p>
        </w:tc>
        <w:tc>
          <w:tcPr>
            <w:tcW w:w="283" w:type="dxa"/>
          </w:tcPr>
          <w:p w14:paraId="626D0F92" w14:textId="77777777" w:rsidR="0058395A" w:rsidRPr="00A36A1B" w:rsidRDefault="0058395A" w:rsidP="0058395A">
            <w:pPr>
              <w:spacing w:line="276" w:lineRule="auto"/>
              <w:rPr>
                <w:b/>
                <w:sz w:val="24"/>
                <w:szCs w:val="24"/>
              </w:rPr>
            </w:pPr>
          </w:p>
        </w:tc>
        <w:tc>
          <w:tcPr>
            <w:tcW w:w="709" w:type="dxa"/>
          </w:tcPr>
          <w:p w14:paraId="0CFB317A" w14:textId="2E1F29B2" w:rsidR="0058395A" w:rsidRPr="00A36A1B" w:rsidRDefault="00F40132" w:rsidP="0058395A">
            <w:pPr>
              <w:spacing w:line="276" w:lineRule="auto"/>
              <w:jc w:val="right"/>
              <w:rPr>
                <w:sz w:val="24"/>
                <w:szCs w:val="24"/>
              </w:rPr>
            </w:pPr>
            <w:r w:rsidRPr="00A36A1B">
              <w:rPr>
                <w:sz w:val="24"/>
                <w:szCs w:val="24"/>
              </w:rPr>
              <w:t>50</w:t>
            </w:r>
          </w:p>
        </w:tc>
      </w:tr>
      <w:tr w:rsidR="0058395A" w:rsidRPr="00A36A1B" w14:paraId="2A1E9F9C" w14:textId="77777777" w:rsidTr="00A36A1B">
        <w:tc>
          <w:tcPr>
            <w:tcW w:w="6946" w:type="dxa"/>
          </w:tcPr>
          <w:p w14:paraId="310A1DDB" w14:textId="3D152453" w:rsidR="0058395A" w:rsidRPr="00736F30" w:rsidRDefault="0058395A" w:rsidP="0058395A">
            <w:pPr>
              <w:spacing w:line="276" w:lineRule="auto"/>
              <w:rPr>
                <w:i/>
                <w:sz w:val="24"/>
                <w:szCs w:val="24"/>
              </w:rPr>
            </w:pPr>
            <w:r w:rsidRPr="00736F30">
              <w:rPr>
                <w:i/>
                <w:sz w:val="24"/>
                <w:szCs w:val="24"/>
              </w:rPr>
              <w:t xml:space="preserve">          Canada</w:t>
            </w:r>
          </w:p>
        </w:tc>
        <w:tc>
          <w:tcPr>
            <w:tcW w:w="283" w:type="dxa"/>
          </w:tcPr>
          <w:p w14:paraId="6C2820C4" w14:textId="77777777" w:rsidR="0058395A" w:rsidRPr="00A36A1B" w:rsidRDefault="0058395A" w:rsidP="0058395A">
            <w:pPr>
              <w:spacing w:line="276" w:lineRule="auto"/>
              <w:rPr>
                <w:b/>
                <w:sz w:val="24"/>
                <w:szCs w:val="24"/>
              </w:rPr>
            </w:pPr>
          </w:p>
        </w:tc>
        <w:tc>
          <w:tcPr>
            <w:tcW w:w="709" w:type="dxa"/>
          </w:tcPr>
          <w:p w14:paraId="5A7DE09C" w14:textId="7C8F52EC" w:rsidR="0058395A" w:rsidRPr="00A36A1B" w:rsidRDefault="00F40132" w:rsidP="0058395A">
            <w:pPr>
              <w:spacing w:line="276" w:lineRule="auto"/>
              <w:jc w:val="right"/>
              <w:rPr>
                <w:sz w:val="24"/>
                <w:szCs w:val="24"/>
              </w:rPr>
            </w:pPr>
            <w:r w:rsidRPr="00A36A1B">
              <w:rPr>
                <w:sz w:val="24"/>
                <w:szCs w:val="24"/>
              </w:rPr>
              <w:t>51</w:t>
            </w:r>
          </w:p>
        </w:tc>
      </w:tr>
      <w:tr w:rsidR="00852373" w:rsidRPr="00A36A1B" w14:paraId="256C7009" w14:textId="77777777" w:rsidTr="00A36A1B">
        <w:tc>
          <w:tcPr>
            <w:tcW w:w="6946" w:type="dxa"/>
          </w:tcPr>
          <w:p w14:paraId="4B0D02D9" w14:textId="66FF4B59" w:rsidR="00852373" w:rsidRPr="00736F30" w:rsidRDefault="0058395A" w:rsidP="00852373">
            <w:pPr>
              <w:spacing w:line="276" w:lineRule="auto"/>
              <w:rPr>
                <w:i/>
                <w:sz w:val="24"/>
                <w:szCs w:val="24"/>
              </w:rPr>
            </w:pPr>
            <w:r w:rsidRPr="00736F30">
              <w:rPr>
                <w:i/>
                <w:sz w:val="24"/>
                <w:szCs w:val="24"/>
              </w:rPr>
              <w:t xml:space="preserve">          Denmark</w:t>
            </w:r>
          </w:p>
        </w:tc>
        <w:tc>
          <w:tcPr>
            <w:tcW w:w="283" w:type="dxa"/>
          </w:tcPr>
          <w:p w14:paraId="4D332230" w14:textId="77777777" w:rsidR="00852373" w:rsidRPr="00A36A1B" w:rsidRDefault="00852373" w:rsidP="00494BFD">
            <w:pPr>
              <w:spacing w:line="276" w:lineRule="auto"/>
              <w:rPr>
                <w:b/>
                <w:sz w:val="24"/>
                <w:szCs w:val="24"/>
              </w:rPr>
            </w:pPr>
          </w:p>
        </w:tc>
        <w:tc>
          <w:tcPr>
            <w:tcW w:w="709" w:type="dxa"/>
          </w:tcPr>
          <w:p w14:paraId="3DB35FBB" w14:textId="216D2FF5" w:rsidR="00852373" w:rsidRPr="00A36A1B" w:rsidRDefault="00F40132" w:rsidP="00315AE5">
            <w:pPr>
              <w:spacing w:line="276" w:lineRule="auto"/>
              <w:jc w:val="right"/>
              <w:rPr>
                <w:sz w:val="24"/>
                <w:szCs w:val="24"/>
              </w:rPr>
            </w:pPr>
            <w:r w:rsidRPr="00A36A1B">
              <w:rPr>
                <w:sz w:val="24"/>
                <w:szCs w:val="24"/>
              </w:rPr>
              <w:t>52</w:t>
            </w:r>
          </w:p>
        </w:tc>
      </w:tr>
      <w:tr w:rsidR="0058395A" w:rsidRPr="00A36A1B" w14:paraId="1811E15C" w14:textId="77777777" w:rsidTr="00A36A1B">
        <w:tc>
          <w:tcPr>
            <w:tcW w:w="6946" w:type="dxa"/>
          </w:tcPr>
          <w:p w14:paraId="6CC2C004" w14:textId="03021CF7" w:rsidR="0058395A" w:rsidRPr="00736F30" w:rsidRDefault="0058395A" w:rsidP="0058395A">
            <w:pPr>
              <w:spacing w:line="276" w:lineRule="auto"/>
              <w:rPr>
                <w:i/>
                <w:sz w:val="24"/>
                <w:szCs w:val="24"/>
              </w:rPr>
            </w:pPr>
            <w:r w:rsidRPr="00736F30">
              <w:rPr>
                <w:i/>
                <w:sz w:val="24"/>
                <w:szCs w:val="24"/>
              </w:rPr>
              <w:t xml:space="preserve">          Kuopio Osteoporosis Risk Factor and Prevention (OSTPRE) study</w:t>
            </w:r>
          </w:p>
        </w:tc>
        <w:tc>
          <w:tcPr>
            <w:tcW w:w="283" w:type="dxa"/>
          </w:tcPr>
          <w:p w14:paraId="064D55D7" w14:textId="77777777" w:rsidR="0058395A" w:rsidRPr="00A36A1B" w:rsidRDefault="0058395A" w:rsidP="0058395A">
            <w:pPr>
              <w:spacing w:line="276" w:lineRule="auto"/>
              <w:rPr>
                <w:b/>
                <w:sz w:val="24"/>
                <w:szCs w:val="24"/>
              </w:rPr>
            </w:pPr>
          </w:p>
        </w:tc>
        <w:tc>
          <w:tcPr>
            <w:tcW w:w="709" w:type="dxa"/>
          </w:tcPr>
          <w:p w14:paraId="5FE2BA4C" w14:textId="74D5862B" w:rsidR="0058395A" w:rsidRPr="00A36A1B" w:rsidRDefault="00F40132" w:rsidP="0058395A">
            <w:pPr>
              <w:spacing w:line="276" w:lineRule="auto"/>
              <w:jc w:val="right"/>
              <w:rPr>
                <w:sz w:val="24"/>
                <w:szCs w:val="24"/>
              </w:rPr>
            </w:pPr>
            <w:r w:rsidRPr="00A36A1B">
              <w:rPr>
                <w:sz w:val="24"/>
                <w:szCs w:val="24"/>
              </w:rPr>
              <w:t>52</w:t>
            </w:r>
          </w:p>
        </w:tc>
      </w:tr>
      <w:tr w:rsidR="0058395A" w:rsidRPr="00A36A1B" w14:paraId="41B6773F" w14:textId="77777777" w:rsidTr="00A36A1B">
        <w:tc>
          <w:tcPr>
            <w:tcW w:w="6946" w:type="dxa"/>
          </w:tcPr>
          <w:p w14:paraId="4FD0DD3A" w14:textId="7DDF6F87" w:rsidR="0058395A" w:rsidRPr="00736F30" w:rsidRDefault="0058395A" w:rsidP="0058395A">
            <w:pPr>
              <w:spacing w:line="276" w:lineRule="auto"/>
              <w:rPr>
                <w:i/>
                <w:sz w:val="24"/>
                <w:szCs w:val="24"/>
              </w:rPr>
            </w:pPr>
            <w:r w:rsidRPr="00736F30">
              <w:rPr>
                <w:i/>
                <w:sz w:val="24"/>
                <w:szCs w:val="24"/>
              </w:rPr>
              <w:t xml:space="preserve">          Difficulties in calibration of FRAX</w:t>
            </w:r>
          </w:p>
        </w:tc>
        <w:tc>
          <w:tcPr>
            <w:tcW w:w="283" w:type="dxa"/>
          </w:tcPr>
          <w:p w14:paraId="1AC3E61F" w14:textId="77777777" w:rsidR="0058395A" w:rsidRPr="00A36A1B" w:rsidRDefault="0058395A" w:rsidP="0058395A">
            <w:pPr>
              <w:spacing w:line="276" w:lineRule="auto"/>
              <w:rPr>
                <w:b/>
                <w:sz w:val="24"/>
                <w:szCs w:val="24"/>
              </w:rPr>
            </w:pPr>
          </w:p>
        </w:tc>
        <w:tc>
          <w:tcPr>
            <w:tcW w:w="709" w:type="dxa"/>
          </w:tcPr>
          <w:p w14:paraId="685FE3E3" w14:textId="3E891A5B" w:rsidR="0058395A" w:rsidRPr="00A36A1B" w:rsidRDefault="00F40132" w:rsidP="0058395A">
            <w:pPr>
              <w:spacing w:line="276" w:lineRule="auto"/>
              <w:jc w:val="right"/>
              <w:rPr>
                <w:sz w:val="24"/>
                <w:szCs w:val="24"/>
              </w:rPr>
            </w:pPr>
            <w:r w:rsidRPr="00A36A1B">
              <w:rPr>
                <w:sz w:val="24"/>
                <w:szCs w:val="24"/>
              </w:rPr>
              <w:t>54</w:t>
            </w:r>
          </w:p>
        </w:tc>
      </w:tr>
      <w:tr w:rsidR="0058395A" w:rsidRPr="00A36A1B" w14:paraId="5351C6AF" w14:textId="77777777" w:rsidTr="00A36A1B">
        <w:tc>
          <w:tcPr>
            <w:tcW w:w="6946" w:type="dxa"/>
          </w:tcPr>
          <w:p w14:paraId="6F29E4C1" w14:textId="47602537" w:rsidR="0058395A" w:rsidRPr="00736F30" w:rsidRDefault="0058395A" w:rsidP="0058395A">
            <w:pPr>
              <w:spacing w:line="276" w:lineRule="auto"/>
              <w:rPr>
                <w:i/>
                <w:sz w:val="24"/>
                <w:szCs w:val="24"/>
              </w:rPr>
            </w:pPr>
            <w:r w:rsidRPr="00736F30">
              <w:rPr>
                <w:i/>
                <w:sz w:val="24"/>
                <w:szCs w:val="24"/>
              </w:rPr>
              <w:t xml:space="preserve">          Other determinants of accuracy</w:t>
            </w:r>
          </w:p>
        </w:tc>
        <w:tc>
          <w:tcPr>
            <w:tcW w:w="283" w:type="dxa"/>
          </w:tcPr>
          <w:p w14:paraId="3539A544" w14:textId="77777777" w:rsidR="0058395A" w:rsidRPr="00A36A1B" w:rsidRDefault="0058395A" w:rsidP="0058395A">
            <w:pPr>
              <w:spacing w:line="276" w:lineRule="auto"/>
              <w:rPr>
                <w:b/>
                <w:sz w:val="24"/>
                <w:szCs w:val="24"/>
              </w:rPr>
            </w:pPr>
          </w:p>
        </w:tc>
        <w:tc>
          <w:tcPr>
            <w:tcW w:w="709" w:type="dxa"/>
          </w:tcPr>
          <w:p w14:paraId="7F8603EE" w14:textId="2CC4DCEB" w:rsidR="0058395A" w:rsidRPr="00A36A1B" w:rsidRDefault="00F40132" w:rsidP="0058395A">
            <w:pPr>
              <w:spacing w:line="276" w:lineRule="auto"/>
              <w:jc w:val="right"/>
              <w:rPr>
                <w:sz w:val="24"/>
                <w:szCs w:val="24"/>
              </w:rPr>
            </w:pPr>
            <w:r w:rsidRPr="00A36A1B">
              <w:rPr>
                <w:sz w:val="24"/>
                <w:szCs w:val="24"/>
              </w:rPr>
              <w:t>55</w:t>
            </w:r>
          </w:p>
        </w:tc>
      </w:tr>
      <w:tr w:rsidR="0058395A" w:rsidRPr="00A36A1B" w14:paraId="093076C3" w14:textId="77777777" w:rsidTr="00A36A1B">
        <w:tc>
          <w:tcPr>
            <w:tcW w:w="6946" w:type="dxa"/>
          </w:tcPr>
          <w:p w14:paraId="47EFE59E" w14:textId="30482C2C" w:rsidR="0058395A" w:rsidRPr="00736F30" w:rsidRDefault="0058395A" w:rsidP="0058395A">
            <w:pPr>
              <w:spacing w:line="276" w:lineRule="auto"/>
              <w:rPr>
                <w:i/>
                <w:sz w:val="24"/>
                <w:szCs w:val="24"/>
              </w:rPr>
            </w:pPr>
            <w:r w:rsidRPr="00736F30">
              <w:rPr>
                <w:bCs/>
                <w:i/>
                <w:sz w:val="24"/>
                <w:szCs w:val="24"/>
              </w:rPr>
              <w:t xml:space="preserve">          Reclassification</w:t>
            </w:r>
          </w:p>
        </w:tc>
        <w:tc>
          <w:tcPr>
            <w:tcW w:w="283" w:type="dxa"/>
          </w:tcPr>
          <w:p w14:paraId="5948C127" w14:textId="77777777" w:rsidR="0058395A" w:rsidRPr="00A36A1B" w:rsidRDefault="0058395A" w:rsidP="0058395A">
            <w:pPr>
              <w:spacing w:line="276" w:lineRule="auto"/>
              <w:rPr>
                <w:b/>
                <w:sz w:val="24"/>
                <w:szCs w:val="24"/>
              </w:rPr>
            </w:pPr>
          </w:p>
        </w:tc>
        <w:tc>
          <w:tcPr>
            <w:tcW w:w="709" w:type="dxa"/>
          </w:tcPr>
          <w:p w14:paraId="5726DE71" w14:textId="175BDE44" w:rsidR="0058395A" w:rsidRPr="00A36A1B" w:rsidRDefault="00F40132" w:rsidP="0058395A">
            <w:pPr>
              <w:spacing w:line="276" w:lineRule="auto"/>
              <w:jc w:val="right"/>
              <w:rPr>
                <w:sz w:val="24"/>
                <w:szCs w:val="24"/>
              </w:rPr>
            </w:pPr>
            <w:r w:rsidRPr="00A36A1B">
              <w:rPr>
                <w:sz w:val="24"/>
                <w:szCs w:val="24"/>
              </w:rPr>
              <w:t>55</w:t>
            </w:r>
          </w:p>
        </w:tc>
      </w:tr>
      <w:tr w:rsidR="0058395A" w:rsidRPr="00A36A1B" w14:paraId="4C8F8F09" w14:textId="77777777" w:rsidTr="00A36A1B">
        <w:tc>
          <w:tcPr>
            <w:tcW w:w="6946" w:type="dxa"/>
          </w:tcPr>
          <w:p w14:paraId="03F4E896" w14:textId="02388188" w:rsidR="0058395A" w:rsidRPr="00736F30" w:rsidRDefault="0058395A" w:rsidP="0058395A">
            <w:pPr>
              <w:spacing w:line="276" w:lineRule="auto"/>
              <w:rPr>
                <w:i/>
                <w:sz w:val="24"/>
                <w:szCs w:val="24"/>
              </w:rPr>
            </w:pPr>
            <w:r w:rsidRPr="00736F30">
              <w:rPr>
                <w:i/>
                <w:sz w:val="24"/>
                <w:szCs w:val="24"/>
              </w:rPr>
              <w:t xml:space="preserve">          Comparison of guidelines</w:t>
            </w:r>
          </w:p>
        </w:tc>
        <w:tc>
          <w:tcPr>
            <w:tcW w:w="283" w:type="dxa"/>
          </w:tcPr>
          <w:p w14:paraId="658B7F42" w14:textId="77777777" w:rsidR="0058395A" w:rsidRPr="00A36A1B" w:rsidRDefault="0058395A" w:rsidP="0058395A">
            <w:pPr>
              <w:spacing w:line="276" w:lineRule="auto"/>
              <w:jc w:val="center"/>
              <w:rPr>
                <w:b/>
                <w:sz w:val="24"/>
                <w:szCs w:val="24"/>
              </w:rPr>
            </w:pPr>
          </w:p>
        </w:tc>
        <w:tc>
          <w:tcPr>
            <w:tcW w:w="709" w:type="dxa"/>
          </w:tcPr>
          <w:p w14:paraId="339DECBB" w14:textId="3A6AA7B4" w:rsidR="0058395A" w:rsidRPr="00A36A1B" w:rsidRDefault="00F40132" w:rsidP="00184479">
            <w:pPr>
              <w:tabs>
                <w:tab w:val="left" w:pos="330"/>
              </w:tabs>
              <w:spacing w:line="276" w:lineRule="auto"/>
              <w:jc w:val="right"/>
              <w:rPr>
                <w:sz w:val="24"/>
                <w:szCs w:val="24"/>
              </w:rPr>
            </w:pPr>
            <w:r w:rsidRPr="00A36A1B">
              <w:rPr>
                <w:sz w:val="24"/>
                <w:szCs w:val="24"/>
              </w:rPr>
              <w:t>57</w:t>
            </w:r>
          </w:p>
        </w:tc>
      </w:tr>
      <w:tr w:rsidR="0058395A" w:rsidRPr="00A36A1B" w14:paraId="5907CDDC" w14:textId="77777777" w:rsidTr="00A36A1B">
        <w:tc>
          <w:tcPr>
            <w:tcW w:w="6946" w:type="dxa"/>
          </w:tcPr>
          <w:p w14:paraId="2C74761F" w14:textId="555D848B" w:rsidR="0058395A" w:rsidRPr="00736F30" w:rsidRDefault="0058395A" w:rsidP="0058395A">
            <w:pPr>
              <w:autoSpaceDE w:val="0"/>
              <w:autoSpaceDN w:val="0"/>
              <w:adjustRightInd w:val="0"/>
              <w:spacing w:line="276" w:lineRule="auto"/>
              <w:rPr>
                <w:i/>
                <w:sz w:val="24"/>
                <w:szCs w:val="24"/>
              </w:rPr>
            </w:pPr>
            <w:r w:rsidRPr="00736F30">
              <w:rPr>
                <w:rFonts w:cs="MyriadPro-Regular"/>
                <w:i/>
                <w:sz w:val="24"/>
                <w:szCs w:val="24"/>
              </w:rPr>
              <w:t xml:space="preserve">          Net reclassification improvement (NRI)</w:t>
            </w:r>
            <w:r w:rsidRPr="00736F30">
              <w:rPr>
                <w:i/>
                <w:sz w:val="24"/>
                <w:szCs w:val="24"/>
              </w:rPr>
              <w:t xml:space="preserve"> </w:t>
            </w:r>
          </w:p>
        </w:tc>
        <w:tc>
          <w:tcPr>
            <w:tcW w:w="283" w:type="dxa"/>
          </w:tcPr>
          <w:p w14:paraId="0AE44FB1" w14:textId="77777777" w:rsidR="0058395A" w:rsidRPr="00A36A1B" w:rsidRDefault="0058395A" w:rsidP="0058395A">
            <w:pPr>
              <w:spacing w:line="276" w:lineRule="auto"/>
              <w:rPr>
                <w:b/>
                <w:sz w:val="24"/>
                <w:szCs w:val="24"/>
              </w:rPr>
            </w:pPr>
          </w:p>
        </w:tc>
        <w:tc>
          <w:tcPr>
            <w:tcW w:w="709" w:type="dxa"/>
          </w:tcPr>
          <w:p w14:paraId="73D1F743" w14:textId="186D2228" w:rsidR="0058395A" w:rsidRPr="00A36A1B" w:rsidRDefault="00F40132" w:rsidP="000E3DA7">
            <w:pPr>
              <w:spacing w:line="276" w:lineRule="auto"/>
              <w:jc w:val="right"/>
              <w:rPr>
                <w:sz w:val="24"/>
                <w:szCs w:val="24"/>
              </w:rPr>
            </w:pPr>
            <w:r w:rsidRPr="00A36A1B">
              <w:rPr>
                <w:sz w:val="24"/>
                <w:szCs w:val="24"/>
              </w:rPr>
              <w:t>5</w:t>
            </w:r>
            <w:r w:rsidR="000E3DA7">
              <w:rPr>
                <w:sz w:val="24"/>
                <w:szCs w:val="24"/>
              </w:rPr>
              <w:t>9</w:t>
            </w:r>
          </w:p>
        </w:tc>
      </w:tr>
      <w:tr w:rsidR="0058395A" w:rsidRPr="00A36A1B" w14:paraId="014EC271" w14:textId="77777777" w:rsidTr="00A36A1B">
        <w:tc>
          <w:tcPr>
            <w:tcW w:w="6946" w:type="dxa"/>
          </w:tcPr>
          <w:p w14:paraId="60622927" w14:textId="51825F05" w:rsidR="0058395A" w:rsidRPr="00A36A1B" w:rsidRDefault="0058395A" w:rsidP="0058395A">
            <w:pPr>
              <w:spacing w:line="276" w:lineRule="auto"/>
              <w:rPr>
                <w:b/>
                <w:sz w:val="28"/>
                <w:szCs w:val="28"/>
              </w:rPr>
            </w:pPr>
            <w:r w:rsidRPr="00A36A1B">
              <w:rPr>
                <w:b/>
                <w:sz w:val="28"/>
                <w:szCs w:val="28"/>
              </w:rPr>
              <w:t>Discussion</w:t>
            </w:r>
          </w:p>
        </w:tc>
        <w:tc>
          <w:tcPr>
            <w:tcW w:w="283" w:type="dxa"/>
          </w:tcPr>
          <w:p w14:paraId="30D1A984" w14:textId="77777777" w:rsidR="0058395A" w:rsidRPr="00A36A1B" w:rsidRDefault="0058395A" w:rsidP="0058395A">
            <w:pPr>
              <w:spacing w:line="276" w:lineRule="auto"/>
              <w:rPr>
                <w:b/>
                <w:sz w:val="24"/>
                <w:szCs w:val="24"/>
              </w:rPr>
            </w:pPr>
          </w:p>
        </w:tc>
        <w:tc>
          <w:tcPr>
            <w:tcW w:w="709" w:type="dxa"/>
          </w:tcPr>
          <w:p w14:paraId="7660F974" w14:textId="122FF9EA" w:rsidR="0058395A" w:rsidRPr="00A36A1B" w:rsidRDefault="00F40132" w:rsidP="0058395A">
            <w:pPr>
              <w:spacing w:line="276" w:lineRule="auto"/>
              <w:jc w:val="right"/>
              <w:rPr>
                <w:sz w:val="24"/>
                <w:szCs w:val="24"/>
              </w:rPr>
            </w:pPr>
            <w:r w:rsidRPr="00A36A1B">
              <w:rPr>
                <w:sz w:val="24"/>
                <w:szCs w:val="24"/>
              </w:rPr>
              <w:t>59</w:t>
            </w:r>
          </w:p>
        </w:tc>
      </w:tr>
      <w:tr w:rsidR="0058395A" w:rsidRPr="00A36A1B" w14:paraId="0C4D9C9C" w14:textId="77777777" w:rsidTr="00A36A1B">
        <w:tc>
          <w:tcPr>
            <w:tcW w:w="6946" w:type="dxa"/>
          </w:tcPr>
          <w:p w14:paraId="1CB98059" w14:textId="3D78777A" w:rsidR="0058395A" w:rsidRPr="00A36A1B" w:rsidRDefault="0058395A" w:rsidP="0058395A">
            <w:pPr>
              <w:spacing w:line="276" w:lineRule="auto"/>
              <w:rPr>
                <w:b/>
                <w:sz w:val="28"/>
                <w:szCs w:val="28"/>
              </w:rPr>
            </w:pPr>
            <w:r w:rsidRPr="00A36A1B">
              <w:rPr>
                <w:b/>
                <w:sz w:val="24"/>
                <w:szCs w:val="24"/>
              </w:rPr>
              <w:t xml:space="preserve">     Use of fixed thresholds</w:t>
            </w:r>
          </w:p>
        </w:tc>
        <w:tc>
          <w:tcPr>
            <w:tcW w:w="283" w:type="dxa"/>
          </w:tcPr>
          <w:p w14:paraId="137DA9E1" w14:textId="77777777" w:rsidR="0058395A" w:rsidRPr="00A36A1B" w:rsidRDefault="0058395A" w:rsidP="0058395A">
            <w:pPr>
              <w:spacing w:line="276" w:lineRule="auto"/>
              <w:rPr>
                <w:b/>
                <w:sz w:val="24"/>
                <w:szCs w:val="24"/>
              </w:rPr>
            </w:pPr>
          </w:p>
        </w:tc>
        <w:tc>
          <w:tcPr>
            <w:tcW w:w="709" w:type="dxa"/>
          </w:tcPr>
          <w:p w14:paraId="56EAE485" w14:textId="55934E63" w:rsidR="0058395A" w:rsidRPr="00A36A1B" w:rsidRDefault="00F40132" w:rsidP="0058395A">
            <w:pPr>
              <w:spacing w:line="276" w:lineRule="auto"/>
              <w:jc w:val="right"/>
              <w:rPr>
                <w:sz w:val="24"/>
                <w:szCs w:val="24"/>
              </w:rPr>
            </w:pPr>
            <w:r w:rsidRPr="00A36A1B">
              <w:rPr>
                <w:sz w:val="24"/>
                <w:szCs w:val="24"/>
              </w:rPr>
              <w:t>60</w:t>
            </w:r>
          </w:p>
        </w:tc>
      </w:tr>
      <w:tr w:rsidR="0058395A" w:rsidRPr="00A36A1B" w14:paraId="5DB92E4A" w14:textId="77777777" w:rsidTr="00A36A1B">
        <w:tc>
          <w:tcPr>
            <w:tcW w:w="6946" w:type="dxa"/>
          </w:tcPr>
          <w:p w14:paraId="3C1D27FA" w14:textId="66CD47DA" w:rsidR="0058395A" w:rsidRPr="00A36A1B" w:rsidRDefault="0058395A" w:rsidP="0058395A">
            <w:pPr>
              <w:spacing w:line="276" w:lineRule="auto"/>
              <w:rPr>
                <w:b/>
                <w:sz w:val="28"/>
                <w:szCs w:val="28"/>
              </w:rPr>
            </w:pPr>
            <w:r w:rsidRPr="00A36A1B">
              <w:rPr>
                <w:b/>
                <w:sz w:val="24"/>
                <w:szCs w:val="24"/>
              </w:rPr>
              <w:t xml:space="preserve">     Setting fixed FRAX thresholds  </w:t>
            </w:r>
          </w:p>
        </w:tc>
        <w:tc>
          <w:tcPr>
            <w:tcW w:w="283" w:type="dxa"/>
          </w:tcPr>
          <w:p w14:paraId="4593669B" w14:textId="77777777" w:rsidR="0058395A" w:rsidRPr="00A36A1B" w:rsidRDefault="0058395A" w:rsidP="0058395A">
            <w:pPr>
              <w:spacing w:line="276" w:lineRule="auto"/>
              <w:rPr>
                <w:b/>
                <w:sz w:val="24"/>
                <w:szCs w:val="24"/>
              </w:rPr>
            </w:pPr>
          </w:p>
        </w:tc>
        <w:tc>
          <w:tcPr>
            <w:tcW w:w="709" w:type="dxa"/>
          </w:tcPr>
          <w:p w14:paraId="42D41868" w14:textId="0F3317A4" w:rsidR="0058395A" w:rsidRPr="00A36A1B" w:rsidRDefault="00F40132" w:rsidP="0058395A">
            <w:pPr>
              <w:spacing w:line="276" w:lineRule="auto"/>
              <w:jc w:val="right"/>
              <w:rPr>
                <w:sz w:val="24"/>
                <w:szCs w:val="24"/>
              </w:rPr>
            </w:pPr>
            <w:r w:rsidRPr="00A36A1B">
              <w:rPr>
                <w:sz w:val="24"/>
                <w:szCs w:val="24"/>
              </w:rPr>
              <w:t>63</w:t>
            </w:r>
          </w:p>
        </w:tc>
      </w:tr>
      <w:tr w:rsidR="0058395A" w:rsidRPr="00A36A1B" w14:paraId="04F92C9A" w14:textId="77777777" w:rsidTr="00A36A1B">
        <w:tc>
          <w:tcPr>
            <w:tcW w:w="6946" w:type="dxa"/>
          </w:tcPr>
          <w:p w14:paraId="03407E95" w14:textId="710EDB91" w:rsidR="0058395A" w:rsidRPr="00A36A1B" w:rsidRDefault="0058395A" w:rsidP="0058395A">
            <w:pPr>
              <w:spacing w:line="276" w:lineRule="auto"/>
              <w:rPr>
                <w:b/>
                <w:sz w:val="28"/>
                <w:szCs w:val="28"/>
              </w:rPr>
            </w:pPr>
            <w:r w:rsidRPr="00A36A1B">
              <w:rPr>
                <w:b/>
                <w:sz w:val="24"/>
                <w:szCs w:val="24"/>
              </w:rPr>
              <w:t xml:space="preserve">     Consequences of a 20 % threshold</w:t>
            </w:r>
          </w:p>
        </w:tc>
        <w:tc>
          <w:tcPr>
            <w:tcW w:w="283" w:type="dxa"/>
          </w:tcPr>
          <w:p w14:paraId="5C44D7DE" w14:textId="77777777" w:rsidR="0058395A" w:rsidRPr="00A36A1B" w:rsidRDefault="0058395A" w:rsidP="0058395A">
            <w:pPr>
              <w:spacing w:line="276" w:lineRule="auto"/>
              <w:rPr>
                <w:b/>
                <w:sz w:val="24"/>
                <w:szCs w:val="24"/>
              </w:rPr>
            </w:pPr>
          </w:p>
        </w:tc>
        <w:tc>
          <w:tcPr>
            <w:tcW w:w="709" w:type="dxa"/>
          </w:tcPr>
          <w:p w14:paraId="581A5344" w14:textId="361EA2BB" w:rsidR="0058395A" w:rsidRPr="00A36A1B" w:rsidRDefault="00F40132" w:rsidP="0058395A">
            <w:pPr>
              <w:spacing w:line="276" w:lineRule="auto"/>
              <w:jc w:val="right"/>
              <w:rPr>
                <w:sz w:val="24"/>
                <w:szCs w:val="24"/>
              </w:rPr>
            </w:pPr>
            <w:r w:rsidRPr="00A36A1B">
              <w:rPr>
                <w:sz w:val="24"/>
                <w:szCs w:val="24"/>
              </w:rPr>
              <w:t>64</w:t>
            </w:r>
          </w:p>
        </w:tc>
      </w:tr>
      <w:tr w:rsidR="0058395A" w:rsidRPr="00A36A1B" w14:paraId="71778031" w14:textId="77777777" w:rsidTr="00A36A1B">
        <w:tc>
          <w:tcPr>
            <w:tcW w:w="6946" w:type="dxa"/>
          </w:tcPr>
          <w:p w14:paraId="338B1BD6" w14:textId="6A9A7D74" w:rsidR="0058395A" w:rsidRPr="00A36A1B" w:rsidRDefault="0058395A" w:rsidP="0058395A">
            <w:pPr>
              <w:spacing w:line="276" w:lineRule="auto"/>
              <w:ind w:right="543"/>
              <w:rPr>
                <w:b/>
                <w:sz w:val="28"/>
                <w:szCs w:val="28"/>
              </w:rPr>
            </w:pPr>
            <w:r w:rsidRPr="00A36A1B">
              <w:rPr>
                <w:rFonts w:cs="Arial"/>
                <w:b/>
                <w:color w:val="000000"/>
                <w:sz w:val="24"/>
                <w:szCs w:val="24"/>
              </w:rPr>
              <w:t xml:space="preserve">     Economic thresholds</w:t>
            </w:r>
          </w:p>
        </w:tc>
        <w:tc>
          <w:tcPr>
            <w:tcW w:w="283" w:type="dxa"/>
          </w:tcPr>
          <w:p w14:paraId="7AB7A945" w14:textId="77777777" w:rsidR="0058395A" w:rsidRPr="00A36A1B" w:rsidRDefault="0058395A" w:rsidP="0058395A">
            <w:pPr>
              <w:spacing w:line="276" w:lineRule="auto"/>
              <w:rPr>
                <w:b/>
                <w:sz w:val="24"/>
                <w:szCs w:val="24"/>
              </w:rPr>
            </w:pPr>
          </w:p>
        </w:tc>
        <w:tc>
          <w:tcPr>
            <w:tcW w:w="709" w:type="dxa"/>
          </w:tcPr>
          <w:p w14:paraId="72E5B5AC" w14:textId="5055A398" w:rsidR="0058395A" w:rsidRPr="00A36A1B" w:rsidRDefault="00F40132" w:rsidP="0058395A">
            <w:pPr>
              <w:spacing w:line="276" w:lineRule="auto"/>
              <w:jc w:val="right"/>
              <w:rPr>
                <w:sz w:val="24"/>
                <w:szCs w:val="24"/>
              </w:rPr>
            </w:pPr>
            <w:r w:rsidRPr="00A36A1B">
              <w:rPr>
                <w:sz w:val="24"/>
                <w:szCs w:val="24"/>
              </w:rPr>
              <w:t>66</w:t>
            </w:r>
          </w:p>
        </w:tc>
      </w:tr>
      <w:tr w:rsidR="0058395A" w:rsidRPr="00A36A1B" w14:paraId="4D42B32D" w14:textId="77777777" w:rsidTr="00A36A1B">
        <w:tc>
          <w:tcPr>
            <w:tcW w:w="6946" w:type="dxa"/>
          </w:tcPr>
          <w:p w14:paraId="2B762DF7" w14:textId="44B7B35A" w:rsidR="0058395A" w:rsidRPr="00A36A1B" w:rsidRDefault="0058395A" w:rsidP="0058395A">
            <w:pPr>
              <w:spacing w:line="276" w:lineRule="auto"/>
              <w:ind w:right="543"/>
              <w:rPr>
                <w:rFonts w:cs="Arial"/>
                <w:b/>
                <w:color w:val="000000"/>
                <w:sz w:val="24"/>
                <w:szCs w:val="24"/>
              </w:rPr>
            </w:pPr>
            <w:r w:rsidRPr="00A36A1B">
              <w:rPr>
                <w:rFonts w:cs="Arial"/>
                <w:b/>
                <w:color w:val="000000"/>
                <w:sz w:val="24"/>
                <w:szCs w:val="24"/>
              </w:rPr>
              <w:t xml:space="preserve">     Age-dependent intervention thresholds</w:t>
            </w:r>
          </w:p>
        </w:tc>
        <w:tc>
          <w:tcPr>
            <w:tcW w:w="283" w:type="dxa"/>
          </w:tcPr>
          <w:p w14:paraId="6FCE1752" w14:textId="77777777" w:rsidR="0058395A" w:rsidRPr="00A36A1B" w:rsidRDefault="0058395A" w:rsidP="0058395A">
            <w:pPr>
              <w:spacing w:line="276" w:lineRule="auto"/>
              <w:rPr>
                <w:b/>
                <w:sz w:val="24"/>
                <w:szCs w:val="24"/>
              </w:rPr>
            </w:pPr>
          </w:p>
        </w:tc>
        <w:tc>
          <w:tcPr>
            <w:tcW w:w="709" w:type="dxa"/>
          </w:tcPr>
          <w:p w14:paraId="5061A6A4" w14:textId="0071D8E3" w:rsidR="0058395A" w:rsidRPr="00A36A1B" w:rsidRDefault="00F40132" w:rsidP="0058395A">
            <w:pPr>
              <w:spacing w:line="276" w:lineRule="auto"/>
              <w:jc w:val="right"/>
              <w:rPr>
                <w:sz w:val="24"/>
                <w:szCs w:val="24"/>
              </w:rPr>
            </w:pPr>
            <w:r w:rsidRPr="00A36A1B">
              <w:rPr>
                <w:sz w:val="24"/>
                <w:szCs w:val="24"/>
              </w:rPr>
              <w:t>67</w:t>
            </w:r>
          </w:p>
        </w:tc>
      </w:tr>
      <w:tr w:rsidR="0058395A" w:rsidRPr="00A36A1B" w14:paraId="7E67D062" w14:textId="77777777" w:rsidTr="00A36A1B">
        <w:tc>
          <w:tcPr>
            <w:tcW w:w="6946" w:type="dxa"/>
          </w:tcPr>
          <w:p w14:paraId="09F05EA7" w14:textId="231A605D" w:rsidR="0058395A" w:rsidRPr="00A36A1B" w:rsidRDefault="0058395A" w:rsidP="00736F30">
            <w:pPr>
              <w:spacing w:line="276" w:lineRule="auto"/>
              <w:rPr>
                <w:rFonts w:cs="Arial"/>
                <w:b/>
                <w:color w:val="000000"/>
                <w:sz w:val="24"/>
                <w:szCs w:val="24"/>
              </w:rPr>
            </w:pPr>
            <w:r w:rsidRPr="00A36A1B">
              <w:rPr>
                <w:b/>
                <w:sz w:val="24"/>
                <w:szCs w:val="24"/>
              </w:rPr>
              <w:t xml:space="preserve">     Limitations of FRAX</w:t>
            </w:r>
          </w:p>
        </w:tc>
        <w:tc>
          <w:tcPr>
            <w:tcW w:w="283" w:type="dxa"/>
          </w:tcPr>
          <w:p w14:paraId="656BF3B3" w14:textId="77777777" w:rsidR="0058395A" w:rsidRPr="00A36A1B" w:rsidRDefault="0058395A" w:rsidP="00736F30">
            <w:pPr>
              <w:spacing w:line="276" w:lineRule="auto"/>
              <w:rPr>
                <w:b/>
                <w:sz w:val="24"/>
                <w:szCs w:val="24"/>
              </w:rPr>
            </w:pPr>
          </w:p>
        </w:tc>
        <w:tc>
          <w:tcPr>
            <w:tcW w:w="709" w:type="dxa"/>
          </w:tcPr>
          <w:p w14:paraId="7970FB5B" w14:textId="76F1D072" w:rsidR="0058395A" w:rsidRPr="00A36A1B" w:rsidRDefault="00F40132" w:rsidP="00736F30">
            <w:pPr>
              <w:spacing w:line="276" w:lineRule="auto"/>
              <w:jc w:val="right"/>
              <w:rPr>
                <w:sz w:val="24"/>
                <w:szCs w:val="24"/>
              </w:rPr>
            </w:pPr>
            <w:r w:rsidRPr="00A36A1B">
              <w:rPr>
                <w:sz w:val="24"/>
                <w:szCs w:val="24"/>
              </w:rPr>
              <w:t>69</w:t>
            </w:r>
          </w:p>
        </w:tc>
      </w:tr>
      <w:tr w:rsidR="0058395A" w:rsidRPr="00A36A1B" w14:paraId="0757F808" w14:textId="77777777" w:rsidTr="00A36A1B">
        <w:tc>
          <w:tcPr>
            <w:tcW w:w="6946" w:type="dxa"/>
          </w:tcPr>
          <w:p w14:paraId="2830F95A" w14:textId="6F4FCCE3" w:rsidR="0058395A" w:rsidRPr="00736F30" w:rsidRDefault="0058395A" w:rsidP="00736F30">
            <w:pPr>
              <w:spacing w:line="276" w:lineRule="auto"/>
              <w:rPr>
                <w:sz w:val="24"/>
                <w:szCs w:val="24"/>
              </w:rPr>
            </w:pPr>
            <w:r w:rsidRPr="00736F30">
              <w:rPr>
                <w:i/>
                <w:sz w:val="24"/>
                <w:szCs w:val="24"/>
              </w:rPr>
              <w:t xml:space="preserve">          Well established limitations of FRAX</w:t>
            </w:r>
          </w:p>
        </w:tc>
        <w:tc>
          <w:tcPr>
            <w:tcW w:w="283" w:type="dxa"/>
          </w:tcPr>
          <w:p w14:paraId="79DACC22" w14:textId="77777777" w:rsidR="0058395A" w:rsidRPr="00A36A1B" w:rsidRDefault="0058395A" w:rsidP="00736F30">
            <w:pPr>
              <w:spacing w:line="276" w:lineRule="auto"/>
              <w:rPr>
                <w:b/>
                <w:sz w:val="24"/>
                <w:szCs w:val="24"/>
              </w:rPr>
            </w:pPr>
          </w:p>
        </w:tc>
        <w:tc>
          <w:tcPr>
            <w:tcW w:w="709" w:type="dxa"/>
          </w:tcPr>
          <w:p w14:paraId="59D6250B" w14:textId="35D6A9A0" w:rsidR="0058395A" w:rsidRPr="00A36A1B" w:rsidRDefault="00F40132" w:rsidP="00736F30">
            <w:pPr>
              <w:spacing w:line="276" w:lineRule="auto"/>
              <w:jc w:val="right"/>
              <w:rPr>
                <w:sz w:val="24"/>
                <w:szCs w:val="24"/>
              </w:rPr>
            </w:pPr>
            <w:r w:rsidRPr="00A36A1B">
              <w:rPr>
                <w:sz w:val="24"/>
                <w:szCs w:val="24"/>
              </w:rPr>
              <w:t>69</w:t>
            </w:r>
          </w:p>
        </w:tc>
      </w:tr>
      <w:tr w:rsidR="0058395A" w:rsidRPr="00A36A1B" w14:paraId="2EAEB39C" w14:textId="77777777" w:rsidTr="00A36A1B">
        <w:tc>
          <w:tcPr>
            <w:tcW w:w="6946" w:type="dxa"/>
          </w:tcPr>
          <w:p w14:paraId="0DA7C1BC" w14:textId="637403F8" w:rsidR="0058395A" w:rsidRPr="00736F30" w:rsidRDefault="0058395A" w:rsidP="00736F30">
            <w:pPr>
              <w:spacing w:line="276" w:lineRule="auto"/>
              <w:rPr>
                <w:sz w:val="24"/>
                <w:szCs w:val="24"/>
              </w:rPr>
            </w:pPr>
            <w:r w:rsidRPr="00736F30">
              <w:rPr>
                <w:i/>
                <w:sz w:val="24"/>
                <w:szCs w:val="24"/>
              </w:rPr>
              <w:t xml:space="preserve">          Reliance on computer access</w:t>
            </w:r>
          </w:p>
        </w:tc>
        <w:tc>
          <w:tcPr>
            <w:tcW w:w="283" w:type="dxa"/>
          </w:tcPr>
          <w:p w14:paraId="77BFF25B" w14:textId="77777777" w:rsidR="0058395A" w:rsidRPr="00A36A1B" w:rsidRDefault="0058395A" w:rsidP="00736F30">
            <w:pPr>
              <w:spacing w:line="276" w:lineRule="auto"/>
              <w:rPr>
                <w:b/>
                <w:sz w:val="24"/>
                <w:szCs w:val="24"/>
              </w:rPr>
            </w:pPr>
          </w:p>
        </w:tc>
        <w:tc>
          <w:tcPr>
            <w:tcW w:w="709" w:type="dxa"/>
          </w:tcPr>
          <w:p w14:paraId="19C17B95" w14:textId="07363944" w:rsidR="0058395A" w:rsidRPr="00A36A1B" w:rsidRDefault="00F40132" w:rsidP="00736F30">
            <w:pPr>
              <w:spacing w:line="276" w:lineRule="auto"/>
              <w:jc w:val="right"/>
              <w:rPr>
                <w:sz w:val="24"/>
                <w:szCs w:val="24"/>
              </w:rPr>
            </w:pPr>
            <w:r w:rsidRPr="00A36A1B">
              <w:rPr>
                <w:sz w:val="24"/>
                <w:szCs w:val="24"/>
              </w:rPr>
              <w:t>71</w:t>
            </w:r>
          </w:p>
        </w:tc>
      </w:tr>
      <w:tr w:rsidR="0058395A" w:rsidRPr="00A36A1B" w14:paraId="348DD8D3" w14:textId="77777777" w:rsidTr="00A36A1B">
        <w:tc>
          <w:tcPr>
            <w:tcW w:w="6946" w:type="dxa"/>
          </w:tcPr>
          <w:p w14:paraId="255126B1" w14:textId="74C92352" w:rsidR="0058395A" w:rsidRPr="00736F30" w:rsidRDefault="0058395A" w:rsidP="00736F30">
            <w:pPr>
              <w:spacing w:line="276" w:lineRule="auto"/>
              <w:rPr>
                <w:sz w:val="24"/>
                <w:szCs w:val="24"/>
              </w:rPr>
            </w:pPr>
            <w:r w:rsidRPr="00736F30">
              <w:rPr>
                <w:i/>
                <w:sz w:val="24"/>
                <w:szCs w:val="24"/>
              </w:rPr>
              <w:t xml:space="preserve">          Not all countries have FRAX models</w:t>
            </w:r>
          </w:p>
        </w:tc>
        <w:tc>
          <w:tcPr>
            <w:tcW w:w="283" w:type="dxa"/>
          </w:tcPr>
          <w:p w14:paraId="35462A3F" w14:textId="77777777" w:rsidR="0058395A" w:rsidRPr="00A36A1B" w:rsidRDefault="0058395A" w:rsidP="00736F30">
            <w:pPr>
              <w:spacing w:line="276" w:lineRule="auto"/>
              <w:rPr>
                <w:b/>
                <w:sz w:val="24"/>
                <w:szCs w:val="24"/>
              </w:rPr>
            </w:pPr>
          </w:p>
        </w:tc>
        <w:tc>
          <w:tcPr>
            <w:tcW w:w="709" w:type="dxa"/>
          </w:tcPr>
          <w:p w14:paraId="5FCF7379" w14:textId="463FACE3" w:rsidR="0058395A" w:rsidRPr="00A36A1B" w:rsidRDefault="00F40132" w:rsidP="00736F30">
            <w:pPr>
              <w:spacing w:line="276" w:lineRule="auto"/>
              <w:jc w:val="right"/>
              <w:rPr>
                <w:sz w:val="24"/>
                <w:szCs w:val="24"/>
              </w:rPr>
            </w:pPr>
            <w:r w:rsidRPr="00A36A1B">
              <w:rPr>
                <w:sz w:val="24"/>
                <w:szCs w:val="24"/>
              </w:rPr>
              <w:t>71</w:t>
            </w:r>
          </w:p>
        </w:tc>
      </w:tr>
      <w:tr w:rsidR="0058395A" w:rsidRPr="00A36A1B" w14:paraId="01B3DFF5" w14:textId="77777777" w:rsidTr="00A36A1B">
        <w:tc>
          <w:tcPr>
            <w:tcW w:w="6946" w:type="dxa"/>
          </w:tcPr>
          <w:p w14:paraId="6B1D9FFC" w14:textId="635D0602" w:rsidR="0058395A" w:rsidRPr="00736F30" w:rsidRDefault="0058395A" w:rsidP="00736F30">
            <w:pPr>
              <w:spacing w:line="276" w:lineRule="auto"/>
              <w:rPr>
                <w:sz w:val="24"/>
                <w:szCs w:val="24"/>
              </w:rPr>
            </w:pPr>
            <w:r w:rsidRPr="00736F30">
              <w:rPr>
                <w:i/>
                <w:sz w:val="24"/>
                <w:szCs w:val="24"/>
              </w:rPr>
              <w:t xml:space="preserve">          Efficacy in patients selected without BMD</w:t>
            </w:r>
          </w:p>
        </w:tc>
        <w:tc>
          <w:tcPr>
            <w:tcW w:w="283" w:type="dxa"/>
          </w:tcPr>
          <w:p w14:paraId="6A8F749D" w14:textId="77777777" w:rsidR="0058395A" w:rsidRPr="00A36A1B" w:rsidRDefault="0058395A" w:rsidP="00736F30">
            <w:pPr>
              <w:spacing w:line="276" w:lineRule="auto"/>
              <w:rPr>
                <w:b/>
                <w:sz w:val="24"/>
                <w:szCs w:val="24"/>
              </w:rPr>
            </w:pPr>
          </w:p>
        </w:tc>
        <w:tc>
          <w:tcPr>
            <w:tcW w:w="709" w:type="dxa"/>
          </w:tcPr>
          <w:p w14:paraId="1C79A4CC" w14:textId="13D84960" w:rsidR="0058395A" w:rsidRPr="00A36A1B" w:rsidRDefault="00F40132" w:rsidP="00736F30">
            <w:pPr>
              <w:spacing w:line="276" w:lineRule="auto"/>
              <w:jc w:val="right"/>
              <w:rPr>
                <w:sz w:val="24"/>
                <w:szCs w:val="24"/>
              </w:rPr>
            </w:pPr>
            <w:r w:rsidRPr="00A36A1B">
              <w:rPr>
                <w:sz w:val="24"/>
                <w:szCs w:val="24"/>
              </w:rPr>
              <w:t>72</w:t>
            </w:r>
          </w:p>
        </w:tc>
      </w:tr>
      <w:tr w:rsidR="0058395A" w:rsidRPr="00A36A1B" w14:paraId="18821AA1" w14:textId="77777777" w:rsidTr="00A36A1B">
        <w:tc>
          <w:tcPr>
            <w:tcW w:w="6946" w:type="dxa"/>
          </w:tcPr>
          <w:p w14:paraId="0E1E4A03" w14:textId="02BC796F" w:rsidR="0058395A" w:rsidRPr="00736F30" w:rsidRDefault="0058395A" w:rsidP="00736F30">
            <w:pPr>
              <w:spacing w:line="276" w:lineRule="auto"/>
              <w:rPr>
                <w:sz w:val="24"/>
                <w:szCs w:val="24"/>
              </w:rPr>
            </w:pPr>
            <w:r w:rsidRPr="00736F30">
              <w:rPr>
                <w:i/>
                <w:sz w:val="24"/>
                <w:szCs w:val="24"/>
              </w:rPr>
              <w:t xml:space="preserve">          Controlled trials</w:t>
            </w:r>
          </w:p>
        </w:tc>
        <w:tc>
          <w:tcPr>
            <w:tcW w:w="283" w:type="dxa"/>
          </w:tcPr>
          <w:p w14:paraId="3B0A209E" w14:textId="77777777" w:rsidR="0058395A" w:rsidRPr="00A36A1B" w:rsidRDefault="0058395A" w:rsidP="00736F30">
            <w:pPr>
              <w:spacing w:line="276" w:lineRule="auto"/>
              <w:rPr>
                <w:b/>
                <w:sz w:val="24"/>
                <w:szCs w:val="24"/>
              </w:rPr>
            </w:pPr>
          </w:p>
        </w:tc>
        <w:tc>
          <w:tcPr>
            <w:tcW w:w="709" w:type="dxa"/>
          </w:tcPr>
          <w:p w14:paraId="0E922AD6" w14:textId="6B83913C" w:rsidR="0058395A" w:rsidRPr="00A36A1B" w:rsidRDefault="00F40132" w:rsidP="00736F30">
            <w:pPr>
              <w:spacing w:line="276" w:lineRule="auto"/>
              <w:jc w:val="right"/>
              <w:rPr>
                <w:sz w:val="24"/>
                <w:szCs w:val="24"/>
              </w:rPr>
            </w:pPr>
            <w:r w:rsidRPr="00A36A1B">
              <w:rPr>
                <w:sz w:val="24"/>
                <w:szCs w:val="24"/>
              </w:rPr>
              <w:t>74</w:t>
            </w:r>
          </w:p>
        </w:tc>
      </w:tr>
      <w:tr w:rsidR="0058395A" w:rsidRPr="00A36A1B" w14:paraId="33BCB50C" w14:textId="77777777" w:rsidTr="00A36A1B">
        <w:tc>
          <w:tcPr>
            <w:tcW w:w="6946" w:type="dxa"/>
          </w:tcPr>
          <w:p w14:paraId="59853363" w14:textId="138B50B9" w:rsidR="0058395A" w:rsidRPr="00736F30" w:rsidRDefault="0058395A" w:rsidP="00736F30">
            <w:pPr>
              <w:spacing w:line="276" w:lineRule="auto"/>
              <w:rPr>
                <w:rFonts w:cs="Arial"/>
                <w:color w:val="000000"/>
                <w:sz w:val="24"/>
                <w:szCs w:val="24"/>
              </w:rPr>
            </w:pPr>
            <w:r w:rsidRPr="00736F30">
              <w:rPr>
                <w:i/>
                <w:sz w:val="24"/>
                <w:szCs w:val="24"/>
              </w:rPr>
              <w:t xml:space="preserve">          Age-dependent thresholds are ageist</w:t>
            </w:r>
          </w:p>
        </w:tc>
        <w:tc>
          <w:tcPr>
            <w:tcW w:w="283" w:type="dxa"/>
          </w:tcPr>
          <w:p w14:paraId="66114437" w14:textId="77777777" w:rsidR="0058395A" w:rsidRPr="00A36A1B" w:rsidRDefault="0058395A" w:rsidP="00736F30">
            <w:pPr>
              <w:spacing w:line="276" w:lineRule="auto"/>
              <w:rPr>
                <w:b/>
                <w:sz w:val="24"/>
                <w:szCs w:val="24"/>
              </w:rPr>
            </w:pPr>
          </w:p>
        </w:tc>
        <w:tc>
          <w:tcPr>
            <w:tcW w:w="709" w:type="dxa"/>
          </w:tcPr>
          <w:p w14:paraId="3F72D75C" w14:textId="31678ED4" w:rsidR="0058395A" w:rsidRPr="00A36A1B" w:rsidRDefault="00F40132" w:rsidP="00736F30">
            <w:pPr>
              <w:spacing w:line="276" w:lineRule="auto"/>
              <w:jc w:val="right"/>
              <w:rPr>
                <w:sz w:val="24"/>
                <w:szCs w:val="24"/>
              </w:rPr>
            </w:pPr>
            <w:r w:rsidRPr="00A36A1B">
              <w:rPr>
                <w:sz w:val="24"/>
                <w:szCs w:val="24"/>
              </w:rPr>
              <w:t>74</w:t>
            </w:r>
          </w:p>
        </w:tc>
      </w:tr>
      <w:tr w:rsidR="0058395A" w:rsidRPr="00A36A1B" w14:paraId="0F7FD169" w14:textId="77777777" w:rsidTr="00A36A1B">
        <w:tc>
          <w:tcPr>
            <w:tcW w:w="6946" w:type="dxa"/>
          </w:tcPr>
          <w:p w14:paraId="19BCCE57" w14:textId="62A481EE" w:rsidR="0058395A" w:rsidRPr="00736F30" w:rsidRDefault="0058395A" w:rsidP="00736F30">
            <w:pPr>
              <w:spacing w:line="276" w:lineRule="auto"/>
              <w:rPr>
                <w:rFonts w:cs="Arial"/>
                <w:color w:val="000000"/>
                <w:sz w:val="24"/>
                <w:szCs w:val="24"/>
              </w:rPr>
            </w:pPr>
            <w:r w:rsidRPr="00736F30">
              <w:rPr>
                <w:i/>
                <w:sz w:val="24"/>
                <w:szCs w:val="24"/>
              </w:rPr>
              <w:t xml:space="preserve">          Inequity across countries</w:t>
            </w:r>
          </w:p>
        </w:tc>
        <w:tc>
          <w:tcPr>
            <w:tcW w:w="283" w:type="dxa"/>
          </w:tcPr>
          <w:p w14:paraId="7B44B133" w14:textId="77777777" w:rsidR="0058395A" w:rsidRPr="00A36A1B" w:rsidRDefault="0058395A" w:rsidP="00736F30">
            <w:pPr>
              <w:spacing w:line="276" w:lineRule="auto"/>
              <w:rPr>
                <w:b/>
                <w:sz w:val="24"/>
                <w:szCs w:val="24"/>
              </w:rPr>
            </w:pPr>
          </w:p>
        </w:tc>
        <w:tc>
          <w:tcPr>
            <w:tcW w:w="709" w:type="dxa"/>
          </w:tcPr>
          <w:p w14:paraId="154EEA51" w14:textId="6CDF215F" w:rsidR="0058395A" w:rsidRPr="00A36A1B" w:rsidRDefault="00F40132" w:rsidP="00736F30">
            <w:pPr>
              <w:spacing w:line="276" w:lineRule="auto"/>
              <w:jc w:val="right"/>
              <w:rPr>
                <w:sz w:val="24"/>
                <w:szCs w:val="24"/>
              </w:rPr>
            </w:pPr>
            <w:r w:rsidRPr="00A36A1B">
              <w:rPr>
                <w:sz w:val="24"/>
                <w:szCs w:val="24"/>
              </w:rPr>
              <w:t>74</w:t>
            </w:r>
          </w:p>
        </w:tc>
      </w:tr>
      <w:tr w:rsidR="0058395A" w:rsidRPr="00A36A1B" w14:paraId="7A428B53" w14:textId="77777777" w:rsidTr="00A36A1B">
        <w:tc>
          <w:tcPr>
            <w:tcW w:w="6946" w:type="dxa"/>
          </w:tcPr>
          <w:p w14:paraId="50CD0758" w14:textId="5C196532" w:rsidR="0058395A" w:rsidRPr="00736F30" w:rsidRDefault="0058395A" w:rsidP="00736F30">
            <w:pPr>
              <w:spacing w:line="276" w:lineRule="auto"/>
              <w:rPr>
                <w:i/>
                <w:sz w:val="24"/>
                <w:szCs w:val="24"/>
              </w:rPr>
            </w:pPr>
            <w:r w:rsidRPr="00736F30">
              <w:rPr>
                <w:i/>
                <w:sz w:val="24"/>
                <w:szCs w:val="24"/>
              </w:rPr>
              <w:t xml:space="preserve">          Sensitivity of NOGG in subgroups</w:t>
            </w:r>
          </w:p>
        </w:tc>
        <w:tc>
          <w:tcPr>
            <w:tcW w:w="283" w:type="dxa"/>
          </w:tcPr>
          <w:p w14:paraId="649F9B06" w14:textId="77777777" w:rsidR="0058395A" w:rsidRPr="00A36A1B" w:rsidRDefault="0058395A" w:rsidP="00736F30">
            <w:pPr>
              <w:spacing w:line="276" w:lineRule="auto"/>
              <w:rPr>
                <w:b/>
                <w:sz w:val="24"/>
                <w:szCs w:val="24"/>
              </w:rPr>
            </w:pPr>
          </w:p>
        </w:tc>
        <w:tc>
          <w:tcPr>
            <w:tcW w:w="709" w:type="dxa"/>
          </w:tcPr>
          <w:p w14:paraId="5A0B3023" w14:textId="5423CBD7" w:rsidR="0058395A" w:rsidRPr="00A36A1B" w:rsidRDefault="00A36A1B" w:rsidP="00736F30">
            <w:pPr>
              <w:spacing w:line="276" w:lineRule="auto"/>
              <w:jc w:val="right"/>
              <w:rPr>
                <w:sz w:val="24"/>
                <w:szCs w:val="24"/>
              </w:rPr>
            </w:pPr>
            <w:r w:rsidRPr="00A36A1B">
              <w:rPr>
                <w:sz w:val="24"/>
                <w:szCs w:val="24"/>
              </w:rPr>
              <w:t>75</w:t>
            </w:r>
          </w:p>
        </w:tc>
      </w:tr>
      <w:tr w:rsidR="0058395A" w:rsidRPr="00A36A1B" w14:paraId="1033741E" w14:textId="77777777" w:rsidTr="00A36A1B">
        <w:tc>
          <w:tcPr>
            <w:tcW w:w="6946" w:type="dxa"/>
          </w:tcPr>
          <w:p w14:paraId="41DC772C" w14:textId="7C70A860" w:rsidR="0058395A" w:rsidRPr="00A36A1B" w:rsidRDefault="0058395A" w:rsidP="0058395A">
            <w:pPr>
              <w:spacing w:line="276" w:lineRule="auto"/>
              <w:rPr>
                <w:b/>
                <w:i/>
                <w:sz w:val="24"/>
                <w:szCs w:val="24"/>
              </w:rPr>
            </w:pPr>
            <w:r w:rsidRPr="00A36A1B">
              <w:rPr>
                <w:b/>
                <w:sz w:val="24"/>
                <w:szCs w:val="24"/>
              </w:rPr>
              <w:t xml:space="preserve">     Acknowledgements</w:t>
            </w:r>
          </w:p>
        </w:tc>
        <w:tc>
          <w:tcPr>
            <w:tcW w:w="283" w:type="dxa"/>
          </w:tcPr>
          <w:p w14:paraId="41D4A435" w14:textId="77777777" w:rsidR="0058395A" w:rsidRPr="00A36A1B" w:rsidRDefault="0058395A" w:rsidP="0058395A">
            <w:pPr>
              <w:spacing w:line="276" w:lineRule="auto"/>
              <w:rPr>
                <w:b/>
                <w:sz w:val="24"/>
                <w:szCs w:val="24"/>
              </w:rPr>
            </w:pPr>
          </w:p>
        </w:tc>
        <w:tc>
          <w:tcPr>
            <w:tcW w:w="709" w:type="dxa"/>
          </w:tcPr>
          <w:p w14:paraId="15AC5B33" w14:textId="7C4FCFBE" w:rsidR="0058395A" w:rsidRPr="00A36A1B" w:rsidRDefault="00A36A1B" w:rsidP="0058395A">
            <w:pPr>
              <w:spacing w:line="276" w:lineRule="auto"/>
              <w:jc w:val="right"/>
              <w:rPr>
                <w:sz w:val="24"/>
                <w:szCs w:val="24"/>
              </w:rPr>
            </w:pPr>
            <w:r w:rsidRPr="00A36A1B">
              <w:rPr>
                <w:sz w:val="24"/>
                <w:szCs w:val="24"/>
              </w:rPr>
              <w:t>76</w:t>
            </w:r>
          </w:p>
        </w:tc>
      </w:tr>
      <w:tr w:rsidR="0058395A" w:rsidRPr="00A36A1B" w14:paraId="71AA72CC" w14:textId="77777777" w:rsidTr="00A36A1B">
        <w:tc>
          <w:tcPr>
            <w:tcW w:w="6946" w:type="dxa"/>
          </w:tcPr>
          <w:p w14:paraId="272E70F8" w14:textId="39869E38" w:rsidR="0058395A" w:rsidRPr="00A36A1B" w:rsidRDefault="0058395A" w:rsidP="0058395A">
            <w:pPr>
              <w:spacing w:line="276" w:lineRule="auto"/>
              <w:rPr>
                <w:b/>
                <w:sz w:val="24"/>
                <w:szCs w:val="24"/>
              </w:rPr>
            </w:pPr>
            <w:r w:rsidRPr="00A36A1B">
              <w:rPr>
                <w:b/>
                <w:sz w:val="24"/>
                <w:szCs w:val="24"/>
              </w:rPr>
              <w:t xml:space="preserve">     Competing interests</w:t>
            </w:r>
          </w:p>
        </w:tc>
        <w:tc>
          <w:tcPr>
            <w:tcW w:w="283" w:type="dxa"/>
          </w:tcPr>
          <w:p w14:paraId="3BB0A34D" w14:textId="77777777" w:rsidR="0058395A" w:rsidRPr="00A36A1B" w:rsidRDefault="0058395A" w:rsidP="0058395A">
            <w:pPr>
              <w:spacing w:line="276" w:lineRule="auto"/>
              <w:rPr>
                <w:b/>
                <w:sz w:val="24"/>
                <w:szCs w:val="24"/>
              </w:rPr>
            </w:pPr>
          </w:p>
        </w:tc>
        <w:tc>
          <w:tcPr>
            <w:tcW w:w="709" w:type="dxa"/>
          </w:tcPr>
          <w:p w14:paraId="02758636" w14:textId="1CE1A7A8" w:rsidR="0058395A" w:rsidRPr="00A36A1B" w:rsidRDefault="00A36A1B" w:rsidP="0058395A">
            <w:pPr>
              <w:spacing w:line="276" w:lineRule="auto"/>
              <w:jc w:val="right"/>
              <w:rPr>
                <w:sz w:val="24"/>
                <w:szCs w:val="24"/>
              </w:rPr>
            </w:pPr>
            <w:r w:rsidRPr="00A36A1B">
              <w:rPr>
                <w:sz w:val="24"/>
                <w:szCs w:val="24"/>
              </w:rPr>
              <w:t>76</w:t>
            </w:r>
          </w:p>
        </w:tc>
      </w:tr>
      <w:tr w:rsidR="0058395A" w:rsidRPr="00A36A1B" w14:paraId="16A66438" w14:textId="77777777" w:rsidTr="00A36A1B">
        <w:tc>
          <w:tcPr>
            <w:tcW w:w="6946" w:type="dxa"/>
          </w:tcPr>
          <w:p w14:paraId="06E9E346" w14:textId="5FF01316" w:rsidR="0058395A" w:rsidRPr="00A36A1B" w:rsidRDefault="0058395A" w:rsidP="0058395A">
            <w:pPr>
              <w:spacing w:line="276" w:lineRule="auto"/>
              <w:rPr>
                <w:b/>
                <w:i/>
                <w:sz w:val="24"/>
                <w:szCs w:val="24"/>
              </w:rPr>
            </w:pPr>
            <w:r w:rsidRPr="00A36A1B">
              <w:rPr>
                <w:b/>
                <w:sz w:val="28"/>
                <w:szCs w:val="28"/>
              </w:rPr>
              <w:t>References</w:t>
            </w:r>
          </w:p>
        </w:tc>
        <w:tc>
          <w:tcPr>
            <w:tcW w:w="283" w:type="dxa"/>
          </w:tcPr>
          <w:p w14:paraId="55C0A668" w14:textId="77777777" w:rsidR="0058395A" w:rsidRPr="00A36A1B" w:rsidRDefault="0058395A" w:rsidP="0058395A">
            <w:pPr>
              <w:spacing w:line="276" w:lineRule="auto"/>
              <w:rPr>
                <w:b/>
                <w:sz w:val="24"/>
                <w:szCs w:val="24"/>
              </w:rPr>
            </w:pPr>
          </w:p>
        </w:tc>
        <w:tc>
          <w:tcPr>
            <w:tcW w:w="709" w:type="dxa"/>
          </w:tcPr>
          <w:p w14:paraId="5ABCC38A" w14:textId="79B01CD2" w:rsidR="0058395A" w:rsidRPr="00A36A1B" w:rsidRDefault="0058395A" w:rsidP="00A36A1B">
            <w:pPr>
              <w:spacing w:line="276" w:lineRule="auto"/>
              <w:jc w:val="right"/>
              <w:rPr>
                <w:sz w:val="24"/>
                <w:szCs w:val="24"/>
              </w:rPr>
            </w:pPr>
            <w:r w:rsidRPr="00A36A1B">
              <w:rPr>
                <w:sz w:val="24"/>
                <w:szCs w:val="24"/>
              </w:rPr>
              <w:t>7</w:t>
            </w:r>
            <w:r w:rsidR="00A36A1B" w:rsidRPr="00A36A1B">
              <w:rPr>
                <w:sz w:val="24"/>
                <w:szCs w:val="24"/>
              </w:rPr>
              <w:t>7</w:t>
            </w:r>
          </w:p>
        </w:tc>
      </w:tr>
      <w:tr w:rsidR="0058395A" w:rsidRPr="00A36A1B" w14:paraId="6B4A9835" w14:textId="77777777" w:rsidTr="00A36A1B">
        <w:tc>
          <w:tcPr>
            <w:tcW w:w="6946" w:type="dxa"/>
          </w:tcPr>
          <w:p w14:paraId="0AA38C79" w14:textId="4FF07D98" w:rsidR="0058395A" w:rsidRPr="00A36A1B" w:rsidRDefault="0058395A" w:rsidP="0058395A">
            <w:pPr>
              <w:spacing w:line="276" w:lineRule="auto"/>
              <w:rPr>
                <w:b/>
                <w:sz w:val="28"/>
                <w:szCs w:val="28"/>
              </w:rPr>
            </w:pPr>
            <w:r w:rsidRPr="00A36A1B">
              <w:rPr>
                <w:b/>
                <w:sz w:val="28"/>
                <w:szCs w:val="28"/>
              </w:rPr>
              <w:t>Abbreviations and glossary</w:t>
            </w:r>
          </w:p>
        </w:tc>
        <w:tc>
          <w:tcPr>
            <w:tcW w:w="283" w:type="dxa"/>
          </w:tcPr>
          <w:p w14:paraId="3F50A658" w14:textId="77777777" w:rsidR="0058395A" w:rsidRPr="00A36A1B" w:rsidRDefault="0058395A" w:rsidP="0058395A">
            <w:pPr>
              <w:spacing w:line="276" w:lineRule="auto"/>
              <w:rPr>
                <w:b/>
                <w:sz w:val="24"/>
                <w:szCs w:val="24"/>
              </w:rPr>
            </w:pPr>
          </w:p>
        </w:tc>
        <w:tc>
          <w:tcPr>
            <w:tcW w:w="709" w:type="dxa"/>
          </w:tcPr>
          <w:p w14:paraId="140A5424" w14:textId="07628F06" w:rsidR="0058395A" w:rsidRPr="00A36A1B" w:rsidRDefault="0058395A" w:rsidP="00A36A1B">
            <w:pPr>
              <w:spacing w:line="276" w:lineRule="auto"/>
              <w:jc w:val="right"/>
              <w:rPr>
                <w:sz w:val="24"/>
                <w:szCs w:val="24"/>
              </w:rPr>
            </w:pPr>
            <w:r w:rsidRPr="00A36A1B">
              <w:rPr>
                <w:sz w:val="24"/>
                <w:szCs w:val="24"/>
              </w:rPr>
              <w:t>9</w:t>
            </w:r>
            <w:r w:rsidR="00A36A1B" w:rsidRPr="00A36A1B">
              <w:rPr>
                <w:sz w:val="24"/>
                <w:szCs w:val="24"/>
              </w:rPr>
              <w:t>3</w:t>
            </w:r>
          </w:p>
        </w:tc>
      </w:tr>
      <w:tr w:rsidR="008107BE" w:rsidRPr="00A36A1B" w14:paraId="5E1F3F58" w14:textId="77777777" w:rsidTr="00A36A1B">
        <w:tc>
          <w:tcPr>
            <w:tcW w:w="6946" w:type="dxa"/>
          </w:tcPr>
          <w:p w14:paraId="5E364EAE" w14:textId="0D94DF64" w:rsidR="008107BE" w:rsidRPr="00A36A1B" w:rsidRDefault="008107BE" w:rsidP="0058395A">
            <w:pPr>
              <w:spacing w:line="276" w:lineRule="auto"/>
              <w:rPr>
                <w:b/>
                <w:sz w:val="28"/>
                <w:szCs w:val="28"/>
              </w:rPr>
            </w:pPr>
            <w:r>
              <w:rPr>
                <w:b/>
                <w:sz w:val="28"/>
                <w:szCs w:val="28"/>
              </w:rPr>
              <w:t xml:space="preserve">Appendix </w:t>
            </w:r>
            <w:r w:rsidRPr="00DD632B">
              <w:rPr>
                <w:sz w:val="24"/>
                <w:szCs w:val="24"/>
              </w:rPr>
              <w:t>Redundant references from systematic search</w:t>
            </w:r>
          </w:p>
        </w:tc>
        <w:tc>
          <w:tcPr>
            <w:tcW w:w="283" w:type="dxa"/>
          </w:tcPr>
          <w:p w14:paraId="64756105" w14:textId="77777777" w:rsidR="008107BE" w:rsidRPr="00A36A1B" w:rsidRDefault="008107BE" w:rsidP="0058395A">
            <w:pPr>
              <w:spacing w:line="276" w:lineRule="auto"/>
              <w:rPr>
                <w:b/>
                <w:sz w:val="24"/>
                <w:szCs w:val="24"/>
              </w:rPr>
            </w:pPr>
          </w:p>
        </w:tc>
        <w:tc>
          <w:tcPr>
            <w:tcW w:w="709" w:type="dxa"/>
          </w:tcPr>
          <w:p w14:paraId="0617E7AB" w14:textId="35BD4C86" w:rsidR="008107BE" w:rsidRPr="00A36A1B" w:rsidRDefault="008107BE" w:rsidP="000E3DA7">
            <w:pPr>
              <w:spacing w:line="276" w:lineRule="auto"/>
              <w:jc w:val="right"/>
              <w:rPr>
                <w:sz w:val="24"/>
                <w:szCs w:val="24"/>
              </w:rPr>
            </w:pPr>
            <w:r>
              <w:rPr>
                <w:sz w:val="24"/>
                <w:szCs w:val="24"/>
              </w:rPr>
              <w:t>9</w:t>
            </w:r>
            <w:r w:rsidR="000E3DA7">
              <w:rPr>
                <w:sz w:val="24"/>
                <w:szCs w:val="24"/>
              </w:rPr>
              <w:t>5</w:t>
            </w:r>
          </w:p>
        </w:tc>
      </w:tr>
    </w:tbl>
    <w:p w14:paraId="3D77DC32" w14:textId="77777777" w:rsidR="0004208C" w:rsidRPr="00DB1D7C" w:rsidRDefault="0004208C" w:rsidP="008819A0">
      <w:pPr>
        <w:rPr>
          <w:rFonts w:ascii="Calibri" w:hAnsi="Calibri"/>
          <w:b/>
          <w:sz w:val="24"/>
          <w:szCs w:val="24"/>
        </w:rPr>
      </w:pPr>
    </w:p>
    <w:p w14:paraId="353D6A3F" w14:textId="77777777" w:rsidR="00B4123C" w:rsidRPr="00DB1D7C" w:rsidRDefault="00B4123C">
      <w:pPr>
        <w:rPr>
          <w:rFonts w:ascii="Calibri" w:hAnsi="Calibri"/>
          <w:b/>
          <w:sz w:val="24"/>
          <w:szCs w:val="24"/>
        </w:rPr>
      </w:pPr>
      <w:r w:rsidRPr="00DB1D7C">
        <w:rPr>
          <w:rFonts w:ascii="Calibri" w:hAnsi="Calibri"/>
          <w:b/>
          <w:sz w:val="24"/>
          <w:szCs w:val="24"/>
        </w:rPr>
        <w:br w:type="page"/>
      </w:r>
    </w:p>
    <w:p w14:paraId="0A2B68D7" w14:textId="302FCFA3" w:rsidR="008819A0" w:rsidRPr="00DB1D7C" w:rsidRDefault="008819A0" w:rsidP="008819A0">
      <w:pPr>
        <w:rPr>
          <w:rFonts w:ascii="Calibri" w:hAnsi="Calibri"/>
          <w:b/>
          <w:sz w:val="28"/>
          <w:szCs w:val="28"/>
        </w:rPr>
      </w:pPr>
      <w:r w:rsidRPr="00DB1D7C">
        <w:rPr>
          <w:rFonts w:ascii="Calibri" w:hAnsi="Calibri"/>
          <w:b/>
          <w:sz w:val="28"/>
          <w:szCs w:val="28"/>
        </w:rPr>
        <w:lastRenderedPageBreak/>
        <w:t>Executive summary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977DDA" w:rsidRPr="00DB1D7C" w14:paraId="3C4011F4" w14:textId="77777777" w:rsidTr="00977DDA">
        <w:tc>
          <w:tcPr>
            <w:tcW w:w="562" w:type="dxa"/>
          </w:tcPr>
          <w:p w14:paraId="36F9C0CD" w14:textId="77777777" w:rsidR="00977DDA" w:rsidRPr="00DB1D7C" w:rsidRDefault="00977DDA" w:rsidP="00977DDA">
            <w:pPr>
              <w:spacing w:before="240" w:line="276" w:lineRule="auto"/>
              <w:jc w:val="right"/>
            </w:pPr>
            <w:r w:rsidRPr="00DB1D7C">
              <w:t>1.</w:t>
            </w:r>
          </w:p>
        </w:tc>
        <w:tc>
          <w:tcPr>
            <w:tcW w:w="8454" w:type="dxa"/>
          </w:tcPr>
          <w:p w14:paraId="266643B4" w14:textId="5C06ED84" w:rsidR="00977DDA" w:rsidRPr="00DB1D7C" w:rsidRDefault="00234E19" w:rsidP="00F15ACA">
            <w:pPr>
              <w:spacing w:before="240" w:line="276" w:lineRule="auto"/>
            </w:pPr>
            <w:r>
              <w:t>A</w:t>
            </w:r>
            <w:r w:rsidRPr="00234E19">
              <w:t>ccording to</w:t>
            </w:r>
            <w:r w:rsidR="00F15ACA">
              <w:t xml:space="preserve"> most</w:t>
            </w:r>
            <w:r w:rsidRPr="00234E19">
              <w:t xml:space="preserve"> current guidelines</w:t>
            </w:r>
            <w:r>
              <w:t>,</w:t>
            </w:r>
            <w:r w:rsidRPr="00234E19">
              <w:t xml:space="preserve"> treatment</w:t>
            </w:r>
            <w:r>
              <w:t xml:space="preserve"> for osteoporosis is recommended in i</w:t>
            </w:r>
            <w:r w:rsidR="00977DDA" w:rsidRPr="00DB1D7C">
              <w:t>ndividuals with prior</w:t>
            </w:r>
            <w:r>
              <w:t xml:space="preserve"> fragility</w:t>
            </w:r>
            <w:r w:rsidR="00977DDA" w:rsidRPr="00DB1D7C">
              <w:t xml:space="preserve"> fractures, especially fractures at spine and hip</w:t>
            </w:r>
            <w:r>
              <w:t xml:space="preserve">. </w:t>
            </w:r>
            <w:r w:rsidR="00977DDA" w:rsidRPr="00DB1D7C">
              <w:t xml:space="preserve"> However, for those without prior fractures, the intervention thresholds can be derived using different methods.</w:t>
            </w:r>
          </w:p>
        </w:tc>
      </w:tr>
      <w:tr w:rsidR="00977DDA" w:rsidRPr="00DB1D7C" w14:paraId="0A77A510" w14:textId="77777777" w:rsidTr="00977DDA">
        <w:tc>
          <w:tcPr>
            <w:tcW w:w="562" w:type="dxa"/>
          </w:tcPr>
          <w:p w14:paraId="00FD9503" w14:textId="77777777" w:rsidR="00977DDA" w:rsidRPr="00DB1D7C" w:rsidRDefault="00977DDA" w:rsidP="00977DDA">
            <w:pPr>
              <w:spacing w:before="240" w:line="276" w:lineRule="auto"/>
              <w:jc w:val="right"/>
            </w:pPr>
            <w:r w:rsidRPr="00DB1D7C">
              <w:t>2.</w:t>
            </w:r>
          </w:p>
        </w:tc>
        <w:tc>
          <w:tcPr>
            <w:tcW w:w="8454" w:type="dxa"/>
          </w:tcPr>
          <w:p w14:paraId="1B4A3FA0" w14:textId="77777777" w:rsidR="00977DDA" w:rsidRPr="00DB1D7C" w:rsidRDefault="00977DDA" w:rsidP="00977DDA">
            <w:pPr>
              <w:spacing w:before="240" w:line="276" w:lineRule="auto"/>
            </w:pPr>
            <w:r w:rsidRPr="00DB1D7C">
              <w:t>FRAX is a tool designed for primary care and developed by the WHO for the calculation of the 10-year probability of hip fracture and a major osteoporotic fracture from readily assessed clinical risk factors.  Bone mineral density can be optionally entered to improve its accuracy.</w:t>
            </w:r>
          </w:p>
        </w:tc>
      </w:tr>
      <w:tr w:rsidR="00977DDA" w:rsidRPr="00DB1D7C" w14:paraId="7E03642D" w14:textId="77777777" w:rsidTr="00977DDA">
        <w:tc>
          <w:tcPr>
            <w:tcW w:w="562" w:type="dxa"/>
          </w:tcPr>
          <w:p w14:paraId="2B03FDD0" w14:textId="77777777" w:rsidR="00977DDA" w:rsidRPr="00DB1D7C" w:rsidRDefault="00977DDA" w:rsidP="00977DDA">
            <w:pPr>
              <w:spacing w:before="240" w:line="276" w:lineRule="auto"/>
              <w:jc w:val="right"/>
            </w:pPr>
            <w:r w:rsidRPr="00DB1D7C">
              <w:t>3.</w:t>
            </w:r>
          </w:p>
        </w:tc>
        <w:tc>
          <w:tcPr>
            <w:tcW w:w="8454" w:type="dxa"/>
          </w:tcPr>
          <w:p w14:paraId="532CF016" w14:textId="2C0D05FA" w:rsidR="00977DDA" w:rsidRPr="00DB1D7C" w:rsidRDefault="00977DDA" w:rsidP="00977DDA">
            <w:pPr>
              <w:spacing w:before="240" w:line="276" w:lineRule="auto"/>
            </w:pPr>
            <w:r w:rsidRPr="00DB1D7C">
              <w:t xml:space="preserve">The general aims </w:t>
            </w:r>
            <w:r w:rsidR="00234E19">
              <w:t xml:space="preserve">of this report </w:t>
            </w:r>
            <w:r w:rsidRPr="00DB1D7C">
              <w:t>were to review the available information on the use of FRAX in assessment guidelines, in particular the setting of thresholds and their validation.</w:t>
            </w:r>
          </w:p>
        </w:tc>
      </w:tr>
      <w:tr w:rsidR="00977DDA" w:rsidRPr="00DB1D7C" w14:paraId="1094848A" w14:textId="77777777" w:rsidTr="00977DDA">
        <w:tc>
          <w:tcPr>
            <w:tcW w:w="562" w:type="dxa"/>
          </w:tcPr>
          <w:p w14:paraId="63271552" w14:textId="77777777" w:rsidR="00977DDA" w:rsidRPr="00DB1D7C" w:rsidRDefault="00977DDA" w:rsidP="00977DDA">
            <w:pPr>
              <w:spacing w:before="240" w:line="276" w:lineRule="auto"/>
              <w:jc w:val="right"/>
            </w:pPr>
            <w:r w:rsidRPr="00DB1D7C">
              <w:t>4.</w:t>
            </w:r>
          </w:p>
        </w:tc>
        <w:tc>
          <w:tcPr>
            <w:tcW w:w="8454" w:type="dxa"/>
          </w:tcPr>
          <w:p w14:paraId="6D69D81B" w14:textId="22299FEF" w:rsidR="00977DDA" w:rsidRPr="00DB1D7C" w:rsidRDefault="00977DDA" w:rsidP="00944F07">
            <w:pPr>
              <w:spacing w:before="240" w:line="276" w:lineRule="auto"/>
            </w:pPr>
            <w:r w:rsidRPr="00DB1D7C">
              <w:t xml:space="preserve">A systematic search identified </w:t>
            </w:r>
            <w:r w:rsidR="00944F07">
              <w:t>435</w:t>
            </w:r>
            <w:r w:rsidRPr="00DB1D7C">
              <w:t xml:space="preserve"> </w:t>
            </w:r>
            <w:r w:rsidR="00944F07">
              <w:t>citations</w:t>
            </w:r>
            <w:r w:rsidRPr="00DB1D7C">
              <w:t xml:space="preserve"> from which </w:t>
            </w:r>
            <w:r w:rsidR="00944F07">
              <w:t>307</w:t>
            </w:r>
            <w:r w:rsidRPr="00DB1D7C">
              <w:t xml:space="preserve"> full publications were read and from which </w:t>
            </w:r>
            <w:r w:rsidR="00944F07">
              <w:t>231</w:t>
            </w:r>
            <w:r w:rsidRPr="00DB1D7C">
              <w:t xml:space="preserve"> were included in this report.  </w:t>
            </w:r>
          </w:p>
        </w:tc>
      </w:tr>
      <w:tr w:rsidR="00977DDA" w:rsidRPr="00DB1D7C" w14:paraId="16522CDD" w14:textId="77777777" w:rsidTr="00977DDA">
        <w:tc>
          <w:tcPr>
            <w:tcW w:w="562" w:type="dxa"/>
          </w:tcPr>
          <w:p w14:paraId="2CAD5802" w14:textId="77777777" w:rsidR="00977DDA" w:rsidRPr="00DB1D7C" w:rsidRDefault="00977DDA" w:rsidP="00977DDA">
            <w:pPr>
              <w:spacing w:before="240" w:line="276" w:lineRule="auto"/>
              <w:jc w:val="right"/>
            </w:pPr>
            <w:r w:rsidRPr="00DB1D7C">
              <w:t>5.</w:t>
            </w:r>
          </w:p>
        </w:tc>
        <w:tc>
          <w:tcPr>
            <w:tcW w:w="8454" w:type="dxa"/>
          </w:tcPr>
          <w:p w14:paraId="11160F35" w14:textId="29EAAEB2" w:rsidR="00977DDA" w:rsidRPr="00DB1D7C" w:rsidRDefault="00977DDA" w:rsidP="00AB0EAE">
            <w:pPr>
              <w:spacing w:before="240" w:line="276" w:lineRule="auto"/>
            </w:pPr>
            <w:r w:rsidRPr="00DB1D7C">
              <w:t xml:space="preserve">The widespread uptake and availability of FRAX, during a time of transition since its launch in 2008, has resulted its inclusion in many guidelines.  </w:t>
            </w:r>
            <w:r w:rsidR="00AB0EAE">
              <w:t>We</w:t>
            </w:r>
            <w:r w:rsidRPr="00DB1D7C">
              <w:t xml:space="preserve"> </w:t>
            </w:r>
            <w:r w:rsidRPr="00AB0EAE">
              <w:t xml:space="preserve">identified </w:t>
            </w:r>
            <w:r w:rsidR="00AB0EAE" w:rsidRPr="00AB0EAE">
              <w:t>120</w:t>
            </w:r>
            <w:r w:rsidRPr="00AB0EAE">
              <w:t xml:space="preserve"> guidelines</w:t>
            </w:r>
            <w:r w:rsidRPr="00DB1D7C">
              <w:t xml:space="preserve"> or academic papers that </w:t>
            </w:r>
            <w:r w:rsidR="00AB0EAE">
              <w:t xml:space="preserve">included FRAX.  However, 38 </w:t>
            </w:r>
            <w:r w:rsidRPr="00DB1D7C">
              <w:t xml:space="preserve">provided no clear statement on how the fracture probabilities derived are to be used in decision-making in clinical practice. </w:t>
            </w:r>
          </w:p>
        </w:tc>
      </w:tr>
      <w:tr w:rsidR="00977DDA" w:rsidRPr="00DB1D7C" w14:paraId="5D83236E" w14:textId="77777777" w:rsidTr="00977DDA">
        <w:tc>
          <w:tcPr>
            <w:tcW w:w="562" w:type="dxa"/>
          </w:tcPr>
          <w:p w14:paraId="698FCE22" w14:textId="77777777" w:rsidR="00977DDA" w:rsidRPr="00DB1D7C" w:rsidRDefault="00977DDA" w:rsidP="00977DDA">
            <w:pPr>
              <w:spacing w:before="240" w:line="276" w:lineRule="auto"/>
              <w:jc w:val="right"/>
            </w:pPr>
            <w:r w:rsidRPr="00DB1D7C">
              <w:t>6.</w:t>
            </w:r>
          </w:p>
        </w:tc>
        <w:tc>
          <w:tcPr>
            <w:tcW w:w="8454" w:type="dxa"/>
          </w:tcPr>
          <w:p w14:paraId="4CE3E2DD" w14:textId="02BE0C85" w:rsidR="00977DDA" w:rsidRPr="00DB1D7C" w:rsidRDefault="00977DDA" w:rsidP="00C719AE">
            <w:pPr>
              <w:spacing w:before="240" w:line="276" w:lineRule="auto"/>
            </w:pPr>
            <w:r w:rsidRPr="00DB1D7C">
              <w:rPr>
                <w:rFonts w:ascii="Calibri" w:hAnsi="Calibri"/>
              </w:rPr>
              <w:t>Two broad approaches have been used to develop intervention threshold</w:t>
            </w:r>
            <w:r w:rsidR="00F16EDA">
              <w:rPr>
                <w:rFonts w:ascii="Calibri" w:hAnsi="Calibri"/>
              </w:rPr>
              <w:t>s</w:t>
            </w:r>
            <w:r w:rsidRPr="00DB1D7C">
              <w:rPr>
                <w:rFonts w:ascii="Calibri" w:hAnsi="Calibri"/>
              </w:rPr>
              <w:t xml:space="preserve"> with FRAX. The first was to determine a </w:t>
            </w:r>
            <w:r w:rsidRPr="00DB1D7C">
              <w:rPr>
                <w:rFonts w:ascii="Calibri" w:hAnsi="Calibri"/>
                <w:i/>
              </w:rPr>
              <w:t>fixed threshold</w:t>
            </w:r>
            <w:r w:rsidRPr="00DB1D7C">
              <w:rPr>
                <w:rFonts w:ascii="Calibri" w:hAnsi="Calibri"/>
              </w:rPr>
              <w:t xml:space="preserve"> probability that could be applied to men and women, irrespective of age.  The second approach was to use </w:t>
            </w:r>
            <w:r w:rsidRPr="00DB1D7C">
              <w:rPr>
                <w:rFonts w:ascii="Calibri" w:hAnsi="Calibri"/>
                <w:i/>
              </w:rPr>
              <w:t xml:space="preserve">age-dependent thresholds </w:t>
            </w:r>
            <w:r w:rsidRPr="00DB1D7C">
              <w:rPr>
                <w:rFonts w:ascii="Calibri" w:hAnsi="Calibri"/>
              </w:rPr>
              <w:t xml:space="preserve">where the fracture probability at which treatment was recommended was age specific.  Also, two guidelines </w:t>
            </w:r>
            <w:r w:rsidR="00C719AE" w:rsidRPr="00DB1D7C">
              <w:rPr>
                <w:rFonts w:ascii="Calibri" w:hAnsi="Calibri"/>
              </w:rPr>
              <w:t>have</w:t>
            </w:r>
            <w:r w:rsidRPr="00DB1D7C">
              <w:rPr>
                <w:rFonts w:ascii="Calibri" w:hAnsi="Calibri"/>
              </w:rPr>
              <w:t xml:space="preserve"> used both fixed and age-dependent thresholds – termed </w:t>
            </w:r>
            <w:r w:rsidRPr="00DB1D7C">
              <w:rPr>
                <w:rFonts w:ascii="Calibri" w:hAnsi="Calibri"/>
                <w:i/>
              </w:rPr>
              <w:t>hybrid thresholds</w:t>
            </w:r>
            <w:r w:rsidRPr="00DB1D7C">
              <w:rPr>
                <w:rFonts w:ascii="Calibri" w:hAnsi="Calibri"/>
              </w:rPr>
              <w:t>.</w:t>
            </w:r>
          </w:p>
        </w:tc>
      </w:tr>
      <w:tr w:rsidR="00977DDA" w:rsidRPr="00DB1D7C" w14:paraId="7A21F510" w14:textId="77777777" w:rsidTr="00977DDA">
        <w:tc>
          <w:tcPr>
            <w:tcW w:w="562" w:type="dxa"/>
          </w:tcPr>
          <w:p w14:paraId="0AF3296D" w14:textId="77777777" w:rsidR="00977DDA" w:rsidRPr="00DB1D7C" w:rsidRDefault="00977DDA" w:rsidP="00977DDA">
            <w:pPr>
              <w:spacing w:before="240" w:line="276" w:lineRule="auto"/>
              <w:jc w:val="right"/>
            </w:pPr>
            <w:r w:rsidRPr="00DB1D7C">
              <w:t>7.</w:t>
            </w:r>
          </w:p>
        </w:tc>
        <w:tc>
          <w:tcPr>
            <w:tcW w:w="8454" w:type="dxa"/>
          </w:tcPr>
          <w:p w14:paraId="2D88F4BE" w14:textId="12AC93C7" w:rsidR="00977DDA" w:rsidRPr="00DB1D7C" w:rsidRDefault="00977DDA" w:rsidP="00AB0EAE">
            <w:pPr>
              <w:spacing w:before="240" w:line="276" w:lineRule="auto"/>
            </w:pPr>
            <w:r w:rsidRPr="00DB1D7C">
              <w:t xml:space="preserve">Fixed probability thresholds have </w:t>
            </w:r>
            <w:r w:rsidRPr="00AB0EAE">
              <w:t xml:space="preserve">ranged from </w:t>
            </w:r>
            <w:r w:rsidR="00EB48F3" w:rsidRPr="00AB0EAE">
              <w:t>4</w:t>
            </w:r>
            <w:r w:rsidRPr="00AB0EAE">
              <w:t xml:space="preserve"> to 20</w:t>
            </w:r>
            <w:r w:rsidR="00DC5574" w:rsidRPr="00AB0EAE">
              <w:t xml:space="preserve"> </w:t>
            </w:r>
            <w:r w:rsidRPr="00AB0EAE">
              <w:t xml:space="preserve">% for a major fracture and </w:t>
            </w:r>
            <w:r w:rsidR="00EB48F3" w:rsidRPr="00AB0EAE">
              <w:t>1.3</w:t>
            </w:r>
            <w:r w:rsidRPr="00AB0EAE">
              <w:t>-5</w:t>
            </w:r>
            <w:r w:rsidR="00DC5574" w:rsidRPr="00AB0EAE">
              <w:t xml:space="preserve"> </w:t>
            </w:r>
            <w:r w:rsidRPr="00AB0EAE">
              <w:t xml:space="preserve">% for hip fracture. More than one half </w:t>
            </w:r>
            <w:r w:rsidR="00F15048" w:rsidRPr="00AB0EAE">
              <w:t>(3</w:t>
            </w:r>
            <w:r w:rsidR="00AB0EAE" w:rsidRPr="00AB0EAE">
              <w:t>9</w:t>
            </w:r>
            <w:r w:rsidR="00F15048" w:rsidRPr="00AB0EAE">
              <w:t xml:space="preserve">) </w:t>
            </w:r>
            <w:r w:rsidRPr="00AB0EAE">
              <w:t xml:space="preserve">of the </w:t>
            </w:r>
            <w:r w:rsidR="00DC7BED" w:rsidRPr="00AB0EAE">
              <w:t>5</w:t>
            </w:r>
            <w:r w:rsidR="00AB0EAE" w:rsidRPr="00AB0EAE">
              <w:t>8</w:t>
            </w:r>
            <w:r w:rsidRPr="00AB0EAE">
              <w:t xml:space="preserve"> publications </w:t>
            </w:r>
            <w:r w:rsidR="0060586D" w:rsidRPr="00AB0EAE">
              <w:t>identified</w:t>
            </w:r>
            <w:r w:rsidRPr="00AB0EAE">
              <w:t xml:space="preserve"> utilized a threshold probability of 20</w:t>
            </w:r>
            <w:r w:rsidR="00DC5574" w:rsidRPr="00AB0EAE">
              <w:t xml:space="preserve"> </w:t>
            </w:r>
            <w:r w:rsidRPr="00AB0EAE">
              <w:t>% for a major osteoporotic fracture, many</w:t>
            </w:r>
            <w:r w:rsidRPr="00DB1D7C">
              <w:t xml:space="preserve"> of which also mention a hip fracture probability of 3</w:t>
            </w:r>
            <w:r w:rsidR="00DC5574">
              <w:t xml:space="preserve"> </w:t>
            </w:r>
            <w:r w:rsidRPr="00DB1D7C">
              <w:t>% as an alternative intervention threshold.  In nearly all instances, no rationale is provided other than that this was the threshold used by the National Osteoporosis Foundation of the US.</w:t>
            </w:r>
          </w:p>
        </w:tc>
      </w:tr>
      <w:tr w:rsidR="00977DDA" w:rsidRPr="00DB1D7C" w14:paraId="6E6532A3" w14:textId="77777777" w:rsidTr="00977DDA">
        <w:tc>
          <w:tcPr>
            <w:tcW w:w="562" w:type="dxa"/>
          </w:tcPr>
          <w:p w14:paraId="3FFA6733" w14:textId="77777777" w:rsidR="00977DDA" w:rsidRPr="00DB1D7C" w:rsidRDefault="00977DDA" w:rsidP="00977DDA">
            <w:pPr>
              <w:spacing w:before="240" w:line="276" w:lineRule="auto"/>
              <w:jc w:val="right"/>
            </w:pPr>
            <w:r w:rsidRPr="00DB1D7C">
              <w:t>9.</w:t>
            </w:r>
          </w:p>
        </w:tc>
        <w:tc>
          <w:tcPr>
            <w:tcW w:w="8454" w:type="dxa"/>
          </w:tcPr>
          <w:p w14:paraId="0455E600" w14:textId="447D1C01" w:rsidR="00977DDA" w:rsidRPr="00DB1D7C" w:rsidRDefault="00977DDA" w:rsidP="00CA2760">
            <w:pPr>
              <w:spacing w:before="240" w:line="276" w:lineRule="auto"/>
            </w:pPr>
            <w:r w:rsidRPr="00DB1D7C">
              <w:t>Where undertaken, fixed probability thresholds have been determined from tests of discrimination (Hong Kong), health economic assessment (US, Switzerland)</w:t>
            </w:r>
            <w:r w:rsidR="00EB48F3" w:rsidRPr="00DB1D7C">
              <w:t>, to match the prevalence of osteoporosis (China)</w:t>
            </w:r>
            <w:r w:rsidRPr="00DB1D7C">
              <w:t xml:space="preserve"> or to align with pre-existing guidelines or reimbursement criteria </w:t>
            </w:r>
            <w:r w:rsidR="0060586D">
              <w:t>(</w:t>
            </w:r>
            <w:r w:rsidRPr="00DB1D7C">
              <w:t>Japan</w:t>
            </w:r>
            <w:r w:rsidR="0060586D">
              <w:t xml:space="preserve">, </w:t>
            </w:r>
            <w:r w:rsidRPr="00DB1D7C">
              <w:t xml:space="preserve">Poland). </w:t>
            </w:r>
          </w:p>
        </w:tc>
      </w:tr>
      <w:tr w:rsidR="00977DDA" w:rsidRPr="00DB1D7C" w14:paraId="3BD6CAD6" w14:textId="77777777" w:rsidTr="00977DDA">
        <w:tc>
          <w:tcPr>
            <w:tcW w:w="562" w:type="dxa"/>
          </w:tcPr>
          <w:p w14:paraId="3B549099" w14:textId="77777777" w:rsidR="00977DDA" w:rsidRPr="00DB1D7C" w:rsidRDefault="00977DDA" w:rsidP="00977DDA">
            <w:pPr>
              <w:spacing w:before="240" w:line="276" w:lineRule="auto"/>
              <w:jc w:val="right"/>
            </w:pPr>
            <w:r w:rsidRPr="00DB1D7C">
              <w:t>10.</w:t>
            </w:r>
          </w:p>
        </w:tc>
        <w:tc>
          <w:tcPr>
            <w:tcW w:w="8454" w:type="dxa"/>
          </w:tcPr>
          <w:p w14:paraId="363C2150" w14:textId="2FB3C4E6" w:rsidR="00977DDA" w:rsidRPr="00DB1D7C" w:rsidRDefault="00977DDA" w:rsidP="00C825FD">
            <w:pPr>
              <w:spacing w:before="240" w:line="276" w:lineRule="auto"/>
            </w:pPr>
            <w:r w:rsidRPr="00DB1D7C">
              <w:t xml:space="preserve">Fixed thresholds </w:t>
            </w:r>
            <w:r w:rsidR="00F16EDA">
              <w:t xml:space="preserve">for a major osteoporotic fracture </w:t>
            </w:r>
            <w:r w:rsidRPr="00DB1D7C">
              <w:t>have been recommended by the US Preventive Services Task Force and the Scottish Intercollegiate Guidelines Network (9.3</w:t>
            </w:r>
            <w:r w:rsidR="00DC5574">
              <w:t xml:space="preserve"> </w:t>
            </w:r>
            <w:r w:rsidRPr="00DB1D7C">
              <w:t>% and 10</w:t>
            </w:r>
            <w:r w:rsidR="00DC5574">
              <w:t xml:space="preserve"> </w:t>
            </w:r>
            <w:r w:rsidRPr="00DB1D7C">
              <w:t>%, respectively) as a screening tool for osteoporosis (but not fracture risk).  Both guidelines perform badly because of poor sensitivity.</w:t>
            </w:r>
            <w:r w:rsidR="00B562B3" w:rsidRPr="00DB1D7C">
              <w:t xml:space="preserve"> Several other guidelines </w:t>
            </w:r>
            <w:r w:rsidR="00C825FD">
              <w:t xml:space="preserve">in the US </w:t>
            </w:r>
            <w:r w:rsidR="00B562B3" w:rsidRPr="00DB1D7C">
              <w:lastRenderedPageBreak/>
              <w:t>have adopted the 9.3</w:t>
            </w:r>
            <w:r w:rsidR="00DC5574">
              <w:t xml:space="preserve"> </w:t>
            </w:r>
            <w:r w:rsidR="00B562B3" w:rsidRPr="00DB1D7C">
              <w:t>% threshold.</w:t>
            </w:r>
          </w:p>
        </w:tc>
      </w:tr>
      <w:tr w:rsidR="00977DDA" w:rsidRPr="00DB1D7C" w14:paraId="433EEE94" w14:textId="77777777" w:rsidTr="00977DDA">
        <w:tc>
          <w:tcPr>
            <w:tcW w:w="562" w:type="dxa"/>
          </w:tcPr>
          <w:p w14:paraId="3A30463D" w14:textId="0643C0AA" w:rsidR="00977DDA" w:rsidRPr="00DB1D7C" w:rsidRDefault="00645254" w:rsidP="00977DDA">
            <w:pPr>
              <w:spacing w:before="240" w:line="276" w:lineRule="auto"/>
              <w:jc w:val="right"/>
            </w:pPr>
            <w:r w:rsidRPr="00DB1D7C">
              <w:lastRenderedPageBreak/>
              <w:t>11.</w:t>
            </w:r>
          </w:p>
        </w:tc>
        <w:tc>
          <w:tcPr>
            <w:tcW w:w="8454" w:type="dxa"/>
          </w:tcPr>
          <w:p w14:paraId="69036B79" w14:textId="0D915E7B" w:rsidR="00977DDA" w:rsidRPr="00DB1D7C" w:rsidRDefault="00977DDA" w:rsidP="00331401">
            <w:pPr>
              <w:spacing w:before="240" w:line="276" w:lineRule="auto"/>
            </w:pPr>
            <w:r w:rsidRPr="00DB1D7C">
              <w:t>The impact of the use of fixed thresholds has been determined only in the US</w:t>
            </w:r>
            <w:r w:rsidR="00C719AE" w:rsidRPr="00DB1D7C">
              <w:t xml:space="preserve"> and Hong Kong</w:t>
            </w:r>
            <w:r w:rsidR="00645254" w:rsidRPr="00DB1D7C">
              <w:t xml:space="preserve"> for the 20</w:t>
            </w:r>
            <w:r w:rsidR="00DC5574">
              <w:t xml:space="preserve"> </w:t>
            </w:r>
            <w:r w:rsidR="00645254" w:rsidRPr="00DB1D7C">
              <w:t>% major osteoporotic fracture and 3</w:t>
            </w:r>
            <w:r w:rsidR="00DC5574">
              <w:t xml:space="preserve"> </w:t>
            </w:r>
            <w:r w:rsidR="00645254" w:rsidRPr="00DB1D7C">
              <w:t>% hip fracture</w:t>
            </w:r>
            <w:r w:rsidR="00331401" w:rsidRPr="00DB1D7C">
              <w:t xml:space="preserve"> probability</w:t>
            </w:r>
            <w:r w:rsidR="00645254" w:rsidRPr="00DB1D7C">
              <w:t>.</w:t>
            </w:r>
          </w:p>
        </w:tc>
      </w:tr>
      <w:tr w:rsidR="00977DDA" w:rsidRPr="00DB1D7C" w14:paraId="0E2D971E" w14:textId="77777777" w:rsidTr="00977DDA">
        <w:tc>
          <w:tcPr>
            <w:tcW w:w="562" w:type="dxa"/>
          </w:tcPr>
          <w:p w14:paraId="605373A3" w14:textId="543A7575" w:rsidR="00977DDA" w:rsidRPr="00DB1D7C" w:rsidRDefault="00645254" w:rsidP="00977DDA">
            <w:pPr>
              <w:spacing w:before="240" w:line="276" w:lineRule="auto"/>
              <w:jc w:val="right"/>
            </w:pPr>
            <w:r w:rsidRPr="00DB1D7C">
              <w:t>12.</w:t>
            </w:r>
          </w:p>
        </w:tc>
        <w:tc>
          <w:tcPr>
            <w:tcW w:w="8454" w:type="dxa"/>
          </w:tcPr>
          <w:p w14:paraId="7C88262D" w14:textId="719A9E60" w:rsidR="00977DDA" w:rsidRPr="00DB1D7C" w:rsidRDefault="00977DDA" w:rsidP="00BE12CE">
            <w:pPr>
              <w:spacing w:before="240" w:line="276" w:lineRule="auto"/>
            </w:pPr>
            <w:r w:rsidRPr="00DB1D7C">
              <w:t xml:space="preserve">The National Osteoporosis Guideline Group (NOGG) in the UK </w:t>
            </w:r>
            <w:r w:rsidR="00F15ACA">
              <w:t>was</w:t>
            </w:r>
            <w:r w:rsidRPr="00DB1D7C">
              <w:t xml:space="preserve"> the architect of the development of age-dependent intervention thresholds</w:t>
            </w:r>
            <w:r w:rsidR="00F15048">
              <w:t xml:space="preserve">. </w:t>
            </w:r>
            <w:r w:rsidRPr="00DB1D7C">
              <w:t xml:space="preserve"> The rationale was that if a woman with a prior fragility fracture is eligible for treatment, then, at any given age, a man or woman with the same fracture probability but in the absence of a previous fracture (i.e. at the ‘fracture threshold’) should also be eligible. The fracture threshold increases with age. Additionally, NOGG devised assessment thresholds to determine the efficient use of bone densitometry.</w:t>
            </w:r>
          </w:p>
        </w:tc>
      </w:tr>
      <w:tr w:rsidR="00977DDA" w:rsidRPr="00DB1D7C" w14:paraId="781E4EF1" w14:textId="77777777" w:rsidTr="00977DDA">
        <w:tc>
          <w:tcPr>
            <w:tcW w:w="562" w:type="dxa"/>
          </w:tcPr>
          <w:p w14:paraId="060B1CAA" w14:textId="0E1BAB74" w:rsidR="00977DDA" w:rsidRPr="00DB1D7C" w:rsidRDefault="00645254" w:rsidP="00977DDA">
            <w:pPr>
              <w:spacing w:before="240" w:line="276" w:lineRule="auto"/>
              <w:jc w:val="right"/>
            </w:pPr>
            <w:r w:rsidRPr="00DB1D7C">
              <w:t>13</w:t>
            </w:r>
            <w:r w:rsidR="00977DDA" w:rsidRPr="00DB1D7C">
              <w:t>.</w:t>
            </w:r>
          </w:p>
        </w:tc>
        <w:tc>
          <w:tcPr>
            <w:tcW w:w="8454" w:type="dxa"/>
          </w:tcPr>
          <w:p w14:paraId="73575329" w14:textId="0A0627A7" w:rsidR="00977DDA" w:rsidRPr="00DB1D7C" w:rsidRDefault="00977DDA" w:rsidP="00F15048">
            <w:pPr>
              <w:spacing w:before="240" w:line="276" w:lineRule="auto"/>
            </w:pPr>
            <w:r w:rsidRPr="00DB1D7C">
              <w:t xml:space="preserve">Linkage of the FRAX web site to the NOGG web site </w:t>
            </w:r>
            <w:r w:rsidRPr="00DB1D7C">
              <w:rPr>
                <w:sz w:val="24"/>
                <w:szCs w:val="24"/>
              </w:rPr>
              <w:t>facilitates treatment decisions and is widely used. Similar country-specific linkages are used in Finland</w:t>
            </w:r>
            <w:r w:rsidR="0060586D">
              <w:rPr>
                <w:sz w:val="24"/>
                <w:szCs w:val="24"/>
              </w:rPr>
              <w:t xml:space="preserve">, </w:t>
            </w:r>
            <w:r w:rsidR="00F15048" w:rsidRPr="00F15048">
              <w:rPr>
                <w:sz w:val="24"/>
                <w:szCs w:val="24"/>
              </w:rPr>
              <w:t>Lebanon</w:t>
            </w:r>
            <w:r w:rsidR="00F15048">
              <w:rPr>
                <w:sz w:val="24"/>
                <w:szCs w:val="24"/>
              </w:rPr>
              <w:t xml:space="preserve"> and</w:t>
            </w:r>
            <w:r w:rsidR="00F15048" w:rsidRPr="00F15048">
              <w:rPr>
                <w:sz w:val="24"/>
                <w:szCs w:val="24"/>
              </w:rPr>
              <w:t xml:space="preserve"> </w:t>
            </w:r>
            <w:r w:rsidR="0060586D">
              <w:rPr>
                <w:sz w:val="24"/>
                <w:szCs w:val="24"/>
              </w:rPr>
              <w:t>Romania</w:t>
            </w:r>
            <w:r w:rsidRPr="00DB1D7C">
              <w:rPr>
                <w:sz w:val="24"/>
                <w:szCs w:val="24"/>
              </w:rPr>
              <w:t>.</w:t>
            </w:r>
          </w:p>
        </w:tc>
      </w:tr>
      <w:tr w:rsidR="00977DDA" w:rsidRPr="00DB1D7C" w14:paraId="0DB566D6" w14:textId="77777777" w:rsidTr="00977DDA">
        <w:tc>
          <w:tcPr>
            <w:tcW w:w="562" w:type="dxa"/>
          </w:tcPr>
          <w:p w14:paraId="36C13039" w14:textId="77777777" w:rsidR="00977DDA" w:rsidRPr="00DB1D7C" w:rsidRDefault="00977DDA" w:rsidP="00977DDA">
            <w:pPr>
              <w:spacing w:before="240" w:line="276" w:lineRule="auto"/>
              <w:jc w:val="right"/>
            </w:pPr>
            <w:r w:rsidRPr="00DB1D7C">
              <w:t>14.</w:t>
            </w:r>
          </w:p>
        </w:tc>
        <w:tc>
          <w:tcPr>
            <w:tcW w:w="8454" w:type="dxa"/>
          </w:tcPr>
          <w:p w14:paraId="2C63DA2B" w14:textId="2BFB1EF2" w:rsidR="00977DDA" w:rsidRPr="00DB1D7C" w:rsidRDefault="00977DDA" w:rsidP="00F15ACA">
            <w:pPr>
              <w:spacing w:before="240" w:line="276" w:lineRule="auto"/>
            </w:pPr>
            <w:r w:rsidRPr="00DB1D7C">
              <w:t xml:space="preserve">The NOGG approach </w:t>
            </w:r>
            <w:r w:rsidR="00F15ACA">
              <w:t>h</w:t>
            </w:r>
            <w:r w:rsidRPr="00DB1D7C">
              <w:t xml:space="preserve">as been compared with previous guidance issued by the Royal College of Physicians, London (RCP).  Compared with the RCP strategy, NOGG identified slightly reduced numbers of women without prior fractures above the respective intervention thresholds but these were at higher risk than those identified by </w:t>
            </w:r>
            <w:r w:rsidR="00F15ACA">
              <w:t xml:space="preserve">the </w:t>
            </w:r>
            <w:r w:rsidRPr="00DB1D7C">
              <w:t>RCP</w:t>
            </w:r>
            <w:r w:rsidR="00F15ACA">
              <w:t xml:space="preserve"> strategy</w:t>
            </w:r>
            <w:r w:rsidRPr="00DB1D7C">
              <w:t xml:space="preserve">.  A major benefit was the reduction in the number of BMD tests </w:t>
            </w:r>
            <w:r w:rsidR="00F15ACA">
              <w:t xml:space="preserve">required </w:t>
            </w:r>
            <w:r w:rsidRPr="00DB1D7C">
              <w:t>using the NOGG guidance</w:t>
            </w:r>
            <w:r w:rsidR="00F15ACA">
              <w:t>, and this was</w:t>
            </w:r>
            <w:r w:rsidRPr="00DB1D7C">
              <w:t xml:space="preserve"> associated with significant economic dividends.</w:t>
            </w:r>
          </w:p>
        </w:tc>
      </w:tr>
      <w:tr w:rsidR="00977DDA" w:rsidRPr="00DB1D7C" w14:paraId="70F841AB" w14:textId="77777777" w:rsidTr="00977DDA">
        <w:tc>
          <w:tcPr>
            <w:tcW w:w="562" w:type="dxa"/>
          </w:tcPr>
          <w:p w14:paraId="0336D099" w14:textId="77777777" w:rsidR="00977DDA" w:rsidRPr="00DB1D7C" w:rsidRDefault="00977DDA" w:rsidP="00977DDA">
            <w:pPr>
              <w:spacing w:before="240" w:line="276" w:lineRule="auto"/>
              <w:jc w:val="right"/>
            </w:pPr>
            <w:r w:rsidRPr="00DB1D7C">
              <w:t>15.</w:t>
            </w:r>
          </w:p>
        </w:tc>
        <w:tc>
          <w:tcPr>
            <w:tcW w:w="8454" w:type="dxa"/>
          </w:tcPr>
          <w:p w14:paraId="68ED418A" w14:textId="0EA825B0" w:rsidR="00977DDA" w:rsidRPr="00DB1D7C" w:rsidRDefault="005B1A0F" w:rsidP="00CB3011">
            <w:pPr>
              <w:spacing w:before="240" w:line="276" w:lineRule="auto"/>
            </w:pPr>
            <w:r w:rsidRPr="00F51160">
              <w:t>Proposed and established intervention thresholds using age-specific fracture probabilities</w:t>
            </w:r>
            <w:r w:rsidR="00CA2760">
              <w:t xml:space="preserve"> were </w:t>
            </w:r>
            <w:r w:rsidR="00CA2760" w:rsidRPr="00AB0EAE">
              <w:t>found</w:t>
            </w:r>
            <w:r w:rsidRPr="00AB0EAE">
              <w:t xml:space="preserve"> in 2</w:t>
            </w:r>
            <w:r w:rsidR="00CB3011" w:rsidRPr="00AB0EAE">
              <w:t>4</w:t>
            </w:r>
            <w:r w:rsidRPr="00AB0EAE">
              <w:t xml:space="preserve"> guidelines</w:t>
            </w:r>
            <w:r>
              <w:t>, including European guidance for postmenopausal osteoporosis and for glucocorticoid-induced osteoporosis.</w:t>
            </w:r>
          </w:p>
        </w:tc>
      </w:tr>
      <w:tr w:rsidR="00977DDA" w:rsidRPr="00DB1D7C" w14:paraId="3AC076A2" w14:textId="77777777" w:rsidTr="00977DDA">
        <w:tc>
          <w:tcPr>
            <w:tcW w:w="562" w:type="dxa"/>
          </w:tcPr>
          <w:p w14:paraId="7EFC3B99" w14:textId="77777777" w:rsidR="00977DDA" w:rsidRPr="00DB1D7C" w:rsidRDefault="00977DDA" w:rsidP="00977DDA">
            <w:pPr>
              <w:spacing w:before="240" w:line="276" w:lineRule="auto"/>
              <w:jc w:val="right"/>
            </w:pPr>
            <w:r w:rsidRPr="00DB1D7C">
              <w:t>16.</w:t>
            </w:r>
          </w:p>
        </w:tc>
        <w:tc>
          <w:tcPr>
            <w:tcW w:w="8454" w:type="dxa"/>
          </w:tcPr>
          <w:p w14:paraId="2D874DCD" w14:textId="41EB76FA" w:rsidR="00977DDA" w:rsidRPr="00DB1D7C" w:rsidRDefault="00977DDA" w:rsidP="00977DDA">
            <w:pPr>
              <w:spacing w:before="240" w:line="276" w:lineRule="auto"/>
            </w:pPr>
            <w:r w:rsidRPr="00DB1D7C">
              <w:t xml:space="preserve">Comparisons of age-dependent thresholds with fixed thresholds (Belgium, Poland, US) showed </w:t>
            </w:r>
            <w:r w:rsidR="00CA2760" w:rsidRPr="00CA2760">
              <w:t xml:space="preserve">the former were associated with </w:t>
            </w:r>
            <w:r w:rsidRPr="00DB1D7C">
              <w:t xml:space="preserve">higher dividends on budget impact (Belgium), cost/fracture identified (UK) and improved sensitivity (US, Poland). </w:t>
            </w:r>
          </w:p>
        </w:tc>
      </w:tr>
      <w:tr w:rsidR="00977DDA" w:rsidRPr="00DB1D7C" w14:paraId="6D6FFC32" w14:textId="77777777" w:rsidTr="00977DDA">
        <w:tc>
          <w:tcPr>
            <w:tcW w:w="562" w:type="dxa"/>
          </w:tcPr>
          <w:p w14:paraId="0493F16F" w14:textId="77777777" w:rsidR="00977DDA" w:rsidRPr="00DB1D7C" w:rsidRDefault="00977DDA" w:rsidP="00977DDA">
            <w:pPr>
              <w:spacing w:before="240" w:line="276" w:lineRule="auto"/>
              <w:jc w:val="right"/>
            </w:pPr>
            <w:r w:rsidRPr="00DB1D7C">
              <w:t>17.</w:t>
            </w:r>
          </w:p>
        </w:tc>
        <w:tc>
          <w:tcPr>
            <w:tcW w:w="8454" w:type="dxa"/>
          </w:tcPr>
          <w:p w14:paraId="3AA1D4DD" w14:textId="77777777" w:rsidR="00977DDA" w:rsidRPr="00DB1D7C" w:rsidRDefault="00977DDA" w:rsidP="00977DDA">
            <w:pPr>
              <w:spacing w:before="240" w:line="276" w:lineRule="auto"/>
            </w:pPr>
            <w:r w:rsidRPr="00DB1D7C">
              <w:t>Under current NOGG guidelines, based on age-dependent probability thresholds, inequalities in access to therapy arise especially at older ages (≥ 70 years) depending on the presence or absence of a prior fracture. An alternative threshold using a hybrid model reduces this disparity, increases treatment access and decreases still further the need for bone densitometry.</w:t>
            </w:r>
          </w:p>
        </w:tc>
      </w:tr>
      <w:tr w:rsidR="00977DDA" w:rsidRPr="00DB1D7C" w14:paraId="48055860" w14:textId="77777777" w:rsidTr="00977DDA">
        <w:tc>
          <w:tcPr>
            <w:tcW w:w="562" w:type="dxa"/>
          </w:tcPr>
          <w:p w14:paraId="7C2B092A" w14:textId="77777777" w:rsidR="00977DDA" w:rsidRPr="00DB1D7C" w:rsidRDefault="00977DDA" w:rsidP="00977DDA">
            <w:pPr>
              <w:spacing w:before="240" w:line="276" w:lineRule="auto"/>
              <w:jc w:val="right"/>
            </w:pPr>
            <w:r w:rsidRPr="00DB1D7C">
              <w:t>18.</w:t>
            </w:r>
          </w:p>
        </w:tc>
        <w:tc>
          <w:tcPr>
            <w:tcW w:w="8454" w:type="dxa"/>
          </w:tcPr>
          <w:p w14:paraId="1A0B8BF8" w14:textId="67623455" w:rsidR="00977DDA" w:rsidRPr="00DB1D7C" w:rsidRDefault="00977DDA" w:rsidP="00F15ACA">
            <w:pPr>
              <w:spacing w:before="240" w:line="276" w:lineRule="auto"/>
            </w:pPr>
            <w:r w:rsidRPr="00DB1D7C">
              <w:t>No randomised studies were identified that examined the cost</w:t>
            </w:r>
            <w:r w:rsidR="00F15ACA">
              <w:t>-</w:t>
            </w:r>
            <w:r w:rsidRPr="00DB1D7C">
              <w:t>effectiveness of strategies that used FRAX for targeting people at high fracture risk, though one is near completion.</w:t>
            </w:r>
          </w:p>
        </w:tc>
      </w:tr>
      <w:tr w:rsidR="00977DDA" w:rsidRPr="00DB1D7C" w14:paraId="5A3E8F18" w14:textId="77777777" w:rsidTr="00977DDA">
        <w:tc>
          <w:tcPr>
            <w:tcW w:w="562" w:type="dxa"/>
          </w:tcPr>
          <w:p w14:paraId="101C25F5" w14:textId="77777777" w:rsidR="00977DDA" w:rsidRPr="00DB1D7C" w:rsidRDefault="00977DDA" w:rsidP="00977DDA">
            <w:pPr>
              <w:spacing w:before="240" w:line="276" w:lineRule="auto"/>
              <w:jc w:val="right"/>
            </w:pPr>
            <w:r w:rsidRPr="00DB1D7C">
              <w:t>19.</w:t>
            </w:r>
          </w:p>
        </w:tc>
        <w:tc>
          <w:tcPr>
            <w:tcW w:w="8454" w:type="dxa"/>
          </w:tcPr>
          <w:p w14:paraId="22E8DBA2" w14:textId="77777777" w:rsidR="00977DDA" w:rsidRPr="00DB1D7C" w:rsidRDefault="00977DDA" w:rsidP="00977DDA">
            <w:pPr>
              <w:spacing w:before="240" w:line="276" w:lineRule="auto"/>
            </w:pPr>
            <w:r w:rsidRPr="00DB1D7C">
              <w:rPr>
                <w:rFonts w:ascii="Calibri" w:hAnsi="Calibri"/>
                <w:sz w:val="24"/>
                <w:szCs w:val="24"/>
              </w:rPr>
              <w:t xml:space="preserve">There are several appraisals that have determined the fracture probability at which interventions became cost-effective (i.e. an economic threshold). Economic thresholds have been variously used to set intervention thresholds or, more appropriately, to validate the use of clinically driven intervention thresholds.  For alendronate in the UK and Switzerland, all treatment scenarios using the NOGG </w:t>
            </w:r>
            <w:r w:rsidRPr="00DB1D7C">
              <w:rPr>
                <w:rFonts w:ascii="Calibri" w:hAnsi="Calibri"/>
                <w:sz w:val="24"/>
                <w:szCs w:val="24"/>
              </w:rPr>
              <w:lastRenderedPageBreak/>
              <w:t xml:space="preserve">approach were cost-effective. </w:t>
            </w:r>
          </w:p>
        </w:tc>
      </w:tr>
      <w:tr w:rsidR="00977DDA" w:rsidRPr="00DB1D7C" w14:paraId="12DFA9DB" w14:textId="77777777" w:rsidTr="00977DDA">
        <w:tc>
          <w:tcPr>
            <w:tcW w:w="562" w:type="dxa"/>
          </w:tcPr>
          <w:p w14:paraId="2D04833B" w14:textId="77777777" w:rsidR="00977DDA" w:rsidRPr="00DB1D7C" w:rsidRDefault="00977DDA" w:rsidP="00977DDA">
            <w:pPr>
              <w:spacing w:before="240" w:line="276" w:lineRule="auto"/>
              <w:jc w:val="right"/>
            </w:pPr>
            <w:r w:rsidRPr="00DB1D7C">
              <w:lastRenderedPageBreak/>
              <w:t>21.</w:t>
            </w:r>
          </w:p>
        </w:tc>
        <w:tc>
          <w:tcPr>
            <w:tcW w:w="8454" w:type="dxa"/>
          </w:tcPr>
          <w:p w14:paraId="212B3D69" w14:textId="77777777" w:rsidR="00977DDA" w:rsidRPr="00DB1D7C" w:rsidRDefault="00977DDA" w:rsidP="00977DDA">
            <w:pPr>
              <w:spacing w:before="240" w:line="276" w:lineRule="auto"/>
            </w:pPr>
            <w:r w:rsidRPr="00DB1D7C">
              <w:t xml:space="preserve">Consistent discriminative performance of FRAX has been shown worldwide.  </w:t>
            </w:r>
          </w:p>
        </w:tc>
      </w:tr>
      <w:tr w:rsidR="00977DDA" w:rsidRPr="00DB1D7C" w14:paraId="19647D58" w14:textId="77777777" w:rsidTr="00977DDA">
        <w:tc>
          <w:tcPr>
            <w:tcW w:w="562" w:type="dxa"/>
          </w:tcPr>
          <w:p w14:paraId="2983FFB1" w14:textId="77777777" w:rsidR="00977DDA" w:rsidRPr="00DB1D7C" w:rsidRDefault="00977DDA" w:rsidP="00977DDA">
            <w:pPr>
              <w:spacing w:before="240" w:line="276" w:lineRule="auto"/>
              <w:jc w:val="right"/>
            </w:pPr>
            <w:r w:rsidRPr="00DB1D7C">
              <w:t>22.</w:t>
            </w:r>
          </w:p>
        </w:tc>
        <w:tc>
          <w:tcPr>
            <w:tcW w:w="8454" w:type="dxa"/>
          </w:tcPr>
          <w:p w14:paraId="47F4E791" w14:textId="38F0481F" w:rsidR="00977DDA" w:rsidRPr="00DB1D7C" w:rsidRDefault="00977DDA" w:rsidP="00977DDA">
            <w:pPr>
              <w:spacing w:before="240" w:line="276" w:lineRule="auto"/>
            </w:pPr>
            <w:r w:rsidRPr="00DB1D7C">
              <w:t xml:space="preserve">All FRAX models are internally calibrated. Comparison with external calibration using samples representative of the national population are few (Canada, </w:t>
            </w:r>
            <w:r w:rsidR="00EF2B61" w:rsidRPr="00DB1D7C">
              <w:t xml:space="preserve">Denmark, </w:t>
            </w:r>
            <w:r w:rsidRPr="00DB1D7C">
              <w:t>Finland, and UK) but are concordant.</w:t>
            </w:r>
          </w:p>
        </w:tc>
      </w:tr>
      <w:tr w:rsidR="00977DDA" w:rsidRPr="00DB1D7C" w14:paraId="42E9C34C" w14:textId="77777777" w:rsidTr="00977DDA">
        <w:tc>
          <w:tcPr>
            <w:tcW w:w="562" w:type="dxa"/>
          </w:tcPr>
          <w:p w14:paraId="3F296060" w14:textId="77777777" w:rsidR="00977DDA" w:rsidRPr="00DB1D7C" w:rsidRDefault="00977DDA" w:rsidP="00977DDA">
            <w:pPr>
              <w:spacing w:before="240" w:line="276" w:lineRule="auto"/>
              <w:jc w:val="right"/>
            </w:pPr>
            <w:r w:rsidRPr="00DB1D7C">
              <w:t>23.</w:t>
            </w:r>
          </w:p>
        </w:tc>
        <w:tc>
          <w:tcPr>
            <w:tcW w:w="8454" w:type="dxa"/>
          </w:tcPr>
          <w:p w14:paraId="316320B0" w14:textId="77777777" w:rsidR="00977DDA" w:rsidRPr="00DB1D7C" w:rsidRDefault="00977DDA" w:rsidP="00977DDA">
            <w:pPr>
              <w:spacing w:before="240" w:line="276" w:lineRule="auto"/>
            </w:pPr>
            <w:r w:rsidRPr="00DB1D7C">
              <w:t>Calibration within a country does not appear to be affected by concurrent treatment or socioeconomic status (Canada), but is affected by immigrant status (Sweden).</w:t>
            </w:r>
          </w:p>
        </w:tc>
      </w:tr>
      <w:tr w:rsidR="00977DDA" w:rsidRPr="00DB1D7C" w14:paraId="4C78F7A8" w14:textId="77777777" w:rsidTr="00977DDA">
        <w:tc>
          <w:tcPr>
            <w:tcW w:w="562" w:type="dxa"/>
          </w:tcPr>
          <w:p w14:paraId="1CF61FC4" w14:textId="77777777" w:rsidR="00977DDA" w:rsidRPr="00DB1D7C" w:rsidRDefault="00977DDA" w:rsidP="00977DDA">
            <w:pPr>
              <w:spacing w:before="240" w:line="276" w:lineRule="auto"/>
              <w:jc w:val="right"/>
            </w:pPr>
            <w:r w:rsidRPr="00DB1D7C">
              <w:t>24.</w:t>
            </w:r>
          </w:p>
        </w:tc>
        <w:tc>
          <w:tcPr>
            <w:tcW w:w="8454" w:type="dxa"/>
          </w:tcPr>
          <w:p w14:paraId="292D5DEC" w14:textId="616AD685" w:rsidR="00977DDA" w:rsidRPr="00DB1D7C" w:rsidRDefault="00977DDA" w:rsidP="00977DDA">
            <w:pPr>
              <w:spacing w:before="240" w:line="276" w:lineRule="auto"/>
            </w:pPr>
            <w:r w:rsidRPr="00DB1D7C">
              <w:t>In individual</w:t>
            </w:r>
            <w:r w:rsidR="005842F0" w:rsidRPr="00DB1D7C">
              <w:t>s</w:t>
            </w:r>
            <w:r w:rsidRPr="00DB1D7C">
              <w:t xml:space="preserve"> in whom FRAX is calculated without BMD, subsequent reclassification rates by the inclusion of BMD were low (UK, Canada) and confined to individuals close to an intervention threshold.</w:t>
            </w:r>
          </w:p>
        </w:tc>
      </w:tr>
      <w:tr w:rsidR="00977DDA" w:rsidRPr="00DB1D7C" w14:paraId="31ACCE58" w14:textId="77777777" w:rsidTr="00977DDA">
        <w:tc>
          <w:tcPr>
            <w:tcW w:w="562" w:type="dxa"/>
          </w:tcPr>
          <w:p w14:paraId="57C1C876" w14:textId="77777777" w:rsidR="00977DDA" w:rsidRPr="00DB1D7C" w:rsidRDefault="00977DDA" w:rsidP="00977DDA">
            <w:pPr>
              <w:spacing w:before="240" w:line="276" w:lineRule="auto"/>
              <w:jc w:val="right"/>
            </w:pPr>
            <w:r w:rsidRPr="00DB1D7C">
              <w:t>25.</w:t>
            </w:r>
          </w:p>
        </w:tc>
        <w:tc>
          <w:tcPr>
            <w:tcW w:w="8454" w:type="dxa"/>
          </w:tcPr>
          <w:p w14:paraId="40344E4E" w14:textId="77777777" w:rsidR="00977DDA" w:rsidRPr="00DB1D7C" w:rsidRDefault="00977DDA" w:rsidP="00977DDA">
            <w:pPr>
              <w:spacing w:before="240" w:line="276" w:lineRule="auto"/>
            </w:pPr>
            <w:r w:rsidRPr="00DB1D7C">
              <w:t>Net reclassification improvement was reported comparing a fixed intervention threshold using FRAX and a more parsimonious model (Canadian Association of Radiologists and Osteoporosis Canada; CAROC).</w:t>
            </w:r>
          </w:p>
        </w:tc>
      </w:tr>
      <w:tr w:rsidR="00977DDA" w:rsidRPr="00DB1D7C" w14:paraId="2DD53439" w14:textId="77777777" w:rsidTr="00977DDA">
        <w:tc>
          <w:tcPr>
            <w:tcW w:w="562" w:type="dxa"/>
          </w:tcPr>
          <w:p w14:paraId="4D74CECC" w14:textId="77777777" w:rsidR="00977DDA" w:rsidRPr="00DB1D7C" w:rsidRDefault="00977DDA" w:rsidP="00977DDA">
            <w:pPr>
              <w:spacing w:before="240" w:line="276" w:lineRule="auto"/>
              <w:jc w:val="right"/>
            </w:pPr>
          </w:p>
        </w:tc>
        <w:tc>
          <w:tcPr>
            <w:tcW w:w="8454" w:type="dxa"/>
          </w:tcPr>
          <w:p w14:paraId="152E573B" w14:textId="77777777" w:rsidR="00977DDA" w:rsidRPr="00DB1D7C" w:rsidRDefault="00977DDA" w:rsidP="00977DDA">
            <w:pPr>
              <w:spacing w:before="240" w:line="276" w:lineRule="auto"/>
              <w:rPr>
                <w:b/>
              </w:rPr>
            </w:pPr>
            <w:r w:rsidRPr="00DB1D7C">
              <w:rPr>
                <w:b/>
              </w:rPr>
              <w:t>Conclusions and recommendations</w:t>
            </w:r>
          </w:p>
        </w:tc>
      </w:tr>
      <w:tr w:rsidR="00977DDA" w:rsidRPr="00DB1D7C" w14:paraId="61EFD7E1" w14:textId="77777777" w:rsidTr="00977DDA">
        <w:tc>
          <w:tcPr>
            <w:tcW w:w="562" w:type="dxa"/>
          </w:tcPr>
          <w:p w14:paraId="6741349D" w14:textId="77777777" w:rsidR="00977DDA" w:rsidRPr="00DB1D7C" w:rsidRDefault="00977DDA" w:rsidP="00977DDA">
            <w:pPr>
              <w:spacing w:before="240" w:line="276" w:lineRule="auto"/>
              <w:jc w:val="right"/>
            </w:pPr>
            <w:r w:rsidRPr="00DB1D7C">
              <w:t>26.</w:t>
            </w:r>
          </w:p>
        </w:tc>
        <w:tc>
          <w:tcPr>
            <w:tcW w:w="8454" w:type="dxa"/>
          </w:tcPr>
          <w:p w14:paraId="4B8C56EE" w14:textId="4458EA66" w:rsidR="00977DDA" w:rsidRPr="00DB1D7C" w:rsidRDefault="00977DDA" w:rsidP="00331401">
            <w:pPr>
              <w:spacing w:before="240" w:line="276" w:lineRule="auto"/>
            </w:pPr>
            <w:r w:rsidRPr="00DB1D7C">
              <w:t xml:space="preserve">The use of a fixed FRAX threshold has some intuitive appeal in that it directs intervention in an equitable manner and is more readily used in clinical practice than more complex approaches inherent in the application of age-dependent thresholds.  There is, however </w:t>
            </w:r>
            <w:r w:rsidR="00331401" w:rsidRPr="00DB1D7C">
              <w:t>only</w:t>
            </w:r>
            <w:r w:rsidRPr="00DB1D7C">
              <w:t xml:space="preserve"> </w:t>
            </w:r>
            <w:r w:rsidR="00331401" w:rsidRPr="00DB1D7C">
              <w:t xml:space="preserve">one </w:t>
            </w:r>
            <w:r w:rsidRPr="00DB1D7C">
              <w:t>guideline that directs intervention solely on this basis</w:t>
            </w:r>
            <w:r w:rsidR="00331401" w:rsidRPr="00DB1D7C">
              <w:t xml:space="preserve"> (Taiwan) but documentation of its impact is wanting</w:t>
            </w:r>
            <w:r w:rsidRPr="00DB1D7C">
              <w:t>.</w:t>
            </w:r>
          </w:p>
        </w:tc>
      </w:tr>
      <w:tr w:rsidR="00977DDA" w:rsidRPr="00DB1D7C" w14:paraId="06F96981" w14:textId="77777777" w:rsidTr="00977DDA">
        <w:tc>
          <w:tcPr>
            <w:tcW w:w="562" w:type="dxa"/>
          </w:tcPr>
          <w:p w14:paraId="4939B066" w14:textId="77777777" w:rsidR="00977DDA" w:rsidRPr="00DB1D7C" w:rsidRDefault="00977DDA" w:rsidP="00977DDA">
            <w:pPr>
              <w:spacing w:before="240" w:line="276" w:lineRule="auto"/>
              <w:jc w:val="right"/>
            </w:pPr>
            <w:r w:rsidRPr="00DB1D7C">
              <w:t>27.</w:t>
            </w:r>
          </w:p>
        </w:tc>
        <w:tc>
          <w:tcPr>
            <w:tcW w:w="8454" w:type="dxa"/>
          </w:tcPr>
          <w:p w14:paraId="453114D8" w14:textId="28753BCA" w:rsidR="00977DDA" w:rsidRPr="00DB1D7C" w:rsidRDefault="008C32F5" w:rsidP="00331401">
            <w:pPr>
              <w:spacing w:before="240" w:line="276" w:lineRule="auto"/>
            </w:pPr>
            <w:r w:rsidRPr="008C32F5">
              <w:t>The use of guidelines that</w:t>
            </w:r>
            <w:r w:rsidR="00736F30">
              <w:t xml:space="preserve"> use BMD as the principal gateway and</w:t>
            </w:r>
            <w:r w:rsidRPr="008C32F5">
              <w:t xml:space="preserve"> incorporate fixed FRAX thresholds as a component identifies individuals at high risk less effectively than the use of age-dependent thresholds</w:t>
            </w:r>
            <w:r w:rsidR="00736F30">
              <w:t xml:space="preserve"> (US National Osteoporosis Foundation)</w:t>
            </w:r>
            <w:r w:rsidRPr="008C32F5">
              <w:t>.</w:t>
            </w:r>
          </w:p>
        </w:tc>
      </w:tr>
      <w:tr w:rsidR="00977DDA" w:rsidRPr="00DB1D7C" w14:paraId="4F74BE40" w14:textId="77777777" w:rsidTr="00977DDA">
        <w:tc>
          <w:tcPr>
            <w:tcW w:w="562" w:type="dxa"/>
          </w:tcPr>
          <w:p w14:paraId="295134D5" w14:textId="77777777" w:rsidR="00977DDA" w:rsidRPr="00DB1D7C" w:rsidRDefault="00977DDA" w:rsidP="00977DDA">
            <w:pPr>
              <w:spacing w:before="240" w:line="276" w:lineRule="auto"/>
              <w:jc w:val="right"/>
            </w:pPr>
            <w:r w:rsidRPr="00DB1D7C">
              <w:t>28.</w:t>
            </w:r>
          </w:p>
        </w:tc>
        <w:tc>
          <w:tcPr>
            <w:tcW w:w="8454" w:type="dxa"/>
          </w:tcPr>
          <w:p w14:paraId="2B64A759" w14:textId="77777777" w:rsidR="00977DDA" w:rsidRPr="00DB1D7C" w:rsidRDefault="00977DDA" w:rsidP="00977DDA">
            <w:pPr>
              <w:spacing w:before="240" w:line="276" w:lineRule="auto"/>
            </w:pPr>
            <w:r w:rsidRPr="00DB1D7C">
              <w:t>The use of FRAX as a screening tool for subsequent measurement of BMD for the detection of osteoporosis is not recommended because of low sensitivity of FRAX for the detection of osteoporosis.</w:t>
            </w:r>
          </w:p>
        </w:tc>
      </w:tr>
      <w:tr w:rsidR="00977DDA" w:rsidRPr="00DB1D7C" w14:paraId="6AE2F530" w14:textId="77777777" w:rsidTr="00977DDA">
        <w:tc>
          <w:tcPr>
            <w:tcW w:w="562" w:type="dxa"/>
          </w:tcPr>
          <w:p w14:paraId="4CB36A93" w14:textId="77777777" w:rsidR="00977DDA" w:rsidRPr="00DB1D7C" w:rsidRDefault="00977DDA" w:rsidP="00977DDA">
            <w:pPr>
              <w:spacing w:before="240" w:line="276" w:lineRule="auto"/>
              <w:jc w:val="right"/>
            </w:pPr>
            <w:r w:rsidRPr="00DB1D7C">
              <w:t>29.</w:t>
            </w:r>
          </w:p>
        </w:tc>
        <w:tc>
          <w:tcPr>
            <w:tcW w:w="8454" w:type="dxa"/>
          </w:tcPr>
          <w:p w14:paraId="1A0C74A1" w14:textId="25E4B883" w:rsidR="00977DDA" w:rsidRPr="00DB1D7C" w:rsidRDefault="00977DDA" w:rsidP="00331401">
            <w:pPr>
              <w:spacing w:before="240" w:line="276" w:lineRule="auto"/>
            </w:pPr>
            <w:r w:rsidRPr="00DB1D7C">
              <w:t xml:space="preserve">We recommend the avoidance of the use of a fixed FRAX intervention threshold as the principal gateway to fracture risk assessment.  </w:t>
            </w:r>
            <w:r w:rsidR="00331401" w:rsidRPr="00DB1D7C">
              <w:t>This view may change with further research.</w:t>
            </w:r>
          </w:p>
        </w:tc>
      </w:tr>
      <w:tr w:rsidR="00977DDA" w:rsidRPr="00DB1D7C" w14:paraId="38E553CB" w14:textId="77777777" w:rsidTr="00977DDA">
        <w:tc>
          <w:tcPr>
            <w:tcW w:w="562" w:type="dxa"/>
          </w:tcPr>
          <w:p w14:paraId="1FE53531" w14:textId="77777777" w:rsidR="00977DDA" w:rsidRPr="00DB1D7C" w:rsidRDefault="00977DDA" w:rsidP="00977DDA">
            <w:pPr>
              <w:spacing w:before="240" w:line="276" w:lineRule="auto"/>
              <w:jc w:val="right"/>
            </w:pPr>
            <w:r w:rsidRPr="00DB1D7C">
              <w:t>30.</w:t>
            </w:r>
          </w:p>
        </w:tc>
        <w:tc>
          <w:tcPr>
            <w:tcW w:w="8454" w:type="dxa"/>
          </w:tcPr>
          <w:p w14:paraId="37364AEE" w14:textId="3D7E9B2A" w:rsidR="00977DDA" w:rsidRPr="00DB1D7C" w:rsidRDefault="00977DDA" w:rsidP="00F15ACA">
            <w:pPr>
              <w:spacing w:before="240" w:line="276" w:lineRule="auto"/>
            </w:pPr>
            <w:r w:rsidRPr="00DB1D7C">
              <w:t xml:space="preserve">Fixed intervention thresholds may be used </w:t>
            </w:r>
            <w:r w:rsidR="0060586D" w:rsidRPr="0060586D">
              <w:t xml:space="preserve">usefully </w:t>
            </w:r>
            <w:r w:rsidRPr="00DB1D7C">
              <w:t>as a component of pre-existing guidelines e.g. confined to individuals with low bone mass in Japan and the US.  However, where used, country</w:t>
            </w:r>
            <w:r w:rsidR="00331401" w:rsidRPr="00DB1D7C">
              <w:t>-</w:t>
            </w:r>
            <w:r w:rsidRPr="00DB1D7C">
              <w:t>specific thresholds need to be determined.</w:t>
            </w:r>
          </w:p>
        </w:tc>
      </w:tr>
      <w:tr w:rsidR="00977DDA" w:rsidRPr="00DB1D7C" w14:paraId="696A0105" w14:textId="77777777" w:rsidTr="00977DDA">
        <w:tc>
          <w:tcPr>
            <w:tcW w:w="562" w:type="dxa"/>
          </w:tcPr>
          <w:p w14:paraId="50CC6996" w14:textId="77777777" w:rsidR="00977DDA" w:rsidRPr="00DB1D7C" w:rsidRDefault="00977DDA" w:rsidP="00977DDA">
            <w:pPr>
              <w:spacing w:before="240" w:line="276" w:lineRule="auto"/>
              <w:jc w:val="right"/>
            </w:pPr>
            <w:r w:rsidRPr="00DB1D7C">
              <w:t>31.</w:t>
            </w:r>
          </w:p>
        </w:tc>
        <w:tc>
          <w:tcPr>
            <w:tcW w:w="8454" w:type="dxa"/>
          </w:tcPr>
          <w:p w14:paraId="4CFB8D56" w14:textId="436106E7" w:rsidR="00977DDA" w:rsidRPr="00DB1D7C" w:rsidRDefault="008C32F5" w:rsidP="00977DDA">
            <w:pPr>
              <w:spacing w:before="240" w:line="276" w:lineRule="auto"/>
            </w:pPr>
            <w:r w:rsidRPr="008C32F5">
              <w:t>The use of economic thresholds is problematic as analysis of each intervention produces different thresholds; they are sensitive to changes in cost and are not relevant to other countries</w:t>
            </w:r>
          </w:p>
        </w:tc>
      </w:tr>
      <w:tr w:rsidR="00977DDA" w:rsidRPr="00DB1D7C" w14:paraId="5E542F9D" w14:textId="77777777" w:rsidTr="00977DDA">
        <w:tc>
          <w:tcPr>
            <w:tcW w:w="562" w:type="dxa"/>
          </w:tcPr>
          <w:p w14:paraId="22B6026C" w14:textId="77777777" w:rsidR="00977DDA" w:rsidRPr="00DB1D7C" w:rsidRDefault="00977DDA" w:rsidP="00977DDA">
            <w:pPr>
              <w:spacing w:before="240" w:line="276" w:lineRule="auto"/>
              <w:jc w:val="right"/>
            </w:pPr>
            <w:r w:rsidRPr="00DB1D7C">
              <w:t>32.</w:t>
            </w:r>
          </w:p>
        </w:tc>
        <w:tc>
          <w:tcPr>
            <w:tcW w:w="8454" w:type="dxa"/>
          </w:tcPr>
          <w:p w14:paraId="3B87A866" w14:textId="77777777" w:rsidR="00977DDA" w:rsidRPr="00DB1D7C" w:rsidRDefault="00977DDA" w:rsidP="00977DDA">
            <w:pPr>
              <w:spacing w:before="240" w:line="276" w:lineRule="auto"/>
            </w:pPr>
            <w:r w:rsidRPr="00DB1D7C">
              <w:t>We recommend that intervention thresholds be based on clinical imperatives, always provided that the strategy proves to be cost-effective.</w:t>
            </w:r>
          </w:p>
        </w:tc>
      </w:tr>
      <w:tr w:rsidR="00977DDA" w:rsidRPr="00DB1D7C" w14:paraId="55DBB6D9" w14:textId="77777777" w:rsidTr="00977DDA">
        <w:tc>
          <w:tcPr>
            <w:tcW w:w="562" w:type="dxa"/>
          </w:tcPr>
          <w:p w14:paraId="5EB37CB7" w14:textId="77777777" w:rsidR="00977DDA" w:rsidRPr="00DB1D7C" w:rsidRDefault="00977DDA" w:rsidP="00977DDA">
            <w:pPr>
              <w:spacing w:before="240" w:line="276" w:lineRule="auto"/>
              <w:jc w:val="right"/>
            </w:pPr>
            <w:r w:rsidRPr="00DB1D7C">
              <w:lastRenderedPageBreak/>
              <w:t>33.</w:t>
            </w:r>
          </w:p>
        </w:tc>
        <w:tc>
          <w:tcPr>
            <w:tcW w:w="8454" w:type="dxa"/>
          </w:tcPr>
          <w:p w14:paraId="26C45ACA" w14:textId="754EDAF9" w:rsidR="00977DDA" w:rsidRPr="00DB1D7C" w:rsidRDefault="00977DDA" w:rsidP="00331401">
            <w:pPr>
              <w:spacing w:before="240" w:line="276" w:lineRule="auto"/>
            </w:pPr>
            <w:r w:rsidRPr="00DB1D7C">
              <w:t xml:space="preserve">The present review has identified several merits of the use of age-specific thresholds.  The algorithm can be readily used in all countries where a FRAX model is available.  </w:t>
            </w:r>
          </w:p>
        </w:tc>
      </w:tr>
      <w:tr w:rsidR="00977DDA" w:rsidRPr="00DB1D7C" w14:paraId="53F99257" w14:textId="77777777" w:rsidTr="00977DDA">
        <w:tc>
          <w:tcPr>
            <w:tcW w:w="562" w:type="dxa"/>
          </w:tcPr>
          <w:p w14:paraId="690276E6" w14:textId="6D338BB9" w:rsidR="00977DDA" w:rsidRPr="00DB1D7C" w:rsidRDefault="00331401" w:rsidP="00977DDA">
            <w:pPr>
              <w:spacing w:before="240" w:line="276" w:lineRule="auto"/>
              <w:jc w:val="right"/>
            </w:pPr>
            <w:r w:rsidRPr="00DB1D7C">
              <w:t>34.</w:t>
            </w:r>
          </w:p>
        </w:tc>
        <w:tc>
          <w:tcPr>
            <w:tcW w:w="8454" w:type="dxa"/>
          </w:tcPr>
          <w:p w14:paraId="1E984E1E" w14:textId="51E2E3BF" w:rsidR="00977DDA" w:rsidRPr="00DB1D7C" w:rsidRDefault="00977DDA" w:rsidP="00977DDA">
            <w:pPr>
              <w:spacing w:before="240" w:line="276" w:lineRule="auto"/>
            </w:pPr>
            <w:r w:rsidRPr="00DB1D7C">
              <w:t>Concerns that the selection of individuals without measurement of BMD may have normal BMD and not respond to pharmaceutical intervention is misplaced in that the use of FRAX (without BMD) preferentially selects individuals with low BMD</w:t>
            </w:r>
            <w:r w:rsidR="0060586D">
              <w:t>.</w:t>
            </w:r>
          </w:p>
        </w:tc>
      </w:tr>
      <w:tr w:rsidR="00977DDA" w:rsidRPr="00DB1D7C" w14:paraId="0A5D9072" w14:textId="77777777" w:rsidTr="00977DDA">
        <w:tc>
          <w:tcPr>
            <w:tcW w:w="562" w:type="dxa"/>
          </w:tcPr>
          <w:p w14:paraId="286FEB59" w14:textId="031BF56A" w:rsidR="00977DDA" w:rsidRPr="00DB1D7C" w:rsidRDefault="00977DDA" w:rsidP="00331401">
            <w:pPr>
              <w:spacing w:before="240" w:line="276" w:lineRule="auto"/>
              <w:jc w:val="right"/>
            </w:pPr>
            <w:r w:rsidRPr="00DB1D7C">
              <w:t>3</w:t>
            </w:r>
            <w:r w:rsidR="00331401" w:rsidRPr="00DB1D7C">
              <w:t>5</w:t>
            </w:r>
            <w:r w:rsidRPr="00DB1D7C">
              <w:t>.</w:t>
            </w:r>
          </w:p>
        </w:tc>
        <w:tc>
          <w:tcPr>
            <w:tcW w:w="8454" w:type="dxa"/>
          </w:tcPr>
          <w:p w14:paraId="68A483B4" w14:textId="3D135E85" w:rsidR="00977DDA" w:rsidRPr="00DB1D7C" w:rsidRDefault="00977DDA" w:rsidP="00F15ACA">
            <w:pPr>
              <w:spacing w:before="240" w:line="276" w:lineRule="auto"/>
            </w:pPr>
            <w:r w:rsidRPr="00DB1D7C">
              <w:t>It is apparent that, following the NOGG guidance, particularly at older ages, those eligible for treatment without a prior fracture have on average higher probabilities than those eligible on the basis of a previous fragility fracture.  This appears to be remedied with the hybrid modification.</w:t>
            </w:r>
          </w:p>
        </w:tc>
      </w:tr>
    </w:tbl>
    <w:p w14:paraId="32944850" w14:textId="77777777" w:rsidR="00B93D5E" w:rsidRPr="00DB1D7C" w:rsidRDefault="00B93D5E">
      <w:pPr>
        <w:rPr>
          <w:rFonts w:ascii="Calibri" w:hAnsi="Calibri"/>
          <w:b/>
          <w:sz w:val="28"/>
          <w:szCs w:val="28"/>
        </w:rPr>
      </w:pPr>
      <w:r w:rsidRPr="00DB1D7C">
        <w:rPr>
          <w:rFonts w:ascii="Calibri" w:hAnsi="Calibri"/>
          <w:b/>
          <w:sz w:val="28"/>
          <w:szCs w:val="28"/>
        </w:rPr>
        <w:br w:type="page"/>
      </w:r>
    </w:p>
    <w:p w14:paraId="0A2B68FF" w14:textId="140C2FD9" w:rsidR="008819A0" w:rsidRPr="00DB1D7C" w:rsidRDefault="008819A0" w:rsidP="008819A0">
      <w:pPr>
        <w:rPr>
          <w:rFonts w:ascii="Calibri" w:hAnsi="Calibri"/>
          <w:b/>
          <w:sz w:val="28"/>
          <w:szCs w:val="28"/>
        </w:rPr>
      </w:pPr>
      <w:r w:rsidRPr="00DB1D7C">
        <w:rPr>
          <w:rFonts w:ascii="Calibri" w:hAnsi="Calibri"/>
          <w:b/>
          <w:sz w:val="28"/>
          <w:szCs w:val="28"/>
        </w:rPr>
        <w:lastRenderedPageBreak/>
        <w:t>Introduction</w:t>
      </w:r>
    </w:p>
    <w:p w14:paraId="524534F8" w14:textId="752918D4" w:rsidR="003B6EF0" w:rsidRPr="00DB1D7C" w:rsidRDefault="003B6EF0" w:rsidP="00353AEE">
      <w:pPr>
        <w:rPr>
          <w:rFonts w:ascii="Calibri" w:hAnsi="Calibri"/>
          <w:sz w:val="24"/>
          <w:szCs w:val="24"/>
        </w:rPr>
      </w:pPr>
      <w:r w:rsidRPr="00DB1D7C">
        <w:rPr>
          <w:rFonts w:ascii="Calibri" w:hAnsi="Calibri"/>
          <w:sz w:val="24"/>
          <w:szCs w:val="24"/>
        </w:rPr>
        <w:t xml:space="preserve">Osteoporosis is a major health problem, particularly in the elderly because of the fractures that arise as a consequence of the decreasing bone mineral density with age.  Common sites of fragility fracture are at the hip, spine and wrist.  The incidence of these and other fragility fractures rises markedly with age.  The most serious fracture in terms of morbidity, mortality and health care costs is hip fracture.  As populations expand and life expectancy improves, the number of fractures is set to increase.  The demographics of world populations are set to change with more elderly living in developing </w:t>
      </w:r>
      <w:r w:rsidR="004906EC" w:rsidRPr="004906EC">
        <w:rPr>
          <w:rFonts w:ascii="Calibri" w:hAnsi="Calibri"/>
          <w:sz w:val="24"/>
          <w:szCs w:val="24"/>
        </w:rPr>
        <w:t>countries [</w:t>
      </w:r>
      <w:r w:rsidR="007D5CFA" w:rsidRPr="004906EC">
        <w:rPr>
          <w:rFonts w:ascii="Calibri" w:hAnsi="Calibri"/>
          <w:sz w:val="24"/>
          <w:szCs w:val="24"/>
        </w:rPr>
        <w:t>1]</w:t>
      </w:r>
      <w:r w:rsidRPr="004906EC">
        <w:rPr>
          <w:rFonts w:ascii="Calibri" w:hAnsi="Calibri"/>
          <w:sz w:val="24"/>
          <w:szCs w:val="24"/>
        </w:rPr>
        <w:t>.</w:t>
      </w:r>
      <w:r w:rsidRPr="00DB1D7C">
        <w:rPr>
          <w:rFonts w:ascii="Calibri" w:hAnsi="Calibri"/>
          <w:sz w:val="24"/>
          <w:szCs w:val="24"/>
        </w:rPr>
        <w:t xml:space="preserve">  In Europe</w:t>
      </w:r>
      <w:r w:rsidR="008C32F5">
        <w:rPr>
          <w:rFonts w:ascii="Calibri" w:hAnsi="Calibri"/>
          <w:sz w:val="24"/>
          <w:szCs w:val="24"/>
        </w:rPr>
        <w:t xml:space="preserve"> in 2010</w:t>
      </w:r>
      <w:r w:rsidRPr="00DB1D7C">
        <w:rPr>
          <w:rFonts w:ascii="Calibri" w:hAnsi="Calibri"/>
          <w:sz w:val="24"/>
          <w:szCs w:val="24"/>
        </w:rPr>
        <w:t xml:space="preserve">, </w:t>
      </w:r>
      <w:r w:rsidR="00353AEE" w:rsidRPr="00DB1D7C">
        <w:rPr>
          <w:rFonts w:ascii="Calibri" w:hAnsi="Calibri"/>
          <w:sz w:val="24"/>
          <w:szCs w:val="24"/>
        </w:rPr>
        <w:t xml:space="preserve">22 million women and 5.5 million men were estimated to have osteoporosis; and 3.5 million new fragility fractures were sustained, comprising 610,000 hip fractures, 520,000 vertebral fractures, 560,000 forearm fractures and 1,800,000 other fractures (i.e. fractures of the pelvis, rib, humerus, tibia, fibula, clavicle, scapula, sternum and other femoral fractures). The economic burden of incident and prior fragility fractures was estimated at € 37 billion. Incident fractures represented 66 % of this cost, long-term fracture care 29 % and pharmacological </w:t>
      </w:r>
      <w:r w:rsidR="00353AEE" w:rsidRPr="004906EC">
        <w:rPr>
          <w:rFonts w:ascii="Calibri" w:hAnsi="Calibri"/>
          <w:sz w:val="24"/>
          <w:szCs w:val="24"/>
        </w:rPr>
        <w:t>prevention 5 %</w:t>
      </w:r>
      <w:r w:rsidR="00D720BD" w:rsidRPr="004906EC">
        <w:rPr>
          <w:rFonts w:ascii="Calibri" w:hAnsi="Calibri"/>
          <w:sz w:val="24"/>
          <w:szCs w:val="24"/>
        </w:rPr>
        <w:t xml:space="preserve"> </w:t>
      </w:r>
      <w:r w:rsidR="007D5CFA" w:rsidRPr="004906EC">
        <w:rPr>
          <w:rFonts w:ascii="Calibri" w:hAnsi="Calibri"/>
          <w:sz w:val="24"/>
          <w:szCs w:val="24"/>
        </w:rPr>
        <w:t>[2]</w:t>
      </w:r>
      <w:r w:rsidR="00D720BD" w:rsidRPr="004906EC">
        <w:rPr>
          <w:rFonts w:ascii="Calibri" w:hAnsi="Calibri"/>
          <w:sz w:val="24"/>
          <w:szCs w:val="24"/>
        </w:rPr>
        <w:t>.</w:t>
      </w:r>
    </w:p>
    <w:p w14:paraId="385E3AC5" w14:textId="7FE7B28E" w:rsidR="003B6EF0" w:rsidRPr="00DB1D7C" w:rsidRDefault="003B6EF0" w:rsidP="008819A0">
      <w:pPr>
        <w:rPr>
          <w:rFonts w:ascii="Calibri" w:hAnsi="Calibri"/>
          <w:sz w:val="24"/>
          <w:szCs w:val="24"/>
        </w:rPr>
      </w:pPr>
      <w:r w:rsidRPr="00DB1D7C">
        <w:rPr>
          <w:rFonts w:ascii="Calibri" w:hAnsi="Calibri"/>
          <w:sz w:val="24"/>
          <w:szCs w:val="24"/>
        </w:rPr>
        <w:t xml:space="preserve">A significant advance over the past 15 years has been the development of medical interventions that have been shown to decrease the risk of fragility fractures in high quality randomised controlled </w:t>
      </w:r>
      <w:r w:rsidR="004906EC" w:rsidRPr="004906EC">
        <w:rPr>
          <w:rFonts w:ascii="Calibri" w:hAnsi="Calibri"/>
          <w:sz w:val="24"/>
          <w:szCs w:val="24"/>
        </w:rPr>
        <w:t>trials [</w:t>
      </w:r>
      <w:r w:rsidR="007D5CFA" w:rsidRPr="004906EC">
        <w:rPr>
          <w:rFonts w:ascii="Calibri" w:hAnsi="Calibri"/>
          <w:sz w:val="24"/>
          <w:szCs w:val="24"/>
        </w:rPr>
        <w:t>2</w:t>
      </w:r>
      <w:r w:rsidR="004906EC" w:rsidRPr="004906EC">
        <w:rPr>
          <w:rFonts w:ascii="Calibri" w:hAnsi="Calibri"/>
          <w:sz w:val="24"/>
          <w:szCs w:val="24"/>
        </w:rPr>
        <w:t xml:space="preserve">, </w:t>
      </w:r>
      <w:r w:rsidR="007D5CFA" w:rsidRPr="004906EC">
        <w:rPr>
          <w:rFonts w:ascii="Calibri" w:hAnsi="Calibri"/>
          <w:sz w:val="24"/>
          <w:szCs w:val="24"/>
        </w:rPr>
        <w:t>3]</w:t>
      </w:r>
      <w:r w:rsidRPr="004906EC">
        <w:rPr>
          <w:rFonts w:ascii="Calibri" w:hAnsi="Calibri"/>
          <w:sz w:val="24"/>
          <w:szCs w:val="24"/>
        </w:rPr>
        <w:t>.  Unfortunately</w:t>
      </w:r>
      <w:r w:rsidRPr="00DB1D7C">
        <w:rPr>
          <w:rFonts w:ascii="Calibri" w:hAnsi="Calibri"/>
          <w:sz w:val="24"/>
          <w:szCs w:val="24"/>
        </w:rPr>
        <w:t xml:space="preserve">, </w:t>
      </w:r>
      <w:r w:rsidR="00990CE2">
        <w:rPr>
          <w:rFonts w:ascii="Calibri" w:hAnsi="Calibri"/>
          <w:sz w:val="24"/>
          <w:szCs w:val="24"/>
        </w:rPr>
        <w:t xml:space="preserve">only </w:t>
      </w:r>
      <w:r w:rsidRPr="00DB1D7C">
        <w:rPr>
          <w:rFonts w:ascii="Calibri" w:hAnsi="Calibri"/>
          <w:sz w:val="24"/>
          <w:szCs w:val="24"/>
        </w:rPr>
        <w:t>a minority of men and women receive</w:t>
      </w:r>
      <w:r w:rsidR="00990CE2">
        <w:rPr>
          <w:rFonts w:ascii="Calibri" w:hAnsi="Calibri"/>
          <w:sz w:val="24"/>
          <w:szCs w:val="24"/>
        </w:rPr>
        <w:t>s</w:t>
      </w:r>
      <w:r w:rsidRPr="00DB1D7C">
        <w:rPr>
          <w:rFonts w:ascii="Calibri" w:hAnsi="Calibri"/>
          <w:sz w:val="24"/>
          <w:szCs w:val="24"/>
        </w:rPr>
        <w:t xml:space="preserve"> treatment even after sustaining a fragility fracture</w:t>
      </w:r>
      <w:r w:rsidR="004906EC" w:rsidRPr="00C32BC5">
        <w:rPr>
          <w:rFonts w:ascii="Calibri" w:hAnsi="Calibri"/>
          <w:sz w:val="24"/>
          <w:szCs w:val="24"/>
        </w:rPr>
        <w:t xml:space="preserve"> </w:t>
      </w:r>
      <w:r w:rsidR="00C32BC5" w:rsidRPr="00C32BC5">
        <w:rPr>
          <w:rFonts w:ascii="Calibri" w:hAnsi="Calibri"/>
          <w:sz w:val="24"/>
          <w:szCs w:val="24"/>
        </w:rPr>
        <w:t>[</w:t>
      </w:r>
      <w:r w:rsidR="004906EC">
        <w:rPr>
          <w:rFonts w:ascii="Calibri" w:hAnsi="Calibri"/>
          <w:sz w:val="24"/>
          <w:szCs w:val="24"/>
        </w:rPr>
        <w:t>2, 4</w:t>
      </w:r>
      <w:r w:rsidRPr="00DB1D7C">
        <w:rPr>
          <w:rFonts w:ascii="Calibri" w:hAnsi="Calibri"/>
          <w:sz w:val="24"/>
          <w:szCs w:val="24"/>
        </w:rPr>
        <w:t xml:space="preserve">]. The reason for </w:t>
      </w:r>
      <w:r w:rsidR="00F15ACA">
        <w:rPr>
          <w:rFonts w:ascii="Calibri" w:hAnsi="Calibri"/>
          <w:sz w:val="24"/>
          <w:szCs w:val="24"/>
        </w:rPr>
        <w:t>this</w:t>
      </w:r>
      <w:r w:rsidRPr="00DB1D7C">
        <w:rPr>
          <w:rFonts w:ascii="Calibri" w:hAnsi="Calibri"/>
          <w:sz w:val="24"/>
          <w:szCs w:val="24"/>
        </w:rPr>
        <w:t xml:space="preserve"> large treatment gap (the difference between the number of individuals at high risk and the proportion of the population that receives treatment) is complex and multifactorial. One of the reasons is, however, </w:t>
      </w:r>
      <w:r w:rsidR="00990CE2">
        <w:rPr>
          <w:rFonts w:ascii="Calibri" w:hAnsi="Calibri"/>
          <w:sz w:val="24"/>
          <w:szCs w:val="24"/>
        </w:rPr>
        <w:t xml:space="preserve">is </w:t>
      </w:r>
      <w:r w:rsidRPr="00DB1D7C">
        <w:rPr>
          <w:rFonts w:ascii="Calibri" w:hAnsi="Calibri"/>
          <w:sz w:val="24"/>
          <w:szCs w:val="24"/>
        </w:rPr>
        <w:t>limitations in the assessment of fracture risk.</w:t>
      </w:r>
    </w:p>
    <w:p w14:paraId="11A77E1B" w14:textId="40F96561" w:rsidR="003B6EF0" w:rsidRPr="00DB1D7C" w:rsidRDefault="003B6EF0" w:rsidP="008819A0">
      <w:pPr>
        <w:rPr>
          <w:rFonts w:ascii="Calibri" w:hAnsi="Calibri"/>
          <w:sz w:val="24"/>
          <w:szCs w:val="24"/>
        </w:rPr>
      </w:pPr>
      <w:r w:rsidRPr="00DB1D7C">
        <w:rPr>
          <w:rFonts w:ascii="Calibri" w:hAnsi="Calibri"/>
          <w:sz w:val="24"/>
          <w:szCs w:val="24"/>
        </w:rPr>
        <w:t xml:space="preserve">Although the diagnosis of </w:t>
      </w:r>
      <w:r w:rsidR="00990CE2">
        <w:rPr>
          <w:rFonts w:ascii="Calibri" w:hAnsi="Calibri"/>
          <w:sz w:val="24"/>
          <w:szCs w:val="24"/>
        </w:rPr>
        <w:t>osteoporosis</w:t>
      </w:r>
      <w:r w:rsidRPr="00DB1D7C">
        <w:rPr>
          <w:rFonts w:ascii="Calibri" w:hAnsi="Calibri"/>
          <w:sz w:val="24"/>
          <w:szCs w:val="24"/>
        </w:rPr>
        <w:t xml:space="preserve"> relies on the quantitative assessment of bone mineral density, which is a major determinant of bone strength, the clinical significance of osteoporosis lies in the fractures that arise.  The causation of fractures is, however multifactorial.  In this respect, there are some analogies with other multifactorial chronic diseases.  For example, hypertension is diagnosed on the basis of blood pressure whereas an important clinical consequence of hypertension is stroke.</w:t>
      </w:r>
    </w:p>
    <w:p w14:paraId="6E10925E" w14:textId="3600537F" w:rsidR="003B6EF0" w:rsidRPr="00DB1D7C" w:rsidRDefault="003B6EF0" w:rsidP="008819A0">
      <w:pPr>
        <w:rPr>
          <w:rFonts w:ascii="Calibri" w:hAnsi="Calibri"/>
          <w:sz w:val="24"/>
          <w:szCs w:val="24"/>
        </w:rPr>
      </w:pPr>
      <w:r w:rsidRPr="00DB1D7C">
        <w:rPr>
          <w:rFonts w:ascii="Calibri" w:hAnsi="Calibri"/>
          <w:sz w:val="24"/>
          <w:szCs w:val="24"/>
        </w:rPr>
        <w:t xml:space="preserve">Assessment of bone mineral density (BMD) provides a crucial determinant of fracture risk and many guidelines have used BMD thresholds to determine whether treatments should be recommended.  However, the multifactorial nature of fracture risk means that BMD does not capture non-skeletal determinants of fracture risk such as liability to fall.  A number of risk factors for fracture has been identified that contribute significantly to fracture risk over and above that provided </w:t>
      </w:r>
      <w:r w:rsidRPr="004906EC">
        <w:rPr>
          <w:rFonts w:ascii="Calibri" w:hAnsi="Calibri"/>
          <w:sz w:val="24"/>
          <w:szCs w:val="24"/>
        </w:rPr>
        <w:t xml:space="preserve">by BMD </w:t>
      </w:r>
      <w:r w:rsidR="00755086" w:rsidRPr="004906EC">
        <w:rPr>
          <w:rFonts w:ascii="Calibri" w:hAnsi="Calibri"/>
          <w:sz w:val="24"/>
          <w:szCs w:val="24"/>
        </w:rPr>
        <w:t>[5]</w:t>
      </w:r>
      <w:r w:rsidR="004906EC" w:rsidRPr="004906EC">
        <w:rPr>
          <w:rFonts w:ascii="Calibri" w:hAnsi="Calibri"/>
          <w:sz w:val="24"/>
          <w:szCs w:val="24"/>
        </w:rPr>
        <w:t>.</w:t>
      </w:r>
      <w:r w:rsidRPr="004906EC">
        <w:rPr>
          <w:rFonts w:ascii="Calibri" w:hAnsi="Calibri"/>
          <w:sz w:val="24"/>
          <w:szCs w:val="24"/>
        </w:rPr>
        <w:t xml:space="preserve">  </w:t>
      </w:r>
      <w:r w:rsidR="004906EC" w:rsidRPr="004906EC">
        <w:rPr>
          <w:rFonts w:ascii="Calibri" w:hAnsi="Calibri"/>
          <w:sz w:val="24"/>
          <w:szCs w:val="24"/>
        </w:rPr>
        <w:t xml:space="preserve"> </w:t>
      </w:r>
      <w:r w:rsidRPr="004906EC">
        <w:rPr>
          <w:rFonts w:ascii="Calibri" w:hAnsi="Calibri"/>
          <w:sz w:val="24"/>
          <w:szCs w:val="24"/>
        </w:rPr>
        <w:t>A good example</w:t>
      </w:r>
      <w:r w:rsidRPr="00DB1D7C">
        <w:rPr>
          <w:rFonts w:ascii="Calibri" w:hAnsi="Calibri"/>
          <w:sz w:val="24"/>
          <w:szCs w:val="24"/>
        </w:rPr>
        <w:t xml:space="preserve"> is age.  The same BMD has a different significance at different ages, such that fracture risk is much higher in the elderly than in the </w:t>
      </w:r>
      <w:r w:rsidRPr="004906EC">
        <w:rPr>
          <w:rFonts w:ascii="Calibri" w:hAnsi="Calibri"/>
          <w:sz w:val="24"/>
          <w:szCs w:val="24"/>
        </w:rPr>
        <w:t xml:space="preserve">young </w:t>
      </w:r>
      <w:r w:rsidR="00755086" w:rsidRPr="004906EC">
        <w:rPr>
          <w:rFonts w:ascii="Calibri" w:hAnsi="Calibri"/>
          <w:sz w:val="24"/>
          <w:szCs w:val="24"/>
        </w:rPr>
        <w:t>[6</w:t>
      </w:r>
      <w:r w:rsidR="004906EC" w:rsidRPr="004906EC">
        <w:rPr>
          <w:rFonts w:ascii="Calibri" w:hAnsi="Calibri"/>
          <w:sz w:val="24"/>
          <w:szCs w:val="24"/>
        </w:rPr>
        <w:t xml:space="preserve">, </w:t>
      </w:r>
      <w:r w:rsidR="00755086" w:rsidRPr="004906EC">
        <w:rPr>
          <w:rFonts w:ascii="Calibri" w:hAnsi="Calibri"/>
          <w:sz w:val="24"/>
          <w:szCs w:val="24"/>
        </w:rPr>
        <w:t>7</w:t>
      </w:r>
      <w:r w:rsidRPr="004906EC">
        <w:rPr>
          <w:rFonts w:ascii="Calibri" w:hAnsi="Calibri"/>
          <w:sz w:val="24"/>
          <w:szCs w:val="24"/>
        </w:rPr>
        <w:t>].  This is because age contributes to risk independently of BMD. Over the past few years a series of meta-analyses has been undertaken to identify additional clinical risk factors that could be used in case finding strategies, with or without the use of BMD.  This gave rise to the development of FRAX</w:t>
      </w:r>
      <w:r w:rsidR="00CD0367" w:rsidRPr="004906EC">
        <w:rPr>
          <w:rFonts w:ascii="Calibri" w:hAnsi="Calibri"/>
          <w:sz w:val="24"/>
          <w:szCs w:val="24"/>
        </w:rPr>
        <w:t>®</w:t>
      </w:r>
      <w:r w:rsidRPr="004906EC">
        <w:rPr>
          <w:rFonts w:ascii="Calibri" w:hAnsi="Calibri"/>
          <w:sz w:val="24"/>
          <w:szCs w:val="24"/>
        </w:rPr>
        <w:t xml:space="preserve">, a tool that integrates the information derived from clinical risk factors and BMD </w:t>
      </w:r>
      <w:r w:rsidR="00755086" w:rsidRPr="004906EC">
        <w:rPr>
          <w:rFonts w:ascii="Calibri" w:hAnsi="Calibri"/>
          <w:sz w:val="24"/>
          <w:szCs w:val="24"/>
        </w:rPr>
        <w:t>[8]</w:t>
      </w:r>
      <w:r w:rsidR="004906EC">
        <w:rPr>
          <w:rFonts w:ascii="Calibri" w:hAnsi="Calibri"/>
          <w:sz w:val="24"/>
          <w:szCs w:val="24"/>
        </w:rPr>
        <w:t>.</w:t>
      </w:r>
    </w:p>
    <w:p w14:paraId="173A5BA7" w14:textId="59F6064F" w:rsidR="00DB39F9" w:rsidRDefault="003E0F28" w:rsidP="003E0F28">
      <w:pPr>
        <w:rPr>
          <w:rFonts w:ascii="Calibri" w:hAnsi="Calibri"/>
          <w:sz w:val="24"/>
          <w:szCs w:val="24"/>
        </w:rPr>
      </w:pPr>
      <w:r w:rsidRPr="00DB1D7C">
        <w:rPr>
          <w:rFonts w:ascii="Calibri" w:hAnsi="Calibri"/>
          <w:sz w:val="24"/>
          <w:szCs w:val="24"/>
        </w:rPr>
        <w:lastRenderedPageBreak/>
        <w:t xml:space="preserve">As well as the FRAX tool, other fracture risk calculators are available online which include the Garvan fracture risk calculator and </w:t>
      </w:r>
      <w:r w:rsidRPr="004906EC">
        <w:rPr>
          <w:rFonts w:ascii="Calibri" w:hAnsi="Calibri"/>
          <w:sz w:val="24"/>
          <w:szCs w:val="24"/>
        </w:rPr>
        <w:t xml:space="preserve">QFracture® </w:t>
      </w:r>
      <w:r w:rsidR="00755086" w:rsidRPr="004906EC">
        <w:rPr>
          <w:rFonts w:ascii="Calibri" w:hAnsi="Calibri"/>
          <w:sz w:val="24"/>
          <w:szCs w:val="24"/>
        </w:rPr>
        <w:t>[9</w:t>
      </w:r>
      <w:r w:rsidR="004906EC" w:rsidRPr="004906EC">
        <w:rPr>
          <w:rFonts w:ascii="Calibri" w:hAnsi="Calibri"/>
          <w:sz w:val="24"/>
          <w:szCs w:val="24"/>
        </w:rPr>
        <w:t xml:space="preserve">, </w:t>
      </w:r>
      <w:r w:rsidR="00315672" w:rsidRPr="004906EC">
        <w:rPr>
          <w:rFonts w:ascii="Calibri" w:hAnsi="Calibri"/>
          <w:sz w:val="24"/>
          <w:szCs w:val="24"/>
        </w:rPr>
        <w:t>10]</w:t>
      </w:r>
      <w:r w:rsidRPr="004906EC">
        <w:rPr>
          <w:rFonts w:ascii="Calibri" w:hAnsi="Calibri"/>
          <w:sz w:val="24"/>
          <w:szCs w:val="24"/>
        </w:rPr>
        <w:t>. Both QFracture</w:t>
      </w:r>
      <w:r w:rsidRPr="00DB1D7C">
        <w:rPr>
          <w:rFonts w:ascii="Calibri" w:hAnsi="Calibri"/>
          <w:sz w:val="24"/>
          <w:szCs w:val="24"/>
        </w:rPr>
        <w:t xml:space="preserve"> and FRAX have been approved </w:t>
      </w:r>
      <w:r w:rsidR="00DB39F9" w:rsidRPr="00DB1D7C">
        <w:rPr>
          <w:rFonts w:ascii="Calibri" w:hAnsi="Calibri"/>
          <w:sz w:val="24"/>
          <w:szCs w:val="24"/>
        </w:rPr>
        <w:t xml:space="preserve">by the National Institute for Health and Care Excellence (NICE) </w:t>
      </w:r>
      <w:r w:rsidRPr="00DB1D7C">
        <w:rPr>
          <w:rFonts w:ascii="Calibri" w:hAnsi="Calibri"/>
          <w:sz w:val="24"/>
          <w:szCs w:val="24"/>
        </w:rPr>
        <w:t xml:space="preserve">for use in the </w:t>
      </w:r>
      <w:r w:rsidRPr="004906EC">
        <w:rPr>
          <w:rFonts w:ascii="Calibri" w:hAnsi="Calibri"/>
          <w:sz w:val="24"/>
          <w:szCs w:val="24"/>
        </w:rPr>
        <w:t xml:space="preserve">UK </w:t>
      </w:r>
      <w:r w:rsidR="004906EC" w:rsidRPr="004906EC">
        <w:rPr>
          <w:rFonts w:ascii="Calibri" w:hAnsi="Calibri"/>
          <w:sz w:val="24"/>
          <w:szCs w:val="24"/>
        </w:rPr>
        <w:t>[</w:t>
      </w:r>
      <w:r w:rsidR="00315672" w:rsidRPr="004906EC">
        <w:rPr>
          <w:rFonts w:ascii="Calibri" w:hAnsi="Calibri"/>
          <w:sz w:val="24"/>
          <w:szCs w:val="24"/>
        </w:rPr>
        <w:t>11]</w:t>
      </w:r>
      <w:r w:rsidR="00DB39F9" w:rsidRPr="004906EC">
        <w:rPr>
          <w:rFonts w:ascii="Calibri" w:hAnsi="Calibri"/>
          <w:sz w:val="24"/>
          <w:szCs w:val="24"/>
        </w:rPr>
        <w:t>.  T</w:t>
      </w:r>
      <w:r w:rsidRPr="004906EC">
        <w:rPr>
          <w:rFonts w:ascii="Calibri" w:hAnsi="Calibri"/>
          <w:sz w:val="24"/>
          <w:szCs w:val="24"/>
        </w:rPr>
        <w:t>heir</w:t>
      </w:r>
      <w:r w:rsidRPr="00DB1D7C">
        <w:rPr>
          <w:rFonts w:ascii="Calibri" w:hAnsi="Calibri"/>
          <w:sz w:val="24"/>
          <w:szCs w:val="24"/>
        </w:rPr>
        <w:t xml:space="preserve"> comparative features are summarised </w:t>
      </w:r>
      <w:r w:rsidRPr="00A074D5">
        <w:rPr>
          <w:rFonts w:ascii="Calibri" w:hAnsi="Calibri"/>
          <w:sz w:val="24"/>
          <w:szCs w:val="24"/>
        </w:rPr>
        <w:t xml:space="preserve">in Table </w:t>
      </w:r>
      <w:r w:rsidR="0006534F" w:rsidRPr="00A074D5">
        <w:rPr>
          <w:rFonts w:ascii="Calibri" w:hAnsi="Calibri"/>
          <w:sz w:val="24"/>
          <w:szCs w:val="24"/>
        </w:rPr>
        <w:t>1</w:t>
      </w:r>
      <w:r w:rsidRPr="00A074D5">
        <w:rPr>
          <w:rFonts w:ascii="Calibri" w:hAnsi="Calibri"/>
          <w:sz w:val="24"/>
          <w:szCs w:val="24"/>
        </w:rPr>
        <w:t>.</w:t>
      </w:r>
      <w:r w:rsidRPr="00DB1D7C">
        <w:rPr>
          <w:rFonts w:ascii="Calibri" w:hAnsi="Calibri"/>
          <w:sz w:val="24"/>
          <w:szCs w:val="24"/>
        </w:rPr>
        <w:t xml:space="preserve"> The QFracture tool is based on a UK prospective open cohort study of routinely collected data from 357 </w:t>
      </w:r>
      <w:r w:rsidR="008C32F5">
        <w:rPr>
          <w:rFonts w:ascii="Calibri" w:hAnsi="Calibri"/>
          <w:sz w:val="24"/>
          <w:szCs w:val="24"/>
        </w:rPr>
        <w:t>G</w:t>
      </w:r>
      <w:r w:rsidRPr="00DB1D7C">
        <w:rPr>
          <w:rFonts w:ascii="Calibri" w:hAnsi="Calibri"/>
          <w:sz w:val="24"/>
          <w:szCs w:val="24"/>
        </w:rPr>
        <w:t xml:space="preserve">eneral </w:t>
      </w:r>
      <w:r w:rsidR="008C32F5">
        <w:rPr>
          <w:rFonts w:ascii="Calibri" w:hAnsi="Calibri"/>
          <w:sz w:val="24"/>
          <w:szCs w:val="24"/>
        </w:rPr>
        <w:t>P</w:t>
      </w:r>
      <w:r w:rsidRPr="00DB1D7C">
        <w:rPr>
          <w:rFonts w:ascii="Calibri" w:hAnsi="Calibri"/>
          <w:sz w:val="24"/>
          <w:szCs w:val="24"/>
        </w:rPr>
        <w:t xml:space="preserve">ractices on over 2 million men and women aged 30–85 years (www.qfracture.org). Like the FRAX tool, it takes into account history of smoking, alcohol, </w:t>
      </w:r>
      <w:r w:rsidR="00990CE2">
        <w:rPr>
          <w:rFonts w:ascii="Calibri" w:hAnsi="Calibri"/>
          <w:sz w:val="24"/>
          <w:szCs w:val="24"/>
        </w:rPr>
        <w:t>glucocorticoid</w:t>
      </w:r>
      <w:r w:rsidRPr="00DB1D7C">
        <w:rPr>
          <w:rFonts w:ascii="Calibri" w:hAnsi="Calibri"/>
          <w:sz w:val="24"/>
          <w:szCs w:val="24"/>
        </w:rPr>
        <w:t xml:space="preserve"> use, parental history (of hip fracture or osteoporosis) and </w:t>
      </w:r>
      <w:r w:rsidR="00CA2760">
        <w:rPr>
          <w:rFonts w:ascii="Calibri" w:hAnsi="Calibri"/>
          <w:sz w:val="24"/>
          <w:szCs w:val="24"/>
        </w:rPr>
        <w:t>multiple</w:t>
      </w:r>
      <w:r w:rsidRPr="00DB1D7C">
        <w:rPr>
          <w:rFonts w:ascii="Calibri" w:hAnsi="Calibri"/>
          <w:sz w:val="24"/>
          <w:szCs w:val="24"/>
        </w:rPr>
        <w:t xml:space="preserve"> secondary causes of osteoporosis.</w:t>
      </w:r>
      <w:r w:rsidR="00DB39F9" w:rsidRPr="00DB1D7C">
        <w:rPr>
          <w:rFonts w:ascii="Calibri" w:hAnsi="Calibri"/>
          <w:sz w:val="24"/>
          <w:szCs w:val="24"/>
        </w:rPr>
        <w:t xml:space="preserve"> </w:t>
      </w:r>
      <w:r w:rsidRPr="00DB1D7C">
        <w:rPr>
          <w:rFonts w:ascii="Calibri" w:hAnsi="Calibri"/>
          <w:sz w:val="24"/>
          <w:szCs w:val="24"/>
        </w:rPr>
        <w:t>Unlike FRAX, it also includes a history of falls (yes/no</w:t>
      </w:r>
      <w:r w:rsidR="00DB39F9" w:rsidRPr="00DB1D7C">
        <w:rPr>
          <w:rFonts w:ascii="Calibri" w:hAnsi="Calibri"/>
          <w:sz w:val="24"/>
          <w:szCs w:val="24"/>
        </w:rPr>
        <w:t xml:space="preserve"> </w:t>
      </w:r>
      <w:r w:rsidRPr="00DB1D7C">
        <w:rPr>
          <w:rFonts w:ascii="Calibri" w:hAnsi="Calibri"/>
          <w:sz w:val="24"/>
          <w:szCs w:val="24"/>
        </w:rPr>
        <w:t xml:space="preserve">only over an unspecified time frame). </w:t>
      </w:r>
      <w:r w:rsidR="00EC5637">
        <w:rPr>
          <w:rFonts w:ascii="Calibri" w:hAnsi="Calibri"/>
          <w:sz w:val="24"/>
          <w:szCs w:val="24"/>
        </w:rPr>
        <w:t xml:space="preserve"> </w:t>
      </w:r>
      <w:r w:rsidRPr="00DB1D7C">
        <w:rPr>
          <w:rFonts w:ascii="Calibri" w:hAnsi="Calibri"/>
          <w:sz w:val="24"/>
          <w:szCs w:val="24"/>
        </w:rPr>
        <w:t>It has been internally validated (i.e.</w:t>
      </w:r>
      <w:r w:rsidR="00DB39F9" w:rsidRPr="00DB1D7C">
        <w:rPr>
          <w:rFonts w:ascii="Calibri" w:hAnsi="Calibri"/>
          <w:sz w:val="24"/>
          <w:szCs w:val="24"/>
        </w:rPr>
        <w:t xml:space="preserve"> </w:t>
      </w:r>
      <w:r w:rsidRPr="00DB1D7C">
        <w:rPr>
          <w:rFonts w:ascii="Calibri" w:hAnsi="Calibri"/>
          <w:sz w:val="24"/>
          <w:szCs w:val="24"/>
        </w:rPr>
        <w:t>from a stratum of the same population) and also externally</w:t>
      </w:r>
      <w:r w:rsidR="00DB39F9" w:rsidRPr="00DB1D7C">
        <w:rPr>
          <w:rFonts w:ascii="Calibri" w:hAnsi="Calibri"/>
          <w:sz w:val="24"/>
          <w:szCs w:val="24"/>
        </w:rPr>
        <w:t xml:space="preserve"> </w:t>
      </w:r>
      <w:r w:rsidRPr="00DB1D7C">
        <w:rPr>
          <w:rFonts w:ascii="Calibri" w:hAnsi="Calibri"/>
          <w:sz w:val="24"/>
          <w:szCs w:val="24"/>
        </w:rPr>
        <w:t>validated</w:t>
      </w:r>
      <w:r w:rsidR="00DB39F9" w:rsidRPr="00DB1D7C">
        <w:rPr>
          <w:rFonts w:ascii="Calibri" w:hAnsi="Calibri"/>
          <w:sz w:val="24"/>
          <w:szCs w:val="24"/>
        </w:rPr>
        <w:t xml:space="preserve">, but </w:t>
      </w:r>
      <w:r w:rsidR="008E6F3C" w:rsidRPr="00DB1D7C">
        <w:rPr>
          <w:rFonts w:ascii="Calibri" w:hAnsi="Calibri"/>
          <w:sz w:val="24"/>
          <w:szCs w:val="24"/>
        </w:rPr>
        <w:t xml:space="preserve">only </w:t>
      </w:r>
      <w:r w:rsidR="002A1E50">
        <w:rPr>
          <w:rFonts w:ascii="Calibri" w:hAnsi="Calibri"/>
          <w:sz w:val="24"/>
          <w:szCs w:val="24"/>
        </w:rPr>
        <w:t xml:space="preserve">from GP records </w:t>
      </w:r>
      <w:r w:rsidR="008E6F3C" w:rsidRPr="00DB1D7C">
        <w:rPr>
          <w:rFonts w:ascii="Calibri" w:hAnsi="Calibri"/>
          <w:sz w:val="24"/>
          <w:szCs w:val="24"/>
        </w:rPr>
        <w:t>in</w:t>
      </w:r>
      <w:r w:rsidRPr="00DB1D7C">
        <w:rPr>
          <w:rFonts w:ascii="Calibri" w:hAnsi="Calibri"/>
          <w:sz w:val="24"/>
          <w:szCs w:val="24"/>
        </w:rPr>
        <w:t xml:space="preserve"> the </w:t>
      </w:r>
      <w:r w:rsidRPr="004906EC">
        <w:rPr>
          <w:rFonts w:ascii="Calibri" w:hAnsi="Calibri"/>
          <w:sz w:val="24"/>
          <w:szCs w:val="24"/>
        </w:rPr>
        <w:t xml:space="preserve">UK </w:t>
      </w:r>
      <w:r w:rsidR="00315672" w:rsidRPr="004906EC">
        <w:rPr>
          <w:rFonts w:ascii="Calibri" w:hAnsi="Calibri"/>
          <w:sz w:val="24"/>
          <w:szCs w:val="24"/>
        </w:rPr>
        <w:t>[12]</w:t>
      </w:r>
      <w:r w:rsidRPr="004906EC">
        <w:rPr>
          <w:rFonts w:ascii="Calibri" w:hAnsi="Calibri"/>
          <w:sz w:val="24"/>
          <w:szCs w:val="24"/>
        </w:rPr>
        <w:t>.</w:t>
      </w:r>
    </w:p>
    <w:p w14:paraId="46DE51D4" w14:textId="77777777" w:rsidR="005558EB" w:rsidRPr="00DB1D7C" w:rsidRDefault="005558EB" w:rsidP="003E0F28">
      <w:pPr>
        <w:rPr>
          <w:rFonts w:ascii="Calibri" w:hAnsi="Calibri"/>
          <w:sz w:val="24"/>
          <w:szCs w:val="24"/>
        </w:rPr>
      </w:pPr>
    </w:p>
    <w:p w14:paraId="0A2B6901" w14:textId="76BFBF0F" w:rsidR="008C5328" w:rsidRPr="005558EB" w:rsidRDefault="008C5328" w:rsidP="005F7E6D">
      <w:pPr>
        <w:spacing w:before="240"/>
        <w:rPr>
          <w:rFonts w:ascii="Calibri" w:hAnsi="Calibri"/>
        </w:rPr>
      </w:pPr>
      <w:r w:rsidRPr="005558EB">
        <w:rPr>
          <w:rFonts w:ascii="Calibri" w:hAnsi="Calibri"/>
          <w:b/>
        </w:rPr>
        <w:t xml:space="preserve">Table </w:t>
      </w:r>
      <w:r w:rsidR="0006534F" w:rsidRPr="005558EB">
        <w:rPr>
          <w:rFonts w:ascii="Calibri" w:hAnsi="Calibri"/>
          <w:b/>
        </w:rPr>
        <w:t>1</w:t>
      </w:r>
      <w:r w:rsidRPr="005558EB">
        <w:rPr>
          <w:rFonts w:ascii="Calibri" w:hAnsi="Calibri"/>
        </w:rPr>
        <w:t>. Comparative features of QFracture</w:t>
      </w:r>
      <w:r w:rsidR="005558EB">
        <w:rPr>
          <w:rFonts w:ascii="Calibri" w:hAnsi="Calibri"/>
        </w:rPr>
        <w:t xml:space="preserve"> </w:t>
      </w:r>
      <w:r w:rsidRPr="005558EB">
        <w:rPr>
          <w:rFonts w:ascii="Calibri" w:hAnsi="Calibri"/>
        </w:rPr>
        <w:t>and FRAX</w:t>
      </w:r>
      <w:r w:rsidR="005558EB" w:rsidRPr="005558EB">
        <w:rPr>
          <w:rFonts w:ascii="Calibri" w:hAnsi="Calibri"/>
        </w:rPr>
        <w:t>.</w:t>
      </w:r>
      <w:r w:rsidRPr="005558EB">
        <w:rPr>
          <w:rFonts w:ascii="Calibri" w:hAnsi="Calibri"/>
        </w:rPr>
        <w:t xml:space="preserve"> </w:t>
      </w:r>
      <w:r w:rsidR="005558EB" w:rsidRPr="005558EB">
        <w:rPr>
          <w:rFonts w:ascii="Calibri" w:hAnsi="Calibri"/>
        </w:rPr>
        <w:t xml:space="preserve">Source </w:t>
      </w:r>
      <w:r w:rsidR="00315672" w:rsidRPr="005558EB">
        <w:rPr>
          <w:rFonts w:ascii="Calibri" w:hAnsi="Calibri"/>
        </w:rPr>
        <w:t>[13]</w:t>
      </w:r>
      <w:r w:rsidR="005558EB" w:rsidRPr="005558EB">
        <w:rPr>
          <w:rFonts w:ascii="Calibri" w:hAnsi="Calibri"/>
        </w:rPr>
        <w:t xml:space="preserve"> with kind permission from Springer Science and Business Media.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268"/>
        <w:gridCol w:w="2551"/>
      </w:tblGrid>
      <w:tr w:rsidR="008C5328" w:rsidRPr="005558EB" w14:paraId="0A2B6905" w14:textId="77777777" w:rsidTr="00691086">
        <w:tc>
          <w:tcPr>
            <w:tcW w:w="3681" w:type="dxa"/>
          </w:tcPr>
          <w:p w14:paraId="0A2B6902" w14:textId="77777777" w:rsidR="008C5328" w:rsidRPr="005558EB" w:rsidRDefault="008C5328" w:rsidP="005F7E6D">
            <w:pPr>
              <w:spacing w:before="240" w:line="259" w:lineRule="auto"/>
              <w:rPr>
                <w:rFonts w:ascii="Calibri" w:hAnsi="Calibri"/>
              </w:rPr>
            </w:pPr>
          </w:p>
        </w:tc>
        <w:tc>
          <w:tcPr>
            <w:tcW w:w="2268" w:type="dxa"/>
            <w:tcBorders>
              <w:top w:val="single" w:sz="4" w:space="0" w:color="auto"/>
              <w:bottom w:val="single" w:sz="4" w:space="0" w:color="auto"/>
            </w:tcBorders>
          </w:tcPr>
          <w:p w14:paraId="0A2B6903" w14:textId="77777777" w:rsidR="008C5328" w:rsidRPr="005558EB" w:rsidRDefault="008C5328" w:rsidP="005F7E6D">
            <w:pPr>
              <w:spacing w:before="240" w:line="259" w:lineRule="auto"/>
              <w:rPr>
                <w:rFonts w:ascii="Calibri" w:hAnsi="Calibri"/>
              </w:rPr>
            </w:pPr>
            <w:r w:rsidRPr="005558EB">
              <w:rPr>
                <w:rFonts w:ascii="Calibri" w:hAnsi="Calibri"/>
              </w:rPr>
              <w:t>QFracture</w:t>
            </w:r>
          </w:p>
        </w:tc>
        <w:tc>
          <w:tcPr>
            <w:tcW w:w="2551" w:type="dxa"/>
            <w:tcBorders>
              <w:top w:val="single" w:sz="4" w:space="0" w:color="auto"/>
              <w:bottom w:val="single" w:sz="4" w:space="0" w:color="auto"/>
            </w:tcBorders>
          </w:tcPr>
          <w:p w14:paraId="0A2B6904" w14:textId="77777777" w:rsidR="008C5328" w:rsidRPr="005558EB" w:rsidRDefault="008C5328" w:rsidP="005F7E6D">
            <w:pPr>
              <w:spacing w:before="240" w:line="259" w:lineRule="auto"/>
              <w:rPr>
                <w:rFonts w:ascii="Calibri" w:hAnsi="Calibri"/>
              </w:rPr>
            </w:pPr>
            <w:r w:rsidRPr="005558EB">
              <w:rPr>
                <w:rFonts w:ascii="Calibri" w:hAnsi="Calibri"/>
              </w:rPr>
              <w:t>FRAX</w:t>
            </w:r>
          </w:p>
        </w:tc>
      </w:tr>
      <w:tr w:rsidR="008C5328" w:rsidRPr="005558EB" w14:paraId="0A2B6909" w14:textId="77777777" w:rsidTr="00691086">
        <w:tc>
          <w:tcPr>
            <w:tcW w:w="3681" w:type="dxa"/>
          </w:tcPr>
          <w:p w14:paraId="0A2B6906" w14:textId="77777777" w:rsidR="008C5328" w:rsidRPr="005558EB" w:rsidRDefault="008C5328" w:rsidP="005F7E6D">
            <w:pPr>
              <w:spacing w:before="240" w:line="259" w:lineRule="auto"/>
              <w:rPr>
                <w:rFonts w:ascii="Calibri" w:hAnsi="Calibri"/>
              </w:rPr>
            </w:pPr>
            <w:r w:rsidRPr="005558EB">
              <w:rPr>
                <w:rFonts w:ascii="Calibri" w:hAnsi="Calibri"/>
              </w:rPr>
              <w:t>Externally validated</w:t>
            </w:r>
          </w:p>
        </w:tc>
        <w:tc>
          <w:tcPr>
            <w:tcW w:w="2268" w:type="dxa"/>
            <w:tcBorders>
              <w:top w:val="single" w:sz="4" w:space="0" w:color="auto"/>
            </w:tcBorders>
          </w:tcPr>
          <w:p w14:paraId="0A2B6907" w14:textId="77777777" w:rsidR="008C5328" w:rsidRPr="005558EB" w:rsidRDefault="008C5328" w:rsidP="005F7E6D">
            <w:pPr>
              <w:spacing w:before="240" w:line="259" w:lineRule="auto"/>
              <w:rPr>
                <w:rFonts w:ascii="Calibri" w:hAnsi="Calibri"/>
              </w:rPr>
            </w:pPr>
            <w:r w:rsidRPr="005558EB">
              <w:rPr>
                <w:rFonts w:ascii="Calibri" w:hAnsi="Calibri"/>
              </w:rPr>
              <w:t xml:space="preserve">Yes (UK only) </w:t>
            </w:r>
          </w:p>
        </w:tc>
        <w:tc>
          <w:tcPr>
            <w:tcW w:w="2551" w:type="dxa"/>
            <w:tcBorders>
              <w:top w:val="single" w:sz="4" w:space="0" w:color="auto"/>
            </w:tcBorders>
          </w:tcPr>
          <w:p w14:paraId="0A2B6908" w14:textId="77777777" w:rsidR="008C5328" w:rsidRPr="005558EB" w:rsidRDefault="008C5328" w:rsidP="005F7E6D">
            <w:pPr>
              <w:spacing w:before="240" w:line="259" w:lineRule="auto"/>
              <w:rPr>
                <w:rFonts w:ascii="Calibri" w:hAnsi="Calibri"/>
              </w:rPr>
            </w:pPr>
            <w:r w:rsidRPr="005558EB">
              <w:rPr>
                <w:rFonts w:ascii="Calibri" w:hAnsi="Calibri"/>
              </w:rPr>
              <w:t>Yes, internationally</w:t>
            </w:r>
          </w:p>
        </w:tc>
      </w:tr>
      <w:tr w:rsidR="008C5328" w:rsidRPr="005558EB" w14:paraId="0A2B690D" w14:textId="77777777" w:rsidTr="00691086">
        <w:tc>
          <w:tcPr>
            <w:tcW w:w="3681" w:type="dxa"/>
          </w:tcPr>
          <w:p w14:paraId="0A2B690A" w14:textId="77777777" w:rsidR="008C5328" w:rsidRPr="005558EB" w:rsidRDefault="008C5328" w:rsidP="005F7E6D">
            <w:pPr>
              <w:spacing w:before="240" w:line="259" w:lineRule="auto"/>
              <w:rPr>
                <w:rFonts w:ascii="Calibri" w:hAnsi="Calibri"/>
              </w:rPr>
            </w:pPr>
            <w:r w:rsidRPr="005558EB">
              <w:rPr>
                <w:rFonts w:ascii="Calibri" w:hAnsi="Calibri"/>
              </w:rPr>
              <w:t>Calibrated</w:t>
            </w:r>
          </w:p>
        </w:tc>
        <w:tc>
          <w:tcPr>
            <w:tcW w:w="2268" w:type="dxa"/>
          </w:tcPr>
          <w:p w14:paraId="0A2B690B" w14:textId="77777777" w:rsidR="008C5328" w:rsidRPr="005558EB" w:rsidRDefault="008C5328" w:rsidP="005F7E6D">
            <w:pPr>
              <w:spacing w:before="240" w:line="259" w:lineRule="auto"/>
              <w:rPr>
                <w:rFonts w:ascii="Calibri" w:hAnsi="Calibri"/>
              </w:rPr>
            </w:pPr>
            <w:r w:rsidRPr="005558EB">
              <w:rPr>
                <w:rFonts w:ascii="Calibri" w:hAnsi="Calibri"/>
              </w:rPr>
              <w:t>Yes (hip only)</w:t>
            </w:r>
          </w:p>
        </w:tc>
        <w:tc>
          <w:tcPr>
            <w:tcW w:w="2551" w:type="dxa"/>
          </w:tcPr>
          <w:p w14:paraId="0A2B690C" w14:textId="77777777" w:rsidR="008C5328" w:rsidRPr="005558EB" w:rsidRDefault="008C5328" w:rsidP="005F7E6D">
            <w:pPr>
              <w:spacing w:before="240" w:line="259" w:lineRule="auto"/>
              <w:rPr>
                <w:rFonts w:ascii="Calibri" w:hAnsi="Calibri"/>
              </w:rPr>
            </w:pPr>
            <w:r w:rsidRPr="005558EB">
              <w:rPr>
                <w:rFonts w:ascii="Calibri" w:hAnsi="Calibri"/>
              </w:rPr>
              <w:t>Yes</w:t>
            </w:r>
          </w:p>
        </w:tc>
      </w:tr>
      <w:tr w:rsidR="008C5328" w:rsidRPr="005558EB" w14:paraId="0A2B6911" w14:textId="77777777" w:rsidTr="00691086">
        <w:tc>
          <w:tcPr>
            <w:tcW w:w="3681" w:type="dxa"/>
          </w:tcPr>
          <w:p w14:paraId="0A2B690E" w14:textId="77777777" w:rsidR="008C5328" w:rsidRPr="005558EB" w:rsidRDefault="008C5328" w:rsidP="005F7E6D">
            <w:pPr>
              <w:spacing w:before="240" w:line="259" w:lineRule="auto"/>
              <w:rPr>
                <w:rFonts w:ascii="Calibri" w:hAnsi="Calibri"/>
              </w:rPr>
            </w:pPr>
            <w:r w:rsidRPr="005558EB">
              <w:rPr>
                <w:rFonts w:ascii="Calibri" w:hAnsi="Calibri"/>
              </w:rPr>
              <w:t>Applicability</w:t>
            </w:r>
          </w:p>
        </w:tc>
        <w:tc>
          <w:tcPr>
            <w:tcW w:w="2268" w:type="dxa"/>
          </w:tcPr>
          <w:p w14:paraId="0A2B690F" w14:textId="77777777" w:rsidR="008C5328" w:rsidRPr="005558EB" w:rsidRDefault="008C5328" w:rsidP="005F7E6D">
            <w:pPr>
              <w:spacing w:before="240" w:line="259" w:lineRule="auto"/>
              <w:rPr>
                <w:rFonts w:ascii="Calibri" w:hAnsi="Calibri"/>
              </w:rPr>
            </w:pPr>
            <w:r w:rsidRPr="005558EB">
              <w:rPr>
                <w:rFonts w:ascii="Calibri" w:hAnsi="Calibri"/>
              </w:rPr>
              <w:t>UK</w:t>
            </w:r>
          </w:p>
        </w:tc>
        <w:tc>
          <w:tcPr>
            <w:tcW w:w="2551" w:type="dxa"/>
          </w:tcPr>
          <w:p w14:paraId="0A2B6910" w14:textId="77777777" w:rsidR="008C5328" w:rsidRPr="005558EB" w:rsidRDefault="008C5328" w:rsidP="005F7E6D">
            <w:pPr>
              <w:spacing w:before="240" w:line="259" w:lineRule="auto"/>
              <w:rPr>
                <w:rFonts w:ascii="Calibri" w:hAnsi="Calibri"/>
              </w:rPr>
            </w:pPr>
            <w:r w:rsidRPr="005558EB">
              <w:rPr>
                <w:rFonts w:ascii="Calibri" w:hAnsi="Calibri"/>
              </w:rPr>
              <w:t>57 countries</w:t>
            </w:r>
          </w:p>
        </w:tc>
      </w:tr>
      <w:tr w:rsidR="008C5328" w:rsidRPr="005558EB" w14:paraId="0A2B6915" w14:textId="77777777" w:rsidTr="00691086">
        <w:tc>
          <w:tcPr>
            <w:tcW w:w="3681" w:type="dxa"/>
          </w:tcPr>
          <w:p w14:paraId="0A2B6912" w14:textId="77777777" w:rsidR="008C5328" w:rsidRPr="005558EB" w:rsidRDefault="008C5328" w:rsidP="005F7E6D">
            <w:pPr>
              <w:spacing w:before="240" w:line="259" w:lineRule="auto"/>
              <w:rPr>
                <w:rFonts w:ascii="Calibri" w:hAnsi="Calibri"/>
              </w:rPr>
            </w:pPr>
            <w:r w:rsidRPr="005558EB">
              <w:rPr>
                <w:rFonts w:ascii="Calibri" w:hAnsi="Calibri"/>
              </w:rPr>
              <w:t>Falls as an input variable</w:t>
            </w:r>
          </w:p>
        </w:tc>
        <w:tc>
          <w:tcPr>
            <w:tcW w:w="2268" w:type="dxa"/>
          </w:tcPr>
          <w:p w14:paraId="0A2B6913" w14:textId="77777777" w:rsidR="008C5328" w:rsidRPr="005558EB" w:rsidRDefault="008C5328" w:rsidP="005F7E6D">
            <w:pPr>
              <w:spacing w:before="240" w:line="259" w:lineRule="auto"/>
              <w:rPr>
                <w:rFonts w:ascii="Calibri" w:hAnsi="Calibri"/>
              </w:rPr>
            </w:pPr>
            <w:r w:rsidRPr="005558EB">
              <w:rPr>
                <w:rFonts w:ascii="Calibri" w:hAnsi="Calibri"/>
              </w:rPr>
              <w:t xml:space="preserve">Yes </w:t>
            </w:r>
          </w:p>
        </w:tc>
        <w:tc>
          <w:tcPr>
            <w:tcW w:w="2551" w:type="dxa"/>
          </w:tcPr>
          <w:p w14:paraId="0A2B6914" w14:textId="77777777" w:rsidR="008C5328" w:rsidRPr="005558EB" w:rsidRDefault="008C5328" w:rsidP="005F7E6D">
            <w:pPr>
              <w:spacing w:before="240" w:line="259" w:lineRule="auto"/>
              <w:rPr>
                <w:rFonts w:ascii="Calibri" w:hAnsi="Calibri"/>
              </w:rPr>
            </w:pPr>
            <w:r w:rsidRPr="005558EB">
              <w:rPr>
                <w:rFonts w:ascii="Calibri" w:hAnsi="Calibri"/>
              </w:rPr>
              <w:t>No</w:t>
            </w:r>
          </w:p>
        </w:tc>
      </w:tr>
      <w:tr w:rsidR="008C5328" w:rsidRPr="005558EB" w14:paraId="0A2B6919" w14:textId="77777777" w:rsidTr="00691086">
        <w:tc>
          <w:tcPr>
            <w:tcW w:w="3681" w:type="dxa"/>
          </w:tcPr>
          <w:p w14:paraId="0A2B6916" w14:textId="77777777" w:rsidR="008C5328" w:rsidRPr="005558EB" w:rsidRDefault="008C5328" w:rsidP="005F7E6D">
            <w:pPr>
              <w:spacing w:before="240" w:line="259" w:lineRule="auto"/>
              <w:rPr>
                <w:rFonts w:ascii="Calibri" w:hAnsi="Calibri"/>
              </w:rPr>
            </w:pPr>
            <w:r w:rsidRPr="005558EB">
              <w:rPr>
                <w:rFonts w:ascii="Calibri" w:hAnsi="Calibri"/>
              </w:rPr>
              <w:t>BMD as an input variable</w:t>
            </w:r>
          </w:p>
        </w:tc>
        <w:tc>
          <w:tcPr>
            <w:tcW w:w="2268" w:type="dxa"/>
          </w:tcPr>
          <w:p w14:paraId="0A2B6917" w14:textId="77777777" w:rsidR="008C5328" w:rsidRPr="005558EB" w:rsidRDefault="008C5328" w:rsidP="005F7E6D">
            <w:pPr>
              <w:spacing w:before="240" w:line="259" w:lineRule="auto"/>
              <w:rPr>
                <w:rFonts w:ascii="Calibri" w:hAnsi="Calibri"/>
              </w:rPr>
            </w:pPr>
            <w:r w:rsidRPr="005558EB">
              <w:rPr>
                <w:rFonts w:ascii="Calibri" w:hAnsi="Calibri"/>
              </w:rPr>
              <w:t>No</w:t>
            </w:r>
          </w:p>
        </w:tc>
        <w:tc>
          <w:tcPr>
            <w:tcW w:w="2551" w:type="dxa"/>
          </w:tcPr>
          <w:p w14:paraId="0A2B6918" w14:textId="77777777" w:rsidR="008C5328" w:rsidRPr="005558EB" w:rsidRDefault="008C5328" w:rsidP="005F7E6D">
            <w:pPr>
              <w:spacing w:before="240" w:line="259" w:lineRule="auto"/>
              <w:rPr>
                <w:rFonts w:ascii="Calibri" w:hAnsi="Calibri"/>
              </w:rPr>
            </w:pPr>
            <w:r w:rsidRPr="005558EB">
              <w:rPr>
                <w:rFonts w:ascii="Calibri" w:hAnsi="Calibri"/>
              </w:rPr>
              <w:t>Yes</w:t>
            </w:r>
          </w:p>
        </w:tc>
      </w:tr>
      <w:tr w:rsidR="008C5328" w:rsidRPr="005558EB" w14:paraId="0A2B691D" w14:textId="77777777" w:rsidTr="00691086">
        <w:tc>
          <w:tcPr>
            <w:tcW w:w="3681" w:type="dxa"/>
          </w:tcPr>
          <w:p w14:paraId="0A2B691A" w14:textId="77777777" w:rsidR="008C5328" w:rsidRPr="005558EB" w:rsidRDefault="008C5328" w:rsidP="005F7E6D">
            <w:pPr>
              <w:spacing w:before="240" w:line="259" w:lineRule="auto"/>
              <w:rPr>
                <w:rFonts w:ascii="Calibri" w:hAnsi="Calibri"/>
              </w:rPr>
            </w:pPr>
            <w:r w:rsidRPr="005558EB">
              <w:rPr>
                <w:rFonts w:ascii="Calibri" w:hAnsi="Calibri"/>
              </w:rPr>
              <w:t>Prior fracture as an input variable</w:t>
            </w:r>
          </w:p>
        </w:tc>
        <w:tc>
          <w:tcPr>
            <w:tcW w:w="2268" w:type="dxa"/>
          </w:tcPr>
          <w:p w14:paraId="0A2B691B" w14:textId="77777777" w:rsidR="008C5328" w:rsidRPr="005558EB" w:rsidRDefault="008C5328" w:rsidP="005F7E6D">
            <w:pPr>
              <w:spacing w:before="240" w:line="259" w:lineRule="auto"/>
              <w:rPr>
                <w:rFonts w:ascii="Calibri" w:hAnsi="Calibri"/>
              </w:rPr>
            </w:pPr>
            <w:r w:rsidRPr="005558EB">
              <w:rPr>
                <w:rFonts w:ascii="Calibri" w:hAnsi="Calibri"/>
              </w:rPr>
              <w:t>Yes</w:t>
            </w:r>
          </w:p>
        </w:tc>
        <w:tc>
          <w:tcPr>
            <w:tcW w:w="2551" w:type="dxa"/>
          </w:tcPr>
          <w:p w14:paraId="0A2B691C" w14:textId="77777777" w:rsidR="008C5328" w:rsidRPr="005558EB" w:rsidRDefault="008C5328" w:rsidP="005F7E6D">
            <w:pPr>
              <w:spacing w:before="240" w:line="259" w:lineRule="auto"/>
              <w:rPr>
                <w:rFonts w:ascii="Calibri" w:hAnsi="Calibri"/>
              </w:rPr>
            </w:pPr>
            <w:r w:rsidRPr="005558EB">
              <w:rPr>
                <w:rFonts w:ascii="Calibri" w:hAnsi="Calibri"/>
              </w:rPr>
              <w:t>Yes</w:t>
            </w:r>
          </w:p>
        </w:tc>
      </w:tr>
      <w:tr w:rsidR="008C5328" w:rsidRPr="005558EB" w14:paraId="0A2B6921" w14:textId="77777777" w:rsidTr="00691086">
        <w:tc>
          <w:tcPr>
            <w:tcW w:w="3681" w:type="dxa"/>
          </w:tcPr>
          <w:p w14:paraId="0A2B691E" w14:textId="77777777" w:rsidR="008C5328" w:rsidRPr="005558EB" w:rsidRDefault="008C5328" w:rsidP="005F7E6D">
            <w:pPr>
              <w:spacing w:before="240" w:line="259" w:lineRule="auto"/>
              <w:rPr>
                <w:rFonts w:ascii="Calibri" w:hAnsi="Calibri"/>
              </w:rPr>
            </w:pPr>
            <w:r w:rsidRPr="005558EB">
              <w:rPr>
                <w:rFonts w:ascii="Calibri" w:hAnsi="Calibri"/>
              </w:rPr>
              <w:t>Family history as an input variable</w:t>
            </w:r>
          </w:p>
        </w:tc>
        <w:tc>
          <w:tcPr>
            <w:tcW w:w="2268" w:type="dxa"/>
          </w:tcPr>
          <w:p w14:paraId="0A2B691F" w14:textId="77777777" w:rsidR="008C5328" w:rsidRPr="005558EB" w:rsidRDefault="008C5328" w:rsidP="005F7E6D">
            <w:pPr>
              <w:spacing w:before="240" w:line="259" w:lineRule="auto"/>
              <w:rPr>
                <w:rFonts w:ascii="Calibri" w:hAnsi="Calibri"/>
              </w:rPr>
            </w:pPr>
            <w:r w:rsidRPr="005558EB">
              <w:rPr>
                <w:rFonts w:ascii="Calibri" w:hAnsi="Calibri"/>
              </w:rPr>
              <w:t>Yes</w:t>
            </w:r>
          </w:p>
        </w:tc>
        <w:tc>
          <w:tcPr>
            <w:tcW w:w="2551" w:type="dxa"/>
          </w:tcPr>
          <w:p w14:paraId="0A2B6920" w14:textId="77777777" w:rsidR="008C5328" w:rsidRPr="005558EB" w:rsidRDefault="008C5328" w:rsidP="005F7E6D">
            <w:pPr>
              <w:spacing w:before="240" w:line="259" w:lineRule="auto"/>
              <w:rPr>
                <w:rFonts w:ascii="Calibri" w:hAnsi="Calibri"/>
              </w:rPr>
            </w:pPr>
            <w:r w:rsidRPr="005558EB">
              <w:rPr>
                <w:rFonts w:ascii="Calibri" w:hAnsi="Calibri"/>
              </w:rPr>
              <w:t>Yes</w:t>
            </w:r>
          </w:p>
        </w:tc>
      </w:tr>
      <w:tr w:rsidR="008C5328" w:rsidRPr="005558EB" w14:paraId="0A2B6925" w14:textId="77777777" w:rsidTr="00691086">
        <w:tc>
          <w:tcPr>
            <w:tcW w:w="3681" w:type="dxa"/>
          </w:tcPr>
          <w:p w14:paraId="0A2B6922" w14:textId="77777777" w:rsidR="008C5328" w:rsidRPr="005558EB" w:rsidRDefault="008C5328" w:rsidP="005F7E6D">
            <w:pPr>
              <w:spacing w:before="240" w:line="259" w:lineRule="auto"/>
              <w:rPr>
                <w:rFonts w:ascii="Calibri" w:hAnsi="Calibri"/>
              </w:rPr>
            </w:pPr>
            <w:r w:rsidRPr="005558EB">
              <w:rPr>
                <w:rFonts w:ascii="Calibri" w:hAnsi="Calibri"/>
              </w:rPr>
              <w:t>Outcome</w:t>
            </w:r>
          </w:p>
        </w:tc>
        <w:tc>
          <w:tcPr>
            <w:tcW w:w="2268" w:type="dxa"/>
          </w:tcPr>
          <w:p w14:paraId="0A2B6923" w14:textId="77777777" w:rsidR="008C5328" w:rsidRPr="005558EB" w:rsidRDefault="008C5328" w:rsidP="005F7E6D">
            <w:pPr>
              <w:spacing w:before="240" w:line="259" w:lineRule="auto"/>
              <w:rPr>
                <w:rFonts w:ascii="Calibri" w:hAnsi="Calibri"/>
              </w:rPr>
            </w:pPr>
            <w:r w:rsidRPr="005558EB">
              <w:rPr>
                <w:rFonts w:ascii="Calibri" w:hAnsi="Calibri"/>
              </w:rPr>
              <w:t>Hip, forearm, spine, shoulder</w:t>
            </w:r>
          </w:p>
        </w:tc>
        <w:tc>
          <w:tcPr>
            <w:tcW w:w="2551" w:type="dxa"/>
          </w:tcPr>
          <w:p w14:paraId="0A2B6924" w14:textId="77777777" w:rsidR="008C5328" w:rsidRPr="005558EB" w:rsidRDefault="008C5328" w:rsidP="005F7E6D">
            <w:pPr>
              <w:spacing w:before="240" w:line="259" w:lineRule="auto"/>
              <w:rPr>
                <w:rFonts w:ascii="Calibri" w:hAnsi="Calibri"/>
              </w:rPr>
            </w:pPr>
            <w:r w:rsidRPr="005558EB">
              <w:rPr>
                <w:rFonts w:ascii="Calibri" w:hAnsi="Calibri"/>
              </w:rPr>
              <w:t>Hip, forearm, spine, humerus</w:t>
            </w:r>
          </w:p>
        </w:tc>
      </w:tr>
      <w:tr w:rsidR="008C5328" w:rsidRPr="005558EB" w14:paraId="0A2B6929" w14:textId="77777777" w:rsidTr="00691086">
        <w:tc>
          <w:tcPr>
            <w:tcW w:w="3681" w:type="dxa"/>
          </w:tcPr>
          <w:p w14:paraId="0A2B6926" w14:textId="77777777" w:rsidR="008C5328" w:rsidRPr="005558EB" w:rsidRDefault="008C5328" w:rsidP="005F7E6D">
            <w:pPr>
              <w:spacing w:before="240" w:line="259" w:lineRule="auto"/>
              <w:rPr>
                <w:rFonts w:ascii="Calibri" w:hAnsi="Calibri"/>
              </w:rPr>
            </w:pPr>
            <w:r w:rsidRPr="005558EB">
              <w:rPr>
                <w:rFonts w:ascii="Calibri" w:hAnsi="Calibri"/>
              </w:rPr>
              <w:t>Outcome metric</w:t>
            </w:r>
          </w:p>
        </w:tc>
        <w:tc>
          <w:tcPr>
            <w:tcW w:w="2268" w:type="dxa"/>
          </w:tcPr>
          <w:p w14:paraId="0A2B6927" w14:textId="77777777" w:rsidR="008C5328" w:rsidRPr="005558EB" w:rsidRDefault="008C5328" w:rsidP="005F7E6D">
            <w:pPr>
              <w:spacing w:before="240" w:line="259" w:lineRule="auto"/>
              <w:rPr>
                <w:rFonts w:ascii="Calibri" w:hAnsi="Calibri"/>
              </w:rPr>
            </w:pPr>
            <w:r w:rsidRPr="005558EB">
              <w:rPr>
                <w:rFonts w:ascii="Calibri" w:hAnsi="Calibri"/>
              </w:rPr>
              <w:t>Incidence</w:t>
            </w:r>
          </w:p>
        </w:tc>
        <w:tc>
          <w:tcPr>
            <w:tcW w:w="2551" w:type="dxa"/>
          </w:tcPr>
          <w:p w14:paraId="0A2B6928" w14:textId="77777777" w:rsidR="008C5328" w:rsidRPr="005558EB" w:rsidRDefault="008C5328" w:rsidP="005F7E6D">
            <w:pPr>
              <w:spacing w:before="240" w:line="259" w:lineRule="auto"/>
              <w:rPr>
                <w:rFonts w:ascii="Calibri" w:hAnsi="Calibri"/>
              </w:rPr>
            </w:pPr>
            <w:r w:rsidRPr="005558EB">
              <w:rPr>
                <w:rFonts w:ascii="Calibri" w:hAnsi="Calibri"/>
              </w:rPr>
              <w:t>Probability</w:t>
            </w:r>
          </w:p>
        </w:tc>
      </w:tr>
    </w:tbl>
    <w:p w14:paraId="0A2B692A" w14:textId="77777777" w:rsidR="008C5328" w:rsidRPr="005558EB" w:rsidRDefault="008C5328" w:rsidP="005F7E6D">
      <w:pPr>
        <w:spacing w:before="240"/>
        <w:rPr>
          <w:rFonts w:ascii="Calibri" w:hAnsi="Calibri"/>
        </w:rPr>
      </w:pPr>
    </w:p>
    <w:p w14:paraId="72F5489E" w14:textId="3F7944B0" w:rsidR="00B4123C" w:rsidRPr="00DB1D7C" w:rsidRDefault="008C5328" w:rsidP="008819A0">
      <w:pPr>
        <w:rPr>
          <w:rFonts w:ascii="Calibri" w:hAnsi="Calibri"/>
          <w:sz w:val="24"/>
          <w:szCs w:val="24"/>
        </w:rPr>
      </w:pPr>
      <w:r w:rsidRPr="00DB1D7C">
        <w:rPr>
          <w:rFonts w:ascii="Calibri" w:hAnsi="Calibri"/>
          <w:sz w:val="24"/>
          <w:szCs w:val="24"/>
        </w:rPr>
        <w:t xml:space="preserve"> </w:t>
      </w:r>
      <w:r w:rsidR="00D81E56" w:rsidRPr="00DB1D7C">
        <w:rPr>
          <w:rFonts w:ascii="Calibri" w:hAnsi="Calibri"/>
          <w:sz w:val="24"/>
          <w:szCs w:val="24"/>
        </w:rPr>
        <w:t xml:space="preserve">FRAX calculates fracture probability in individuals from age, body mass index and dichotomized risk factors comprising prior fragility fracture, parental history of hip fracture, current tobacco smoking, ever use of long-term oral glucocorticoids, rheumatoid arthritis, other causes of secondary osteoporosis and alcohol </w:t>
      </w:r>
      <w:r w:rsidR="00D81E56" w:rsidRPr="005558EB">
        <w:rPr>
          <w:rFonts w:ascii="Calibri" w:hAnsi="Calibri"/>
          <w:sz w:val="24"/>
          <w:szCs w:val="24"/>
        </w:rPr>
        <w:t xml:space="preserve">consumption </w:t>
      </w:r>
      <w:r w:rsidR="00755086" w:rsidRPr="005558EB">
        <w:rPr>
          <w:rFonts w:ascii="Calibri" w:hAnsi="Calibri"/>
          <w:sz w:val="24"/>
          <w:szCs w:val="24"/>
        </w:rPr>
        <w:t>[8]</w:t>
      </w:r>
      <w:r w:rsidR="00D81E56" w:rsidRPr="005558EB">
        <w:rPr>
          <w:rFonts w:ascii="Calibri" w:hAnsi="Calibri"/>
          <w:sz w:val="24"/>
          <w:szCs w:val="24"/>
        </w:rPr>
        <w:t>.</w:t>
      </w:r>
      <w:r w:rsidR="00D81E56" w:rsidRPr="00DB1D7C">
        <w:rPr>
          <w:rFonts w:ascii="Calibri" w:hAnsi="Calibri"/>
          <w:sz w:val="24"/>
          <w:szCs w:val="24"/>
        </w:rPr>
        <w:t xml:space="preserve"> Femoral neck BMD can be optionally input to enhance fracture risk prediction.  Fracture probability is computed taking both the risk of fracture and the risk of death into account. The use of clinical risk factors in conjunction with BMD and age improves sensitivity of fracture prediction without adverse effects on </w:t>
      </w:r>
      <w:r w:rsidR="00D81E56" w:rsidRPr="005558EB">
        <w:rPr>
          <w:rFonts w:ascii="Calibri" w:hAnsi="Calibri"/>
          <w:sz w:val="24"/>
          <w:szCs w:val="24"/>
        </w:rPr>
        <w:t xml:space="preserve">specificity </w:t>
      </w:r>
      <w:r w:rsidR="005558EB" w:rsidRPr="005558EB">
        <w:rPr>
          <w:rFonts w:ascii="Calibri" w:hAnsi="Calibri"/>
          <w:sz w:val="24"/>
          <w:szCs w:val="24"/>
        </w:rPr>
        <w:t>[</w:t>
      </w:r>
      <w:r w:rsidR="003E244A" w:rsidRPr="005558EB">
        <w:rPr>
          <w:rFonts w:ascii="Calibri" w:hAnsi="Calibri"/>
          <w:sz w:val="24"/>
          <w:szCs w:val="24"/>
        </w:rPr>
        <w:t>14]</w:t>
      </w:r>
      <w:r w:rsidR="00D81E56" w:rsidRPr="005558EB">
        <w:rPr>
          <w:rFonts w:ascii="Calibri" w:hAnsi="Calibri"/>
          <w:sz w:val="24"/>
          <w:szCs w:val="24"/>
        </w:rPr>
        <w:t>.  Even</w:t>
      </w:r>
      <w:r w:rsidR="00D81E56" w:rsidRPr="00DB1D7C">
        <w:rPr>
          <w:rFonts w:ascii="Calibri" w:hAnsi="Calibri"/>
          <w:sz w:val="24"/>
          <w:szCs w:val="24"/>
        </w:rPr>
        <w:t xml:space="preserve"> if the performance of FRAX is </w:t>
      </w:r>
      <w:r w:rsidR="00D81E56" w:rsidRPr="00DB1D7C">
        <w:rPr>
          <w:rFonts w:ascii="Calibri" w:hAnsi="Calibri"/>
          <w:sz w:val="24"/>
          <w:szCs w:val="24"/>
        </w:rPr>
        <w:lastRenderedPageBreak/>
        <w:t xml:space="preserve">enhanced by the use of BMD tests, it should be recognised </w:t>
      </w:r>
      <w:r w:rsidR="00D81E56" w:rsidRPr="005558EB">
        <w:rPr>
          <w:rFonts w:ascii="Calibri" w:hAnsi="Calibri"/>
          <w:sz w:val="24"/>
          <w:szCs w:val="24"/>
        </w:rPr>
        <w:t xml:space="preserve">that FRAX without BMD has a predictive value for fractures that is comparable to the use of BMD alone </w:t>
      </w:r>
      <w:r w:rsidR="003E244A" w:rsidRPr="005558EB">
        <w:rPr>
          <w:rFonts w:ascii="Calibri" w:hAnsi="Calibri"/>
          <w:sz w:val="24"/>
          <w:szCs w:val="24"/>
        </w:rPr>
        <w:t>[15]</w:t>
      </w:r>
      <w:r w:rsidR="00D81E56" w:rsidRPr="005558EB">
        <w:rPr>
          <w:rFonts w:ascii="Calibri" w:hAnsi="Calibri"/>
          <w:sz w:val="24"/>
          <w:szCs w:val="24"/>
        </w:rPr>
        <w:t xml:space="preserve">.  The availability and access to densitometry in many countries is low </w:t>
      </w:r>
      <w:r w:rsidR="003E244A" w:rsidRPr="005558EB">
        <w:rPr>
          <w:rFonts w:ascii="Calibri" w:hAnsi="Calibri"/>
          <w:sz w:val="24"/>
          <w:szCs w:val="24"/>
        </w:rPr>
        <w:t>[16]</w:t>
      </w:r>
      <w:r w:rsidR="005558EB" w:rsidRPr="005558EB">
        <w:rPr>
          <w:rFonts w:ascii="Calibri" w:hAnsi="Calibri"/>
          <w:sz w:val="24"/>
          <w:szCs w:val="24"/>
        </w:rPr>
        <w:t>,</w:t>
      </w:r>
      <w:r w:rsidR="003E244A" w:rsidRPr="005558EB">
        <w:rPr>
          <w:rFonts w:ascii="Calibri" w:hAnsi="Calibri"/>
          <w:sz w:val="24"/>
          <w:szCs w:val="24"/>
        </w:rPr>
        <w:t xml:space="preserve"> </w:t>
      </w:r>
      <w:r w:rsidR="00D81E56" w:rsidRPr="005558EB">
        <w:rPr>
          <w:rFonts w:ascii="Calibri" w:hAnsi="Calibri"/>
          <w:sz w:val="24"/>
          <w:szCs w:val="24"/>
        </w:rPr>
        <w:t>so that a major advantage of FRAX is the ability to assess fracture risk where BMD is unavailable</w:t>
      </w:r>
      <w:r w:rsidR="00D81E56" w:rsidRPr="00DB1D7C">
        <w:rPr>
          <w:rFonts w:ascii="Calibri" w:hAnsi="Calibri"/>
          <w:sz w:val="24"/>
          <w:szCs w:val="24"/>
        </w:rPr>
        <w:t>.</w:t>
      </w:r>
    </w:p>
    <w:p w14:paraId="0147172C" w14:textId="7703DC0B" w:rsidR="00F503E2" w:rsidRPr="00DB1D7C" w:rsidRDefault="00F503E2" w:rsidP="00F503E2">
      <w:pPr>
        <w:rPr>
          <w:rFonts w:ascii="Calibri" w:hAnsi="Calibri"/>
          <w:sz w:val="24"/>
          <w:szCs w:val="24"/>
        </w:rPr>
      </w:pPr>
      <w:r w:rsidRPr="00DB1D7C">
        <w:rPr>
          <w:rFonts w:ascii="Calibri" w:hAnsi="Calibri"/>
          <w:sz w:val="24"/>
          <w:szCs w:val="24"/>
        </w:rPr>
        <w:t xml:space="preserve">Fracture probability varies markedly in different regions of the </w:t>
      </w:r>
      <w:r w:rsidRPr="005558EB">
        <w:rPr>
          <w:rFonts w:ascii="Calibri" w:hAnsi="Calibri"/>
          <w:sz w:val="24"/>
          <w:szCs w:val="24"/>
        </w:rPr>
        <w:t xml:space="preserve">world </w:t>
      </w:r>
      <w:r w:rsidR="005F1C25" w:rsidRPr="005558EB">
        <w:rPr>
          <w:rFonts w:ascii="Calibri" w:hAnsi="Calibri"/>
          <w:sz w:val="24"/>
          <w:szCs w:val="24"/>
        </w:rPr>
        <w:t>[17]</w:t>
      </w:r>
      <w:r w:rsidRPr="005558EB">
        <w:rPr>
          <w:rFonts w:ascii="Calibri" w:hAnsi="Calibri"/>
          <w:sz w:val="24"/>
          <w:szCs w:val="24"/>
        </w:rPr>
        <w:t>. Thus</w:t>
      </w:r>
      <w:r w:rsidRPr="00DB1D7C">
        <w:rPr>
          <w:rFonts w:ascii="Calibri" w:hAnsi="Calibri"/>
          <w:sz w:val="24"/>
          <w:szCs w:val="24"/>
        </w:rPr>
        <w:t xml:space="preserve">, the FRAX® models need to be calibrated to those countries where the epidemiology of fracture and death is known. Models are currently available for </w:t>
      </w:r>
      <w:r w:rsidR="00DB1D7C" w:rsidRPr="00DB1D7C">
        <w:rPr>
          <w:rFonts w:ascii="Calibri" w:hAnsi="Calibri"/>
          <w:sz w:val="24"/>
          <w:szCs w:val="24"/>
        </w:rPr>
        <w:t>5</w:t>
      </w:r>
      <w:r w:rsidR="005558EB">
        <w:rPr>
          <w:rFonts w:ascii="Calibri" w:hAnsi="Calibri"/>
          <w:sz w:val="24"/>
          <w:szCs w:val="24"/>
        </w:rPr>
        <w:t>8</w:t>
      </w:r>
      <w:r w:rsidRPr="00DB1D7C">
        <w:rPr>
          <w:rFonts w:ascii="Calibri" w:hAnsi="Calibri"/>
          <w:sz w:val="24"/>
          <w:szCs w:val="24"/>
        </w:rPr>
        <w:t xml:space="preserve"> countries across the world: </w:t>
      </w:r>
      <w:r w:rsidR="00DB1D7C" w:rsidRPr="00DB1D7C">
        <w:rPr>
          <w:rFonts w:ascii="Calibri" w:hAnsi="Calibri"/>
          <w:sz w:val="24"/>
          <w:szCs w:val="24"/>
        </w:rPr>
        <w:t>for Argentina, Armenia (surrogate), Austria, Australia, Belgium, Brazil, Canada, Chile, Czech, China (revised 2013), Colombia, Croatia, Denmark, Ecuador, Estonia, France, Finland, Germany, Greece, Hong Kong, Hungary, Iceland, India (surrogate), Indonesia, Ireland, Israel</w:t>
      </w:r>
      <w:r w:rsidR="008C32F5">
        <w:rPr>
          <w:rFonts w:ascii="Calibri" w:hAnsi="Calibri"/>
          <w:sz w:val="24"/>
          <w:szCs w:val="24"/>
        </w:rPr>
        <w:t>,</w:t>
      </w:r>
      <w:r w:rsidR="00DB1D7C" w:rsidRPr="00DB1D7C">
        <w:rPr>
          <w:rFonts w:ascii="Calibri" w:hAnsi="Calibri"/>
          <w:sz w:val="24"/>
          <w:szCs w:val="24"/>
        </w:rPr>
        <w:t xml:space="preserve"> Italy, Japan, Jordan (updated), S Korea, </w:t>
      </w:r>
      <w:r w:rsidR="005558EB">
        <w:rPr>
          <w:rFonts w:ascii="Calibri" w:hAnsi="Calibri"/>
          <w:sz w:val="24"/>
          <w:szCs w:val="24"/>
        </w:rPr>
        <w:t xml:space="preserve">Kuwait, </w:t>
      </w:r>
      <w:r w:rsidR="00DB1D7C" w:rsidRPr="00DB1D7C">
        <w:rPr>
          <w:rFonts w:ascii="Calibri" w:hAnsi="Calibri"/>
          <w:sz w:val="24"/>
          <w:szCs w:val="24"/>
        </w:rPr>
        <w:t>Lebanon, Lithuania, Malta, Mexico, Morocco, Netherlands, New Zealand,</w:t>
      </w:r>
      <w:r w:rsidR="008C32F5">
        <w:rPr>
          <w:rFonts w:ascii="Calibri" w:hAnsi="Calibri"/>
          <w:sz w:val="24"/>
          <w:szCs w:val="24"/>
        </w:rPr>
        <w:t xml:space="preserve"> </w:t>
      </w:r>
      <w:r w:rsidR="00DB1D7C" w:rsidRPr="00DB1D7C">
        <w:rPr>
          <w:rFonts w:ascii="Calibri" w:hAnsi="Calibri"/>
          <w:sz w:val="24"/>
          <w:szCs w:val="24"/>
        </w:rPr>
        <w:t>Norway, Palestine (surrogate), Philippines, Poland, Portugal, Romania, Russia, Singapore, Slovakia, Sri Lanka (surrogate), Spain, Sweden, Switzerland, Taiwan, Thailand, Tunisia, Turkey, UK, US, Venezuela</w:t>
      </w:r>
      <w:r w:rsidR="005558EB">
        <w:rPr>
          <w:rFonts w:ascii="Calibri" w:hAnsi="Calibri"/>
          <w:sz w:val="24"/>
          <w:szCs w:val="24"/>
        </w:rPr>
        <w:t>.</w:t>
      </w:r>
      <w:r w:rsidR="00DB1D7C" w:rsidRPr="00DB1D7C">
        <w:rPr>
          <w:rFonts w:ascii="Calibri" w:hAnsi="Calibri"/>
          <w:sz w:val="24"/>
          <w:szCs w:val="24"/>
        </w:rPr>
        <w:t xml:space="preserve"> </w:t>
      </w:r>
      <w:r w:rsidRPr="00DB1D7C">
        <w:rPr>
          <w:rFonts w:ascii="Calibri" w:hAnsi="Calibri"/>
          <w:sz w:val="24"/>
          <w:szCs w:val="24"/>
        </w:rPr>
        <w:t xml:space="preserve">The model is available in </w:t>
      </w:r>
      <w:r w:rsidR="00DB1D7C" w:rsidRPr="00DB1D7C">
        <w:rPr>
          <w:rFonts w:ascii="Calibri" w:hAnsi="Calibri"/>
          <w:sz w:val="24"/>
          <w:szCs w:val="24"/>
        </w:rPr>
        <w:t>27</w:t>
      </w:r>
      <w:r w:rsidRPr="00DB1D7C">
        <w:rPr>
          <w:rFonts w:ascii="Calibri" w:hAnsi="Calibri"/>
          <w:sz w:val="24"/>
          <w:szCs w:val="24"/>
        </w:rPr>
        <w:t xml:space="preserve"> languages: </w:t>
      </w:r>
      <w:r w:rsidR="00DB1D7C" w:rsidRPr="00DB1D7C">
        <w:rPr>
          <w:rFonts w:ascii="Calibri" w:hAnsi="Calibri"/>
          <w:sz w:val="24"/>
          <w:szCs w:val="24"/>
        </w:rPr>
        <w:t>Arabic, Bengali, Chinese (traditional and simplified), Czech, Danish, Dutch, English, Finnish, French, German, Greek, Icelandic, Indonesian, Italian Japanese, Korean, Lithuanian, Norwegian, Polish, Portuguese, Romanian, Russian, Slovak, Spanish, Swedish, Thai and Turkish</w:t>
      </w:r>
      <w:r w:rsidRPr="00DB1D7C">
        <w:rPr>
          <w:rFonts w:ascii="Calibri" w:hAnsi="Calibri"/>
          <w:sz w:val="24"/>
          <w:szCs w:val="24"/>
        </w:rPr>
        <w:t>.</w:t>
      </w:r>
    </w:p>
    <w:p w14:paraId="28184F03" w14:textId="68D6E88F" w:rsidR="00D81E56" w:rsidRPr="008C32F5" w:rsidRDefault="00990CE2" w:rsidP="00F503E2">
      <w:pPr>
        <w:rPr>
          <w:rFonts w:ascii="Calibri" w:hAnsi="Calibri"/>
          <w:sz w:val="24"/>
          <w:szCs w:val="24"/>
        </w:rPr>
      </w:pPr>
      <w:r>
        <w:rPr>
          <w:rFonts w:ascii="Calibri" w:hAnsi="Calibri"/>
          <w:sz w:val="24"/>
          <w:szCs w:val="24"/>
        </w:rPr>
        <w:t>FRAX</w:t>
      </w:r>
      <w:r w:rsidR="00F503E2" w:rsidRPr="008C32F5">
        <w:rPr>
          <w:rFonts w:ascii="Calibri" w:hAnsi="Calibri"/>
          <w:sz w:val="24"/>
          <w:szCs w:val="24"/>
        </w:rPr>
        <w:t xml:space="preserve"> has been widely used for the assessment of </w:t>
      </w:r>
      <w:r>
        <w:rPr>
          <w:rFonts w:ascii="Calibri" w:hAnsi="Calibri"/>
          <w:sz w:val="24"/>
          <w:szCs w:val="24"/>
        </w:rPr>
        <w:t>fracture risk</w:t>
      </w:r>
      <w:r w:rsidR="00F503E2" w:rsidRPr="008C32F5">
        <w:rPr>
          <w:rFonts w:ascii="Calibri" w:hAnsi="Calibri"/>
          <w:sz w:val="24"/>
          <w:szCs w:val="24"/>
        </w:rPr>
        <w:t xml:space="preserve"> since the launch of the website in 2008 and currently </w:t>
      </w:r>
      <w:r w:rsidR="00CA2760" w:rsidRPr="00CA2760">
        <w:rPr>
          <w:rFonts w:ascii="Calibri" w:hAnsi="Calibri"/>
          <w:sz w:val="24"/>
          <w:szCs w:val="24"/>
        </w:rPr>
        <w:t>processes approximately 225,000 calculations per month</w:t>
      </w:r>
      <w:r w:rsidR="00F503E2" w:rsidRPr="008C32F5">
        <w:rPr>
          <w:rFonts w:ascii="Calibri" w:hAnsi="Calibri"/>
          <w:sz w:val="24"/>
          <w:szCs w:val="24"/>
        </w:rPr>
        <w:t xml:space="preserve">. Following regulatory review by the US Food and Drug Administration, FRAX was incorporated into DXA scanners to provide FRAX probabilities at the time of DXA scanning. For those without internet access, hand-held calculators and an application for </w:t>
      </w:r>
      <w:r w:rsidR="00CA2760">
        <w:rPr>
          <w:rFonts w:ascii="Calibri" w:hAnsi="Calibri"/>
          <w:sz w:val="24"/>
          <w:szCs w:val="24"/>
        </w:rPr>
        <w:t>Apple and Android smartphones</w:t>
      </w:r>
      <w:r w:rsidR="00CA2760" w:rsidRPr="00DB1D7C">
        <w:rPr>
          <w:rFonts w:ascii="Calibri" w:hAnsi="Calibri"/>
          <w:sz w:val="24"/>
          <w:szCs w:val="24"/>
        </w:rPr>
        <w:t xml:space="preserve"> have been developed by the IOF (</w:t>
      </w:r>
      <w:hyperlink r:id="rId10" w:history="1">
        <w:r w:rsidR="00CA2760" w:rsidRPr="0086131B">
          <w:rPr>
            <w:rStyle w:val="Hyperlink"/>
            <w:rFonts w:ascii="Calibri" w:hAnsi="Calibri"/>
            <w:sz w:val="24"/>
            <w:szCs w:val="24"/>
          </w:rPr>
          <w:t>http://itunes.apple.com/us/app/frax/id370146412?mt=8</w:t>
        </w:r>
      </w:hyperlink>
      <w:r w:rsidR="00CA2760">
        <w:rPr>
          <w:rStyle w:val="Hyperlink"/>
          <w:rFonts w:ascii="Calibri" w:hAnsi="Calibri"/>
          <w:sz w:val="24"/>
          <w:szCs w:val="24"/>
        </w:rPr>
        <w:t xml:space="preserve">; </w:t>
      </w:r>
      <w:r w:rsidR="00CA2760" w:rsidRPr="00A44C14">
        <w:rPr>
          <w:rStyle w:val="Hyperlink"/>
          <w:rFonts w:ascii="Calibri" w:hAnsi="Calibri"/>
          <w:sz w:val="24"/>
          <w:szCs w:val="24"/>
        </w:rPr>
        <w:t>https://play.google.com/store/apps/details?id=com.inkrypt.clients.iof.drfrax</w:t>
      </w:r>
      <w:r w:rsidR="00CA2760" w:rsidRPr="00DB1D7C">
        <w:rPr>
          <w:rFonts w:ascii="Calibri" w:hAnsi="Calibri"/>
          <w:sz w:val="24"/>
          <w:szCs w:val="24"/>
        </w:rPr>
        <w:t>).</w:t>
      </w:r>
      <w:r w:rsidR="00CA2760">
        <w:rPr>
          <w:rFonts w:ascii="Calibri" w:hAnsi="Calibri"/>
          <w:sz w:val="24"/>
          <w:szCs w:val="24"/>
        </w:rPr>
        <w:t xml:space="preserve"> </w:t>
      </w:r>
      <w:r w:rsidR="00CA2760" w:rsidRPr="00DB1D7C">
        <w:rPr>
          <w:rFonts w:ascii="Calibri" w:hAnsi="Calibri"/>
          <w:sz w:val="24"/>
          <w:szCs w:val="24"/>
        </w:rPr>
        <w:t xml:space="preserve"> </w:t>
      </w:r>
      <w:r w:rsidR="00CA2760">
        <w:rPr>
          <w:rFonts w:ascii="Calibri" w:hAnsi="Calibri"/>
          <w:sz w:val="24"/>
          <w:szCs w:val="24"/>
        </w:rPr>
        <w:t>A</w:t>
      </w:r>
      <w:r w:rsidR="00CA2760" w:rsidRPr="00DB1D7C">
        <w:rPr>
          <w:rFonts w:ascii="Calibri" w:hAnsi="Calibri"/>
          <w:sz w:val="24"/>
          <w:szCs w:val="24"/>
        </w:rPr>
        <w:t xml:space="preserve"> </w:t>
      </w:r>
      <w:r w:rsidR="00CA2760">
        <w:rPr>
          <w:rFonts w:ascii="Calibri" w:hAnsi="Calibri"/>
          <w:sz w:val="24"/>
          <w:szCs w:val="24"/>
        </w:rPr>
        <w:t xml:space="preserve">paper-based </w:t>
      </w:r>
      <w:r w:rsidR="00CA2760" w:rsidRPr="00DB1D7C">
        <w:rPr>
          <w:rFonts w:ascii="Calibri" w:hAnsi="Calibri"/>
          <w:sz w:val="24"/>
          <w:szCs w:val="24"/>
        </w:rPr>
        <w:t xml:space="preserve">FRAX pad allows patients to </w:t>
      </w:r>
      <w:r w:rsidR="00CA2760">
        <w:rPr>
          <w:rFonts w:ascii="Calibri" w:hAnsi="Calibri"/>
          <w:sz w:val="24"/>
          <w:szCs w:val="24"/>
        </w:rPr>
        <w:t>document</w:t>
      </w:r>
      <w:r w:rsidR="00CA2760" w:rsidRPr="00DB1D7C">
        <w:rPr>
          <w:rFonts w:ascii="Calibri" w:hAnsi="Calibri"/>
          <w:sz w:val="24"/>
          <w:szCs w:val="24"/>
        </w:rPr>
        <w:t xml:space="preserve"> risk variables prior to medical consultation and is available from the IOF (www.iofbonehealth.org) in several languages.  </w:t>
      </w:r>
      <w:r w:rsidR="00D81E56" w:rsidRPr="008C32F5">
        <w:rPr>
          <w:rFonts w:ascii="Calibri" w:hAnsi="Calibri"/>
          <w:sz w:val="24"/>
          <w:szCs w:val="24"/>
        </w:rPr>
        <w:t xml:space="preserve"> </w:t>
      </w:r>
    </w:p>
    <w:p w14:paraId="1C175B69" w14:textId="52E18322" w:rsidR="00E37DBD" w:rsidRPr="00DB1D7C" w:rsidRDefault="00154F4E" w:rsidP="00154F4E">
      <w:pPr>
        <w:rPr>
          <w:rFonts w:ascii="Calibri" w:hAnsi="Calibri"/>
          <w:sz w:val="24"/>
          <w:szCs w:val="24"/>
        </w:rPr>
      </w:pPr>
      <w:r w:rsidRPr="00DB1D7C">
        <w:rPr>
          <w:rFonts w:ascii="Calibri" w:hAnsi="Calibri"/>
          <w:sz w:val="24"/>
          <w:szCs w:val="24"/>
        </w:rPr>
        <w:t xml:space="preserve">The limitations of FRAX have been reviewed </w:t>
      </w:r>
      <w:r w:rsidRPr="005558EB">
        <w:rPr>
          <w:rFonts w:ascii="Calibri" w:hAnsi="Calibri"/>
          <w:sz w:val="24"/>
          <w:szCs w:val="24"/>
        </w:rPr>
        <w:t>recently</w:t>
      </w:r>
      <w:r w:rsidR="005558EB" w:rsidRPr="005558EB">
        <w:rPr>
          <w:rFonts w:ascii="Calibri" w:hAnsi="Calibri"/>
          <w:sz w:val="24"/>
          <w:szCs w:val="24"/>
        </w:rPr>
        <w:t xml:space="preserve"> </w:t>
      </w:r>
      <w:r w:rsidR="005F1C25" w:rsidRPr="005558EB">
        <w:rPr>
          <w:rFonts w:ascii="Calibri" w:hAnsi="Calibri"/>
          <w:sz w:val="24"/>
          <w:szCs w:val="24"/>
        </w:rPr>
        <w:t>[18</w:t>
      </w:r>
      <w:r w:rsidR="005558EB" w:rsidRPr="005558EB">
        <w:rPr>
          <w:rFonts w:ascii="Calibri" w:hAnsi="Calibri"/>
          <w:sz w:val="24"/>
          <w:szCs w:val="24"/>
        </w:rPr>
        <w:t xml:space="preserve">, </w:t>
      </w:r>
      <w:r w:rsidR="005F1C25" w:rsidRPr="005558EB">
        <w:rPr>
          <w:rFonts w:ascii="Calibri" w:hAnsi="Calibri"/>
          <w:sz w:val="24"/>
          <w:szCs w:val="24"/>
        </w:rPr>
        <w:t>19]</w:t>
      </w:r>
      <w:r w:rsidRPr="005558EB">
        <w:rPr>
          <w:rFonts w:ascii="Calibri" w:hAnsi="Calibri"/>
          <w:sz w:val="24"/>
          <w:szCs w:val="24"/>
        </w:rPr>
        <w:t xml:space="preserve">. </w:t>
      </w:r>
      <w:r w:rsidR="00883036" w:rsidRPr="005558EB">
        <w:rPr>
          <w:rFonts w:ascii="Calibri" w:hAnsi="Calibri"/>
          <w:sz w:val="24"/>
          <w:szCs w:val="24"/>
        </w:rPr>
        <w:t xml:space="preserve"> </w:t>
      </w:r>
      <w:r w:rsidR="006D7B49" w:rsidRPr="005558EB">
        <w:rPr>
          <w:rFonts w:ascii="Calibri" w:hAnsi="Calibri"/>
          <w:sz w:val="24"/>
          <w:szCs w:val="24"/>
        </w:rPr>
        <w:t>In order</w:t>
      </w:r>
      <w:r w:rsidR="006D7B49" w:rsidRPr="00DB1D7C">
        <w:rPr>
          <w:rFonts w:ascii="Calibri" w:hAnsi="Calibri"/>
          <w:sz w:val="24"/>
          <w:szCs w:val="24"/>
        </w:rPr>
        <w:t xml:space="preserve"> to overcome some of these, r</w:t>
      </w:r>
      <w:r w:rsidRPr="00DB1D7C">
        <w:rPr>
          <w:rFonts w:ascii="Calibri" w:hAnsi="Calibri"/>
          <w:sz w:val="24"/>
          <w:szCs w:val="24"/>
        </w:rPr>
        <w:t xml:space="preserve">elatively simple arithmetic procedures have been </w:t>
      </w:r>
      <w:r w:rsidR="0047787B" w:rsidRPr="00DB1D7C">
        <w:rPr>
          <w:rFonts w:ascii="Calibri" w:hAnsi="Calibri"/>
          <w:sz w:val="24"/>
          <w:szCs w:val="24"/>
        </w:rPr>
        <w:t xml:space="preserve">proposed </w:t>
      </w:r>
      <w:r w:rsidRPr="00DB1D7C">
        <w:rPr>
          <w:rFonts w:ascii="Calibri" w:hAnsi="Calibri"/>
          <w:sz w:val="24"/>
          <w:szCs w:val="24"/>
        </w:rPr>
        <w:t>which</w:t>
      </w:r>
      <w:r w:rsidR="00883036" w:rsidRPr="00DB1D7C">
        <w:rPr>
          <w:rFonts w:ascii="Calibri" w:hAnsi="Calibri"/>
          <w:sz w:val="24"/>
          <w:szCs w:val="24"/>
        </w:rPr>
        <w:t xml:space="preserve"> </w:t>
      </w:r>
      <w:r w:rsidRPr="00DB1D7C">
        <w:rPr>
          <w:rFonts w:ascii="Calibri" w:hAnsi="Calibri"/>
          <w:sz w:val="24"/>
          <w:szCs w:val="24"/>
        </w:rPr>
        <w:t>can be applied to conventional FRAX estimates of probabilities of hip fracture and a major fracture to adjust the probability assessment with knowledge of</w:t>
      </w:r>
      <w:r w:rsidR="00E37DBD" w:rsidRPr="00DB1D7C">
        <w:rPr>
          <w:rFonts w:ascii="Calibri" w:hAnsi="Calibri"/>
          <w:sz w:val="24"/>
          <w:szCs w:val="24"/>
        </w:rPr>
        <w:t>:</w:t>
      </w:r>
    </w:p>
    <w:p w14:paraId="5A86AAA4" w14:textId="0A6BFD02" w:rsidR="0047787B" w:rsidRPr="00DB1D7C" w:rsidRDefault="00E37DBD" w:rsidP="00883036">
      <w:pPr>
        <w:ind w:left="567"/>
        <w:rPr>
          <w:rFonts w:ascii="Calibri" w:hAnsi="Calibri"/>
          <w:sz w:val="24"/>
          <w:szCs w:val="24"/>
        </w:rPr>
      </w:pPr>
      <w:r w:rsidRPr="00DB1D7C">
        <w:rPr>
          <w:rFonts w:ascii="Calibri" w:hAnsi="Calibri"/>
          <w:sz w:val="24"/>
          <w:szCs w:val="24"/>
        </w:rPr>
        <w:t xml:space="preserve">High, moderate </w:t>
      </w:r>
      <w:r w:rsidRPr="005558EB">
        <w:rPr>
          <w:rFonts w:ascii="Calibri" w:hAnsi="Calibri"/>
          <w:sz w:val="24"/>
          <w:szCs w:val="24"/>
        </w:rPr>
        <w:t xml:space="preserve">and low exposure to glucocorticoids </w:t>
      </w:r>
      <w:r w:rsidR="005F1C25" w:rsidRPr="005558EB">
        <w:rPr>
          <w:rFonts w:ascii="Calibri" w:hAnsi="Calibri"/>
          <w:sz w:val="24"/>
          <w:szCs w:val="24"/>
        </w:rPr>
        <w:t>[20</w:t>
      </w:r>
      <w:proofErr w:type="gramStart"/>
      <w:r w:rsidR="005F1C25" w:rsidRPr="005558EB">
        <w:rPr>
          <w:rFonts w:ascii="Calibri" w:hAnsi="Calibri"/>
          <w:sz w:val="24"/>
          <w:szCs w:val="24"/>
        </w:rPr>
        <w:t>]</w:t>
      </w:r>
      <w:proofErr w:type="gramEnd"/>
      <w:r w:rsidRPr="005558EB">
        <w:rPr>
          <w:rFonts w:ascii="Calibri" w:hAnsi="Calibri"/>
          <w:sz w:val="24"/>
          <w:szCs w:val="24"/>
        </w:rPr>
        <w:br/>
        <w:t xml:space="preserve">Concurrent data on lumbar spine BMD </w:t>
      </w:r>
      <w:r w:rsidR="005F1C25" w:rsidRPr="005558EB">
        <w:rPr>
          <w:rFonts w:ascii="Calibri" w:hAnsi="Calibri"/>
          <w:sz w:val="24"/>
          <w:szCs w:val="24"/>
        </w:rPr>
        <w:t>[21</w:t>
      </w:r>
      <w:r w:rsidR="005558EB" w:rsidRPr="005558EB">
        <w:rPr>
          <w:rFonts w:ascii="Calibri" w:hAnsi="Calibri"/>
          <w:sz w:val="24"/>
          <w:szCs w:val="24"/>
        </w:rPr>
        <w:t xml:space="preserve">, </w:t>
      </w:r>
      <w:r w:rsidR="00741ED4" w:rsidRPr="005558EB">
        <w:rPr>
          <w:rFonts w:ascii="Calibri" w:hAnsi="Calibri"/>
          <w:sz w:val="24"/>
          <w:szCs w:val="24"/>
        </w:rPr>
        <w:t>22]</w:t>
      </w:r>
      <w:r w:rsidRPr="005558EB">
        <w:rPr>
          <w:rFonts w:ascii="Calibri" w:hAnsi="Calibri"/>
          <w:sz w:val="24"/>
          <w:szCs w:val="24"/>
        </w:rPr>
        <w:br/>
        <w:t xml:space="preserve">Information on trabecular bone score (TBS) </w:t>
      </w:r>
      <w:r w:rsidR="00741ED4" w:rsidRPr="005558EB">
        <w:rPr>
          <w:rFonts w:ascii="Calibri" w:hAnsi="Calibri"/>
          <w:sz w:val="24"/>
          <w:szCs w:val="24"/>
        </w:rPr>
        <w:t>[23</w:t>
      </w:r>
      <w:r w:rsidR="005558EB" w:rsidRPr="005558EB">
        <w:rPr>
          <w:rFonts w:ascii="Calibri" w:hAnsi="Calibri"/>
          <w:sz w:val="24"/>
          <w:szCs w:val="24"/>
        </w:rPr>
        <w:t>-</w:t>
      </w:r>
      <w:r w:rsidR="00741ED4" w:rsidRPr="005558EB">
        <w:rPr>
          <w:rFonts w:ascii="Calibri" w:hAnsi="Calibri"/>
          <w:sz w:val="24"/>
          <w:szCs w:val="24"/>
        </w:rPr>
        <w:t>25]</w:t>
      </w:r>
      <w:r w:rsidR="00101116" w:rsidRPr="005558EB">
        <w:rPr>
          <w:rFonts w:ascii="Calibri" w:hAnsi="Calibri"/>
          <w:sz w:val="24"/>
          <w:szCs w:val="24"/>
        </w:rPr>
        <w:br/>
        <w:t xml:space="preserve">Hip axis length </w:t>
      </w:r>
      <w:r w:rsidR="00741ED4" w:rsidRPr="005558EB">
        <w:rPr>
          <w:rFonts w:ascii="Calibri" w:hAnsi="Calibri"/>
          <w:sz w:val="24"/>
          <w:szCs w:val="24"/>
        </w:rPr>
        <w:t>[26]</w:t>
      </w:r>
      <w:r w:rsidR="0047787B" w:rsidRPr="005558EB">
        <w:rPr>
          <w:rFonts w:ascii="Calibri" w:hAnsi="Calibri"/>
          <w:sz w:val="24"/>
          <w:szCs w:val="24"/>
        </w:rPr>
        <w:br/>
        <w:t xml:space="preserve">Falls history </w:t>
      </w:r>
      <w:r w:rsidR="00741ED4" w:rsidRPr="005558EB">
        <w:rPr>
          <w:rFonts w:ascii="Calibri" w:hAnsi="Calibri"/>
          <w:sz w:val="24"/>
          <w:szCs w:val="24"/>
        </w:rPr>
        <w:t>[27]</w:t>
      </w:r>
    </w:p>
    <w:p w14:paraId="0A2B6930" w14:textId="4692F875" w:rsidR="00153EA2" w:rsidRPr="00DB1D7C" w:rsidRDefault="00D81E56" w:rsidP="008819A0">
      <w:pPr>
        <w:rPr>
          <w:rFonts w:ascii="Calibri" w:hAnsi="Calibri"/>
          <w:sz w:val="24"/>
          <w:szCs w:val="24"/>
        </w:rPr>
      </w:pPr>
      <w:r w:rsidRPr="00DB1D7C">
        <w:rPr>
          <w:rFonts w:ascii="Calibri" w:hAnsi="Calibri"/>
          <w:sz w:val="24"/>
          <w:szCs w:val="24"/>
        </w:rPr>
        <w:t>The use of FRAX in clinical practice demands consideration of the fracture probability at which to recommend treatment</w:t>
      </w:r>
      <w:r w:rsidR="00883036" w:rsidRPr="00DB1D7C">
        <w:rPr>
          <w:rFonts w:ascii="Calibri" w:hAnsi="Calibri"/>
          <w:sz w:val="24"/>
          <w:szCs w:val="24"/>
        </w:rPr>
        <w:t xml:space="preserve"> – termed the intervention threshold</w:t>
      </w:r>
      <w:r w:rsidRPr="00DB1D7C">
        <w:rPr>
          <w:rFonts w:ascii="Calibri" w:hAnsi="Calibri"/>
          <w:sz w:val="24"/>
          <w:szCs w:val="24"/>
        </w:rPr>
        <w:t xml:space="preserve">.  Many different approaches have been used to set intervention thresholds with FRAX.  The thresholds used have varied since they depend critically on local factors such as reimbursement issues, </w:t>
      </w:r>
      <w:r w:rsidRPr="00DB1D7C">
        <w:rPr>
          <w:rFonts w:ascii="Calibri" w:hAnsi="Calibri"/>
          <w:sz w:val="24"/>
          <w:szCs w:val="24"/>
        </w:rPr>
        <w:lastRenderedPageBreak/>
        <w:t xml:space="preserve">health economic assessment, </w:t>
      </w:r>
      <w:proofErr w:type="gramStart"/>
      <w:r w:rsidRPr="00DB1D7C">
        <w:rPr>
          <w:rFonts w:ascii="Calibri" w:hAnsi="Calibri"/>
          <w:sz w:val="24"/>
          <w:szCs w:val="24"/>
        </w:rPr>
        <w:t>willingness</w:t>
      </w:r>
      <w:proofErr w:type="gramEnd"/>
      <w:r w:rsidRPr="00DB1D7C">
        <w:rPr>
          <w:rFonts w:ascii="Calibri" w:hAnsi="Calibri"/>
          <w:sz w:val="24"/>
          <w:szCs w:val="24"/>
        </w:rPr>
        <w:t xml:space="preserve"> to pay for health care in osteoporosis, and access to DXA.  </w:t>
      </w:r>
      <w:r w:rsidR="009B0E57" w:rsidRPr="00DB1D7C">
        <w:rPr>
          <w:rFonts w:ascii="Calibri" w:hAnsi="Calibri"/>
          <w:sz w:val="24"/>
          <w:szCs w:val="24"/>
        </w:rPr>
        <w:t>The a</w:t>
      </w:r>
      <w:r w:rsidR="00153EA2" w:rsidRPr="00DB1D7C">
        <w:rPr>
          <w:rFonts w:ascii="Calibri" w:hAnsi="Calibri"/>
          <w:sz w:val="24"/>
          <w:szCs w:val="24"/>
        </w:rPr>
        <w:t xml:space="preserve">im </w:t>
      </w:r>
      <w:r w:rsidR="009B0E57" w:rsidRPr="00DB1D7C">
        <w:rPr>
          <w:rFonts w:ascii="Calibri" w:hAnsi="Calibri"/>
          <w:sz w:val="24"/>
          <w:szCs w:val="24"/>
        </w:rPr>
        <w:t xml:space="preserve">of the present report, supported by a systematic review, was </w:t>
      </w:r>
      <w:r w:rsidR="00153EA2" w:rsidRPr="00DB1D7C">
        <w:rPr>
          <w:rFonts w:ascii="Calibri" w:hAnsi="Calibri"/>
          <w:sz w:val="24"/>
          <w:szCs w:val="24"/>
        </w:rPr>
        <w:t xml:space="preserve">to review the available information on the use of FRAX in assessment guidelines, in particular the setting of thresholds and their </w:t>
      </w:r>
      <w:r w:rsidR="00353AEE" w:rsidRPr="00DB1D7C">
        <w:rPr>
          <w:rFonts w:ascii="Calibri" w:hAnsi="Calibri"/>
          <w:sz w:val="24"/>
          <w:szCs w:val="24"/>
        </w:rPr>
        <w:t>rationale</w:t>
      </w:r>
      <w:r w:rsidR="00153EA2" w:rsidRPr="00DB1D7C">
        <w:rPr>
          <w:rFonts w:ascii="Calibri" w:hAnsi="Calibri"/>
          <w:sz w:val="24"/>
          <w:szCs w:val="24"/>
        </w:rPr>
        <w:t>.</w:t>
      </w:r>
      <w:r w:rsidR="00873CA4" w:rsidRPr="00DB1D7C">
        <w:rPr>
          <w:rFonts w:ascii="Calibri" w:hAnsi="Calibri"/>
          <w:sz w:val="24"/>
          <w:szCs w:val="24"/>
        </w:rPr>
        <w:t xml:space="preserve">  In addition, the performance characteristics of FRAX are reviewed to better inform the future developments of probability-based guidance.</w:t>
      </w:r>
    </w:p>
    <w:p w14:paraId="3D8CCC46" w14:textId="77777777" w:rsidR="00FF5111" w:rsidRDefault="00FF5111" w:rsidP="0026001C">
      <w:pPr>
        <w:rPr>
          <w:rFonts w:ascii="Calibri" w:hAnsi="Calibri"/>
          <w:b/>
          <w:sz w:val="28"/>
          <w:szCs w:val="24"/>
        </w:rPr>
      </w:pPr>
    </w:p>
    <w:p w14:paraId="104294AE" w14:textId="77777777" w:rsidR="0026001C" w:rsidRPr="00DB1D7C" w:rsidRDefault="0026001C" w:rsidP="0026001C">
      <w:pPr>
        <w:rPr>
          <w:rFonts w:ascii="Calibri" w:hAnsi="Calibri"/>
          <w:b/>
          <w:sz w:val="28"/>
          <w:szCs w:val="24"/>
        </w:rPr>
      </w:pPr>
      <w:r w:rsidRPr="00DB1D7C">
        <w:rPr>
          <w:rFonts w:ascii="Calibri" w:hAnsi="Calibri"/>
          <w:b/>
          <w:sz w:val="28"/>
          <w:szCs w:val="24"/>
        </w:rPr>
        <w:t>Research questions</w:t>
      </w:r>
    </w:p>
    <w:p w14:paraId="047CEB7B" w14:textId="77777777" w:rsidR="006B484B" w:rsidRDefault="006B484B" w:rsidP="0026001C">
      <w:pPr>
        <w:rPr>
          <w:rFonts w:ascii="Calibri" w:hAnsi="Calibri"/>
          <w:sz w:val="24"/>
          <w:szCs w:val="24"/>
        </w:rPr>
      </w:pPr>
      <w:r>
        <w:rPr>
          <w:rFonts w:ascii="Calibri" w:hAnsi="Calibri"/>
          <w:sz w:val="24"/>
          <w:szCs w:val="24"/>
        </w:rPr>
        <w:t xml:space="preserve">The National Osteoporosis Guideline Group aims to update its guidance on risk assessment.  In so doing, three research questions were posed: </w:t>
      </w:r>
    </w:p>
    <w:p w14:paraId="654E80A5" w14:textId="476278FE" w:rsidR="0026001C" w:rsidRPr="00DB1D7C" w:rsidRDefault="0026001C" w:rsidP="0026001C">
      <w:pPr>
        <w:rPr>
          <w:rFonts w:ascii="Calibri" w:hAnsi="Calibri"/>
          <w:sz w:val="24"/>
          <w:szCs w:val="24"/>
        </w:rPr>
      </w:pPr>
      <w:r w:rsidRPr="00DB1D7C">
        <w:rPr>
          <w:rFonts w:ascii="Calibri" w:hAnsi="Calibri"/>
          <w:sz w:val="24"/>
          <w:szCs w:val="24"/>
        </w:rPr>
        <w:t>How is the FRAX calculator used in guidelines for fracture risk assessment?</w:t>
      </w:r>
    </w:p>
    <w:p w14:paraId="0FAA24F1" w14:textId="77777777" w:rsidR="0026001C" w:rsidRPr="00DB1D7C" w:rsidRDefault="0026001C" w:rsidP="0026001C">
      <w:pPr>
        <w:rPr>
          <w:rFonts w:ascii="Calibri" w:hAnsi="Calibri"/>
          <w:sz w:val="24"/>
          <w:szCs w:val="24"/>
        </w:rPr>
      </w:pPr>
      <w:r w:rsidRPr="00DB1D7C">
        <w:rPr>
          <w:rFonts w:ascii="Calibri" w:hAnsi="Calibri"/>
          <w:sz w:val="24"/>
          <w:szCs w:val="24"/>
        </w:rPr>
        <w:t>What intervention thresholds are used in such guidelines, and what is the rationale for these thresholds?</w:t>
      </w:r>
    </w:p>
    <w:p w14:paraId="0D57F3B7" w14:textId="77777777" w:rsidR="0026001C" w:rsidRPr="00DB1D7C" w:rsidRDefault="0026001C" w:rsidP="0026001C">
      <w:pPr>
        <w:rPr>
          <w:rFonts w:ascii="Calibri" w:hAnsi="Calibri"/>
          <w:sz w:val="24"/>
          <w:szCs w:val="24"/>
        </w:rPr>
      </w:pPr>
      <w:r w:rsidRPr="00DB1D7C">
        <w:rPr>
          <w:rFonts w:ascii="Calibri" w:hAnsi="Calibri"/>
          <w:sz w:val="24"/>
          <w:szCs w:val="24"/>
        </w:rPr>
        <w:t>How have the performance and implementation of guidelines/thresholds been assessed, and what are the findings?</w:t>
      </w:r>
    </w:p>
    <w:p w14:paraId="3D0587C6" w14:textId="77777777" w:rsidR="0026001C" w:rsidRPr="00DB1D7C" w:rsidRDefault="0026001C" w:rsidP="008819A0">
      <w:pPr>
        <w:rPr>
          <w:rFonts w:ascii="Calibri" w:hAnsi="Calibri"/>
          <w:b/>
          <w:sz w:val="28"/>
          <w:szCs w:val="28"/>
        </w:rPr>
      </w:pPr>
    </w:p>
    <w:p w14:paraId="0A2B6931" w14:textId="5D856841" w:rsidR="008819A0" w:rsidRPr="00DB1D7C" w:rsidRDefault="008819A0" w:rsidP="008819A0">
      <w:pPr>
        <w:rPr>
          <w:rFonts w:ascii="Calibri" w:hAnsi="Calibri"/>
          <w:b/>
          <w:sz w:val="24"/>
          <w:szCs w:val="24"/>
        </w:rPr>
      </w:pPr>
      <w:r w:rsidRPr="00DB1D7C">
        <w:rPr>
          <w:rFonts w:ascii="Calibri" w:hAnsi="Calibri"/>
          <w:b/>
          <w:sz w:val="28"/>
          <w:szCs w:val="28"/>
        </w:rPr>
        <w:t>Methods</w:t>
      </w:r>
      <w:r w:rsidR="00B93D5E" w:rsidRPr="00DB1D7C">
        <w:rPr>
          <w:rFonts w:ascii="Calibri" w:hAnsi="Calibri"/>
          <w:b/>
          <w:sz w:val="24"/>
          <w:szCs w:val="24"/>
        </w:rPr>
        <w:t xml:space="preserve"> </w:t>
      </w:r>
    </w:p>
    <w:p w14:paraId="236ED719" w14:textId="77777777" w:rsidR="0026001C" w:rsidRPr="00DB1D7C" w:rsidRDefault="0026001C" w:rsidP="0026001C">
      <w:pPr>
        <w:rPr>
          <w:rFonts w:ascii="Calibri" w:hAnsi="Calibri"/>
          <w:i/>
          <w:sz w:val="24"/>
          <w:szCs w:val="24"/>
        </w:rPr>
      </w:pPr>
      <w:r w:rsidRPr="00DB1D7C">
        <w:rPr>
          <w:rFonts w:ascii="Calibri" w:hAnsi="Calibri"/>
          <w:i/>
          <w:sz w:val="24"/>
          <w:szCs w:val="24"/>
        </w:rPr>
        <w:t>Design</w:t>
      </w:r>
    </w:p>
    <w:p w14:paraId="6E3E9B14" w14:textId="2EBD8E53" w:rsidR="0026001C" w:rsidRPr="00DB1D7C" w:rsidRDefault="0026001C" w:rsidP="0026001C">
      <w:pPr>
        <w:rPr>
          <w:rFonts w:ascii="Calibri" w:hAnsi="Calibri"/>
          <w:sz w:val="24"/>
          <w:szCs w:val="24"/>
        </w:rPr>
      </w:pPr>
      <w:r w:rsidRPr="00DB1D7C">
        <w:rPr>
          <w:rFonts w:ascii="Calibri" w:hAnsi="Calibri"/>
          <w:sz w:val="24"/>
          <w:szCs w:val="24"/>
        </w:rPr>
        <w:t xml:space="preserve">We undertook a systematic review of evidence to address the research questions, following the methods recommended by the Centre for Reviews and Dissemination (CRD), University of York (http://www.york.ac.uk/inst/crd/). Since quantitative synthesis of the data was inappropriate, we undertook a narrative review. The review protocol was registered with the International Prospective Register of systematic Reviews (Prospero; registration number: </w:t>
      </w:r>
      <w:r w:rsidR="00FD347F" w:rsidRPr="00FD347F">
        <w:rPr>
          <w:rFonts w:ascii="Calibri" w:hAnsi="Calibri"/>
          <w:sz w:val="24"/>
          <w:szCs w:val="24"/>
        </w:rPr>
        <w:t>CRD42015027880</w:t>
      </w:r>
      <w:r w:rsidR="00FD347F">
        <w:rPr>
          <w:rFonts w:ascii="Calibri" w:hAnsi="Calibri"/>
          <w:sz w:val="24"/>
          <w:szCs w:val="24"/>
        </w:rPr>
        <w:t>)</w:t>
      </w:r>
    </w:p>
    <w:p w14:paraId="3CCAEE87" w14:textId="77777777" w:rsidR="0026001C" w:rsidRPr="00DB1D7C" w:rsidRDefault="0026001C" w:rsidP="0026001C">
      <w:pPr>
        <w:rPr>
          <w:rFonts w:ascii="Calibri" w:hAnsi="Calibri"/>
          <w:i/>
          <w:sz w:val="24"/>
          <w:szCs w:val="24"/>
        </w:rPr>
      </w:pPr>
      <w:r w:rsidRPr="00DB1D7C">
        <w:rPr>
          <w:rFonts w:ascii="Calibri" w:hAnsi="Calibri"/>
          <w:i/>
          <w:sz w:val="24"/>
          <w:szCs w:val="24"/>
        </w:rPr>
        <w:t>Outcomes</w:t>
      </w:r>
    </w:p>
    <w:p w14:paraId="502D93DF" w14:textId="77777777" w:rsidR="0026001C" w:rsidRPr="00DB1D7C" w:rsidRDefault="0026001C" w:rsidP="0026001C">
      <w:pPr>
        <w:rPr>
          <w:rFonts w:ascii="Calibri" w:hAnsi="Calibri"/>
          <w:sz w:val="24"/>
          <w:szCs w:val="24"/>
        </w:rPr>
      </w:pPr>
      <w:r w:rsidRPr="00DB1D7C">
        <w:rPr>
          <w:rFonts w:ascii="Calibri" w:hAnsi="Calibri"/>
          <w:sz w:val="24"/>
          <w:szCs w:val="24"/>
        </w:rPr>
        <w:t>Treatment intervention thresholds using FRAX for major osteoporotic fracture and hip fracture</w:t>
      </w:r>
    </w:p>
    <w:p w14:paraId="7F8EC240" w14:textId="77777777" w:rsidR="0026001C" w:rsidRPr="00DB1D7C" w:rsidRDefault="0026001C" w:rsidP="0026001C">
      <w:pPr>
        <w:rPr>
          <w:rFonts w:ascii="Calibri" w:hAnsi="Calibri"/>
          <w:sz w:val="24"/>
          <w:szCs w:val="24"/>
        </w:rPr>
      </w:pPr>
      <w:r w:rsidRPr="00DB1D7C">
        <w:rPr>
          <w:rFonts w:ascii="Calibri" w:hAnsi="Calibri"/>
          <w:sz w:val="24"/>
          <w:szCs w:val="24"/>
        </w:rPr>
        <w:t>Incidence of major osteoporotic or hip fracture</w:t>
      </w:r>
    </w:p>
    <w:p w14:paraId="22BF1533" w14:textId="77777777" w:rsidR="0026001C" w:rsidRPr="00DB1D7C" w:rsidRDefault="0026001C" w:rsidP="0026001C">
      <w:pPr>
        <w:rPr>
          <w:rFonts w:ascii="Calibri" w:hAnsi="Calibri"/>
          <w:sz w:val="24"/>
          <w:szCs w:val="24"/>
        </w:rPr>
      </w:pPr>
      <w:r w:rsidRPr="00DB1D7C">
        <w:rPr>
          <w:rFonts w:ascii="Calibri" w:hAnsi="Calibri"/>
          <w:sz w:val="24"/>
          <w:szCs w:val="24"/>
        </w:rPr>
        <w:t>Health-economic benefit</w:t>
      </w:r>
    </w:p>
    <w:p w14:paraId="010B735C" w14:textId="77777777" w:rsidR="0026001C" w:rsidRPr="00DB1D7C" w:rsidRDefault="0026001C" w:rsidP="0026001C">
      <w:pPr>
        <w:rPr>
          <w:rFonts w:ascii="Calibri" w:hAnsi="Calibri"/>
          <w:i/>
          <w:sz w:val="24"/>
          <w:szCs w:val="24"/>
        </w:rPr>
      </w:pPr>
      <w:r w:rsidRPr="00DB1D7C">
        <w:rPr>
          <w:rFonts w:ascii="Calibri" w:hAnsi="Calibri"/>
          <w:i/>
          <w:sz w:val="24"/>
          <w:szCs w:val="24"/>
        </w:rPr>
        <w:t>Inclusion criteria</w:t>
      </w:r>
    </w:p>
    <w:p w14:paraId="2F5546E5" w14:textId="77777777" w:rsidR="0026001C" w:rsidRPr="00DB1D7C" w:rsidRDefault="0026001C" w:rsidP="0026001C">
      <w:pPr>
        <w:rPr>
          <w:rFonts w:ascii="Calibri" w:hAnsi="Calibri"/>
          <w:sz w:val="24"/>
          <w:szCs w:val="24"/>
        </w:rPr>
      </w:pPr>
      <w:r w:rsidRPr="00DB1D7C">
        <w:rPr>
          <w:rFonts w:ascii="Calibri" w:hAnsi="Calibri"/>
          <w:sz w:val="24"/>
          <w:szCs w:val="24"/>
        </w:rPr>
        <w:t>Studies and guidelines relating to risk assessment in the prevention of osteoporotic fracture using the FRAX calculator</w:t>
      </w:r>
    </w:p>
    <w:p w14:paraId="758D9B0D" w14:textId="77777777" w:rsidR="0026001C" w:rsidRPr="00DB1D7C" w:rsidRDefault="0026001C" w:rsidP="0026001C">
      <w:pPr>
        <w:rPr>
          <w:rFonts w:ascii="Calibri" w:hAnsi="Calibri"/>
          <w:sz w:val="24"/>
          <w:szCs w:val="24"/>
        </w:rPr>
      </w:pPr>
      <w:r w:rsidRPr="00DB1D7C">
        <w:rPr>
          <w:rFonts w:ascii="Calibri" w:hAnsi="Calibri"/>
          <w:sz w:val="24"/>
          <w:szCs w:val="24"/>
        </w:rPr>
        <w:t>Studies of intervention thresholds using the FRAX calculator including validation of thresholds</w:t>
      </w:r>
    </w:p>
    <w:p w14:paraId="0D504EEE" w14:textId="77777777" w:rsidR="0026001C" w:rsidRPr="00DB1D7C" w:rsidRDefault="0026001C" w:rsidP="0026001C">
      <w:pPr>
        <w:rPr>
          <w:rFonts w:ascii="Calibri" w:hAnsi="Calibri"/>
          <w:sz w:val="24"/>
          <w:szCs w:val="24"/>
        </w:rPr>
      </w:pPr>
      <w:r w:rsidRPr="00DB1D7C">
        <w:rPr>
          <w:rFonts w:ascii="Calibri" w:hAnsi="Calibri"/>
          <w:sz w:val="24"/>
          <w:szCs w:val="24"/>
        </w:rPr>
        <w:lastRenderedPageBreak/>
        <w:t>All studies which contributed relevant information were included, regardless of the setting.  However, the setting was noted as part of data abstraction and was used in narrative synthesis. Studies were not excluded on the basis of publication date. There was no language restriction.</w:t>
      </w:r>
    </w:p>
    <w:p w14:paraId="1B6CF641" w14:textId="77777777" w:rsidR="0026001C" w:rsidRPr="00DB1D7C" w:rsidRDefault="0026001C" w:rsidP="0026001C">
      <w:pPr>
        <w:rPr>
          <w:rFonts w:ascii="Calibri" w:hAnsi="Calibri"/>
          <w:i/>
          <w:sz w:val="24"/>
          <w:szCs w:val="24"/>
        </w:rPr>
      </w:pPr>
      <w:r w:rsidRPr="00DB1D7C">
        <w:rPr>
          <w:rFonts w:ascii="Calibri" w:hAnsi="Calibri"/>
          <w:i/>
          <w:sz w:val="24"/>
          <w:szCs w:val="24"/>
        </w:rPr>
        <w:t>Exclusion criteria</w:t>
      </w:r>
    </w:p>
    <w:p w14:paraId="3E2FEAAA" w14:textId="77777777" w:rsidR="0026001C" w:rsidRPr="00DB1D7C" w:rsidRDefault="0026001C" w:rsidP="0026001C">
      <w:pPr>
        <w:rPr>
          <w:rFonts w:ascii="Calibri" w:hAnsi="Calibri"/>
          <w:sz w:val="24"/>
          <w:szCs w:val="24"/>
        </w:rPr>
      </w:pPr>
      <w:r w:rsidRPr="00DB1D7C">
        <w:rPr>
          <w:rFonts w:ascii="Calibri" w:hAnsi="Calibri"/>
          <w:sz w:val="24"/>
          <w:szCs w:val="24"/>
        </w:rPr>
        <w:t>Studies were excluded if they did not address human populations. We also excluded paediatric guidelines as the primary aim was to assess adult fracture prevention.</w:t>
      </w:r>
    </w:p>
    <w:p w14:paraId="6FA358B2" w14:textId="77777777" w:rsidR="0026001C" w:rsidRPr="00DB1D7C" w:rsidRDefault="0026001C" w:rsidP="0026001C">
      <w:pPr>
        <w:rPr>
          <w:rFonts w:ascii="Calibri" w:hAnsi="Calibri"/>
          <w:i/>
          <w:sz w:val="24"/>
          <w:szCs w:val="24"/>
        </w:rPr>
      </w:pPr>
      <w:r w:rsidRPr="00DB1D7C">
        <w:rPr>
          <w:rFonts w:ascii="Calibri" w:hAnsi="Calibri"/>
          <w:i/>
          <w:sz w:val="24"/>
          <w:szCs w:val="24"/>
        </w:rPr>
        <w:t>Search strategy for identification of studies</w:t>
      </w:r>
    </w:p>
    <w:p w14:paraId="688E89AA" w14:textId="7EC08055" w:rsidR="0026001C" w:rsidRPr="00DB1D7C" w:rsidRDefault="0026001C" w:rsidP="0026001C">
      <w:pPr>
        <w:rPr>
          <w:rFonts w:ascii="Calibri" w:hAnsi="Calibri"/>
          <w:sz w:val="24"/>
          <w:szCs w:val="24"/>
        </w:rPr>
      </w:pPr>
      <w:r w:rsidRPr="00DB1D7C">
        <w:rPr>
          <w:rFonts w:ascii="Calibri" w:hAnsi="Calibri"/>
          <w:sz w:val="24"/>
          <w:szCs w:val="24"/>
        </w:rPr>
        <w:t>The search strategy was informed by initial scoping exercises (NCH, EM). We searched electronic databases including PubMed, Web of Science and Google</w:t>
      </w:r>
      <w:r w:rsidR="00CA2760">
        <w:rPr>
          <w:rFonts w:ascii="Calibri" w:hAnsi="Calibri"/>
          <w:sz w:val="24"/>
          <w:szCs w:val="24"/>
        </w:rPr>
        <w:t xml:space="preserve"> Scholar</w:t>
      </w:r>
      <w:r w:rsidRPr="00DB1D7C">
        <w:rPr>
          <w:rFonts w:ascii="Calibri" w:hAnsi="Calibri"/>
          <w:sz w:val="24"/>
          <w:szCs w:val="24"/>
        </w:rPr>
        <w:t xml:space="preserve">, from their inception until 13th October 2015.  Additionally, to reduce publication bias and to identify grey literature, we searched the abstracts of conference proceedings of the American Society for Bone and Mineral Research, European Calcified Tissue Society and World Congress </w:t>
      </w:r>
      <w:r w:rsidR="006D3417">
        <w:rPr>
          <w:rFonts w:ascii="Calibri" w:hAnsi="Calibri"/>
          <w:sz w:val="24"/>
          <w:szCs w:val="24"/>
        </w:rPr>
        <w:t>of</w:t>
      </w:r>
      <w:r w:rsidRPr="00DB1D7C">
        <w:rPr>
          <w:rFonts w:ascii="Calibri" w:hAnsi="Calibri"/>
          <w:sz w:val="24"/>
          <w:szCs w:val="24"/>
        </w:rPr>
        <w:t xml:space="preserve"> Osteoporosis, and the web sites of the 200+ National Societies affiliated to the International Osteoporosis Foundation (</w:t>
      </w:r>
      <w:hyperlink r:id="rId11" w:history="1">
        <w:r w:rsidR="006D3417" w:rsidRPr="00B45072">
          <w:rPr>
            <w:rStyle w:val="Hyperlink"/>
            <w:rFonts w:ascii="Calibri" w:hAnsi="Calibri"/>
            <w:sz w:val="24"/>
            <w:szCs w:val="24"/>
          </w:rPr>
          <w:t>http://www.iofbonehealth.org/societies-country-index-view/all</w:t>
        </w:r>
      </w:hyperlink>
      <w:r w:rsidRPr="00DB1D7C">
        <w:rPr>
          <w:rFonts w:ascii="Calibri" w:hAnsi="Calibri"/>
          <w:sz w:val="24"/>
          <w:szCs w:val="24"/>
        </w:rPr>
        <w:t>). We hand-searched the reference lists of publications and also web pages of national and international scientific societies related to the management of osteoporosis, and agencies that develop guidelines.</w:t>
      </w:r>
    </w:p>
    <w:p w14:paraId="3F443944" w14:textId="77777777" w:rsidR="0026001C" w:rsidRPr="00DB1D7C" w:rsidRDefault="0026001C" w:rsidP="0026001C">
      <w:pPr>
        <w:rPr>
          <w:rFonts w:ascii="Calibri" w:hAnsi="Calibri"/>
          <w:sz w:val="24"/>
          <w:szCs w:val="24"/>
        </w:rPr>
      </w:pPr>
      <w:r w:rsidRPr="00DB1D7C">
        <w:rPr>
          <w:rFonts w:ascii="Calibri" w:hAnsi="Calibri"/>
          <w:sz w:val="24"/>
          <w:szCs w:val="24"/>
        </w:rPr>
        <w:t xml:space="preserve">Search terms included: </w:t>
      </w:r>
    </w:p>
    <w:p w14:paraId="3755BEDE" w14:textId="77777777" w:rsidR="0026001C" w:rsidRPr="00DB1D7C" w:rsidRDefault="0026001C" w:rsidP="006D3417">
      <w:pPr>
        <w:spacing w:after="0" w:line="240" w:lineRule="auto"/>
        <w:rPr>
          <w:rFonts w:ascii="Calibri" w:hAnsi="Calibri"/>
          <w:sz w:val="24"/>
          <w:szCs w:val="24"/>
        </w:rPr>
      </w:pPr>
      <w:r w:rsidRPr="00DB1D7C">
        <w:rPr>
          <w:rFonts w:ascii="Calibri" w:hAnsi="Calibri"/>
          <w:sz w:val="24"/>
          <w:szCs w:val="24"/>
        </w:rPr>
        <w:t>1. FRAX</w:t>
      </w:r>
    </w:p>
    <w:p w14:paraId="6F882A54" w14:textId="77777777" w:rsidR="0026001C" w:rsidRPr="00DB1D7C" w:rsidRDefault="0026001C" w:rsidP="006D3417">
      <w:pPr>
        <w:spacing w:after="0" w:line="240" w:lineRule="auto"/>
        <w:rPr>
          <w:rFonts w:ascii="Calibri" w:hAnsi="Calibri"/>
          <w:sz w:val="24"/>
          <w:szCs w:val="24"/>
        </w:rPr>
      </w:pPr>
      <w:r w:rsidRPr="00DB1D7C">
        <w:rPr>
          <w:rFonts w:ascii="Calibri" w:hAnsi="Calibri"/>
          <w:sz w:val="24"/>
          <w:szCs w:val="24"/>
        </w:rPr>
        <w:t xml:space="preserve">2. </w:t>
      </w:r>
      <w:proofErr w:type="gramStart"/>
      <w:r w:rsidRPr="00DB1D7C">
        <w:rPr>
          <w:rFonts w:ascii="Calibri" w:hAnsi="Calibri"/>
          <w:sz w:val="24"/>
          <w:szCs w:val="24"/>
        </w:rPr>
        <w:t>guideline</w:t>
      </w:r>
      <w:proofErr w:type="gramEnd"/>
    </w:p>
    <w:p w14:paraId="2E60BF7E" w14:textId="77777777" w:rsidR="0026001C" w:rsidRPr="00DB1D7C" w:rsidRDefault="0026001C" w:rsidP="006D3417">
      <w:pPr>
        <w:spacing w:after="0" w:line="240" w:lineRule="auto"/>
        <w:rPr>
          <w:rFonts w:ascii="Calibri" w:hAnsi="Calibri"/>
          <w:sz w:val="24"/>
          <w:szCs w:val="24"/>
        </w:rPr>
      </w:pPr>
      <w:r w:rsidRPr="00DB1D7C">
        <w:rPr>
          <w:rFonts w:ascii="Calibri" w:hAnsi="Calibri"/>
          <w:sz w:val="24"/>
          <w:szCs w:val="24"/>
        </w:rPr>
        <w:t xml:space="preserve">3. </w:t>
      </w:r>
      <w:proofErr w:type="gramStart"/>
      <w:r w:rsidRPr="00DB1D7C">
        <w:rPr>
          <w:rFonts w:ascii="Calibri" w:hAnsi="Calibri"/>
          <w:sz w:val="24"/>
          <w:szCs w:val="24"/>
        </w:rPr>
        <w:t>guidance</w:t>
      </w:r>
      <w:proofErr w:type="gramEnd"/>
    </w:p>
    <w:p w14:paraId="004A0289" w14:textId="77777777" w:rsidR="0026001C" w:rsidRPr="00DB1D7C" w:rsidRDefault="0026001C" w:rsidP="006D3417">
      <w:pPr>
        <w:spacing w:after="0" w:line="240" w:lineRule="auto"/>
        <w:rPr>
          <w:rFonts w:ascii="Calibri" w:hAnsi="Calibri"/>
          <w:sz w:val="24"/>
          <w:szCs w:val="24"/>
        </w:rPr>
      </w:pPr>
      <w:r w:rsidRPr="00DB1D7C">
        <w:rPr>
          <w:rFonts w:ascii="Calibri" w:hAnsi="Calibri"/>
          <w:sz w:val="24"/>
          <w:szCs w:val="24"/>
        </w:rPr>
        <w:t xml:space="preserve">4. </w:t>
      </w:r>
      <w:proofErr w:type="gramStart"/>
      <w:r w:rsidRPr="00DB1D7C">
        <w:rPr>
          <w:rFonts w:ascii="Calibri" w:hAnsi="Calibri"/>
          <w:sz w:val="24"/>
          <w:szCs w:val="24"/>
        </w:rPr>
        <w:t>recommendation</w:t>
      </w:r>
      <w:proofErr w:type="gramEnd"/>
    </w:p>
    <w:p w14:paraId="324FEB6E" w14:textId="77777777" w:rsidR="0026001C" w:rsidRPr="00DB1D7C" w:rsidRDefault="0026001C" w:rsidP="006D3417">
      <w:pPr>
        <w:spacing w:after="0" w:line="240" w:lineRule="auto"/>
        <w:rPr>
          <w:rFonts w:ascii="Calibri" w:hAnsi="Calibri"/>
          <w:sz w:val="24"/>
          <w:szCs w:val="24"/>
        </w:rPr>
      </w:pPr>
      <w:r w:rsidRPr="00DB1D7C">
        <w:rPr>
          <w:rFonts w:ascii="Calibri" w:hAnsi="Calibri"/>
          <w:sz w:val="24"/>
          <w:szCs w:val="24"/>
        </w:rPr>
        <w:t>5. 1 AND 2</w:t>
      </w:r>
    </w:p>
    <w:p w14:paraId="3F07B481" w14:textId="77777777" w:rsidR="0026001C" w:rsidRPr="00DB1D7C" w:rsidRDefault="0026001C" w:rsidP="006D3417">
      <w:pPr>
        <w:spacing w:after="0" w:line="240" w:lineRule="auto"/>
        <w:rPr>
          <w:rFonts w:ascii="Calibri" w:hAnsi="Calibri"/>
          <w:sz w:val="24"/>
          <w:szCs w:val="24"/>
        </w:rPr>
      </w:pPr>
      <w:r w:rsidRPr="00DB1D7C">
        <w:rPr>
          <w:rFonts w:ascii="Calibri" w:hAnsi="Calibri"/>
          <w:sz w:val="24"/>
          <w:szCs w:val="24"/>
        </w:rPr>
        <w:t>6. 1 AND 3</w:t>
      </w:r>
    </w:p>
    <w:p w14:paraId="25A47D0D" w14:textId="77777777" w:rsidR="0026001C" w:rsidRPr="00DB1D7C" w:rsidRDefault="0026001C" w:rsidP="006D3417">
      <w:pPr>
        <w:spacing w:after="0" w:line="240" w:lineRule="auto"/>
        <w:rPr>
          <w:rFonts w:ascii="Calibri" w:hAnsi="Calibri"/>
          <w:sz w:val="24"/>
          <w:szCs w:val="24"/>
        </w:rPr>
      </w:pPr>
      <w:r w:rsidRPr="00DB1D7C">
        <w:rPr>
          <w:rFonts w:ascii="Calibri" w:hAnsi="Calibri"/>
          <w:sz w:val="24"/>
          <w:szCs w:val="24"/>
        </w:rPr>
        <w:t>7. 1 AND 4</w:t>
      </w:r>
    </w:p>
    <w:p w14:paraId="325E1A70" w14:textId="77777777" w:rsidR="0026001C" w:rsidRPr="00DB1D7C" w:rsidRDefault="0026001C" w:rsidP="0026001C">
      <w:pPr>
        <w:rPr>
          <w:rFonts w:ascii="Calibri" w:hAnsi="Calibri"/>
          <w:sz w:val="24"/>
          <w:szCs w:val="24"/>
        </w:rPr>
      </w:pPr>
    </w:p>
    <w:p w14:paraId="5F2915CC" w14:textId="3B18F63F" w:rsidR="0026001C" w:rsidRPr="00DB1D7C" w:rsidRDefault="0026001C" w:rsidP="0026001C">
      <w:pPr>
        <w:rPr>
          <w:rFonts w:ascii="Calibri" w:hAnsi="Calibri"/>
          <w:sz w:val="24"/>
          <w:szCs w:val="24"/>
        </w:rPr>
      </w:pPr>
      <w:r w:rsidRPr="00DB1D7C">
        <w:rPr>
          <w:rFonts w:ascii="Calibri" w:hAnsi="Calibri"/>
          <w:sz w:val="24"/>
          <w:szCs w:val="24"/>
        </w:rPr>
        <w:t xml:space="preserve">We made an additional search to identify assessment guidelines from government agencies and non-governmental organisations </w:t>
      </w:r>
      <w:r w:rsidR="006D3417">
        <w:rPr>
          <w:rFonts w:ascii="Calibri" w:hAnsi="Calibri"/>
          <w:sz w:val="24"/>
          <w:szCs w:val="24"/>
        </w:rPr>
        <w:t>where guideline collections were documented</w:t>
      </w:r>
      <w:r w:rsidRPr="00DB1D7C">
        <w:rPr>
          <w:rFonts w:ascii="Calibri" w:hAnsi="Calibri"/>
          <w:sz w:val="24"/>
          <w:szCs w:val="24"/>
        </w:rPr>
        <w:t>:</w:t>
      </w:r>
    </w:p>
    <w:p w14:paraId="46362E84" w14:textId="6EC25D84" w:rsidR="0026001C" w:rsidRPr="00DB1D7C" w:rsidRDefault="0026001C" w:rsidP="0026001C">
      <w:pPr>
        <w:rPr>
          <w:rFonts w:ascii="Calibri" w:hAnsi="Calibri"/>
          <w:sz w:val="24"/>
          <w:szCs w:val="24"/>
        </w:rPr>
      </w:pPr>
      <w:r w:rsidRPr="00DB1D7C">
        <w:rPr>
          <w:rFonts w:ascii="Calibri" w:hAnsi="Calibri"/>
          <w:sz w:val="24"/>
          <w:szCs w:val="24"/>
        </w:rPr>
        <w:t xml:space="preserve">Obstetrics and </w:t>
      </w:r>
      <w:proofErr w:type="spellStart"/>
      <w:r w:rsidRPr="00DB1D7C">
        <w:rPr>
          <w:rFonts w:ascii="Calibri" w:hAnsi="Calibri"/>
          <w:sz w:val="24"/>
          <w:szCs w:val="24"/>
        </w:rPr>
        <w:t>gynecology</w:t>
      </w:r>
      <w:proofErr w:type="spellEnd"/>
      <w:r w:rsidRPr="00DB1D7C">
        <w:rPr>
          <w:rFonts w:ascii="Calibri" w:hAnsi="Calibri"/>
          <w:sz w:val="24"/>
          <w:szCs w:val="24"/>
        </w:rPr>
        <w:t xml:space="preserve"> guidelines Geneva Foundation for Medical Education and Research </w:t>
      </w:r>
      <w:hyperlink r:id="rId12" w:history="1">
        <w:r w:rsidR="006D3417" w:rsidRPr="00B45072">
          <w:rPr>
            <w:rStyle w:val="Hyperlink"/>
            <w:rFonts w:ascii="Calibri" w:hAnsi="Calibri"/>
            <w:sz w:val="24"/>
            <w:szCs w:val="24"/>
          </w:rPr>
          <w:t>http://www.gfmer.ch/Guidelines/Osteoporosis/Osteoporosis.htm</w:t>
        </w:r>
      </w:hyperlink>
      <w:r w:rsidR="006D3417">
        <w:rPr>
          <w:rFonts w:ascii="Calibri" w:hAnsi="Calibri"/>
          <w:sz w:val="24"/>
          <w:szCs w:val="24"/>
        </w:rPr>
        <w:t xml:space="preserve"> </w:t>
      </w:r>
    </w:p>
    <w:p w14:paraId="27A35E03" w14:textId="1DDDBC4C" w:rsidR="0026001C" w:rsidRPr="00DB1D7C" w:rsidRDefault="0026001C" w:rsidP="0026001C">
      <w:pPr>
        <w:rPr>
          <w:rFonts w:ascii="Calibri" w:hAnsi="Calibri"/>
          <w:sz w:val="24"/>
          <w:szCs w:val="24"/>
        </w:rPr>
      </w:pPr>
      <w:r w:rsidRPr="00DB1D7C">
        <w:rPr>
          <w:rFonts w:ascii="Calibri" w:hAnsi="Calibri"/>
          <w:sz w:val="24"/>
          <w:szCs w:val="24"/>
        </w:rPr>
        <w:t xml:space="preserve">US Department of Health and Human Services. National Guideline Clearing House </w:t>
      </w:r>
      <w:hyperlink r:id="rId13" w:history="1">
        <w:r w:rsidR="006D3417" w:rsidRPr="00B45072">
          <w:rPr>
            <w:rStyle w:val="Hyperlink"/>
            <w:rFonts w:ascii="Calibri" w:hAnsi="Calibri"/>
            <w:sz w:val="24"/>
            <w:szCs w:val="24"/>
          </w:rPr>
          <w:t>http://www.gfmer.ch/Guidelines/Osteoporosis/Osteoporosis.htm</w:t>
        </w:r>
      </w:hyperlink>
      <w:r w:rsidR="006D3417">
        <w:rPr>
          <w:rFonts w:ascii="Calibri" w:hAnsi="Calibri"/>
          <w:sz w:val="24"/>
          <w:szCs w:val="24"/>
        </w:rPr>
        <w:t xml:space="preserve"> </w:t>
      </w:r>
    </w:p>
    <w:p w14:paraId="415A6DAF" w14:textId="38BA200E" w:rsidR="0026001C" w:rsidRPr="00DB1D7C" w:rsidRDefault="0026001C" w:rsidP="0026001C">
      <w:pPr>
        <w:rPr>
          <w:rFonts w:ascii="Calibri" w:hAnsi="Calibri"/>
          <w:sz w:val="24"/>
          <w:szCs w:val="24"/>
        </w:rPr>
      </w:pPr>
      <w:r w:rsidRPr="00DB1D7C">
        <w:rPr>
          <w:rFonts w:ascii="Calibri" w:hAnsi="Calibri"/>
          <w:sz w:val="24"/>
          <w:szCs w:val="24"/>
        </w:rPr>
        <w:t xml:space="preserve">IOF </w:t>
      </w:r>
      <w:hyperlink r:id="rId14" w:history="1">
        <w:r w:rsidR="006D3417" w:rsidRPr="00B45072">
          <w:rPr>
            <w:rStyle w:val="Hyperlink"/>
            <w:rFonts w:ascii="Calibri" w:hAnsi="Calibri"/>
            <w:sz w:val="24"/>
            <w:szCs w:val="24"/>
          </w:rPr>
          <w:t>http://www.iofbonehealth.org/national-regional-osteoporosis-guidelines</w:t>
        </w:r>
      </w:hyperlink>
      <w:r w:rsidR="006D3417">
        <w:rPr>
          <w:rFonts w:ascii="Calibri" w:hAnsi="Calibri"/>
          <w:sz w:val="24"/>
          <w:szCs w:val="24"/>
        </w:rPr>
        <w:t xml:space="preserve"> </w:t>
      </w:r>
      <w:r w:rsidRPr="00DB1D7C">
        <w:rPr>
          <w:rFonts w:ascii="Calibri" w:hAnsi="Calibri"/>
          <w:sz w:val="24"/>
          <w:szCs w:val="24"/>
        </w:rPr>
        <w:t xml:space="preserve"> </w:t>
      </w:r>
    </w:p>
    <w:p w14:paraId="452EAF30" w14:textId="77777777" w:rsidR="0026001C" w:rsidRPr="00DB1D7C" w:rsidRDefault="0026001C" w:rsidP="0026001C">
      <w:pPr>
        <w:rPr>
          <w:rFonts w:ascii="Calibri" w:hAnsi="Calibri"/>
          <w:sz w:val="24"/>
          <w:szCs w:val="24"/>
        </w:rPr>
      </w:pPr>
    </w:p>
    <w:p w14:paraId="2B038B65" w14:textId="77777777" w:rsidR="0026001C" w:rsidRPr="00DB1D7C" w:rsidRDefault="0026001C" w:rsidP="0026001C">
      <w:pPr>
        <w:rPr>
          <w:rFonts w:ascii="Calibri" w:hAnsi="Calibri"/>
          <w:i/>
          <w:sz w:val="24"/>
          <w:szCs w:val="24"/>
        </w:rPr>
      </w:pPr>
      <w:r w:rsidRPr="00DB1D7C">
        <w:rPr>
          <w:rFonts w:ascii="Calibri" w:hAnsi="Calibri"/>
          <w:i/>
          <w:sz w:val="24"/>
          <w:szCs w:val="24"/>
        </w:rPr>
        <w:t>Screening of abstracts</w:t>
      </w:r>
    </w:p>
    <w:p w14:paraId="42077C0E" w14:textId="5365EA9F" w:rsidR="0026001C" w:rsidRPr="00DB1D7C" w:rsidRDefault="006D3417" w:rsidP="0026001C">
      <w:pPr>
        <w:rPr>
          <w:rFonts w:ascii="Calibri" w:hAnsi="Calibri"/>
          <w:sz w:val="24"/>
          <w:szCs w:val="24"/>
        </w:rPr>
      </w:pPr>
      <w:r w:rsidRPr="00C23570">
        <w:rPr>
          <w:sz w:val="24"/>
          <w:szCs w:val="24"/>
        </w:rPr>
        <w:t>When applying inclusion criteria, all abstracts, guidelines and potentially relevant papers were assessed by JAK, with independent parallel review by NCH,</w:t>
      </w:r>
      <w:r>
        <w:rPr>
          <w:sz w:val="24"/>
          <w:szCs w:val="24"/>
        </w:rPr>
        <w:t xml:space="preserve"> and </w:t>
      </w:r>
      <w:r w:rsidRPr="00C23570">
        <w:rPr>
          <w:sz w:val="24"/>
          <w:szCs w:val="24"/>
        </w:rPr>
        <w:t xml:space="preserve">decisions shown to be </w:t>
      </w:r>
      <w:r w:rsidRPr="00C23570">
        <w:rPr>
          <w:sz w:val="24"/>
          <w:szCs w:val="24"/>
        </w:rPr>
        <w:lastRenderedPageBreak/>
        <w:t>reproducible. Disagreements over inclusion were resolved through consensus and, where necessary, following discussion with a third member of the review team (EM).</w:t>
      </w:r>
    </w:p>
    <w:p w14:paraId="342F012D" w14:textId="77777777" w:rsidR="0026001C" w:rsidRPr="00DB1D7C" w:rsidRDefault="0026001C" w:rsidP="0026001C">
      <w:pPr>
        <w:rPr>
          <w:rFonts w:ascii="Calibri" w:hAnsi="Calibri"/>
          <w:sz w:val="24"/>
          <w:szCs w:val="24"/>
        </w:rPr>
      </w:pPr>
    </w:p>
    <w:p w14:paraId="0A4CD7E5" w14:textId="77777777" w:rsidR="0026001C" w:rsidRPr="00DB1D7C" w:rsidRDefault="0026001C" w:rsidP="0026001C">
      <w:pPr>
        <w:rPr>
          <w:rFonts w:ascii="Calibri" w:hAnsi="Calibri"/>
          <w:i/>
          <w:sz w:val="24"/>
          <w:szCs w:val="24"/>
        </w:rPr>
      </w:pPr>
      <w:r w:rsidRPr="00DB1D7C">
        <w:rPr>
          <w:rFonts w:ascii="Calibri" w:hAnsi="Calibri"/>
          <w:i/>
          <w:sz w:val="24"/>
          <w:szCs w:val="24"/>
        </w:rPr>
        <w:t>Data extraction and quality assessment</w:t>
      </w:r>
    </w:p>
    <w:p w14:paraId="410316AD" w14:textId="5A33EFBA" w:rsidR="0026001C" w:rsidRPr="00DB1D7C" w:rsidRDefault="00B46E73" w:rsidP="0026001C">
      <w:pPr>
        <w:rPr>
          <w:rFonts w:ascii="Calibri" w:hAnsi="Calibri"/>
          <w:sz w:val="24"/>
          <w:szCs w:val="24"/>
        </w:rPr>
      </w:pPr>
      <w:r w:rsidRPr="00B46E73">
        <w:rPr>
          <w:rFonts w:ascii="Calibri" w:hAnsi="Calibri"/>
          <w:sz w:val="24"/>
          <w:szCs w:val="24"/>
        </w:rPr>
        <w:t xml:space="preserve">Data extraction was carried out in the same way as the abstract assessment. </w:t>
      </w:r>
      <w:r w:rsidR="0026001C" w:rsidRPr="00DB1D7C">
        <w:rPr>
          <w:rFonts w:ascii="Calibri" w:hAnsi="Calibri"/>
          <w:sz w:val="24"/>
          <w:szCs w:val="24"/>
        </w:rPr>
        <w:t>We undertook the quality assessment of studies using approaches specific to the study type, that is whether it was a guideline, or an assessment of a threshold/ guideline. With regard to the former, the assessment focused on the degree to which a guideline was developed on the basis of a rigorous evidence base versus expert consensus, with recognition that the majority would be a combination of these two approaches. Where several editions of guidelines were available, the most recent was retained unless otherwise specified.  Where guidelines were abstracted or reviewed, the original guideline was retained unless further insight was available on the rationale for the setting of intervention thresholds with FRAX. With regard to assessments of thresholds or guidelines, we focused on elements of study design (appropriate adult population, outcome definition, fracture and/or health economic assessment, threshold definition). Given the nature of the studies, it was judged inappropriate to give a formal quality score. However, an appropriate critique was applied to characterise study quality.</w:t>
      </w:r>
      <w:r>
        <w:rPr>
          <w:rFonts w:ascii="Calibri" w:hAnsi="Calibri"/>
          <w:sz w:val="24"/>
          <w:szCs w:val="24"/>
        </w:rPr>
        <w:t xml:space="preserve">  </w:t>
      </w:r>
    </w:p>
    <w:p w14:paraId="2E89C450" w14:textId="77777777" w:rsidR="0026001C" w:rsidRPr="00DB1D7C" w:rsidRDefault="0026001C" w:rsidP="0026001C">
      <w:pPr>
        <w:rPr>
          <w:rFonts w:ascii="Calibri" w:hAnsi="Calibri"/>
          <w:sz w:val="24"/>
          <w:szCs w:val="24"/>
        </w:rPr>
      </w:pPr>
    </w:p>
    <w:p w14:paraId="763D0641" w14:textId="77777777" w:rsidR="0026001C" w:rsidRPr="00DB1D7C" w:rsidRDefault="0026001C" w:rsidP="0026001C">
      <w:pPr>
        <w:rPr>
          <w:rFonts w:ascii="Calibri" w:hAnsi="Calibri"/>
          <w:i/>
          <w:sz w:val="24"/>
          <w:szCs w:val="24"/>
        </w:rPr>
      </w:pPr>
      <w:r w:rsidRPr="00DB1D7C">
        <w:rPr>
          <w:rFonts w:ascii="Calibri" w:hAnsi="Calibri"/>
          <w:i/>
          <w:sz w:val="24"/>
          <w:szCs w:val="24"/>
        </w:rPr>
        <w:t>Data synthesis</w:t>
      </w:r>
    </w:p>
    <w:p w14:paraId="1E25D99C" w14:textId="77777777" w:rsidR="0026001C" w:rsidRDefault="0026001C" w:rsidP="0026001C">
      <w:pPr>
        <w:rPr>
          <w:rFonts w:ascii="Calibri" w:hAnsi="Calibri"/>
          <w:sz w:val="24"/>
          <w:szCs w:val="24"/>
        </w:rPr>
      </w:pPr>
      <w:r w:rsidRPr="00DB1D7C">
        <w:rPr>
          <w:rFonts w:ascii="Calibri" w:hAnsi="Calibri"/>
          <w:sz w:val="24"/>
          <w:szCs w:val="24"/>
        </w:rPr>
        <w:t>Owing to the nature of the review and the included studies, meta-analysis was not appropriate. We therefore undertook a narrative data synthesis in the presentation of the systematic review results.</w:t>
      </w:r>
    </w:p>
    <w:p w14:paraId="6F8DC8D7" w14:textId="77777777" w:rsidR="00E065DB" w:rsidRPr="00DB1D7C" w:rsidRDefault="00E065DB" w:rsidP="00153EA2">
      <w:pPr>
        <w:rPr>
          <w:rFonts w:ascii="Calibri" w:hAnsi="Calibri"/>
          <w:sz w:val="24"/>
          <w:szCs w:val="24"/>
        </w:rPr>
      </w:pPr>
    </w:p>
    <w:p w14:paraId="0A2B6933" w14:textId="77777777" w:rsidR="00153EA2" w:rsidRPr="00DB1D7C" w:rsidRDefault="00854EDC" w:rsidP="008819A0">
      <w:pPr>
        <w:rPr>
          <w:rFonts w:ascii="Calibri" w:hAnsi="Calibri"/>
          <w:b/>
          <w:sz w:val="28"/>
          <w:szCs w:val="28"/>
        </w:rPr>
      </w:pPr>
      <w:r w:rsidRPr="00DB1D7C">
        <w:rPr>
          <w:rFonts w:ascii="Calibri" w:hAnsi="Calibri"/>
          <w:b/>
          <w:sz w:val="28"/>
          <w:szCs w:val="28"/>
        </w:rPr>
        <w:t>Results</w:t>
      </w:r>
    </w:p>
    <w:p w14:paraId="65C3EA31" w14:textId="686D5C87" w:rsidR="00DC33A8" w:rsidRDefault="00F750B0" w:rsidP="00DC33A8">
      <w:pPr>
        <w:rPr>
          <w:rFonts w:ascii="Calibri" w:hAnsi="Calibri"/>
          <w:sz w:val="24"/>
          <w:szCs w:val="24"/>
        </w:rPr>
      </w:pPr>
      <w:r w:rsidRPr="00F750B0">
        <w:rPr>
          <w:rFonts w:ascii="Calibri" w:hAnsi="Calibri"/>
          <w:sz w:val="24"/>
          <w:szCs w:val="24"/>
        </w:rPr>
        <w:t xml:space="preserve">The initial search revealed </w:t>
      </w:r>
      <w:r w:rsidRPr="00944F07">
        <w:rPr>
          <w:rFonts w:ascii="Calibri" w:hAnsi="Calibri"/>
          <w:sz w:val="24"/>
          <w:szCs w:val="24"/>
        </w:rPr>
        <w:t>228 citations</w:t>
      </w:r>
      <w:r w:rsidRPr="00F750B0">
        <w:rPr>
          <w:rFonts w:ascii="Calibri" w:hAnsi="Calibri"/>
          <w:sz w:val="24"/>
          <w:szCs w:val="24"/>
        </w:rPr>
        <w:t xml:space="preserve">, with a further </w:t>
      </w:r>
      <w:r w:rsidR="00944F07">
        <w:rPr>
          <w:rFonts w:ascii="Calibri" w:hAnsi="Calibri"/>
          <w:sz w:val="24"/>
          <w:szCs w:val="24"/>
        </w:rPr>
        <w:t>19</w:t>
      </w:r>
      <w:r w:rsidR="00D94F7C">
        <w:rPr>
          <w:rFonts w:ascii="Calibri" w:hAnsi="Calibri"/>
          <w:sz w:val="24"/>
          <w:szCs w:val="24"/>
        </w:rPr>
        <w:t>8</w:t>
      </w:r>
      <w:r w:rsidRPr="00F750B0">
        <w:rPr>
          <w:rFonts w:ascii="Calibri" w:hAnsi="Calibri"/>
          <w:sz w:val="24"/>
          <w:szCs w:val="24"/>
        </w:rPr>
        <w:t xml:space="preserve"> identified from websites and other </w:t>
      </w:r>
      <w:r w:rsidR="00DC33A8">
        <w:rPr>
          <w:rFonts w:ascii="Calibri" w:hAnsi="Calibri"/>
          <w:sz w:val="24"/>
          <w:szCs w:val="24"/>
        </w:rPr>
        <w:t>sources</w:t>
      </w:r>
      <w:r w:rsidRPr="00F750B0">
        <w:rPr>
          <w:rFonts w:ascii="Calibri" w:hAnsi="Calibri"/>
          <w:sz w:val="24"/>
          <w:szCs w:val="24"/>
        </w:rPr>
        <w:t xml:space="preserve"> (Figure 1). After initial assessment for relevance </w:t>
      </w:r>
      <w:r w:rsidR="00944F07">
        <w:rPr>
          <w:rFonts w:ascii="Calibri" w:hAnsi="Calibri"/>
          <w:sz w:val="24"/>
          <w:szCs w:val="24"/>
        </w:rPr>
        <w:t>307</w:t>
      </w:r>
      <w:r w:rsidRPr="00F750B0">
        <w:rPr>
          <w:rFonts w:ascii="Calibri" w:hAnsi="Calibri"/>
          <w:sz w:val="24"/>
          <w:szCs w:val="24"/>
        </w:rPr>
        <w:t xml:space="preserve"> were retained for full appraisal and </w:t>
      </w:r>
      <w:r w:rsidR="00944F07">
        <w:rPr>
          <w:rFonts w:ascii="Calibri" w:hAnsi="Calibri"/>
          <w:sz w:val="24"/>
          <w:szCs w:val="24"/>
        </w:rPr>
        <w:t>231</w:t>
      </w:r>
      <w:r w:rsidRPr="00F750B0">
        <w:rPr>
          <w:rFonts w:ascii="Calibri" w:hAnsi="Calibri"/>
          <w:sz w:val="24"/>
          <w:szCs w:val="24"/>
        </w:rPr>
        <w:t xml:space="preserve"> were included in the narrative synthesis.</w:t>
      </w:r>
      <w:r w:rsidR="008107BE">
        <w:rPr>
          <w:rFonts w:ascii="Calibri" w:hAnsi="Calibri"/>
          <w:sz w:val="24"/>
          <w:szCs w:val="24"/>
        </w:rPr>
        <w:t xml:space="preserve"> </w:t>
      </w:r>
      <w:r w:rsidR="00BE12CE">
        <w:rPr>
          <w:rFonts w:ascii="Calibri" w:hAnsi="Calibri"/>
          <w:sz w:val="24"/>
          <w:szCs w:val="24"/>
        </w:rPr>
        <w:t>Redundant or irrelevant</w:t>
      </w:r>
      <w:r w:rsidR="00944F07">
        <w:rPr>
          <w:rFonts w:ascii="Calibri" w:hAnsi="Calibri"/>
          <w:sz w:val="24"/>
          <w:szCs w:val="24"/>
        </w:rPr>
        <w:t xml:space="preserve"> articles</w:t>
      </w:r>
      <w:r w:rsidR="00BE12CE">
        <w:rPr>
          <w:rFonts w:ascii="Calibri" w:hAnsi="Calibri"/>
          <w:sz w:val="24"/>
          <w:szCs w:val="24"/>
        </w:rPr>
        <w:t xml:space="preserve"> </w:t>
      </w:r>
      <w:r w:rsidR="008107BE">
        <w:rPr>
          <w:rFonts w:ascii="Calibri" w:hAnsi="Calibri"/>
          <w:sz w:val="24"/>
          <w:szCs w:val="24"/>
        </w:rPr>
        <w:t>(</w:t>
      </w:r>
      <w:r w:rsidR="00944F07">
        <w:rPr>
          <w:rFonts w:ascii="Calibri" w:hAnsi="Calibri"/>
          <w:sz w:val="24"/>
          <w:szCs w:val="24"/>
        </w:rPr>
        <w:t>7</w:t>
      </w:r>
      <w:r w:rsidR="00D94F7C">
        <w:rPr>
          <w:rFonts w:ascii="Calibri" w:hAnsi="Calibri"/>
          <w:sz w:val="24"/>
          <w:szCs w:val="24"/>
        </w:rPr>
        <w:t>7</w:t>
      </w:r>
      <w:r w:rsidR="008107BE">
        <w:rPr>
          <w:rFonts w:ascii="Calibri" w:hAnsi="Calibri"/>
          <w:sz w:val="24"/>
          <w:szCs w:val="24"/>
        </w:rPr>
        <w:t>) are provided in the appendix.</w:t>
      </w:r>
    </w:p>
    <w:p w14:paraId="608ADC7D" w14:textId="6C787DF2" w:rsidR="00D94F7C" w:rsidRDefault="00D94F7C" w:rsidP="00D94F7C">
      <w:pPr>
        <w:jc w:val="center"/>
        <w:rPr>
          <w:rFonts w:ascii="Calibri" w:hAnsi="Calibri"/>
          <w:sz w:val="24"/>
          <w:szCs w:val="24"/>
        </w:rPr>
      </w:pPr>
      <w:r w:rsidRPr="00D94F7C">
        <w:rPr>
          <w:rFonts w:ascii="Calibri" w:hAnsi="Calibri"/>
          <w:noProof/>
          <w:sz w:val="24"/>
          <w:szCs w:val="24"/>
          <w:lang w:eastAsia="en-GB"/>
        </w:rPr>
        <w:lastRenderedPageBreak/>
        <w:drawing>
          <wp:inline distT="0" distB="0" distL="0" distR="0" wp14:anchorId="6584AAB7" wp14:editId="2D962DC9">
            <wp:extent cx="4572638" cy="342947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72638" cy="3429479"/>
                    </a:xfrm>
                    <a:prstGeom prst="rect">
                      <a:avLst/>
                    </a:prstGeom>
                  </pic:spPr>
                </pic:pic>
              </a:graphicData>
            </a:graphic>
          </wp:inline>
        </w:drawing>
      </w:r>
    </w:p>
    <w:p w14:paraId="0A12FD4F" w14:textId="77777777" w:rsidR="00F750B0" w:rsidRPr="00F750B0" w:rsidRDefault="00F750B0" w:rsidP="00F750B0">
      <w:pPr>
        <w:jc w:val="center"/>
        <w:rPr>
          <w:rFonts w:ascii="Calibri" w:hAnsi="Calibri"/>
          <w:sz w:val="24"/>
          <w:szCs w:val="24"/>
        </w:rPr>
      </w:pPr>
      <w:r w:rsidRPr="00AA1681">
        <w:rPr>
          <w:rFonts w:ascii="Calibri" w:hAnsi="Calibri"/>
          <w:b/>
        </w:rPr>
        <w:t xml:space="preserve">Figure 1. </w:t>
      </w:r>
      <w:r w:rsidRPr="00AA1681">
        <w:rPr>
          <w:rFonts w:ascii="Calibri" w:hAnsi="Calibri"/>
        </w:rPr>
        <w:t xml:space="preserve"> Flow diagram demonstrating study identification and selection</w:t>
      </w:r>
      <w:r w:rsidRPr="00F750B0">
        <w:rPr>
          <w:rFonts w:ascii="Calibri" w:hAnsi="Calibri"/>
          <w:sz w:val="24"/>
          <w:szCs w:val="24"/>
        </w:rPr>
        <w:t>.</w:t>
      </w:r>
    </w:p>
    <w:p w14:paraId="325C762F" w14:textId="77777777" w:rsidR="00F750B0" w:rsidRDefault="00F750B0" w:rsidP="00F750B0">
      <w:pPr>
        <w:rPr>
          <w:rFonts w:ascii="Calibri" w:hAnsi="Calibri"/>
          <w:sz w:val="24"/>
          <w:szCs w:val="24"/>
        </w:rPr>
      </w:pPr>
    </w:p>
    <w:p w14:paraId="75932237" w14:textId="243079C4" w:rsidR="003A0189" w:rsidRPr="00DB1D7C" w:rsidRDefault="000415CF" w:rsidP="00F750B0">
      <w:pPr>
        <w:rPr>
          <w:rFonts w:ascii="Calibri" w:hAnsi="Calibri"/>
          <w:sz w:val="24"/>
          <w:szCs w:val="24"/>
        </w:rPr>
      </w:pPr>
      <w:r w:rsidRPr="00DB1D7C">
        <w:rPr>
          <w:rFonts w:ascii="Calibri" w:hAnsi="Calibri"/>
          <w:sz w:val="24"/>
          <w:szCs w:val="24"/>
        </w:rPr>
        <w:t xml:space="preserve">In reviewing FRAX-based intervention thresholds, it is important to recognise that the vast majority of assessment guidelines recommend that men and women with prior fractures are eligible for </w:t>
      </w:r>
      <w:r w:rsidRPr="00944F07">
        <w:rPr>
          <w:rFonts w:ascii="Calibri" w:hAnsi="Calibri"/>
          <w:sz w:val="24"/>
          <w:szCs w:val="24"/>
        </w:rPr>
        <w:t xml:space="preserve">treatment </w:t>
      </w:r>
      <w:r w:rsidR="00BE3917" w:rsidRPr="00944F07">
        <w:rPr>
          <w:rFonts w:ascii="Calibri" w:hAnsi="Calibri"/>
          <w:sz w:val="24"/>
          <w:szCs w:val="24"/>
        </w:rPr>
        <w:t>[28]</w:t>
      </w:r>
      <w:r w:rsidRPr="00944F07">
        <w:rPr>
          <w:rFonts w:ascii="Calibri" w:hAnsi="Calibri"/>
          <w:sz w:val="24"/>
          <w:szCs w:val="24"/>
        </w:rPr>
        <w:t>.  In some countries, treatment is recommended in patients with fractures at the spine and hip</w:t>
      </w:r>
      <w:r w:rsidR="00DE291A" w:rsidRPr="00944F07">
        <w:rPr>
          <w:rFonts w:ascii="Calibri" w:hAnsi="Calibri"/>
          <w:sz w:val="24"/>
          <w:szCs w:val="24"/>
        </w:rPr>
        <w:t xml:space="preserve"> e.g.</w:t>
      </w:r>
      <w:r w:rsidRPr="00944F07">
        <w:rPr>
          <w:rFonts w:ascii="Calibri" w:hAnsi="Calibri"/>
          <w:sz w:val="24"/>
          <w:szCs w:val="24"/>
        </w:rPr>
        <w:t xml:space="preserve"> </w:t>
      </w:r>
      <w:r w:rsidR="00DE291A" w:rsidRPr="00944F07">
        <w:rPr>
          <w:rFonts w:ascii="Calibri" w:hAnsi="Calibri"/>
          <w:sz w:val="24"/>
          <w:szCs w:val="24"/>
        </w:rPr>
        <w:t xml:space="preserve">Canada </w:t>
      </w:r>
      <w:r w:rsidR="00BE3917" w:rsidRPr="00944F07">
        <w:rPr>
          <w:rFonts w:ascii="Calibri" w:hAnsi="Calibri"/>
          <w:sz w:val="24"/>
          <w:szCs w:val="24"/>
        </w:rPr>
        <w:t>[29]</w:t>
      </w:r>
      <w:r w:rsidRPr="00944F07">
        <w:rPr>
          <w:rFonts w:ascii="Calibri" w:hAnsi="Calibri"/>
          <w:sz w:val="24"/>
          <w:szCs w:val="24"/>
        </w:rPr>
        <w:t xml:space="preserve">, </w:t>
      </w:r>
      <w:r w:rsidR="00DE291A" w:rsidRPr="00944F07">
        <w:rPr>
          <w:rFonts w:ascii="Calibri" w:hAnsi="Calibri"/>
          <w:sz w:val="24"/>
          <w:szCs w:val="24"/>
        </w:rPr>
        <w:t xml:space="preserve">the US </w:t>
      </w:r>
      <w:r w:rsidR="00BE3917" w:rsidRPr="00944F07">
        <w:rPr>
          <w:rFonts w:ascii="Calibri" w:hAnsi="Calibri"/>
          <w:sz w:val="24"/>
          <w:szCs w:val="24"/>
        </w:rPr>
        <w:t>[30]</w:t>
      </w:r>
      <w:r w:rsidR="00DE291A" w:rsidRPr="00944F07">
        <w:rPr>
          <w:rFonts w:ascii="Calibri" w:hAnsi="Calibri"/>
          <w:sz w:val="24"/>
          <w:szCs w:val="24"/>
        </w:rPr>
        <w:t>, Japan</w:t>
      </w:r>
      <w:r w:rsidRPr="00944F07">
        <w:rPr>
          <w:rFonts w:ascii="Calibri" w:hAnsi="Calibri"/>
          <w:sz w:val="24"/>
          <w:szCs w:val="24"/>
        </w:rPr>
        <w:t xml:space="preserve"> </w:t>
      </w:r>
      <w:r w:rsidR="008546A7" w:rsidRPr="00944F07">
        <w:rPr>
          <w:rFonts w:ascii="Calibri" w:hAnsi="Calibri"/>
          <w:sz w:val="24"/>
          <w:szCs w:val="24"/>
        </w:rPr>
        <w:t xml:space="preserve">[31] </w:t>
      </w:r>
      <w:r w:rsidR="00DE291A" w:rsidRPr="00944F07">
        <w:rPr>
          <w:rFonts w:ascii="Calibri" w:hAnsi="Calibri"/>
          <w:sz w:val="24"/>
          <w:szCs w:val="24"/>
        </w:rPr>
        <w:t xml:space="preserve">and </w:t>
      </w:r>
      <w:r w:rsidR="00944F07" w:rsidRPr="00944F07">
        <w:rPr>
          <w:rFonts w:ascii="Calibri" w:hAnsi="Calibri"/>
          <w:sz w:val="24"/>
          <w:szCs w:val="24"/>
        </w:rPr>
        <w:t>Scotland [</w:t>
      </w:r>
      <w:r w:rsidR="008546A7" w:rsidRPr="00944F07">
        <w:rPr>
          <w:rFonts w:ascii="Calibri" w:hAnsi="Calibri"/>
          <w:sz w:val="24"/>
          <w:szCs w:val="24"/>
        </w:rPr>
        <w:t>32]</w:t>
      </w:r>
      <w:r w:rsidRPr="00944F07">
        <w:rPr>
          <w:rFonts w:ascii="Calibri" w:hAnsi="Calibri"/>
          <w:sz w:val="24"/>
          <w:szCs w:val="24"/>
        </w:rPr>
        <w:t>.</w:t>
      </w:r>
      <w:r w:rsidRPr="00DB1D7C">
        <w:rPr>
          <w:rFonts w:ascii="Calibri" w:hAnsi="Calibri"/>
          <w:sz w:val="24"/>
          <w:szCs w:val="24"/>
        </w:rPr>
        <w:t xml:space="preserve">  Thus</w:t>
      </w:r>
      <w:r w:rsidR="00606B29" w:rsidRPr="00DB1D7C">
        <w:rPr>
          <w:rFonts w:ascii="Calibri" w:hAnsi="Calibri"/>
          <w:sz w:val="24"/>
          <w:szCs w:val="24"/>
        </w:rPr>
        <w:t>, with few exceptions,</w:t>
      </w:r>
      <w:r w:rsidRPr="00DB1D7C">
        <w:rPr>
          <w:rFonts w:ascii="Calibri" w:hAnsi="Calibri"/>
          <w:sz w:val="24"/>
          <w:szCs w:val="24"/>
        </w:rPr>
        <w:t xml:space="preserve"> the place for FRAX resides in those patients without prior fractures (or without prior spine or hip fracture).</w:t>
      </w:r>
      <w:r w:rsidR="003A0189" w:rsidRPr="00DB1D7C">
        <w:rPr>
          <w:rFonts w:ascii="Calibri" w:hAnsi="Calibri"/>
          <w:sz w:val="24"/>
          <w:szCs w:val="24"/>
        </w:rPr>
        <w:t xml:space="preserve">  The aim of this review was not to focus on the adequacy of this gateway for patient assessment but, rather, the subsequent triage with FRAX.</w:t>
      </w:r>
    </w:p>
    <w:p w14:paraId="564ABCFF" w14:textId="09192F4A" w:rsidR="000415CF" w:rsidRPr="00DB1D7C" w:rsidRDefault="003A0189" w:rsidP="000415CF">
      <w:pPr>
        <w:rPr>
          <w:rFonts w:ascii="Calibri" w:hAnsi="Calibri"/>
          <w:sz w:val="24"/>
          <w:szCs w:val="24"/>
        </w:rPr>
      </w:pPr>
      <w:r w:rsidRPr="00DB1D7C">
        <w:rPr>
          <w:rFonts w:ascii="Calibri" w:hAnsi="Calibri"/>
          <w:sz w:val="24"/>
          <w:szCs w:val="24"/>
        </w:rPr>
        <w:t xml:space="preserve">FRAX was launched in 2008.  It is to be expected that there </w:t>
      </w:r>
      <w:r w:rsidR="00F23F56" w:rsidRPr="00DB1D7C">
        <w:rPr>
          <w:rFonts w:ascii="Calibri" w:hAnsi="Calibri"/>
          <w:sz w:val="24"/>
          <w:szCs w:val="24"/>
        </w:rPr>
        <w:t>be</w:t>
      </w:r>
      <w:r w:rsidRPr="00DB1D7C">
        <w:rPr>
          <w:rFonts w:ascii="Calibri" w:hAnsi="Calibri"/>
          <w:sz w:val="24"/>
          <w:szCs w:val="24"/>
        </w:rPr>
        <w:t xml:space="preserve"> a time-delay between the availability of new technologies and in its </w:t>
      </w:r>
      <w:r w:rsidR="00BF2564" w:rsidRPr="00DB1D7C">
        <w:rPr>
          <w:rFonts w:ascii="Calibri" w:hAnsi="Calibri"/>
          <w:sz w:val="24"/>
          <w:szCs w:val="24"/>
        </w:rPr>
        <w:t>clinical</w:t>
      </w:r>
      <w:r w:rsidRPr="00DB1D7C">
        <w:rPr>
          <w:rFonts w:ascii="Calibri" w:hAnsi="Calibri"/>
          <w:sz w:val="24"/>
          <w:szCs w:val="24"/>
        </w:rPr>
        <w:t xml:space="preserve"> acceptance</w:t>
      </w:r>
      <w:r w:rsidR="00BF2564" w:rsidRPr="00DB1D7C">
        <w:rPr>
          <w:rFonts w:ascii="Calibri" w:hAnsi="Calibri"/>
          <w:sz w:val="24"/>
          <w:szCs w:val="24"/>
        </w:rPr>
        <w:t>, particularly given the long cycle between guideline development and their update</w:t>
      </w:r>
      <w:r w:rsidR="00990CE2">
        <w:rPr>
          <w:rFonts w:ascii="Calibri" w:hAnsi="Calibri"/>
          <w:sz w:val="24"/>
          <w:szCs w:val="24"/>
        </w:rPr>
        <w:t>s</w:t>
      </w:r>
      <w:r w:rsidR="00BF2564" w:rsidRPr="00DB1D7C">
        <w:rPr>
          <w:rFonts w:ascii="Calibri" w:hAnsi="Calibri"/>
          <w:sz w:val="24"/>
          <w:szCs w:val="24"/>
        </w:rPr>
        <w:t>.</w:t>
      </w:r>
      <w:r w:rsidRPr="00DB1D7C">
        <w:rPr>
          <w:rFonts w:ascii="Calibri" w:hAnsi="Calibri"/>
          <w:sz w:val="24"/>
          <w:szCs w:val="24"/>
        </w:rPr>
        <w:t xml:space="preserve"> </w:t>
      </w:r>
      <w:r w:rsidR="000415CF" w:rsidRPr="00DB1D7C">
        <w:rPr>
          <w:rFonts w:ascii="Calibri" w:hAnsi="Calibri"/>
          <w:sz w:val="24"/>
          <w:szCs w:val="24"/>
        </w:rPr>
        <w:t xml:space="preserve"> </w:t>
      </w:r>
      <w:r w:rsidR="00BF2564" w:rsidRPr="00DB1D7C">
        <w:rPr>
          <w:rFonts w:ascii="Calibri" w:hAnsi="Calibri"/>
          <w:sz w:val="24"/>
          <w:szCs w:val="24"/>
        </w:rPr>
        <w:t xml:space="preserve">In addition, the incorporation of FRAX-specific thresholds into guidance is commonly preceded by academic research to provide the rationale.  </w:t>
      </w:r>
      <w:r w:rsidR="00F23F56" w:rsidRPr="00DB1D7C">
        <w:rPr>
          <w:rFonts w:ascii="Calibri" w:hAnsi="Calibri"/>
          <w:sz w:val="24"/>
          <w:szCs w:val="24"/>
        </w:rPr>
        <w:t xml:space="preserve">However, the widespread availability of FRAX, during a time of transition, has resulted </w:t>
      </w:r>
      <w:r w:rsidR="00CA2760">
        <w:rPr>
          <w:rFonts w:ascii="Calibri" w:hAnsi="Calibri"/>
          <w:sz w:val="24"/>
          <w:szCs w:val="24"/>
        </w:rPr>
        <w:t xml:space="preserve">in </w:t>
      </w:r>
      <w:r w:rsidR="002253C9" w:rsidRPr="00DB1D7C">
        <w:rPr>
          <w:rFonts w:ascii="Calibri" w:hAnsi="Calibri"/>
          <w:sz w:val="24"/>
          <w:szCs w:val="24"/>
        </w:rPr>
        <w:t>the inclusion of FRAX</w:t>
      </w:r>
      <w:r w:rsidR="00F23F56" w:rsidRPr="00DB1D7C">
        <w:rPr>
          <w:rFonts w:ascii="Calibri" w:hAnsi="Calibri"/>
          <w:sz w:val="24"/>
          <w:szCs w:val="24"/>
        </w:rPr>
        <w:t xml:space="preserve"> </w:t>
      </w:r>
      <w:r w:rsidR="00EC1828">
        <w:rPr>
          <w:rFonts w:ascii="Calibri" w:hAnsi="Calibri"/>
          <w:sz w:val="24"/>
          <w:szCs w:val="24"/>
        </w:rPr>
        <w:t xml:space="preserve">in many </w:t>
      </w:r>
      <w:r w:rsidR="00F23F56" w:rsidRPr="00DB1D7C">
        <w:rPr>
          <w:rFonts w:ascii="Calibri" w:hAnsi="Calibri"/>
          <w:sz w:val="24"/>
          <w:szCs w:val="24"/>
        </w:rPr>
        <w:t xml:space="preserve">with no clear statement on how the fracture probabilities derived are to be used </w:t>
      </w:r>
      <w:r w:rsidR="00EC5637">
        <w:rPr>
          <w:rFonts w:ascii="Calibri" w:hAnsi="Calibri"/>
          <w:sz w:val="24"/>
          <w:szCs w:val="24"/>
        </w:rPr>
        <w:t>for</w:t>
      </w:r>
      <w:r w:rsidR="00F23F56" w:rsidRPr="00DB1D7C">
        <w:rPr>
          <w:rFonts w:ascii="Calibri" w:hAnsi="Calibri"/>
          <w:sz w:val="24"/>
          <w:szCs w:val="24"/>
        </w:rPr>
        <w:t xml:space="preserve"> decision-making in clinical practice.  We </w:t>
      </w:r>
      <w:r w:rsidR="00F23F56" w:rsidRPr="00AD617B">
        <w:rPr>
          <w:rFonts w:ascii="Calibri" w:hAnsi="Calibri"/>
          <w:sz w:val="24"/>
          <w:szCs w:val="24"/>
        </w:rPr>
        <w:t xml:space="preserve">identified </w:t>
      </w:r>
      <w:r w:rsidR="007C43B8" w:rsidRPr="00AD617B">
        <w:rPr>
          <w:rFonts w:ascii="Calibri" w:hAnsi="Calibri"/>
          <w:sz w:val="24"/>
          <w:szCs w:val="24"/>
        </w:rPr>
        <w:t>3</w:t>
      </w:r>
      <w:r w:rsidR="00BE12CE" w:rsidRPr="00AD617B">
        <w:rPr>
          <w:rFonts w:ascii="Calibri" w:hAnsi="Calibri"/>
          <w:sz w:val="24"/>
          <w:szCs w:val="24"/>
        </w:rPr>
        <w:t>8</w:t>
      </w:r>
      <w:r w:rsidR="00F23F56" w:rsidRPr="00AD617B">
        <w:rPr>
          <w:rFonts w:ascii="Calibri" w:hAnsi="Calibri"/>
          <w:sz w:val="24"/>
          <w:szCs w:val="24"/>
        </w:rPr>
        <w:t xml:space="preserve"> guidelines</w:t>
      </w:r>
      <w:r w:rsidR="00F23F56" w:rsidRPr="00DB1D7C">
        <w:rPr>
          <w:rFonts w:ascii="Calibri" w:hAnsi="Calibri"/>
          <w:sz w:val="24"/>
          <w:szCs w:val="24"/>
        </w:rPr>
        <w:t xml:space="preserve"> or academic papers that f</w:t>
      </w:r>
      <w:r w:rsidR="00804032" w:rsidRPr="00DB1D7C">
        <w:rPr>
          <w:rFonts w:ascii="Calibri" w:hAnsi="Calibri"/>
          <w:sz w:val="24"/>
          <w:szCs w:val="24"/>
        </w:rPr>
        <w:t>e</w:t>
      </w:r>
      <w:r w:rsidR="00F23F56" w:rsidRPr="00DB1D7C">
        <w:rPr>
          <w:rFonts w:ascii="Calibri" w:hAnsi="Calibri"/>
          <w:sz w:val="24"/>
          <w:szCs w:val="24"/>
        </w:rPr>
        <w:t xml:space="preserve">ll into this </w:t>
      </w:r>
      <w:r w:rsidR="00F23F56" w:rsidRPr="002A1E50">
        <w:rPr>
          <w:rFonts w:ascii="Calibri" w:hAnsi="Calibri"/>
          <w:sz w:val="24"/>
          <w:szCs w:val="24"/>
        </w:rPr>
        <w:t xml:space="preserve">category (Table </w:t>
      </w:r>
      <w:r w:rsidR="0006534F" w:rsidRPr="002A1E50">
        <w:rPr>
          <w:rFonts w:ascii="Calibri" w:hAnsi="Calibri"/>
          <w:sz w:val="24"/>
          <w:szCs w:val="24"/>
        </w:rPr>
        <w:t>2</w:t>
      </w:r>
      <w:r w:rsidR="00F23F56" w:rsidRPr="002A1E50">
        <w:rPr>
          <w:rFonts w:ascii="Calibri" w:hAnsi="Calibri"/>
          <w:sz w:val="24"/>
          <w:szCs w:val="24"/>
        </w:rPr>
        <w:t>)</w:t>
      </w:r>
      <w:r w:rsidR="00804032" w:rsidRPr="002A1E50">
        <w:rPr>
          <w:rFonts w:ascii="Calibri" w:hAnsi="Calibri"/>
          <w:sz w:val="24"/>
          <w:szCs w:val="24"/>
        </w:rPr>
        <w:t>.</w:t>
      </w:r>
    </w:p>
    <w:p w14:paraId="0B80F525" w14:textId="77777777" w:rsidR="000415CF" w:rsidRPr="00DB1D7C" w:rsidRDefault="000415CF" w:rsidP="00BD25EC">
      <w:pPr>
        <w:spacing w:after="0"/>
        <w:rPr>
          <w:rFonts w:ascii="Calibri" w:hAnsi="Calibri"/>
          <w:b/>
          <w:sz w:val="24"/>
          <w:szCs w:val="24"/>
        </w:rPr>
      </w:pPr>
    </w:p>
    <w:p w14:paraId="7FEB0FB0" w14:textId="77777777" w:rsidR="005F7E6D" w:rsidRDefault="005F7E6D" w:rsidP="00BD25EC">
      <w:pPr>
        <w:spacing w:after="0"/>
        <w:rPr>
          <w:rFonts w:ascii="Calibri" w:hAnsi="Calibri"/>
          <w:b/>
        </w:rPr>
      </w:pPr>
    </w:p>
    <w:p w14:paraId="389B5D06" w14:textId="77777777" w:rsidR="005F7E6D" w:rsidRDefault="005F7E6D" w:rsidP="00BD25EC">
      <w:pPr>
        <w:spacing w:after="0"/>
        <w:rPr>
          <w:rFonts w:ascii="Calibri" w:hAnsi="Calibri"/>
          <w:b/>
        </w:rPr>
      </w:pPr>
    </w:p>
    <w:p w14:paraId="1069C02E" w14:textId="77777777" w:rsidR="005F7E6D" w:rsidRDefault="005F7E6D" w:rsidP="00BD25EC">
      <w:pPr>
        <w:spacing w:after="0"/>
        <w:rPr>
          <w:rFonts w:ascii="Calibri" w:hAnsi="Calibri"/>
          <w:b/>
        </w:rPr>
      </w:pPr>
    </w:p>
    <w:p w14:paraId="2B4538B0" w14:textId="77777777" w:rsidR="005F7E6D" w:rsidRDefault="005F7E6D" w:rsidP="00BD25EC">
      <w:pPr>
        <w:spacing w:after="0"/>
        <w:rPr>
          <w:rFonts w:ascii="Calibri" w:hAnsi="Calibri"/>
          <w:b/>
        </w:rPr>
      </w:pPr>
    </w:p>
    <w:p w14:paraId="461DFA00" w14:textId="77777777" w:rsidR="005F7E6D" w:rsidRDefault="005F7E6D" w:rsidP="00BD25EC">
      <w:pPr>
        <w:spacing w:after="0"/>
        <w:rPr>
          <w:rFonts w:ascii="Calibri" w:hAnsi="Calibri"/>
          <w:b/>
        </w:rPr>
      </w:pPr>
    </w:p>
    <w:p w14:paraId="0A2B6937" w14:textId="31EDF72E" w:rsidR="008C2F11" w:rsidRPr="00AD617B" w:rsidRDefault="008C2F11" w:rsidP="00BD25EC">
      <w:pPr>
        <w:spacing w:after="0"/>
        <w:rPr>
          <w:rFonts w:ascii="Calibri" w:hAnsi="Calibri"/>
        </w:rPr>
      </w:pPr>
      <w:r w:rsidRPr="00AD617B">
        <w:rPr>
          <w:rFonts w:ascii="Calibri" w:hAnsi="Calibri"/>
          <w:b/>
        </w:rPr>
        <w:lastRenderedPageBreak/>
        <w:t xml:space="preserve">Table </w:t>
      </w:r>
      <w:r w:rsidR="0006534F" w:rsidRPr="00AD617B">
        <w:rPr>
          <w:rFonts w:ascii="Calibri" w:hAnsi="Calibri"/>
          <w:b/>
        </w:rPr>
        <w:t>2</w:t>
      </w:r>
      <w:r w:rsidRPr="00AD617B">
        <w:rPr>
          <w:rFonts w:ascii="Calibri" w:hAnsi="Calibri"/>
          <w:b/>
        </w:rPr>
        <w:t>.</w:t>
      </w:r>
      <w:r w:rsidRPr="00AD617B">
        <w:rPr>
          <w:rFonts w:ascii="Calibri" w:hAnsi="Calibri"/>
        </w:rPr>
        <w:t xml:space="preserve">  Guidelines</w:t>
      </w:r>
      <w:r w:rsidR="00BF2564" w:rsidRPr="00AD617B">
        <w:rPr>
          <w:rFonts w:ascii="Calibri" w:hAnsi="Calibri"/>
        </w:rPr>
        <w:t xml:space="preserve"> or academic </w:t>
      </w:r>
      <w:r w:rsidR="00F23F56" w:rsidRPr="00AD617B">
        <w:rPr>
          <w:rFonts w:ascii="Calibri" w:hAnsi="Calibri"/>
        </w:rPr>
        <w:t xml:space="preserve">research </w:t>
      </w:r>
      <w:r w:rsidR="00BF2564" w:rsidRPr="00AD617B">
        <w:rPr>
          <w:rFonts w:ascii="Calibri" w:hAnsi="Calibri"/>
        </w:rPr>
        <w:t>papers</w:t>
      </w:r>
      <w:r w:rsidRPr="00AD617B">
        <w:rPr>
          <w:rFonts w:ascii="Calibri" w:hAnsi="Calibri"/>
        </w:rPr>
        <w:t xml:space="preserve"> providing information on FRAX without defining intervention thresholds</w:t>
      </w:r>
      <w:r w:rsidR="00AD617B">
        <w:rPr>
          <w:rFonts w:ascii="Calibri" w:hAnsi="Calibri"/>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2"/>
        <w:gridCol w:w="235"/>
        <w:gridCol w:w="4782"/>
        <w:gridCol w:w="1091"/>
        <w:gridCol w:w="1126"/>
      </w:tblGrid>
      <w:tr w:rsidR="008C2F11" w:rsidRPr="00AD617B" w14:paraId="0A2B693D" w14:textId="77777777" w:rsidTr="002A557B">
        <w:tc>
          <w:tcPr>
            <w:tcW w:w="1782" w:type="dxa"/>
            <w:tcBorders>
              <w:top w:val="single" w:sz="4" w:space="0" w:color="auto"/>
              <w:bottom w:val="single" w:sz="4" w:space="0" w:color="auto"/>
            </w:tcBorders>
          </w:tcPr>
          <w:p w14:paraId="0A2B6938" w14:textId="6E146F62" w:rsidR="008C2F11" w:rsidRPr="00AD617B" w:rsidRDefault="008C2F11" w:rsidP="002A557B">
            <w:pPr>
              <w:spacing w:before="240" w:line="276" w:lineRule="auto"/>
            </w:pPr>
            <w:r w:rsidRPr="00AD617B">
              <w:t>Country</w:t>
            </w:r>
            <w:r w:rsidR="00AD617B" w:rsidRPr="00AD617B">
              <w:t>/region</w:t>
            </w:r>
          </w:p>
        </w:tc>
        <w:tc>
          <w:tcPr>
            <w:tcW w:w="235" w:type="dxa"/>
            <w:tcBorders>
              <w:top w:val="single" w:sz="4" w:space="0" w:color="auto"/>
              <w:bottom w:val="single" w:sz="4" w:space="0" w:color="auto"/>
            </w:tcBorders>
          </w:tcPr>
          <w:p w14:paraId="0A2B6939" w14:textId="77777777" w:rsidR="008C2F11" w:rsidRPr="00AD617B" w:rsidRDefault="008C2F11" w:rsidP="002A557B">
            <w:pPr>
              <w:spacing w:before="240" w:line="276" w:lineRule="auto"/>
            </w:pPr>
          </w:p>
        </w:tc>
        <w:tc>
          <w:tcPr>
            <w:tcW w:w="4782" w:type="dxa"/>
            <w:tcBorders>
              <w:top w:val="single" w:sz="4" w:space="0" w:color="auto"/>
              <w:bottom w:val="single" w:sz="4" w:space="0" w:color="auto"/>
            </w:tcBorders>
          </w:tcPr>
          <w:p w14:paraId="0A2B693A" w14:textId="4EA0862E" w:rsidR="008C2F11" w:rsidRPr="00AD617B" w:rsidRDefault="00396640" w:rsidP="002A557B">
            <w:pPr>
              <w:spacing w:before="240" w:line="276" w:lineRule="auto"/>
            </w:pPr>
            <w:r w:rsidRPr="00AD617B">
              <w:t>Sponsor</w:t>
            </w:r>
            <w:r w:rsidR="00012D0A" w:rsidRPr="00AD617B">
              <w:t>/source</w:t>
            </w:r>
          </w:p>
        </w:tc>
        <w:tc>
          <w:tcPr>
            <w:tcW w:w="1091" w:type="dxa"/>
            <w:tcBorders>
              <w:top w:val="single" w:sz="4" w:space="0" w:color="auto"/>
              <w:bottom w:val="single" w:sz="4" w:space="0" w:color="auto"/>
            </w:tcBorders>
          </w:tcPr>
          <w:p w14:paraId="0A2B693B" w14:textId="76680645" w:rsidR="008C2F11" w:rsidRPr="00AD617B" w:rsidRDefault="00E065DB" w:rsidP="002A557B">
            <w:pPr>
              <w:spacing w:before="240" w:line="276" w:lineRule="auto"/>
              <w:jc w:val="center"/>
            </w:pPr>
            <w:r w:rsidRPr="00AD617B">
              <w:t>Footnote</w:t>
            </w:r>
          </w:p>
        </w:tc>
        <w:tc>
          <w:tcPr>
            <w:tcW w:w="1126" w:type="dxa"/>
            <w:tcBorders>
              <w:top w:val="single" w:sz="4" w:space="0" w:color="auto"/>
              <w:bottom w:val="single" w:sz="4" w:space="0" w:color="auto"/>
            </w:tcBorders>
          </w:tcPr>
          <w:p w14:paraId="0A2B693C" w14:textId="6150926E" w:rsidR="008C2F11" w:rsidRPr="00AD617B" w:rsidRDefault="00E453B7" w:rsidP="002A557B">
            <w:pPr>
              <w:spacing w:before="240" w:line="276" w:lineRule="auto"/>
              <w:jc w:val="center"/>
            </w:pPr>
            <w:r w:rsidRPr="00AD617B">
              <w:t>Reference</w:t>
            </w:r>
          </w:p>
        </w:tc>
      </w:tr>
      <w:tr w:rsidR="00A33FC9" w:rsidRPr="00AD617B" w14:paraId="7FE25710" w14:textId="77777777" w:rsidTr="002A557B">
        <w:tc>
          <w:tcPr>
            <w:tcW w:w="1782" w:type="dxa"/>
            <w:tcBorders>
              <w:top w:val="single" w:sz="4" w:space="0" w:color="auto"/>
            </w:tcBorders>
          </w:tcPr>
          <w:p w14:paraId="4D1149AD" w14:textId="77777777" w:rsidR="00A33FC9" w:rsidRPr="00AD617B" w:rsidRDefault="00A33FC9" w:rsidP="002A557B">
            <w:pPr>
              <w:spacing w:before="240" w:line="276" w:lineRule="auto"/>
            </w:pPr>
            <w:r w:rsidRPr="00AD617B">
              <w:t>Argentina</w:t>
            </w:r>
          </w:p>
        </w:tc>
        <w:tc>
          <w:tcPr>
            <w:tcW w:w="235" w:type="dxa"/>
            <w:tcBorders>
              <w:top w:val="single" w:sz="4" w:space="0" w:color="auto"/>
            </w:tcBorders>
          </w:tcPr>
          <w:p w14:paraId="2B444B04" w14:textId="77777777" w:rsidR="00A33FC9" w:rsidRPr="00AD617B" w:rsidRDefault="00A33FC9" w:rsidP="002A557B">
            <w:pPr>
              <w:spacing w:before="240" w:line="276" w:lineRule="auto"/>
            </w:pPr>
          </w:p>
        </w:tc>
        <w:tc>
          <w:tcPr>
            <w:tcW w:w="4782" w:type="dxa"/>
            <w:tcBorders>
              <w:top w:val="single" w:sz="4" w:space="0" w:color="auto"/>
            </w:tcBorders>
          </w:tcPr>
          <w:p w14:paraId="75FE91C5" w14:textId="77777777" w:rsidR="00A33FC9" w:rsidRPr="00AD617B" w:rsidRDefault="00A33FC9" w:rsidP="002A557B">
            <w:pPr>
              <w:spacing w:before="240" w:line="276" w:lineRule="auto"/>
            </w:pPr>
            <w:r w:rsidRPr="00AD617B">
              <w:t>Academia</w:t>
            </w:r>
          </w:p>
        </w:tc>
        <w:tc>
          <w:tcPr>
            <w:tcW w:w="1091" w:type="dxa"/>
            <w:tcBorders>
              <w:top w:val="single" w:sz="4" w:space="0" w:color="auto"/>
            </w:tcBorders>
          </w:tcPr>
          <w:p w14:paraId="422B310C" w14:textId="77777777" w:rsidR="00A33FC9" w:rsidRPr="00AD617B" w:rsidRDefault="00A33FC9" w:rsidP="002A557B">
            <w:pPr>
              <w:spacing w:before="240" w:line="276" w:lineRule="auto"/>
              <w:jc w:val="center"/>
            </w:pPr>
          </w:p>
        </w:tc>
        <w:tc>
          <w:tcPr>
            <w:tcW w:w="1126" w:type="dxa"/>
            <w:tcBorders>
              <w:top w:val="single" w:sz="4" w:space="0" w:color="auto"/>
            </w:tcBorders>
          </w:tcPr>
          <w:p w14:paraId="0E056437" w14:textId="2637F08B" w:rsidR="00A33FC9" w:rsidRPr="00AD617B" w:rsidRDefault="00B57F79" w:rsidP="002A557B">
            <w:pPr>
              <w:spacing w:before="240" w:line="276" w:lineRule="auto"/>
              <w:jc w:val="center"/>
            </w:pPr>
            <w:r w:rsidRPr="00AD617B">
              <w:t xml:space="preserve"> [33]</w:t>
            </w:r>
          </w:p>
        </w:tc>
      </w:tr>
      <w:tr w:rsidR="00B64699" w:rsidRPr="00AD617B" w14:paraId="7BB529F8" w14:textId="77777777" w:rsidTr="002A557B">
        <w:tc>
          <w:tcPr>
            <w:tcW w:w="1782" w:type="dxa"/>
          </w:tcPr>
          <w:p w14:paraId="7F081ACF" w14:textId="70181091" w:rsidR="00B64699" w:rsidRPr="00AD617B" w:rsidRDefault="00B64699" w:rsidP="002A557B">
            <w:pPr>
              <w:spacing w:before="240" w:line="276" w:lineRule="auto"/>
            </w:pPr>
            <w:r w:rsidRPr="00AD617B">
              <w:t>Asia Pacific</w:t>
            </w:r>
          </w:p>
        </w:tc>
        <w:tc>
          <w:tcPr>
            <w:tcW w:w="235" w:type="dxa"/>
          </w:tcPr>
          <w:p w14:paraId="74F97C7E" w14:textId="77777777" w:rsidR="00B64699" w:rsidRPr="00AD617B" w:rsidRDefault="00B64699" w:rsidP="002A557B">
            <w:pPr>
              <w:spacing w:before="240" w:line="276" w:lineRule="auto"/>
            </w:pPr>
          </w:p>
        </w:tc>
        <w:tc>
          <w:tcPr>
            <w:tcW w:w="4782" w:type="dxa"/>
          </w:tcPr>
          <w:p w14:paraId="2229F35F" w14:textId="609516E8" w:rsidR="00B64699" w:rsidRPr="00AD617B" w:rsidRDefault="00B64699" w:rsidP="002A557B">
            <w:pPr>
              <w:spacing w:before="240" w:line="276" w:lineRule="auto"/>
            </w:pPr>
            <w:r w:rsidRPr="00AD617B">
              <w:t>International Society of Clinical Densitometry</w:t>
            </w:r>
          </w:p>
        </w:tc>
        <w:tc>
          <w:tcPr>
            <w:tcW w:w="1091" w:type="dxa"/>
          </w:tcPr>
          <w:p w14:paraId="3E6A5842" w14:textId="77777777" w:rsidR="00B64699" w:rsidRPr="00AD617B" w:rsidRDefault="00B64699" w:rsidP="002A557B">
            <w:pPr>
              <w:spacing w:before="240" w:line="276" w:lineRule="auto"/>
              <w:jc w:val="center"/>
            </w:pPr>
          </w:p>
        </w:tc>
        <w:tc>
          <w:tcPr>
            <w:tcW w:w="1126" w:type="dxa"/>
          </w:tcPr>
          <w:p w14:paraId="10C8A02A" w14:textId="4958A24E" w:rsidR="00B64699" w:rsidRPr="00AD617B" w:rsidRDefault="008F504E" w:rsidP="002A557B">
            <w:pPr>
              <w:spacing w:before="240" w:line="276" w:lineRule="auto"/>
              <w:jc w:val="center"/>
            </w:pPr>
            <w:r w:rsidRPr="00AD617B">
              <w:t xml:space="preserve"> </w:t>
            </w:r>
            <w:r w:rsidR="00B57F79" w:rsidRPr="00AD617B">
              <w:t>[34</w:t>
            </w:r>
            <w:r w:rsidR="00806725" w:rsidRPr="00AD617B">
              <w:t>]</w:t>
            </w:r>
          </w:p>
        </w:tc>
      </w:tr>
      <w:tr w:rsidR="00785DF0" w:rsidRPr="00AD617B" w14:paraId="66BA359F" w14:textId="77777777" w:rsidTr="002A557B">
        <w:tc>
          <w:tcPr>
            <w:tcW w:w="1782" w:type="dxa"/>
          </w:tcPr>
          <w:p w14:paraId="14A1C177" w14:textId="6D653FA3" w:rsidR="00785DF0" w:rsidRPr="00AD617B" w:rsidRDefault="00785DF0" w:rsidP="002A557B">
            <w:pPr>
              <w:spacing w:before="240" w:line="276" w:lineRule="auto"/>
            </w:pPr>
            <w:r w:rsidRPr="00AD617B">
              <w:t>Brazil</w:t>
            </w:r>
          </w:p>
        </w:tc>
        <w:tc>
          <w:tcPr>
            <w:tcW w:w="235" w:type="dxa"/>
          </w:tcPr>
          <w:p w14:paraId="1C87A556" w14:textId="77777777" w:rsidR="00785DF0" w:rsidRPr="00AD617B" w:rsidRDefault="00785DF0" w:rsidP="002A557B">
            <w:pPr>
              <w:spacing w:before="240" w:line="276" w:lineRule="auto"/>
            </w:pPr>
          </w:p>
        </w:tc>
        <w:tc>
          <w:tcPr>
            <w:tcW w:w="4782" w:type="dxa"/>
          </w:tcPr>
          <w:p w14:paraId="1ADE8313" w14:textId="184B43A8" w:rsidR="00785DF0" w:rsidRPr="00AD617B" w:rsidRDefault="00785DF0" w:rsidP="002A557B">
            <w:pPr>
              <w:spacing w:before="240" w:line="276" w:lineRule="auto"/>
            </w:pPr>
            <w:r w:rsidRPr="00AD617B">
              <w:t>Brazilian Society</w:t>
            </w:r>
            <w:r w:rsidR="007C1793" w:rsidRPr="00AD617B">
              <w:t xml:space="preserve"> </w:t>
            </w:r>
            <w:r w:rsidRPr="00AD617B">
              <w:t>of Rheumatology</w:t>
            </w:r>
            <w:r w:rsidR="007C1793" w:rsidRPr="00AD617B">
              <w:t xml:space="preserve"> and others</w:t>
            </w:r>
          </w:p>
        </w:tc>
        <w:tc>
          <w:tcPr>
            <w:tcW w:w="1091" w:type="dxa"/>
            <w:shd w:val="clear" w:color="auto" w:fill="auto"/>
          </w:tcPr>
          <w:p w14:paraId="65573788" w14:textId="78AFFF39" w:rsidR="00785DF0" w:rsidRPr="00AD617B" w:rsidRDefault="009E3526" w:rsidP="002A557B">
            <w:pPr>
              <w:spacing w:before="240" w:line="276" w:lineRule="auto"/>
              <w:jc w:val="center"/>
            </w:pPr>
            <w:r>
              <w:t>a</w:t>
            </w:r>
          </w:p>
        </w:tc>
        <w:tc>
          <w:tcPr>
            <w:tcW w:w="1126" w:type="dxa"/>
          </w:tcPr>
          <w:p w14:paraId="5DFA4F1F" w14:textId="30AE8DC6" w:rsidR="00785DF0" w:rsidRPr="00AD617B" w:rsidRDefault="00806725" w:rsidP="002A557B">
            <w:pPr>
              <w:spacing w:before="240" w:line="276" w:lineRule="auto"/>
              <w:jc w:val="center"/>
            </w:pPr>
            <w:r w:rsidRPr="00AD617B">
              <w:t xml:space="preserve"> [</w:t>
            </w:r>
            <w:r w:rsidR="00B57F79" w:rsidRPr="00AD617B">
              <w:t>35</w:t>
            </w:r>
            <w:r w:rsidRPr="00AD617B">
              <w:t>]</w:t>
            </w:r>
          </w:p>
        </w:tc>
      </w:tr>
      <w:tr w:rsidR="00E92057" w:rsidRPr="00AD617B" w14:paraId="2F189A04" w14:textId="77777777" w:rsidTr="002A557B">
        <w:tc>
          <w:tcPr>
            <w:tcW w:w="1782" w:type="dxa"/>
          </w:tcPr>
          <w:p w14:paraId="6EFB4504" w14:textId="7E246F2F" w:rsidR="00E92057" w:rsidRPr="00AD617B" w:rsidRDefault="00E92057" w:rsidP="002A557B">
            <w:pPr>
              <w:spacing w:before="240" w:line="276" w:lineRule="auto"/>
            </w:pPr>
            <w:r w:rsidRPr="00AD617B">
              <w:t>Bulgaria</w:t>
            </w:r>
          </w:p>
        </w:tc>
        <w:tc>
          <w:tcPr>
            <w:tcW w:w="235" w:type="dxa"/>
          </w:tcPr>
          <w:p w14:paraId="3893A4F6" w14:textId="77777777" w:rsidR="00E92057" w:rsidRPr="00AD617B" w:rsidRDefault="00E92057" w:rsidP="002A557B">
            <w:pPr>
              <w:spacing w:before="240" w:line="276" w:lineRule="auto"/>
            </w:pPr>
          </w:p>
        </w:tc>
        <w:tc>
          <w:tcPr>
            <w:tcW w:w="4782" w:type="dxa"/>
          </w:tcPr>
          <w:p w14:paraId="132C4A9C" w14:textId="6E1CC55D" w:rsidR="00E92057" w:rsidRPr="00AD617B" w:rsidRDefault="00E92057" w:rsidP="002A557B">
            <w:pPr>
              <w:spacing w:before="240" w:line="276" w:lineRule="auto"/>
            </w:pPr>
            <w:r w:rsidRPr="00AD617B">
              <w:t>Ministry of Health; Bulgarian Societies of Endocrinology and Rheumatology</w:t>
            </w:r>
          </w:p>
        </w:tc>
        <w:tc>
          <w:tcPr>
            <w:tcW w:w="1091" w:type="dxa"/>
          </w:tcPr>
          <w:p w14:paraId="253702F6" w14:textId="77777777" w:rsidR="00E92057" w:rsidRPr="00AD617B" w:rsidRDefault="00E92057" w:rsidP="002A557B">
            <w:pPr>
              <w:spacing w:before="240" w:line="276" w:lineRule="auto"/>
              <w:jc w:val="center"/>
            </w:pPr>
          </w:p>
        </w:tc>
        <w:tc>
          <w:tcPr>
            <w:tcW w:w="1126" w:type="dxa"/>
          </w:tcPr>
          <w:p w14:paraId="4A796B5D" w14:textId="50DAEE31" w:rsidR="00E92057" w:rsidRPr="00AD617B" w:rsidRDefault="00806725" w:rsidP="002A557B">
            <w:pPr>
              <w:spacing w:before="240" w:line="276" w:lineRule="auto"/>
              <w:jc w:val="center"/>
            </w:pPr>
            <w:r w:rsidRPr="00AD617B">
              <w:t xml:space="preserve"> [</w:t>
            </w:r>
            <w:r w:rsidR="00B57F79" w:rsidRPr="00AD617B">
              <w:t>36</w:t>
            </w:r>
            <w:r w:rsidRPr="00AD617B">
              <w:t>]</w:t>
            </w:r>
          </w:p>
        </w:tc>
      </w:tr>
      <w:tr w:rsidR="00B22A1E" w:rsidRPr="00AD617B" w14:paraId="46AE0908" w14:textId="77777777" w:rsidTr="002A557B">
        <w:tc>
          <w:tcPr>
            <w:tcW w:w="1782" w:type="dxa"/>
          </w:tcPr>
          <w:p w14:paraId="653F62E3" w14:textId="43331BF6" w:rsidR="00B22A1E" w:rsidRPr="00AD617B" w:rsidRDefault="00B22A1E" w:rsidP="002A557B">
            <w:pPr>
              <w:spacing w:before="240" w:line="276" w:lineRule="auto"/>
            </w:pPr>
            <w:r w:rsidRPr="00AD617B">
              <w:t>Canada</w:t>
            </w:r>
          </w:p>
        </w:tc>
        <w:tc>
          <w:tcPr>
            <w:tcW w:w="235" w:type="dxa"/>
          </w:tcPr>
          <w:p w14:paraId="4BC17B13" w14:textId="77777777" w:rsidR="00B22A1E" w:rsidRPr="00AD617B" w:rsidRDefault="00B22A1E" w:rsidP="002A557B">
            <w:pPr>
              <w:spacing w:before="240" w:line="276" w:lineRule="auto"/>
            </w:pPr>
          </w:p>
        </w:tc>
        <w:tc>
          <w:tcPr>
            <w:tcW w:w="4782" w:type="dxa"/>
          </w:tcPr>
          <w:p w14:paraId="589B7539" w14:textId="35FCED94" w:rsidR="00B22A1E" w:rsidRPr="00AD617B" w:rsidRDefault="00B22A1E" w:rsidP="002A557B">
            <w:pPr>
              <w:spacing w:before="240" w:line="276" w:lineRule="auto"/>
            </w:pPr>
            <w:r w:rsidRPr="00AD617B">
              <w:t>Expert group</w:t>
            </w:r>
          </w:p>
        </w:tc>
        <w:tc>
          <w:tcPr>
            <w:tcW w:w="1091" w:type="dxa"/>
            <w:shd w:val="clear" w:color="auto" w:fill="auto"/>
          </w:tcPr>
          <w:p w14:paraId="5EECE612" w14:textId="0D432A40" w:rsidR="00B22A1E" w:rsidRPr="002A557B" w:rsidRDefault="009E3526" w:rsidP="002A557B">
            <w:pPr>
              <w:spacing w:before="240" w:line="276" w:lineRule="auto"/>
              <w:jc w:val="center"/>
            </w:pPr>
            <w:r w:rsidRPr="002A557B">
              <w:t>b</w:t>
            </w:r>
          </w:p>
        </w:tc>
        <w:tc>
          <w:tcPr>
            <w:tcW w:w="1126" w:type="dxa"/>
          </w:tcPr>
          <w:p w14:paraId="41431CA0" w14:textId="513F09F5" w:rsidR="00B22A1E" w:rsidRPr="00AD617B" w:rsidRDefault="00806725" w:rsidP="002A557B">
            <w:pPr>
              <w:spacing w:before="240" w:line="276" w:lineRule="auto"/>
              <w:jc w:val="center"/>
            </w:pPr>
            <w:r w:rsidRPr="00AD617B">
              <w:t xml:space="preserve"> [</w:t>
            </w:r>
            <w:r w:rsidR="00B57F79" w:rsidRPr="00AD617B">
              <w:t>37</w:t>
            </w:r>
            <w:r w:rsidRPr="00AD617B">
              <w:t>]</w:t>
            </w:r>
          </w:p>
        </w:tc>
      </w:tr>
      <w:tr w:rsidR="00A0249E" w:rsidRPr="00AD617B" w14:paraId="7F9CBE31" w14:textId="77777777" w:rsidTr="002A557B">
        <w:tc>
          <w:tcPr>
            <w:tcW w:w="1782" w:type="dxa"/>
          </w:tcPr>
          <w:p w14:paraId="1A7B873B" w14:textId="74BD0B78" w:rsidR="00A0249E" w:rsidRPr="00AD617B" w:rsidRDefault="00A0249E" w:rsidP="002A557B">
            <w:pPr>
              <w:spacing w:before="240" w:line="276" w:lineRule="auto"/>
            </w:pPr>
            <w:r w:rsidRPr="00AD617B">
              <w:t>China</w:t>
            </w:r>
          </w:p>
        </w:tc>
        <w:tc>
          <w:tcPr>
            <w:tcW w:w="235" w:type="dxa"/>
          </w:tcPr>
          <w:p w14:paraId="0FFF9730" w14:textId="77777777" w:rsidR="00A0249E" w:rsidRPr="00AD617B" w:rsidRDefault="00A0249E" w:rsidP="002A557B">
            <w:pPr>
              <w:spacing w:before="240" w:line="276" w:lineRule="auto"/>
            </w:pPr>
          </w:p>
        </w:tc>
        <w:tc>
          <w:tcPr>
            <w:tcW w:w="4782" w:type="dxa"/>
            <w:shd w:val="clear" w:color="auto" w:fill="auto"/>
          </w:tcPr>
          <w:p w14:paraId="5B57BB1E" w14:textId="304DFB2D" w:rsidR="00A0249E" w:rsidRPr="00AD617B" w:rsidRDefault="00A0249E" w:rsidP="002A557B">
            <w:pPr>
              <w:spacing w:before="240" w:line="276" w:lineRule="auto"/>
            </w:pPr>
            <w:r w:rsidRPr="00AD617B">
              <w:rPr>
                <w:bCs/>
                <w:iCs/>
              </w:rPr>
              <w:t xml:space="preserve">Chinese </w:t>
            </w:r>
            <w:proofErr w:type="spellStart"/>
            <w:r w:rsidRPr="00AD617B">
              <w:rPr>
                <w:bCs/>
                <w:iCs/>
              </w:rPr>
              <w:t>Gerontological</w:t>
            </w:r>
            <w:proofErr w:type="spellEnd"/>
            <w:r w:rsidRPr="00AD617B">
              <w:rPr>
                <w:bCs/>
                <w:iCs/>
              </w:rPr>
              <w:t xml:space="preserve"> Society</w:t>
            </w:r>
          </w:p>
        </w:tc>
        <w:tc>
          <w:tcPr>
            <w:tcW w:w="1091" w:type="dxa"/>
          </w:tcPr>
          <w:p w14:paraId="4FB24DF5" w14:textId="6EA5F6B7" w:rsidR="00A0249E" w:rsidRPr="00AD617B" w:rsidRDefault="00A0249E" w:rsidP="002A557B">
            <w:pPr>
              <w:spacing w:before="240" w:line="276" w:lineRule="auto"/>
              <w:jc w:val="center"/>
            </w:pPr>
          </w:p>
        </w:tc>
        <w:tc>
          <w:tcPr>
            <w:tcW w:w="1126" w:type="dxa"/>
          </w:tcPr>
          <w:p w14:paraId="0665849A" w14:textId="7616A480" w:rsidR="00A0249E" w:rsidRPr="00AD617B" w:rsidRDefault="00806725" w:rsidP="002A557B">
            <w:pPr>
              <w:spacing w:before="240" w:line="276" w:lineRule="auto"/>
              <w:jc w:val="center"/>
            </w:pPr>
            <w:r w:rsidRPr="00AD617B">
              <w:t xml:space="preserve"> [</w:t>
            </w:r>
            <w:r w:rsidR="00B57F79" w:rsidRPr="00AD617B">
              <w:t>38</w:t>
            </w:r>
            <w:r w:rsidRPr="00AD617B">
              <w:t>]</w:t>
            </w:r>
          </w:p>
        </w:tc>
      </w:tr>
      <w:tr w:rsidR="000D1706" w:rsidRPr="00AD617B" w14:paraId="3CBBFB54" w14:textId="77777777" w:rsidTr="002A557B">
        <w:tc>
          <w:tcPr>
            <w:tcW w:w="1782" w:type="dxa"/>
          </w:tcPr>
          <w:p w14:paraId="706FAE67" w14:textId="000F55EE" w:rsidR="000D1706" w:rsidRPr="00AD617B" w:rsidRDefault="00E730E2" w:rsidP="002A557B">
            <w:pPr>
              <w:spacing w:before="240" w:line="276" w:lineRule="auto"/>
            </w:pPr>
            <w:r w:rsidRPr="00AD617B">
              <w:t>Croatia</w:t>
            </w:r>
          </w:p>
        </w:tc>
        <w:tc>
          <w:tcPr>
            <w:tcW w:w="235" w:type="dxa"/>
          </w:tcPr>
          <w:p w14:paraId="0782A420" w14:textId="77777777" w:rsidR="000D1706" w:rsidRPr="00AD617B" w:rsidRDefault="000D1706" w:rsidP="002A557B">
            <w:pPr>
              <w:spacing w:before="240" w:line="276" w:lineRule="auto"/>
            </w:pPr>
          </w:p>
        </w:tc>
        <w:tc>
          <w:tcPr>
            <w:tcW w:w="4782" w:type="dxa"/>
            <w:shd w:val="clear" w:color="auto" w:fill="auto"/>
          </w:tcPr>
          <w:p w14:paraId="39DF1919" w14:textId="6006CDBB" w:rsidR="000D1706" w:rsidRPr="00AD617B" w:rsidRDefault="00E730E2" w:rsidP="002A557B">
            <w:pPr>
              <w:spacing w:before="240" w:line="276" w:lineRule="auto"/>
              <w:rPr>
                <w:bCs/>
                <w:iCs/>
              </w:rPr>
            </w:pPr>
            <w:r w:rsidRPr="00AD617B">
              <w:rPr>
                <w:bCs/>
                <w:iCs/>
              </w:rPr>
              <w:t>Croatian Society for Rheumatology</w:t>
            </w:r>
          </w:p>
        </w:tc>
        <w:tc>
          <w:tcPr>
            <w:tcW w:w="1091" w:type="dxa"/>
          </w:tcPr>
          <w:p w14:paraId="3ED293C5" w14:textId="77777777" w:rsidR="000D1706" w:rsidRPr="00AD617B" w:rsidRDefault="000D1706" w:rsidP="002A557B">
            <w:pPr>
              <w:spacing w:before="240" w:line="276" w:lineRule="auto"/>
              <w:jc w:val="center"/>
            </w:pPr>
          </w:p>
        </w:tc>
        <w:tc>
          <w:tcPr>
            <w:tcW w:w="1126" w:type="dxa"/>
          </w:tcPr>
          <w:p w14:paraId="2F7BD58B" w14:textId="55B1777E" w:rsidR="000D1706" w:rsidRPr="00AD617B" w:rsidRDefault="00806725" w:rsidP="002A557B">
            <w:pPr>
              <w:spacing w:before="240" w:line="276" w:lineRule="auto"/>
              <w:jc w:val="center"/>
              <w:rPr>
                <w:bCs/>
                <w:iCs/>
              </w:rPr>
            </w:pPr>
            <w:r w:rsidRPr="00AD617B">
              <w:t xml:space="preserve"> [</w:t>
            </w:r>
            <w:r w:rsidR="00B57F79" w:rsidRPr="00AD617B">
              <w:t>39</w:t>
            </w:r>
            <w:r w:rsidRPr="00AD617B">
              <w:t>]</w:t>
            </w:r>
          </w:p>
        </w:tc>
      </w:tr>
      <w:tr w:rsidR="00A33FC9" w:rsidRPr="00AD617B" w14:paraId="523EBA94" w14:textId="77777777" w:rsidTr="002A557B">
        <w:tc>
          <w:tcPr>
            <w:tcW w:w="1782" w:type="dxa"/>
          </w:tcPr>
          <w:p w14:paraId="2932ECC9" w14:textId="77777777" w:rsidR="00A33FC9" w:rsidRPr="00AD617B" w:rsidRDefault="00A33FC9" w:rsidP="002A557B">
            <w:pPr>
              <w:spacing w:before="240" w:line="276" w:lineRule="auto"/>
            </w:pPr>
            <w:r w:rsidRPr="00AD617B">
              <w:t>Czech Republic</w:t>
            </w:r>
          </w:p>
        </w:tc>
        <w:tc>
          <w:tcPr>
            <w:tcW w:w="235" w:type="dxa"/>
          </w:tcPr>
          <w:p w14:paraId="21B2AB1F" w14:textId="77777777" w:rsidR="00A33FC9" w:rsidRPr="00AD617B" w:rsidRDefault="00A33FC9" w:rsidP="002A557B">
            <w:pPr>
              <w:spacing w:before="240" w:line="276" w:lineRule="auto"/>
            </w:pPr>
          </w:p>
        </w:tc>
        <w:tc>
          <w:tcPr>
            <w:tcW w:w="4782" w:type="dxa"/>
          </w:tcPr>
          <w:p w14:paraId="770D33D2" w14:textId="34312169" w:rsidR="00A33FC9" w:rsidRPr="00AD617B" w:rsidRDefault="00AD617B" w:rsidP="002A557B">
            <w:pPr>
              <w:spacing w:before="240" w:line="276" w:lineRule="auto"/>
            </w:pPr>
            <w:r w:rsidRPr="00AD617B">
              <w:t>International Osteoporosis Foundation</w:t>
            </w:r>
          </w:p>
        </w:tc>
        <w:tc>
          <w:tcPr>
            <w:tcW w:w="1091" w:type="dxa"/>
          </w:tcPr>
          <w:p w14:paraId="5089E989" w14:textId="77777777" w:rsidR="00A33FC9" w:rsidRPr="00AD617B" w:rsidRDefault="00A33FC9" w:rsidP="002A557B">
            <w:pPr>
              <w:spacing w:before="240" w:line="276" w:lineRule="auto"/>
              <w:jc w:val="center"/>
            </w:pPr>
          </w:p>
        </w:tc>
        <w:tc>
          <w:tcPr>
            <w:tcW w:w="1126" w:type="dxa"/>
          </w:tcPr>
          <w:p w14:paraId="55D11C7D" w14:textId="6D147FDC" w:rsidR="00A33FC9" w:rsidRPr="00AD617B" w:rsidRDefault="00806725" w:rsidP="002A557B">
            <w:pPr>
              <w:spacing w:before="240" w:line="276" w:lineRule="auto"/>
              <w:jc w:val="center"/>
            </w:pPr>
            <w:r w:rsidRPr="00AD617B">
              <w:t xml:space="preserve"> [</w:t>
            </w:r>
            <w:r w:rsidR="00C32BC5" w:rsidRPr="00AD617B">
              <w:t>3</w:t>
            </w:r>
            <w:r w:rsidRPr="00AD617B">
              <w:t>]</w:t>
            </w:r>
          </w:p>
        </w:tc>
      </w:tr>
      <w:tr w:rsidR="00A33FC9" w:rsidRPr="00AD617B" w14:paraId="4D0119D3" w14:textId="77777777" w:rsidTr="002A557B">
        <w:tc>
          <w:tcPr>
            <w:tcW w:w="1782" w:type="dxa"/>
          </w:tcPr>
          <w:p w14:paraId="4B88B16E" w14:textId="77777777" w:rsidR="00A33FC9" w:rsidRPr="00AD617B" w:rsidRDefault="00A33FC9" w:rsidP="002A557B">
            <w:pPr>
              <w:spacing w:before="240" w:line="276" w:lineRule="auto"/>
            </w:pPr>
            <w:r w:rsidRPr="00AD617B">
              <w:t>Denmark</w:t>
            </w:r>
          </w:p>
        </w:tc>
        <w:tc>
          <w:tcPr>
            <w:tcW w:w="235" w:type="dxa"/>
          </w:tcPr>
          <w:p w14:paraId="560BB7DB" w14:textId="77777777" w:rsidR="00A33FC9" w:rsidRPr="00AD617B" w:rsidRDefault="00A33FC9" w:rsidP="002A557B">
            <w:pPr>
              <w:spacing w:before="240" w:line="276" w:lineRule="auto"/>
            </w:pPr>
          </w:p>
        </w:tc>
        <w:tc>
          <w:tcPr>
            <w:tcW w:w="4782" w:type="dxa"/>
          </w:tcPr>
          <w:p w14:paraId="1A991FCE" w14:textId="0DF8FCA4" w:rsidR="00A33FC9" w:rsidRPr="00AD617B" w:rsidRDefault="00AD617B" w:rsidP="002A557B">
            <w:pPr>
              <w:spacing w:before="240" w:line="276" w:lineRule="auto"/>
            </w:pPr>
            <w:r w:rsidRPr="00AD617B">
              <w:t>International Osteoporosis Foundation</w:t>
            </w:r>
          </w:p>
        </w:tc>
        <w:tc>
          <w:tcPr>
            <w:tcW w:w="1091" w:type="dxa"/>
          </w:tcPr>
          <w:p w14:paraId="7F65F41B" w14:textId="77777777" w:rsidR="00A33FC9" w:rsidRPr="00AD617B" w:rsidRDefault="00A33FC9" w:rsidP="002A557B">
            <w:pPr>
              <w:spacing w:before="240" w:line="276" w:lineRule="auto"/>
              <w:jc w:val="center"/>
            </w:pPr>
          </w:p>
        </w:tc>
        <w:tc>
          <w:tcPr>
            <w:tcW w:w="1126" w:type="dxa"/>
          </w:tcPr>
          <w:p w14:paraId="05529A96" w14:textId="0740274A" w:rsidR="00A33FC9" w:rsidRPr="00AD617B" w:rsidRDefault="00806725" w:rsidP="002A557B">
            <w:pPr>
              <w:spacing w:before="240" w:line="276" w:lineRule="auto"/>
              <w:jc w:val="center"/>
            </w:pPr>
            <w:r w:rsidRPr="00AD617B">
              <w:t xml:space="preserve"> [</w:t>
            </w:r>
            <w:r w:rsidR="00C32BC5" w:rsidRPr="00AD617B">
              <w:t>3</w:t>
            </w:r>
            <w:r w:rsidRPr="00AD617B">
              <w:t>]</w:t>
            </w:r>
          </w:p>
        </w:tc>
      </w:tr>
      <w:tr w:rsidR="00CC1591" w:rsidRPr="00AD617B" w14:paraId="7AE1C40D" w14:textId="77777777" w:rsidTr="002A557B">
        <w:tc>
          <w:tcPr>
            <w:tcW w:w="1782" w:type="dxa"/>
          </w:tcPr>
          <w:p w14:paraId="08DEB526" w14:textId="2FA07070" w:rsidR="00CC1591" w:rsidRPr="00AD617B" w:rsidRDefault="00CC1591" w:rsidP="002A557B">
            <w:pPr>
              <w:spacing w:before="240" w:line="276" w:lineRule="auto"/>
            </w:pPr>
            <w:r w:rsidRPr="00AD617B">
              <w:t>Europe</w:t>
            </w:r>
          </w:p>
        </w:tc>
        <w:tc>
          <w:tcPr>
            <w:tcW w:w="235" w:type="dxa"/>
          </w:tcPr>
          <w:p w14:paraId="62D81F16" w14:textId="77777777" w:rsidR="00CC1591" w:rsidRPr="00AD617B" w:rsidRDefault="00CC1591" w:rsidP="002A557B">
            <w:pPr>
              <w:spacing w:before="240" w:line="276" w:lineRule="auto"/>
            </w:pPr>
          </w:p>
        </w:tc>
        <w:tc>
          <w:tcPr>
            <w:tcW w:w="4782" w:type="dxa"/>
          </w:tcPr>
          <w:p w14:paraId="182D763F" w14:textId="5F314EE2" w:rsidR="00CC1591" w:rsidRPr="00AD617B" w:rsidRDefault="00CC1591" w:rsidP="002A557B">
            <w:pPr>
              <w:spacing w:before="240" w:line="276" w:lineRule="auto"/>
            </w:pPr>
            <w:r w:rsidRPr="00AD617B">
              <w:t xml:space="preserve">European Society for </w:t>
            </w:r>
            <w:r w:rsidR="00BE6864" w:rsidRPr="00AD617B">
              <w:t>M</w:t>
            </w:r>
            <w:r w:rsidRPr="00AD617B">
              <w:t>edical Oncology</w:t>
            </w:r>
          </w:p>
        </w:tc>
        <w:tc>
          <w:tcPr>
            <w:tcW w:w="1091" w:type="dxa"/>
            <w:shd w:val="clear" w:color="auto" w:fill="auto"/>
          </w:tcPr>
          <w:p w14:paraId="231E0DE7" w14:textId="6D14A286" w:rsidR="00CC1591" w:rsidRPr="00AD617B" w:rsidRDefault="002A557B" w:rsidP="002A557B">
            <w:pPr>
              <w:spacing w:before="240" w:line="276" w:lineRule="auto"/>
              <w:jc w:val="center"/>
            </w:pPr>
            <w:r>
              <w:t>c</w:t>
            </w:r>
          </w:p>
        </w:tc>
        <w:tc>
          <w:tcPr>
            <w:tcW w:w="1126" w:type="dxa"/>
          </w:tcPr>
          <w:p w14:paraId="5308278A" w14:textId="7B54F1D5" w:rsidR="00CC1591" w:rsidRPr="00AD617B" w:rsidRDefault="00806725" w:rsidP="002A557B">
            <w:pPr>
              <w:spacing w:before="240" w:line="276" w:lineRule="auto"/>
              <w:jc w:val="center"/>
            </w:pPr>
            <w:r w:rsidRPr="00AD617B">
              <w:t xml:space="preserve"> [</w:t>
            </w:r>
            <w:r w:rsidR="00B57F79" w:rsidRPr="00AD617B">
              <w:t>40</w:t>
            </w:r>
            <w:r w:rsidRPr="00AD617B">
              <w:t>]</w:t>
            </w:r>
          </w:p>
        </w:tc>
      </w:tr>
      <w:tr w:rsidR="00265D74" w:rsidRPr="00AD617B" w14:paraId="100C794C" w14:textId="77777777" w:rsidTr="002A557B">
        <w:tc>
          <w:tcPr>
            <w:tcW w:w="1782" w:type="dxa"/>
          </w:tcPr>
          <w:p w14:paraId="77B37EC3" w14:textId="70AFE100" w:rsidR="00265D74" w:rsidRPr="00AD617B" w:rsidRDefault="00265D74" w:rsidP="002A557B">
            <w:pPr>
              <w:spacing w:before="240" w:line="276" w:lineRule="auto"/>
            </w:pPr>
            <w:r w:rsidRPr="00AD617B">
              <w:t>Europe</w:t>
            </w:r>
          </w:p>
        </w:tc>
        <w:tc>
          <w:tcPr>
            <w:tcW w:w="235" w:type="dxa"/>
          </w:tcPr>
          <w:p w14:paraId="3C12F5D4" w14:textId="77777777" w:rsidR="00265D74" w:rsidRPr="00AD617B" w:rsidRDefault="00265D74" w:rsidP="002A557B">
            <w:pPr>
              <w:spacing w:before="240" w:line="276" w:lineRule="auto"/>
            </w:pPr>
          </w:p>
        </w:tc>
        <w:tc>
          <w:tcPr>
            <w:tcW w:w="4782" w:type="dxa"/>
          </w:tcPr>
          <w:p w14:paraId="3E6D8A93" w14:textId="1C181488" w:rsidR="00265D74" w:rsidRPr="00AD617B" w:rsidRDefault="00265D74" w:rsidP="002A557B">
            <w:pPr>
              <w:spacing w:before="240" w:line="276" w:lineRule="auto"/>
            </w:pPr>
            <w:r w:rsidRPr="00AD617B">
              <w:t xml:space="preserve">European Menopause and </w:t>
            </w:r>
            <w:proofErr w:type="spellStart"/>
            <w:r w:rsidRPr="00AD617B">
              <w:t>Andropause</w:t>
            </w:r>
            <w:proofErr w:type="spellEnd"/>
            <w:r w:rsidRPr="00AD617B">
              <w:t xml:space="preserve"> Society</w:t>
            </w:r>
          </w:p>
        </w:tc>
        <w:tc>
          <w:tcPr>
            <w:tcW w:w="1091" w:type="dxa"/>
          </w:tcPr>
          <w:p w14:paraId="0B6A0AF6" w14:textId="77777777" w:rsidR="00265D74" w:rsidRPr="00AD617B" w:rsidRDefault="00265D74" w:rsidP="002A557B">
            <w:pPr>
              <w:spacing w:before="240" w:line="276" w:lineRule="auto"/>
              <w:jc w:val="center"/>
            </w:pPr>
          </w:p>
        </w:tc>
        <w:tc>
          <w:tcPr>
            <w:tcW w:w="1126" w:type="dxa"/>
          </w:tcPr>
          <w:p w14:paraId="7E3345DF" w14:textId="322D7026" w:rsidR="00265D74" w:rsidRPr="00AD617B" w:rsidRDefault="00806725" w:rsidP="002A557B">
            <w:pPr>
              <w:spacing w:before="240" w:line="276" w:lineRule="auto"/>
              <w:jc w:val="center"/>
            </w:pPr>
            <w:r w:rsidRPr="00AD617B">
              <w:t xml:space="preserve"> [</w:t>
            </w:r>
            <w:r w:rsidR="00B57F79" w:rsidRPr="00AD617B">
              <w:t>41</w:t>
            </w:r>
            <w:r w:rsidRPr="00AD617B">
              <w:t>]</w:t>
            </w:r>
          </w:p>
        </w:tc>
      </w:tr>
      <w:tr w:rsidR="000D1706" w:rsidRPr="00AD617B" w14:paraId="7A6EA748" w14:textId="77777777" w:rsidTr="002A557B">
        <w:tc>
          <w:tcPr>
            <w:tcW w:w="1782" w:type="dxa"/>
          </w:tcPr>
          <w:p w14:paraId="4C5C9FF6" w14:textId="468F5272" w:rsidR="000D1706" w:rsidRPr="00AD617B" w:rsidRDefault="000D1706" w:rsidP="002A557B">
            <w:pPr>
              <w:spacing w:before="240" w:line="276" w:lineRule="auto"/>
            </w:pPr>
            <w:r w:rsidRPr="00AD617B">
              <w:t>Europe</w:t>
            </w:r>
          </w:p>
        </w:tc>
        <w:tc>
          <w:tcPr>
            <w:tcW w:w="235" w:type="dxa"/>
          </w:tcPr>
          <w:p w14:paraId="18716CDF" w14:textId="77777777" w:rsidR="000D1706" w:rsidRPr="00AD617B" w:rsidRDefault="000D1706" w:rsidP="002A557B">
            <w:pPr>
              <w:spacing w:before="240" w:line="276" w:lineRule="auto"/>
            </w:pPr>
          </w:p>
        </w:tc>
        <w:tc>
          <w:tcPr>
            <w:tcW w:w="4782" w:type="dxa"/>
          </w:tcPr>
          <w:p w14:paraId="526A6BF2" w14:textId="559F3FC9" w:rsidR="000D1706" w:rsidRPr="00AD617B" w:rsidRDefault="000D1706" w:rsidP="002A557B">
            <w:pPr>
              <w:spacing w:before="240" w:line="276" w:lineRule="auto"/>
            </w:pPr>
            <w:r w:rsidRPr="00AD617B">
              <w:t>European League Against Rheumatism</w:t>
            </w:r>
          </w:p>
        </w:tc>
        <w:tc>
          <w:tcPr>
            <w:tcW w:w="1091" w:type="dxa"/>
            <w:shd w:val="clear" w:color="auto" w:fill="auto"/>
          </w:tcPr>
          <w:p w14:paraId="57BC00F3" w14:textId="1664724A" w:rsidR="000D1706" w:rsidRPr="00AD617B" w:rsidRDefault="002A557B" w:rsidP="002A557B">
            <w:pPr>
              <w:spacing w:before="240" w:line="276" w:lineRule="auto"/>
              <w:jc w:val="center"/>
            </w:pPr>
            <w:r>
              <w:t>a</w:t>
            </w:r>
          </w:p>
        </w:tc>
        <w:tc>
          <w:tcPr>
            <w:tcW w:w="1126" w:type="dxa"/>
          </w:tcPr>
          <w:p w14:paraId="627D428B" w14:textId="21937CEC" w:rsidR="000D1706" w:rsidRPr="00AD617B" w:rsidRDefault="00806725" w:rsidP="002A557B">
            <w:pPr>
              <w:spacing w:before="240" w:line="276" w:lineRule="auto"/>
              <w:jc w:val="center"/>
            </w:pPr>
            <w:r w:rsidRPr="00AD617B">
              <w:t xml:space="preserve"> [</w:t>
            </w:r>
            <w:r w:rsidR="00B57F79" w:rsidRPr="00AD617B">
              <w:t>42</w:t>
            </w:r>
            <w:r w:rsidRPr="00AD617B">
              <w:t>]</w:t>
            </w:r>
          </w:p>
        </w:tc>
      </w:tr>
      <w:tr w:rsidR="00C413B3" w:rsidRPr="00AD617B" w14:paraId="0283F718" w14:textId="77777777" w:rsidTr="002A557B">
        <w:tc>
          <w:tcPr>
            <w:tcW w:w="1782" w:type="dxa"/>
          </w:tcPr>
          <w:p w14:paraId="2765D096" w14:textId="789472F9" w:rsidR="00C413B3" w:rsidRPr="00AD617B" w:rsidRDefault="00C413B3" w:rsidP="002A557B">
            <w:pPr>
              <w:spacing w:before="240" w:line="276" w:lineRule="auto"/>
            </w:pPr>
            <w:r w:rsidRPr="00AD617B">
              <w:t>France</w:t>
            </w:r>
          </w:p>
        </w:tc>
        <w:tc>
          <w:tcPr>
            <w:tcW w:w="235" w:type="dxa"/>
          </w:tcPr>
          <w:p w14:paraId="07FFD965" w14:textId="77777777" w:rsidR="00C413B3" w:rsidRPr="00AD617B" w:rsidRDefault="00C413B3" w:rsidP="002A557B">
            <w:pPr>
              <w:spacing w:before="240" w:line="276" w:lineRule="auto"/>
            </w:pPr>
          </w:p>
        </w:tc>
        <w:tc>
          <w:tcPr>
            <w:tcW w:w="4782" w:type="dxa"/>
          </w:tcPr>
          <w:p w14:paraId="7D43B56E" w14:textId="720BC299" w:rsidR="00C413B3" w:rsidRPr="00AD617B" w:rsidRDefault="00C413B3" w:rsidP="002A557B">
            <w:pPr>
              <w:spacing w:before="240" w:line="276" w:lineRule="auto"/>
            </w:pPr>
            <w:r w:rsidRPr="00AD617B">
              <w:t>Expert group</w:t>
            </w:r>
          </w:p>
        </w:tc>
        <w:tc>
          <w:tcPr>
            <w:tcW w:w="1091" w:type="dxa"/>
            <w:shd w:val="clear" w:color="auto" w:fill="auto"/>
          </w:tcPr>
          <w:p w14:paraId="29943094" w14:textId="47F55413" w:rsidR="00C413B3" w:rsidRPr="00AD617B" w:rsidRDefault="002A557B" w:rsidP="002A557B">
            <w:pPr>
              <w:spacing w:before="240" w:line="276" w:lineRule="auto"/>
              <w:jc w:val="center"/>
            </w:pPr>
            <w:r>
              <w:t>d</w:t>
            </w:r>
          </w:p>
        </w:tc>
        <w:tc>
          <w:tcPr>
            <w:tcW w:w="1126" w:type="dxa"/>
          </w:tcPr>
          <w:p w14:paraId="35185BBB" w14:textId="365141BE" w:rsidR="00C413B3" w:rsidRPr="00AD617B" w:rsidRDefault="00806725" w:rsidP="002A557B">
            <w:pPr>
              <w:spacing w:before="240" w:line="276" w:lineRule="auto"/>
              <w:jc w:val="center"/>
            </w:pPr>
            <w:r w:rsidRPr="00AD617B">
              <w:t xml:space="preserve"> [</w:t>
            </w:r>
            <w:r w:rsidR="00B57F79" w:rsidRPr="00AD617B">
              <w:t>43</w:t>
            </w:r>
            <w:r w:rsidRPr="00AD617B">
              <w:t>]</w:t>
            </w:r>
          </w:p>
        </w:tc>
      </w:tr>
      <w:tr w:rsidR="00A33FC9" w:rsidRPr="00AD617B" w14:paraId="46A7EE95" w14:textId="77777777" w:rsidTr="002A557B">
        <w:tc>
          <w:tcPr>
            <w:tcW w:w="1782" w:type="dxa"/>
          </w:tcPr>
          <w:p w14:paraId="3E48895F" w14:textId="77777777" w:rsidR="00A33FC9" w:rsidRPr="00AD617B" w:rsidRDefault="00A33FC9" w:rsidP="002A557B">
            <w:pPr>
              <w:spacing w:before="240" w:line="276" w:lineRule="auto"/>
            </w:pPr>
            <w:r w:rsidRPr="00AD617B">
              <w:t>Germany</w:t>
            </w:r>
          </w:p>
        </w:tc>
        <w:tc>
          <w:tcPr>
            <w:tcW w:w="235" w:type="dxa"/>
          </w:tcPr>
          <w:p w14:paraId="7FCAD38E" w14:textId="77777777" w:rsidR="00A33FC9" w:rsidRPr="00AD617B" w:rsidRDefault="00A33FC9" w:rsidP="002A557B">
            <w:pPr>
              <w:spacing w:before="240" w:line="276" w:lineRule="auto"/>
            </w:pPr>
          </w:p>
        </w:tc>
        <w:tc>
          <w:tcPr>
            <w:tcW w:w="4782" w:type="dxa"/>
          </w:tcPr>
          <w:p w14:paraId="2322EAD2" w14:textId="77777777" w:rsidR="00A33FC9" w:rsidRPr="00AD617B" w:rsidRDefault="00A33FC9" w:rsidP="002A557B">
            <w:pPr>
              <w:spacing w:before="240" w:line="276" w:lineRule="auto"/>
            </w:pPr>
            <w:proofErr w:type="spellStart"/>
            <w:r w:rsidRPr="00AD617B">
              <w:t>Dachverband</w:t>
            </w:r>
            <w:proofErr w:type="spellEnd"/>
            <w:r w:rsidRPr="00AD617B">
              <w:t xml:space="preserve"> </w:t>
            </w:r>
            <w:proofErr w:type="spellStart"/>
            <w:r w:rsidRPr="00AD617B">
              <w:t>Osteologie</w:t>
            </w:r>
            <w:proofErr w:type="spellEnd"/>
            <w:r w:rsidRPr="00AD617B">
              <w:t xml:space="preserve"> </w:t>
            </w:r>
            <w:proofErr w:type="spellStart"/>
            <w:r w:rsidRPr="00AD617B">
              <w:t>e.V</w:t>
            </w:r>
            <w:proofErr w:type="spellEnd"/>
            <w:r w:rsidRPr="00AD617B">
              <w:t xml:space="preserve"> </w:t>
            </w:r>
          </w:p>
        </w:tc>
        <w:tc>
          <w:tcPr>
            <w:tcW w:w="1091" w:type="dxa"/>
            <w:shd w:val="clear" w:color="auto" w:fill="auto"/>
          </w:tcPr>
          <w:p w14:paraId="0D973410" w14:textId="76F21182" w:rsidR="00A33FC9" w:rsidRPr="00AD617B" w:rsidRDefault="002A557B" w:rsidP="002A557B">
            <w:pPr>
              <w:spacing w:before="240" w:line="276" w:lineRule="auto"/>
              <w:jc w:val="center"/>
            </w:pPr>
            <w:r>
              <w:t>e</w:t>
            </w:r>
          </w:p>
        </w:tc>
        <w:tc>
          <w:tcPr>
            <w:tcW w:w="1126" w:type="dxa"/>
          </w:tcPr>
          <w:p w14:paraId="7CB4FF02" w14:textId="49BE529A" w:rsidR="00A33FC9" w:rsidRPr="00AD617B" w:rsidRDefault="00806725" w:rsidP="002A557B">
            <w:pPr>
              <w:spacing w:before="240" w:line="276" w:lineRule="auto"/>
              <w:jc w:val="center"/>
            </w:pPr>
            <w:r w:rsidRPr="00AD617B">
              <w:t xml:space="preserve"> [</w:t>
            </w:r>
            <w:r w:rsidR="00B57F79" w:rsidRPr="00AD617B">
              <w:t>44</w:t>
            </w:r>
            <w:r w:rsidRPr="00AD617B">
              <w:t>]</w:t>
            </w:r>
          </w:p>
        </w:tc>
      </w:tr>
      <w:tr w:rsidR="003B7AB1" w:rsidRPr="00AD617B" w14:paraId="4595628B" w14:textId="77777777" w:rsidTr="002A557B">
        <w:tc>
          <w:tcPr>
            <w:tcW w:w="1782" w:type="dxa"/>
          </w:tcPr>
          <w:p w14:paraId="3532A264" w14:textId="0EF24B69" w:rsidR="003B7AB1" w:rsidRPr="00AD617B" w:rsidRDefault="003B7AB1" w:rsidP="002A557B">
            <w:pPr>
              <w:spacing w:before="240" w:line="276" w:lineRule="auto"/>
            </w:pPr>
            <w:r w:rsidRPr="00AD617B">
              <w:t>Hong Kong</w:t>
            </w:r>
          </w:p>
        </w:tc>
        <w:tc>
          <w:tcPr>
            <w:tcW w:w="235" w:type="dxa"/>
          </w:tcPr>
          <w:p w14:paraId="728CAA3F" w14:textId="77777777" w:rsidR="003B7AB1" w:rsidRPr="00AD617B" w:rsidRDefault="003B7AB1" w:rsidP="002A557B">
            <w:pPr>
              <w:spacing w:before="240" w:line="276" w:lineRule="auto"/>
            </w:pPr>
          </w:p>
        </w:tc>
        <w:tc>
          <w:tcPr>
            <w:tcW w:w="4782" w:type="dxa"/>
          </w:tcPr>
          <w:p w14:paraId="196C1D83" w14:textId="7C82E810" w:rsidR="003B7AB1" w:rsidRPr="00AD617B" w:rsidRDefault="003B7AB1" w:rsidP="002A557B">
            <w:pPr>
              <w:spacing w:before="240" w:line="276" w:lineRule="auto"/>
            </w:pPr>
            <w:r w:rsidRPr="00AD617B">
              <w:t>Osteoporosis Society of Hong Kong</w:t>
            </w:r>
          </w:p>
        </w:tc>
        <w:tc>
          <w:tcPr>
            <w:tcW w:w="1091" w:type="dxa"/>
          </w:tcPr>
          <w:p w14:paraId="63B4F059" w14:textId="77777777" w:rsidR="003B7AB1" w:rsidRPr="00AD617B" w:rsidRDefault="003B7AB1" w:rsidP="002A557B">
            <w:pPr>
              <w:spacing w:before="240" w:line="276" w:lineRule="auto"/>
              <w:jc w:val="center"/>
            </w:pPr>
          </w:p>
        </w:tc>
        <w:tc>
          <w:tcPr>
            <w:tcW w:w="1126" w:type="dxa"/>
          </w:tcPr>
          <w:p w14:paraId="2F75644B" w14:textId="6B5DE2BD" w:rsidR="003B7AB1" w:rsidRPr="00AD617B" w:rsidRDefault="00806725" w:rsidP="002A557B">
            <w:pPr>
              <w:spacing w:before="240" w:line="276" w:lineRule="auto"/>
              <w:jc w:val="center"/>
            </w:pPr>
            <w:r w:rsidRPr="00AD617B">
              <w:t xml:space="preserve"> [</w:t>
            </w:r>
            <w:r w:rsidR="00E544D4" w:rsidRPr="00AD617B">
              <w:t>45</w:t>
            </w:r>
            <w:r w:rsidRPr="00AD617B">
              <w:t>]</w:t>
            </w:r>
          </w:p>
        </w:tc>
      </w:tr>
      <w:tr w:rsidR="00A33FC9" w:rsidRPr="00AD617B" w14:paraId="74C1969C" w14:textId="77777777" w:rsidTr="002A557B">
        <w:tc>
          <w:tcPr>
            <w:tcW w:w="1782" w:type="dxa"/>
          </w:tcPr>
          <w:p w14:paraId="33789189" w14:textId="77777777" w:rsidR="00A33FC9" w:rsidRPr="00AD617B" w:rsidRDefault="00A33FC9" w:rsidP="002A557B">
            <w:pPr>
              <w:spacing w:before="240" w:line="276" w:lineRule="auto"/>
            </w:pPr>
            <w:r w:rsidRPr="00AD617B">
              <w:t>India</w:t>
            </w:r>
          </w:p>
        </w:tc>
        <w:tc>
          <w:tcPr>
            <w:tcW w:w="235" w:type="dxa"/>
          </w:tcPr>
          <w:p w14:paraId="33741295" w14:textId="77777777" w:rsidR="00A33FC9" w:rsidRPr="00AD617B" w:rsidRDefault="00A33FC9" w:rsidP="002A557B">
            <w:pPr>
              <w:spacing w:before="240" w:line="276" w:lineRule="auto"/>
            </w:pPr>
          </w:p>
        </w:tc>
        <w:tc>
          <w:tcPr>
            <w:tcW w:w="4782" w:type="dxa"/>
          </w:tcPr>
          <w:p w14:paraId="06F9A17E" w14:textId="77777777" w:rsidR="00A33FC9" w:rsidRPr="00AD617B" w:rsidRDefault="00A33FC9" w:rsidP="002A557B">
            <w:pPr>
              <w:spacing w:before="240" w:line="276" w:lineRule="auto"/>
            </w:pPr>
            <w:r w:rsidRPr="00AD617B">
              <w:t xml:space="preserve">Indian Menopause Society </w:t>
            </w:r>
          </w:p>
        </w:tc>
        <w:tc>
          <w:tcPr>
            <w:tcW w:w="1091" w:type="dxa"/>
            <w:shd w:val="clear" w:color="auto" w:fill="auto"/>
          </w:tcPr>
          <w:p w14:paraId="31B51D91" w14:textId="711FF170" w:rsidR="00A33FC9" w:rsidRPr="009E3526" w:rsidRDefault="002A557B" w:rsidP="002A557B">
            <w:pPr>
              <w:spacing w:before="240" w:line="276" w:lineRule="auto"/>
              <w:jc w:val="center"/>
            </w:pPr>
            <w:r>
              <w:t>f</w:t>
            </w:r>
          </w:p>
        </w:tc>
        <w:tc>
          <w:tcPr>
            <w:tcW w:w="1126" w:type="dxa"/>
          </w:tcPr>
          <w:p w14:paraId="0C3BFF66" w14:textId="346F5E72" w:rsidR="00A33FC9" w:rsidRPr="00AD617B" w:rsidRDefault="00806725" w:rsidP="002A557B">
            <w:pPr>
              <w:spacing w:before="240" w:line="276" w:lineRule="auto"/>
              <w:jc w:val="center"/>
            </w:pPr>
            <w:r w:rsidRPr="00AD617B">
              <w:t xml:space="preserve"> [</w:t>
            </w:r>
            <w:r w:rsidR="00E544D4" w:rsidRPr="00AD617B">
              <w:t>46</w:t>
            </w:r>
            <w:r w:rsidRPr="00AD617B">
              <w:t>]</w:t>
            </w:r>
          </w:p>
        </w:tc>
      </w:tr>
      <w:tr w:rsidR="000A11E4" w:rsidRPr="00AD617B" w14:paraId="56DBACF3" w14:textId="77777777" w:rsidTr="002A557B">
        <w:tc>
          <w:tcPr>
            <w:tcW w:w="1782" w:type="dxa"/>
          </w:tcPr>
          <w:p w14:paraId="701EA23B" w14:textId="63A6FDDA" w:rsidR="000A11E4" w:rsidRPr="00AD617B" w:rsidRDefault="000A11E4" w:rsidP="002A557B">
            <w:pPr>
              <w:spacing w:before="240" w:line="276" w:lineRule="auto"/>
            </w:pPr>
            <w:r w:rsidRPr="00AD617B">
              <w:t>International</w:t>
            </w:r>
          </w:p>
        </w:tc>
        <w:tc>
          <w:tcPr>
            <w:tcW w:w="235" w:type="dxa"/>
          </w:tcPr>
          <w:p w14:paraId="6242B41B" w14:textId="77777777" w:rsidR="000A11E4" w:rsidRPr="00AD617B" w:rsidRDefault="000A11E4" w:rsidP="002A557B">
            <w:pPr>
              <w:spacing w:before="240" w:line="276" w:lineRule="auto"/>
            </w:pPr>
          </w:p>
        </w:tc>
        <w:tc>
          <w:tcPr>
            <w:tcW w:w="4782" w:type="dxa"/>
          </w:tcPr>
          <w:p w14:paraId="3404679F" w14:textId="2C0F57C5" w:rsidR="000A11E4" w:rsidRPr="00AD617B" w:rsidRDefault="000A11E4" w:rsidP="002A557B">
            <w:pPr>
              <w:spacing w:before="240" w:line="276" w:lineRule="auto"/>
            </w:pPr>
            <w:r w:rsidRPr="00AD617B">
              <w:t>International Society of Clinical Densitometry</w:t>
            </w:r>
          </w:p>
        </w:tc>
        <w:tc>
          <w:tcPr>
            <w:tcW w:w="1091" w:type="dxa"/>
          </w:tcPr>
          <w:p w14:paraId="2808033F" w14:textId="77777777" w:rsidR="000A11E4" w:rsidRPr="00AD617B" w:rsidRDefault="000A11E4" w:rsidP="002A557B">
            <w:pPr>
              <w:spacing w:before="240" w:line="276" w:lineRule="auto"/>
              <w:jc w:val="center"/>
            </w:pPr>
          </w:p>
        </w:tc>
        <w:tc>
          <w:tcPr>
            <w:tcW w:w="1126" w:type="dxa"/>
          </w:tcPr>
          <w:p w14:paraId="56716279" w14:textId="0A6A78CF" w:rsidR="000A11E4" w:rsidRPr="00AD617B" w:rsidRDefault="00806725" w:rsidP="002A557B">
            <w:pPr>
              <w:spacing w:before="240" w:line="276" w:lineRule="auto"/>
              <w:jc w:val="center"/>
            </w:pPr>
            <w:r w:rsidRPr="00AD617B">
              <w:t xml:space="preserve"> [</w:t>
            </w:r>
            <w:r w:rsidR="00E544D4" w:rsidRPr="00AD617B">
              <w:t>47</w:t>
            </w:r>
            <w:r w:rsidRPr="00AD617B">
              <w:t>]</w:t>
            </w:r>
          </w:p>
        </w:tc>
      </w:tr>
      <w:tr w:rsidR="000A11E4" w:rsidRPr="00AD617B" w14:paraId="75FDA183" w14:textId="77777777" w:rsidTr="002A557B">
        <w:tc>
          <w:tcPr>
            <w:tcW w:w="1782" w:type="dxa"/>
          </w:tcPr>
          <w:p w14:paraId="41BBE578" w14:textId="77777777" w:rsidR="000A11E4" w:rsidRPr="00AD617B" w:rsidRDefault="000A11E4" w:rsidP="002A557B">
            <w:pPr>
              <w:spacing w:before="240" w:line="276" w:lineRule="auto"/>
            </w:pPr>
            <w:r w:rsidRPr="00AD617B">
              <w:t>Ireland</w:t>
            </w:r>
          </w:p>
        </w:tc>
        <w:tc>
          <w:tcPr>
            <w:tcW w:w="235" w:type="dxa"/>
          </w:tcPr>
          <w:p w14:paraId="605EFDBD" w14:textId="77777777" w:rsidR="000A11E4" w:rsidRPr="00AD617B" w:rsidRDefault="000A11E4" w:rsidP="002A557B">
            <w:pPr>
              <w:spacing w:before="240" w:line="276" w:lineRule="auto"/>
            </w:pPr>
          </w:p>
        </w:tc>
        <w:tc>
          <w:tcPr>
            <w:tcW w:w="4782" w:type="dxa"/>
          </w:tcPr>
          <w:p w14:paraId="37393100" w14:textId="77777777" w:rsidR="000A11E4" w:rsidRPr="00AD617B" w:rsidRDefault="000A11E4" w:rsidP="002A557B">
            <w:pPr>
              <w:spacing w:before="240" w:line="276" w:lineRule="auto"/>
            </w:pPr>
            <w:r w:rsidRPr="00AD617B">
              <w:t>Irish Osteoporosis Society</w:t>
            </w:r>
          </w:p>
        </w:tc>
        <w:tc>
          <w:tcPr>
            <w:tcW w:w="1091" w:type="dxa"/>
          </w:tcPr>
          <w:p w14:paraId="281991B6" w14:textId="77777777" w:rsidR="000A11E4" w:rsidRPr="00AD617B" w:rsidRDefault="000A11E4" w:rsidP="002A557B">
            <w:pPr>
              <w:spacing w:before="240" w:line="276" w:lineRule="auto"/>
              <w:jc w:val="center"/>
            </w:pPr>
          </w:p>
        </w:tc>
        <w:tc>
          <w:tcPr>
            <w:tcW w:w="1126" w:type="dxa"/>
          </w:tcPr>
          <w:p w14:paraId="77F7BC3E" w14:textId="71F01331" w:rsidR="000A11E4" w:rsidRPr="00AD617B" w:rsidRDefault="00806725" w:rsidP="002A557B">
            <w:pPr>
              <w:spacing w:before="240" w:line="276" w:lineRule="auto"/>
              <w:jc w:val="center"/>
            </w:pPr>
            <w:r w:rsidRPr="00AD617B">
              <w:t xml:space="preserve"> [</w:t>
            </w:r>
            <w:r w:rsidR="00E544D4" w:rsidRPr="00AD617B">
              <w:t>48</w:t>
            </w:r>
            <w:r w:rsidRPr="00AD617B">
              <w:t>]</w:t>
            </w:r>
          </w:p>
        </w:tc>
      </w:tr>
      <w:tr w:rsidR="000A11E4" w:rsidRPr="00AD617B" w14:paraId="4D65F0CC" w14:textId="77777777" w:rsidTr="002A557B">
        <w:tc>
          <w:tcPr>
            <w:tcW w:w="1782" w:type="dxa"/>
          </w:tcPr>
          <w:p w14:paraId="1E2A1CB2" w14:textId="77777777" w:rsidR="000A11E4" w:rsidRPr="00AD617B" w:rsidRDefault="000A11E4" w:rsidP="002A557B">
            <w:pPr>
              <w:spacing w:before="240" w:line="276" w:lineRule="auto"/>
            </w:pPr>
            <w:r w:rsidRPr="00AD617B">
              <w:t>Italy</w:t>
            </w:r>
          </w:p>
        </w:tc>
        <w:tc>
          <w:tcPr>
            <w:tcW w:w="235" w:type="dxa"/>
          </w:tcPr>
          <w:p w14:paraId="509BA71D" w14:textId="77777777" w:rsidR="000A11E4" w:rsidRPr="00AD617B" w:rsidRDefault="000A11E4" w:rsidP="002A557B">
            <w:pPr>
              <w:spacing w:before="240" w:line="276" w:lineRule="auto"/>
            </w:pPr>
          </w:p>
        </w:tc>
        <w:tc>
          <w:tcPr>
            <w:tcW w:w="4782" w:type="dxa"/>
          </w:tcPr>
          <w:p w14:paraId="7E66E430" w14:textId="0273FA25" w:rsidR="000A11E4" w:rsidRPr="00AD617B" w:rsidRDefault="009E3526" w:rsidP="002A557B">
            <w:pPr>
              <w:spacing w:before="240"/>
            </w:pPr>
            <w:proofErr w:type="spellStart"/>
            <w:r w:rsidRPr="009E3526">
              <w:rPr>
                <w:bCs/>
                <w:iCs/>
              </w:rPr>
              <w:t>Società</w:t>
            </w:r>
            <w:proofErr w:type="spellEnd"/>
            <w:r w:rsidRPr="009E3526">
              <w:rPr>
                <w:bCs/>
                <w:iCs/>
              </w:rPr>
              <w:t xml:space="preserve"> </w:t>
            </w:r>
            <w:proofErr w:type="spellStart"/>
            <w:r w:rsidRPr="009E3526">
              <w:rPr>
                <w:bCs/>
                <w:iCs/>
              </w:rPr>
              <w:t>Italiana</w:t>
            </w:r>
            <w:proofErr w:type="spellEnd"/>
            <w:r w:rsidRPr="009E3526">
              <w:rPr>
                <w:bCs/>
                <w:iCs/>
              </w:rPr>
              <w:t xml:space="preserve"> </w:t>
            </w:r>
            <w:proofErr w:type="spellStart"/>
            <w:r w:rsidRPr="009E3526">
              <w:rPr>
                <w:bCs/>
                <w:iCs/>
              </w:rPr>
              <w:t>dell'Osteoporosi</w:t>
            </w:r>
            <w:proofErr w:type="spellEnd"/>
            <w:r w:rsidRPr="009E3526">
              <w:rPr>
                <w:bCs/>
                <w:iCs/>
              </w:rPr>
              <w:t xml:space="preserve">, del </w:t>
            </w:r>
            <w:proofErr w:type="spellStart"/>
            <w:r w:rsidRPr="009E3526">
              <w:rPr>
                <w:bCs/>
                <w:iCs/>
              </w:rPr>
              <w:t>Metabolismo</w:t>
            </w:r>
            <w:proofErr w:type="spellEnd"/>
            <w:r w:rsidRPr="009E3526">
              <w:rPr>
                <w:bCs/>
                <w:iCs/>
              </w:rPr>
              <w:t xml:space="preserve"> </w:t>
            </w:r>
            <w:proofErr w:type="spellStart"/>
            <w:r w:rsidRPr="009E3526">
              <w:rPr>
                <w:bCs/>
                <w:iCs/>
              </w:rPr>
              <w:t>Minerale</w:t>
            </w:r>
            <w:proofErr w:type="spellEnd"/>
            <w:r w:rsidRPr="009E3526">
              <w:rPr>
                <w:bCs/>
                <w:iCs/>
              </w:rPr>
              <w:t xml:space="preserve"> e </w:t>
            </w:r>
            <w:proofErr w:type="spellStart"/>
            <w:r w:rsidRPr="009E3526">
              <w:rPr>
                <w:bCs/>
                <w:iCs/>
              </w:rPr>
              <w:t>delle</w:t>
            </w:r>
            <w:proofErr w:type="spellEnd"/>
            <w:r w:rsidRPr="009E3526">
              <w:rPr>
                <w:bCs/>
                <w:iCs/>
              </w:rPr>
              <w:t xml:space="preserve"> </w:t>
            </w:r>
            <w:proofErr w:type="spellStart"/>
            <w:r w:rsidRPr="009E3526">
              <w:rPr>
                <w:bCs/>
                <w:iCs/>
              </w:rPr>
              <w:t>Malattie</w:t>
            </w:r>
            <w:proofErr w:type="spellEnd"/>
            <w:r w:rsidRPr="009E3526">
              <w:rPr>
                <w:bCs/>
                <w:iCs/>
              </w:rPr>
              <w:t xml:space="preserve"> </w:t>
            </w:r>
            <w:proofErr w:type="spellStart"/>
            <w:r w:rsidRPr="009E3526">
              <w:rPr>
                <w:bCs/>
                <w:iCs/>
              </w:rPr>
              <w:t>dello</w:t>
            </w:r>
            <w:proofErr w:type="spellEnd"/>
            <w:r w:rsidRPr="009E3526">
              <w:rPr>
                <w:bCs/>
                <w:iCs/>
              </w:rPr>
              <w:t xml:space="preserve"> </w:t>
            </w:r>
            <w:proofErr w:type="spellStart"/>
            <w:r w:rsidRPr="009E3526">
              <w:rPr>
                <w:bCs/>
                <w:iCs/>
              </w:rPr>
              <w:t>Scheletro</w:t>
            </w:r>
            <w:proofErr w:type="spellEnd"/>
          </w:p>
        </w:tc>
        <w:tc>
          <w:tcPr>
            <w:tcW w:w="1091" w:type="dxa"/>
          </w:tcPr>
          <w:p w14:paraId="4C4D11C7" w14:textId="0E41A78F" w:rsidR="000A11E4" w:rsidRPr="00AD617B" w:rsidRDefault="000A11E4" w:rsidP="002A557B">
            <w:pPr>
              <w:spacing w:before="240" w:line="276" w:lineRule="auto"/>
              <w:jc w:val="center"/>
            </w:pPr>
          </w:p>
        </w:tc>
        <w:tc>
          <w:tcPr>
            <w:tcW w:w="1126" w:type="dxa"/>
          </w:tcPr>
          <w:p w14:paraId="43AFE160" w14:textId="254507E9" w:rsidR="000A11E4" w:rsidRPr="00AD617B" w:rsidRDefault="00806725" w:rsidP="002A557B">
            <w:pPr>
              <w:spacing w:before="240" w:line="276" w:lineRule="auto"/>
              <w:jc w:val="center"/>
            </w:pPr>
            <w:r w:rsidRPr="00AD617B">
              <w:t xml:space="preserve"> [</w:t>
            </w:r>
            <w:r w:rsidR="00E544D4" w:rsidRPr="00AD617B">
              <w:t>49</w:t>
            </w:r>
            <w:r w:rsidRPr="00AD617B">
              <w:t>]</w:t>
            </w:r>
          </w:p>
        </w:tc>
      </w:tr>
      <w:tr w:rsidR="008F1202" w:rsidRPr="00AD617B" w14:paraId="28515290" w14:textId="77777777" w:rsidTr="002A557B">
        <w:tc>
          <w:tcPr>
            <w:tcW w:w="1782" w:type="dxa"/>
          </w:tcPr>
          <w:p w14:paraId="77819FA5" w14:textId="5C4E18A3" w:rsidR="008F1202" w:rsidRPr="00AD617B" w:rsidRDefault="008F1202" w:rsidP="002A557B">
            <w:pPr>
              <w:spacing w:before="240" w:line="276" w:lineRule="auto"/>
            </w:pPr>
            <w:r w:rsidRPr="00AD617B">
              <w:t>Lebanon</w:t>
            </w:r>
          </w:p>
        </w:tc>
        <w:tc>
          <w:tcPr>
            <w:tcW w:w="235" w:type="dxa"/>
          </w:tcPr>
          <w:p w14:paraId="42D67B92" w14:textId="77777777" w:rsidR="008F1202" w:rsidRPr="00AD617B" w:rsidRDefault="008F1202" w:rsidP="002A557B">
            <w:pPr>
              <w:spacing w:before="240" w:line="276" w:lineRule="auto"/>
            </w:pPr>
          </w:p>
        </w:tc>
        <w:tc>
          <w:tcPr>
            <w:tcW w:w="4782" w:type="dxa"/>
          </w:tcPr>
          <w:p w14:paraId="394F68FB" w14:textId="26E2CB6F" w:rsidR="008F1202" w:rsidRPr="00AD617B" w:rsidRDefault="008F1202" w:rsidP="002A557B">
            <w:pPr>
              <w:spacing w:before="240" w:line="276" w:lineRule="auto"/>
              <w:rPr>
                <w:bCs/>
                <w:iCs/>
              </w:rPr>
            </w:pPr>
            <w:r w:rsidRPr="00AD617B">
              <w:rPr>
                <w:bCs/>
                <w:iCs/>
              </w:rPr>
              <w:t>Ministry of Public Health</w:t>
            </w:r>
          </w:p>
        </w:tc>
        <w:tc>
          <w:tcPr>
            <w:tcW w:w="1091" w:type="dxa"/>
          </w:tcPr>
          <w:p w14:paraId="367B2FF7" w14:textId="77777777" w:rsidR="008F1202" w:rsidRPr="00AD617B" w:rsidRDefault="008F1202" w:rsidP="002A557B">
            <w:pPr>
              <w:spacing w:before="240" w:line="276" w:lineRule="auto"/>
              <w:jc w:val="center"/>
            </w:pPr>
          </w:p>
        </w:tc>
        <w:tc>
          <w:tcPr>
            <w:tcW w:w="1126" w:type="dxa"/>
          </w:tcPr>
          <w:p w14:paraId="2EEBD4D9" w14:textId="6A29DC10" w:rsidR="008F1202" w:rsidRPr="00AD617B" w:rsidRDefault="00806725" w:rsidP="002A557B">
            <w:pPr>
              <w:spacing w:before="240" w:line="276" w:lineRule="auto"/>
              <w:jc w:val="center"/>
            </w:pPr>
            <w:r w:rsidRPr="00AD617B">
              <w:t xml:space="preserve"> [</w:t>
            </w:r>
            <w:r w:rsidR="00E544D4" w:rsidRPr="00AD617B">
              <w:t>50</w:t>
            </w:r>
            <w:r w:rsidRPr="00AD617B">
              <w:t>]</w:t>
            </w:r>
          </w:p>
        </w:tc>
      </w:tr>
      <w:tr w:rsidR="00340213" w:rsidRPr="00AD617B" w14:paraId="14DE8122" w14:textId="77777777" w:rsidTr="002A557B">
        <w:tc>
          <w:tcPr>
            <w:tcW w:w="1782" w:type="dxa"/>
          </w:tcPr>
          <w:p w14:paraId="25EEBB6F" w14:textId="5EBB853E" w:rsidR="00340213" w:rsidRPr="00AD617B" w:rsidRDefault="00340213" w:rsidP="002A557B">
            <w:pPr>
              <w:spacing w:before="240" w:line="276" w:lineRule="auto"/>
            </w:pPr>
            <w:r w:rsidRPr="00AD617B">
              <w:t>Latin America</w:t>
            </w:r>
          </w:p>
        </w:tc>
        <w:tc>
          <w:tcPr>
            <w:tcW w:w="235" w:type="dxa"/>
          </w:tcPr>
          <w:p w14:paraId="5299695D" w14:textId="77777777" w:rsidR="00340213" w:rsidRPr="00AD617B" w:rsidRDefault="00340213" w:rsidP="002A557B">
            <w:pPr>
              <w:spacing w:before="240" w:line="276" w:lineRule="auto"/>
            </w:pPr>
          </w:p>
        </w:tc>
        <w:tc>
          <w:tcPr>
            <w:tcW w:w="4782" w:type="dxa"/>
          </w:tcPr>
          <w:p w14:paraId="626BFF08" w14:textId="48F2C770" w:rsidR="00340213" w:rsidRPr="00AD617B" w:rsidRDefault="00AD617B" w:rsidP="002A557B">
            <w:pPr>
              <w:spacing w:before="240"/>
              <w:rPr>
                <w:bCs/>
                <w:iCs/>
              </w:rPr>
            </w:pPr>
            <w:proofErr w:type="spellStart"/>
            <w:r w:rsidRPr="00AD617B">
              <w:rPr>
                <w:bCs/>
                <w:iCs/>
              </w:rPr>
              <w:t>Iberoamerican</w:t>
            </w:r>
            <w:proofErr w:type="spellEnd"/>
            <w:r w:rsidRPr="00AD617B">
              <w:rPr>
                <w:bCs/>
                <w:iCs/>
              </w:rPr>
              <w:t xml:space="preserve"> Society of Osteology and Mineral Metabolism</w:t>
            </w:r>
          </w:p>
        </w:tc>
        <w:tc>
          <w:tcPr>
            <w:tcW w:w="1091" w:type="dxa"/>
          </w:tcPr>
          <w:p w14:paraId="6423C579" w14:textId="77777777" w:rsidR="00340213" w:rsidRPr="00AD617B" w:rsidRDefault="00340213" w:rsidP="002A557B">
            <w:pPr>
              <w:spacing w:before="240" w:line="276" w:lineRule="auto"/>
              <w:jc w:val="center"/>
            </w:pPr>
          </w:p>
        </w:tc>
        <w:tc>
          <w:tcPr>
            <w:tcW w:w="1126" w:type="dxa"/>
          </w:tcPr>
          <w:p w14:paraId="4B5B9E8E" w14:textId="44625F7B" w:rsidR="00340213" w:rsidRPr="00AD617B" w:rsidRDefault="00806725" w:rsidP="002A557B">
            <w:pPr>
              <w:spacing w:before="240" w:line="276" w:lineRule="auto"/>
              <w:jc w:val="center"/>
            </w:pPr>
            <w:r w:rsidRPr="00AD617B">
              <w:t xml:space="preserve"> [</w:t>
            </w:r>
            <w:r w:rsidR="00E544D4" w:rsidRPr="00AD617B">
              <w:t>51</w:t>
            </w:r>
            <w:r w:rsidRPr="00AD617B">
              <w:t>]</w:t>
            </w:r>
          </w:p>
        </w:tc>
      </w:tr>
      <w:tr w:rsidR="000A11E4" w:rsidRPr="00AD617B" w14:paraId="6F1AC8CF" w14:textId="77777777" w:rsidTr="002A557B">
        <w:trPr>
          <w:trHeight w:val="70"/>
        </w:trPr>
        <w:tc>
          <w:tcPr>
            <w:tcW w:w="1782" w:type="dxa"/>
          </w:tcPr>
          <w:p w14:paraId="5AD3A28A" w14:textId="77777777" w:rsidR="000A11E4" w:rsidRPr="00AD617B" w:rsidRDefault="000A11E4" w:rsidP="002A557B">
            <w:pPr>
              <w:spacing w:before="240" w:line="276" w:lineRule="auto"/>
            </w:pPr>
            <w:r w:rsidRPr="00AD617B">
              <w:lastRenderedPageBreak/>
              <w:t>Latvia</w:t>
            </w:r>
          </w:p>
        </w:tc>
        <w:tc>
          <w:tcPr>
            <w:tcW w:w="235" w:type="dxa"/>
          </w:tcPr>
          <w:p w14:paraId="040F7F93" w14:textId="77777777" w:rsidR="000A11E4" w:rsidRPr="00AD617B" w:rsidRDefault="000A11E4" w:rsidP="002A557B">
            <w:pPr>
              <w:spacing w:before="240" w:line="276" w:lineRule="auto"/>
            </w:pPr>
          </w:p>
        </w:tc>
        <w:tc>
          <w:tcPr>
            <w:tcW w:w="4782" w:type="dxa"/>
          </w:tcPr>
          <w:p w14:paraId="619DCC0B" w14:textId="77777777" w:rsidR="000A11E4" w:rsidRPr="00AD617B" w:rsidRDefault="000A11E4" w:rsidP="002A557B">
            <w:pPr>
              <w:spacing w:before="240" w:line="276" w:lineRule="auto"/>
            </w:pPr>
            <w:r w:rsidRPr="00AD617B">
              <w:t>Latvian Osteoporosis and Metabolic Diseases Association</w:t>
            </w:r>
          </w:p>
        </w:tc>
        <w:tc>
          <w:tcPr>
            <w:tcW w:w="1091" w:type="dxa"/>
          </w:tcPr>
          <w:p w14:paraId="7DA9B130" w14:textId="77777777" w:rsidR="000A11E4" w:rsidRPr="00AD617B" w:rsidRDefault="000A11E4" w:rsidP="002A557B">
            <w:pPr>
              <w:spacing w:before="240" w:line="276" w:lineRule="auto"/>
              <w:jc w:val="center"/>
            </w:pPr>
          </w:p>
        </w:tc>
        <w:tc>
          <w:tcPr>
            <w:tcW w:w="1126" w:type="dxa"/>
          </w:tcPr>
          <w:p w14:paraId="71FF6D8E" w14:textId="006384B5" w:rsidR="000A11E4" w:rsidRPr="00AD617B" w:rsidRDefault="00806725" w:rsidP="002A557B">
            <w:pPr>
              <w:spacing w:before="240" w:line="276" w:lineRule="auto"/>
              <w:jc w:val="center"/>
            </w:pPr>
            <w:r w:rsidRPr="00AD617B">
              <w:t xml:space="preserve"> [</w:t>
            </w:r>
            <w:r w:rsidR="00E544D4" w:rsidRPr="00AD617B">
              <w:t>52</w:t>
            </w:r>
            <w:r w:rsidRPr="00AD617B">
              <w:t>]</w:t>
            </w:r>
          </w:p>
        </w:tc>
      </w:tr>
      <w:tr w:rsidR="000A11E4" w:rsidRPr="00AD617B" w14:paraId="156C5507" w14:textId="77777777" w:rsidTr="002A557B">
        <w:tc>
          <w:tcPr>
            <w:tcW w:w="1782" w:type="dxa"/>
          </w:tcPr>
          <w:p w14:paraId="7196A083" w14:textId="77777777" w:rsidR="000A11E4" w:rsidRPr="00AD617B" w:rsidRDefault="000A11E4" w:rsidP="002A557B">
            <w:pPr>
              <w:spacing w:before="240" w:line="276" w:lineRule="auto"/>
            </w:pPr>
            <w:r w:rsidRPr="00AD617B">
              <w:t>Lithuania</w:t>
            </w:r>
          </w:p>
        </w:tc>
        <w:tc>
          <w:tcPr>
            <w:tcW w:w="235" w:type="dxa"/>
          </w:tcPr>
          <w:p w14:paraId="3A98B069" w14:textId="77777777" w:rsidR="000A11E4" w:rsidRPr="00AD617B" w:rsidRDefault="000A11E4" w:rsidP="002A557B">
            <w:pPr>
              <w:spacing w:before="240" w:line="276" w:lineRule="auto"/>
            </w:pPr>
          </w:p>
        </w:tc>
        <w:tc>
          <w:tcPr>
            <w:tcW w:w="4782" w:type="dxa"/>
          </w:tcPr>
          <w:p w14:paraId="0EB47880" w14:textId="75F4ACBA" w:rsidR="000A11E4" w:rsidRPr="00AD617B" w:rsidRDefault="00AD617B" w:rsidP="002A557B">
            <w:pPr>
              <w:spacing w:before="240" w:line="276" w:lineRule="auto"/>
              <w:rPr>
                <w:highlight w:val="yellow"/>
              </w:rPr>
            </w:pPr>
            <w:r w:rsidRPr="00AD617B">
              <w:t>International Osteoporosis Foundation</w:t>
            </w:r>
          </w:p>
        </w:tc>
        <w:tc>
          <w:tcPr>
            <w:tcW w:w="1091" w:type="dxa"/>
          </w:tcPr>
          <w:p w14:paraId="3C7F7D7F" w14:textId="2AD2E70A" w:rsidR="000A11E4" w:rsidRPr="00AD617B" w:rsidRDefault="000A11E4" w:rsidP="002A557B">
            <w:pPr>
              <w:spacing w:before="240" w:line="276" w:lineRule="auto"/>
              <w:jc w:val="center"/>
            </w:pPr>
          </w:p>
        </w:tc>
        <w:tc>
          <w:tcPr>
            <w:tcW w:w="1126" w:type="dxa"/>
          </w:tcPr>
          <w:p w14:paraId="01FE576B" w14:textId="4A881E91" w:rsidR="000A11E4" w:rsidRPr="00AD617B" w:rsidRDefault="00806725" w:rsidP="002A557B">
            <w:pPr>
              <w:spacing w:before="240" w:line="276" w:lineRule="auto"/>
              <w:jc w:val="center"/>
            </w:pPr>
            <w:r w:rsidRPr="00AD617B">
              <w:t xml:space="preserve"> [</w:t>
            </w:r>
            <w:r w:rsidR="00C32BC5" w:rsidRPr="00AD617B">
              <w:t>3</w:t>
            </w:r>
            <w:r w:rsidRPr="00AD617B">
              <w:t>]</w:t>
            </w:r>
          </w:p>
        </w:tc>
      </w:tr>
      <w:tr w:rsidR="000A11E4" w:rsidRPr="00AD617B" w14:paraId="3E074297" w14:textId="77777777" w:rsidTr="002A557B">
        <w:tc>
          <w:tcPr>
            <w:tcW w:w="1782" w:type="dxa"/>
          </w:tcPr>
          <w:p w14:paraId="5E79373E" w14:textId="7F6EE429" w:rsidR="000A11E4" w:rsidRPr="00AD617B" w:rsidRDefault="000A11E4" w:rsidP="002A557B">
            <w:pPr>
              <w:spacing w:before="240" w:line="276" w:lineRule="auto"/>
            </w:pPr>
            <w:r w:rsidRPr="00AD617B">
              <w:t>Luxembourg</w:t>
            </w:r>
          </w:p>
        </w:tc>
        <w:tc>
          <w:tcPr>
            <w:tcW w:w="235" w:type="dxa"/>
          </w:tcPr>
          <w:p w14:paraId="6B493AA2" w14:textId="77777777" w:rsidR="000A11E4" w:rsidRPr="00AD617B" w:rsidRDefault="000A11E4" w:rsidP="002A557B">
            <w:pPr>
              <w:spacing w:before="240" w:line="276" w:lineRule="auto"/>
            </w:pPr>
          </w:p>
        </w:tc>
        <w:tc>
          <w:tcPr>
            <w:tcW w:w="4782" w:type="dxa"/>
          </w:tcPr>
          <w:p w14:paraId="735B5561" w14:textId="52D35BE8" w:rsidR="000A11E4" w:rsidRPr="00AD617B" w:rsidRDefault="000A11E4" w:rsidP="002A557B">
            <w:pPr>
              <w:spacing w:before="240" w:line="276" w:lineRule="auto"/>
              <w:rPr>
                <w:highlight w:val="yellow"/>
                <w:lang w:val="fr-FR"/>
              </w:rPr>
            </w:pPr>
            <w:r w:rsidRPr="00AD617B">
              <w:rPr>
                <w:lang w:val="fr-FR"/>
              </w:rPr>
              <w:t xml:space="preserve">Conseil </w:t>
            </w:r>
            <w:r w:rsidR="009E3526" w:rsidRPr="00AD617B">
              <w:rPr>
                <w:lang w:val="fr-FR"/>
              </w:rPr>
              <w:t>Scientifique,</w:t>
            </w:r>
            <w:r w:rsidR="00E544D4" w:rsidRPr="00AD617B">
              <w:rPr>
                <w:lang w:val="fr-FR"/>
              </w:rPr>
              <w:t xml:space="preserve"> Domaine de la Santé</w:t>
            </w:r>
          </w:p>
        </w:tc>
        <w:tc>
          <w:tcPr>
            <w:tcW w:w="1091" w:type="dxa"/>
          </w:tcPr>
          <w:p w14:paraId="11E7663F" w14:textId="77777777" w:rsidR="000A11E4" w:rsidRPr="00AD617B" w:rsidRDefault="000A11E4" w:rsidP="002A557B">
            <w:pPr>
              <w:spacing w:before="240" w:line="276" w:lineRule="auto"/>
              <w:jc w:val="center"/>
              <w:rPr>
                <w:lang w:val="fr-FR"/>
              </w:rPr>
            </w:pPr>
          </w:p>
        </w:tc>
        <w:tc>
          <w:tcPr>
            <w:tcW w:w="1126" w:type="dxa"/>
          </w:tcPr>
          <w:p w14:paraId="754A4A09" w14:textId="6695E1D2" w:rsidR="000A11E4" w:rsidRPr="00AD617B" w:rsidRDefault="00806725" w:rsidP="002A557B">
            <w:pPr>
              <w:spacing w:before="240" w:line="276" w:lineRule="auto"/>
              <w:jc w:val="center"/>
            </w:pPr>
            <w:r w:rsidRPr="00AD617B">
              <w:rPr>
                <w:lang w:val="fr-FR"/>
              </w:rPr>
              <w:t xml:space="preserve"> </w:t>
            </w:r>
            <w:r w:rsidRPr="00AD617B">
              <w:t>[</w:t>
            </w:r>
            <w:r w:rsidR="00E544D4" w:rsidRPr="00AD617B">
              <w:t>53</w:t>
            </w:r>
            <w:r w:rsidRPr="00AD617B">
              <w:t>]</w:t>
            </w:r>
          </w:p>
        </w:tc>
      </w:tr>
      <w:tr w:rsidR="000A11E4" w:rsidRPr="00AD617B" w14:paraId="264831A3" w14:textId="77777777" w:rsidTr="002A557B">
        <w:tc>
          <w:tcPr>
            <w:tcW w:w="1782" w:type="dxa"/>
          </w:tcPr>
          <w:p w14:paraId="7806A703" w14:textId="77777777" w:rsidR="000A11E4" w:rsidRPr="00AD617B" w:rsidRDefault="000A11E4" w:rsidP="002A557B">
            <w:pPr>
              <w:spacing w:before="240" w:line="276" w:lineRule="auto"/>
            </w:pPr>
            <w:r w:rsidRPr="00AD617B">
              <w:t>Malta</w:t>
            </w:r>
          </w:p>
        </w:tc>
        <w:tc>
          <w:tcPr>
            <w:tcW w:w="235" w:type="dxa"/>
          </w:tcPr>
          <w:p w14:paraId="32421B25" w14:textId="77777777" w:rsidR="000A11E4" w:rsidRPr="00AD617B" w:rsidRDefault="000A11E4" w:rsidP="002A557B">
            <w:pPr>
              <w:spacing w:before="240" w:line="276" w:lineRule="auto"/>
            </w:pPr>
          </w:p>
        </w:tc>
        <w:tc>
          <w:tcPr>
            <w:tcW w:w="4782" w:type="dxa"/>
          </w:tcPr>
          <w:p w14:paraId="2D183A6D" w14:textId="1E0977AC" w:rsidR="000A11E4" w:rsidRPr="00AD617B" w:rsidRDefault="00AD617B" w:rsidP="002A557B">
            <w:pPr>
              <w:spacing w:before="240" w:line="276" w:lineRule="auto"/>
              <w:rPr>
                <w:highlight w:val="yellow"/>
              </w:rPr>
            </w:pPr>
            <w:r w:rsidRPr="00AD617B">
              <w:t>International Osteoporosis Foundation</w:t>
            </w:r>
          </w:p>
        </w:tc>
        <w:tc>
          <w:tcPr>
            <w:tcW w:w="1091" w:type="dxa"/>
          </w:tcPr>
          <w:p w14:paraId="1586353A" w14:textId="5035C5A5" w:rsidR="000A11E4" w:rsidRPr="00AD617B" w:rsidRDefault="000A11E4" w:rsidP="002A557B">
            <w:pPr>
              <w:spacing w:before="240" w:line="276" w:lineRule="auto"/>
              <w:jc w:val="center"/>
            </w:pPr>
          </w:p>
        </w:tc>
        <w:tc>
          <w:tcPr>
            <w:tcW w:w="1126" w:type="dxa"/>
          </w:tcPr>
          <w:p w14:paraId="58B4AC70" w14:textId="021E107E" w:rsidR="000A11E4" w:rsidRPr="00AD617B" w:rsidRDefault="00806725" w:rsidP="002A557B">
            <w:pPr>
              <w:spacing w:before="240" w:line="276" w:lineRule="auto"/>
              <w:jc w:val="center"/>
            </w:pPr>
            <w:r w:rsidRPr="00AD617B">
              <w:t xml:space="preserve"> [</w:t>
            </w:r>
            <w:r w:rsidR="00C32BC5" w:rsidRPr="00AD617B">
              <w:t>3</w:t>
            </w:r>
            <w:r w:rsidRPr="00AD617B">
              <w:t>]</w:t>
            </w:r>
          </w:p>
        </w:tc>
      </w:tr>
      <w:tr w:rsidR="000A11E4" w:rsidRPr="00AD617B" w14:paraId="0B7A1AD2" w14:textId="77777777" w:rsidTr="002A557B">
        <w:tc>
          <w:tcPr>
            <w:tcW w:w="1782" w:type="dxa"/>
          </w:tcPr>
          <w:p w14:paraId="3AA4F1BD" w14:textId="77777777" w:rsidR="000A11E4" w:rsidRPr="00AD617B" w:rsidRDefault="000A11E4" w:rsidP="002A557B">
            <w:pPr>
              <w:spacing w:before="240" w:line="276" w:lineRule="auto"/>
            </w:pPr>
            <w:r w:rsidRPr="00AD617B">
              <w:t>Mexico</w:t>
            </w:r>
          </w:p>
        </w:tc>
        <w:tc>
          <w:tcPr>
            <w:tcW w:w="235" w:type="dxa"/>
          </w:tcPr>
          <w:p w14:paraId="64DAA9FD" w14:textId="77777777" w:rsidR="000A11E4" w:rsidRPr="00AD617B" w:rsidRDefault="000A11E4" w:rsidP="002A557B">
            <w:pPr>
              <w:spacing w:before="240" w:line="276" w:lineRule="auto"/>
            </w:pPr>
          </w:p>
        </w:tc>
        <w:tc>
          <w:tcPr>
            <w:tcW w:w="4782" w:type="dxa"/>
          </w:tcPr>
          <w:p w14:paraId="33B82FF2" w14:textId="45F008B9" w:rsidR="000A11E4" w:rsidRPr="00AD617B" w:rsidRDefault="002706D0" w:rsidP="002706D0">
            <w:pPr>
              <w:spacing w:before="240" w:line="276" w:lineRule="auto"/>
            </w:pPr>
            <w:r w:rsidRPr="002706D0">
              <w:t>Mexican association for postmenopausal osteoporosis</w:t>
            </w:r>
            <w:r>
              <w:t xml:space="preserve"> </w:t>
            </w:r>
            <w:r w:rsidRPr="002706D0">
              <w:t>(AMMOM)</w:t>
            </w:r>
          </w:p>
        </w:tc>
        <w:tc>
          <w:tcPr>
            <w:tcW w:w="1091" w:type="dxa"/>
          </w:tcPr>
          <w:p w14:paraId="3C141302" w14:textId="77777777" w:rsidR="000A11E4" w:rsidRPr="00AD617B" w:rsidRDefault="000A11E4" w:rsidP="002A557B">
            <w:pPr>
              <w:spacing w:before="240" w:line="276" w:lineRule="auto"/>
              <w:jc w:val="center"/>
            </w:pPr>
          </w:p>
        </w:tc>
        <w:tc>
          <w:tcPr>
            <w:tcW w:w="1126" w:type="dxa"/>
          </w:tcPr>
          <w:p w14:paraId="692A0120" w14:textId="0D558286" w:rsidR="000A11E4" w:rsidRPr="00AD617B" w:rsidRDefault="00806725" w:rsidP="002A557B">
            <w:pPr>
              <w:spacing w:before="240" w:line="276" w:lineRule="auto"/>
              <w:jc w:val="center"/>
            </w:pPr>
            <w:r w:rsidRPr="00AD617B">
              <w:t xml:space="preserve"> [</w:t>
            </w:r>
            <w:r w:rsidR="00E544D4" w:rsidRPr="00AD617B">
              <w:t>54</w:t>
            </w:r>
            <w:r w:rsidRPr="00AD617B">
              <w:t>]</w:t>
            </w:r>
          </w:p>
        </w:tc>
      </w:tr>
      <w:tr w:rsidR="006930F5" w:rsidRPr="00AD617B" w14:paraId="1C1BA480" w14:textId="77777777" w:rsidTr="002A557B">
        <w:tc>
          <w:tcPr>
            <w:tcW w:w="1782" w:type="dxa"/>
          </w:tcPr>
          <w:p w14:paraId="798CD128" w14:textId="39950507" w:rsidR="006930F5" w:rsidRPr="00AD617B" w:rsidRDefault="006930F5" w:rsidP="002A557B">
            <w:pPr>
              <w:spacing w:before="240" w:line="276" w:lineRule="auto"/>
            </w:pPr>
            <w:r w:rsidRPr="00AD617B">
              <w:t>Netherland</w:t>
            </w:r>
            <w:r w:rsidR="00F750B0" w:rsidRPr="00AD617B">
              <w:t>s</w:t>
            </w:r>
          </w:p>
        </w:tc>
        <w:tc>
          <w:tcPr>
            <w:tcW w:w="235" w:type="dxa"/>
          </w:tcPr>
          <w:p w14:paraId="2A40F2B4" w14:textId="77777777" w:rsidR="006930F5" w:rsidRPr="00AD617B" w:rsidRDefault="006930F5" w:rsidP="002A557B">
            <w:pPr>
              <w:spacing w:before="240" w:line="276" w:lineRule="auto"/>
            </w:pPr>
          </w:p>
        </w:tc>
        <w:tc>
          <w:tcPr>
            <w:tcW w:w="4782" w:type="dxa"/>
          </w:tcPr>
          <w:p w14:paraId="18ABB0F2" w14:textId="6A9A26BA" w:rsidR="006930F5" w:rsidRPr="00AD617B" w:rsidRDefault="006930F5" w:rsidP="002A557B">
            <w:pPr>
              <w:spacing w:before="240" w:line="276" w:lineRule="auto"/>
            </w:pPr>
            <w:r w:rsidRPr="00AD617B">
              <w:t>Dutch Institute for Healthcare Improvement (CBO</w:t>
            </w:r>
            <w:r w:rsidR="00012D0A" w:rsidRPr="00AD617B">
              <w:t>)</w:t>
            </w:r>
          </w:p>
        </w:tc>
        <w:tc>
          <w:tcPr>
            <w:tcW w:w="1091" w:type="dxa"/>
          </w:tcPr>
          <w:p w14:paraId="0DAFE751" w14:textId="77777777" w:rsidR="006930F5" w:rsidRPr="00AD617B" w:rsidRDefault="006930F5" w:rsidP="002A557B">
            <w:pPr>
              <w:spacing w:before="240" w:line="276" w:lineRule="auto"/>
              <w:jc w:val="center"/>
            </w:pPr>
          </w:p>
        </w:tc>
        <w:tc>
          <w:tcPr>
            <w:tcW w:w="1126" w:type="dxa"/>
          </w:tcPr>
          <w:p w14:paraId="3049D921" w14:textId="202DA352" w:rsidR="006930F5" w:rsidRPr="00AD617B" w:rsidRDefault="00806725" w:rsidP="002A557B">
            <w:pPr>
              <w:spacing w:before="240" w:line="276" w:lineRule="auto"/>
              <w:jc w:val="center"/>
            </w:pPr>
            <w:r w:rsidRPr="00AD617B">
              <w:t xml:space="preserve"> [</w:t>
            </w:r>
            <w:r w:rsidR="00E544D4" w:rsidRPr="00AD617B">
              <w:t>55</w:t>
            </w:r>
            <w:r w:rsidRPr="00AD617B">
              <w:t>]</w:t>
            </w:r>
          </w:p>
        </w:tc>
      </w:tr>
      <w:tr w:rsidR="000A11E4" w:rsidRPr="00AD617B" w14:paraId="49E8E811" w14:textId="77777777" w:rsidTr="002A557B">
        <w:tc>
          <w:tcPr>
            <w:tcW w:w="1782" w:type="dxa"/>
          </w:tcPr>
          <w:p w14:paraId="666396DF" w14:textId="77777777" w:rsidR="000A11E4" w:rsidRPr="00AD617B" w:rsidRDefault="000A11E4" w:rsidP="002A557B">
            <w:pPr>
              <w:spacing w:before="240" w:line="276" w:lineRule="auto"/>
            </w:pPr>
            <w:r w:rsidRPr="00AD617B">
              <w:t>Romania</w:t>
            </w:r>
          </w:p>
        </w:tc>
        <w:tc>
          <w:tcPr>
            <w:tcW w:w="235" w:type="dxa"/>
          </w:tcPr>
          <w:p w14:paraId="159FC5C7" w14:textId="77777777" w:rsidR="000A11E4" w:rsidRPr="00AD617B" w:rsidRDefault="000A11E4" w:rsidP="002A557B">
            <w:pPr>
              <w:spacing w:before="240" w:line="276" w:lineRule="auto"/>
            </w:pPr>
          </w:p>
        </w:tc>
        <w:tc>
          <w:tcPr>
            <w:tcW w:w="4782" w:type="dxa"/>
          </w:tcPr>
          <w:p w14:paraId="2D7311D3" w14:textId="0C46636C" w:rsidR="000A11E4" w:rsidRPr="00AD617B" w:rsidRDefault="000A11E4" w:rsidP="002A557B">
            <w:pPr>
              <w:spacing w:before="240" w:line="276" w:lineRule="auto"/>
              <w:rPr>
                <w:highlight w:val="yellow"/>
              </w:rPr>
            </w:pPr>
            <w:r w:rsidRPr="00AD617B">
              <w:t>Ministry of Health</w:t>
            </w:r>
          </w:p>
        </w:tc>
        <w:tc>
          <w:tcPr>
            <w:tcW w:w="1091" w:type="dxa"/>
          </w:tcPr>
          <w:p w14:paraId="327F9DC6" w14:textId="77777777" w:rsidR="000A11E4" w:rsidRPr="00AD617B" w:rsidRDefault="000A11E4" w:rsidP="002A557B">
            <w:pPr>
              <w:spacing w:before="240" w:line="276" w:lineRule="auto"/>
              <w:jc w:val="center"/>
            </w:pPr>
          </w:p>
        </w:tc>
        <w:tc>
          <w:tcPr>
            <w:tcW w:w="1126" w:type="dxa"/>
          </w:tcPr>
          <w:p w14:paraId="64D491C4" w14:textId="743881C4" w:rsidR="000A11E4" w:rsidRPr="00AD617B" w:rsidRDefault="00806725" w:rsidP="002A557B">
            <w:pPr>
              <w:spacing w:before="240" w:line="276" w:lineRule="auto"/>
              <w:jc w:val="center"/>
            </w:pPr>
            <w:r w:rsidRPr="00AD617B">
              <w:t xml:space="preserve"> [</w:t>
            </w:r>
            <w:r w:rsidR="00E544D4" w:rsidRPr="00AD617B">
              <w:t>56</w:t>
            </w:r>
            <w:r w:rsidRPr="00AD617B">
              <w:t>]</w:t>
            </w:r>
          </w:p>
        </w:tc>
      </w:tr>
      <w:tr w:rsidR="008A1468" w:rsidRPr="00AD617B" w14:paraId="10FEB36C" w14:textId="77777777" w:rsidTr="002A557B">
        <w:tc>
          <w:tcPr>
            <w:tcW w:w="1782" w:type="dxa"/>
          </w:tcPr>
          <w:p w14:paraId="19B7653F" w14:textId="229B0FA6" w:rsidR="008A1468" w:rsidRPr="00AD617B" w:rsidRDefault="008A1468" w:rsidP="002A557B">
            <w:pPr>
              <w:spacing w:before="240" w:line="276" w:lineRule="auto"/>
            </w:pPr>
            <w:r w:rsidRPr="00AD617B">
              <w:t>Poland</w:t>
            </w:r>
          </w:p>
        </w:tc>
        <w:tc>
          <w:tcPr>
            <w:tcW w:w="235" w:type="dxa"/>
          </w:tcPr>
          <w:p w14:paraId="2BB3D7EA" w14:textId="77777777" w:rsidR="008A1468" w:rsidRPr="00AD617B" w:rsidRDefault="008A1468" w:rsidP="002A557B">
            <w:pPr>
              <w:spacing w:before="240" w:line="276" w:lineRule="auto"/>
            </w:pPr>
          </w:p>
        </w:tc>
        <w:tc>
          <w:tcPr>
            <w:tcW w:w="4782" w:type="dxa"/>
          </w:tcPr>
          <w:p w14:paraId="2D6EF510" w14:textId="56A2506E" w:rsidR="008A1468" w:rsidRPr="00AD617B" w:rsidRDefault="008A1468" w:rsidP="002A557B">
            <w:pPr>
              <w:spacing w:before="240"/>
            </w:pPr>
            <w:r w:rsidRPr="00AD617B">
              <w:rPr>
                <w:lang w:val="pl-PL"/>
              </w:rPr>
              <w:t>Polish Osteoarthrology Society and Polish Foundation of Osteoporosis</w:t>
            </w:r>
          </w:p>
        </w:tc>
        <w:tc>
          <w:tcPr>
            <w:tcW w:w="1091" w:type="dxa"/>
          </w:tcPr>
          <w:p w14:paraId="14BC447A" w14:textId="77777777" w:rsidR="008A1468" w:rsidRPr="00AD617B" w:rsidRDefault="008A1468" w:rsidP="002A557B">
            <w:pPr>
              <w:spacing w:before="240" w:line="276" w:lineRule="auto"/>
              <w:jc w:val="center"/>
            </w:pPr>
          </w:p>
        </w:tc>
        <w:tc>
          <w:tcPr>
            <w:tcW w:w="1126" w:type="dxa"/>
          </w:tcPr>
          <w:p w14:paraId="159BB1BF" w14:textId="36FDA408" w:rsidR="008A1468" w:rsidRPr="00AD617B" w:rsidRDefault="00806725" w:rsidP="002A557B">
            <w:pPr>
              <w:spacing w:before="240" w:line="276" w:lineRule="auto"/>
              <w:jc w:val="center"/>
            </w:pPr>
            <w:r w:rsidRPr="00AD617B">
              <w:t xml:space="preserve"> [</w:t>
            </w:r>
            <w:r w:rsidR="00E544D4" w:rsidRPr="00AD617B">
              <w:t>57</w:t>
            </w:r>
            <w:r w:rsidRPr="00AD617B">
              <w:t>]</w:t>
            </w:r>
          </w:p>
        </w:tc>
      </w:tr>
      <w:tr w:rsidR="00E427F5" w:rsidRPr="00AD617B" w14:paraId="3CA166C9" w14:textId="77777777" w:rsidTr="002A557B">
        <w:tc>
          <w:tcPr>
            <w:tcW w:w="1782" w:type="dxa"/>
          </w:tcPr>
          <w:p w14:paraId="32A1B9D4" w14:textId="16F10271" w:rsidR="00E427F5" w:rsidRPr="00AD617B" w:rsidRDefault="00E427F5" w:rsidP="002A557B">
            <w:pPr>
              <w:spacing w:before="240" w:line="276" w:lineRule="auto"/>
            </w:pPr>
            <w:r w:rsidRPr="00AD617B">
              <w:t>Saudi Arabia</w:t>
            </w:r>
          </w:p>
        </w:tc>
        <w:tc>
          <w:tcPr>
            <w:tcW w:w="235" w:type="dxa"/>
          </w:tcPr>
          <w:p w14:paraId="0162D788" w14:textId="77777777" w:rsidR="00E427F5" w:rsidRPr="00AD617B" w:rsidRDefault="00E427F5" w:rsidP="002A557B">
            <w:pPr>
              <w:spacing w:before="240" w:line="276" w:lineRule="auto"/>
            </w:pPr>
          </w:p>
        </w:tc>
        <w:tc>
          <w:tcPr>
            <w:tcW w:w="4782" w:type="dxa"/>
          </w:tcPr>
          <w:p w14:paraId="47F323E5" w14:textId="5850D946" w:rsidR="00E427F5" w:rsidRPr="00AD617B" w:rsidRDefault="00E427F5" w:rsidP="002A557B">
            <w:pPr>
              <w:spacing w:before="240" w:line="276" w:lineRule="auto"/>
            </w:pPr>
            <w:r w:rsidRPr="00AD617B">
              <w:t>Saudi Osteoporosis Society</w:t>
            </w:r>
          </w:p>
        </w:tc>
        <w:tc>
          <w:tcPr>
            <w:tcW w:w="1091" w:type="dxa"/>
          </w:tcPr>
          <w:p w14:paraId="55B4D777" w14:textId="77777777" w:rsidR="00E427F5" w:rsidRPr="00AD617B" w:rsidRDefault="00E427F5" w:rsidP="002A557B">
            <w:pPr>
              <w:spacing w:before="240" w:line="276" w:lineRule="auto"/>
              <w:jc w:val="center"/>
            </w:pPr>
          </w:p>
        </w:tc>
        <w:tc>
          <w:tcPr>
            <w:tcW w:w="1126" w:type="dxa"/>
          </w:tcPr>
          <w:p w14:paraId="15BADC48" w14:textId="5E7783CE" w:rsidR="00E427F5" w:rsidRPr="00AD617B" w:rsidRDefault="00806725" w:rsidP="002A557B">
            <w:pPr>
              <w:spacing w:before="240" w:line="276" w:lineRule="auto"/>
              <w:jc w:val="center"/>
            </w:pPr>
            <w:r w:rsidRPr="00AD617B">
              <w:t xml:space="preserve"> [</w:t>
            </w:r>
            <w:r w:rsidR="00E544D4" w:rsidRPr="00AD617B">
              <w:t>58</w:t>
            </w:r>
            <w:r w:rsidRPr="00AD617B">
              <w:t>]</w:t>
            </w:r>
          </w:p>
        </w:tc>
      </w:tr>
      <w:tr w:rsidR="000A11E4" w:rsidRPr="00AD617B" w14:paraId="6161B37D" w14:textId="77777777" w:rsidTr="002A557B">
        <w:tc>
          <w:tcPr>
            <w:tcW w:w="1782" w:type="dxa"/>
          </w:tcPr>
          <w:p w14:paraId="071BA22E" w14:textId="77777777" w:rsidR="000A11E4" w:rsidRPr="00AD617B" w:rsidRDefault="000A11E4" w:rsidP="002A557B">
            <w:pPr>
              <w:spacing w:before="240" w:line="276" w:lineRule="auto"/>
            </w:pPr>
            <w:r w:rsidRPr="00AD617B">
              <w:t>Slovakia</w:t>
            </w:r>
          </w:p>
        </w:tc>
        <w:tc>
          <w:tcPr>
            <w:tcW w:w="235" w:type="dxa"/>
          </w:tcPr>
          <w:p w14:paraId="4A29758F" w14:textId="77777777" w:rsidR="000A11E4" w:rsidRPr="00AD617B" w:rsidRDefault="000A11E4" w:rsidP="002A557B">
            <w:pPr>
              <w:spacing w:before="240" w:line="276" w:lineRule="auto"/>
            </w:pPr>
          </w:p>
        </w:tc>
        <w:tc>
          <w:tcPr>
            <w:tcW w:w="4782" w:type="dxa"/>
          </w:tcPr>
          <w:p w14:paraId="338FC74A" w14:textId="345A9866" w:rsidR="000A11E4" w:rsidRPr="00AD617B" w:rsidRDefault="000A11E4" w:rsidP="002A557B">
            <w:pPr>
              <w:spacing w:before="240" w:line="276" w:lineRule="auto"/>
              <w:rPr>
                <w:highlight w:val="yellow"/>
              </w:rPr>
            </w:pPr>
            <w:r w:rsidRPr="00AD617B">
              <w:t>Ministry of Health</w:t>
            </w:r>
          </w:p>
        </w:tc>
        <w:tc>
          <w:tcPr>
            <w:tcW w:w="1091" w:type="dxa"/>
          </w:tcPr>
          <w:p w14:paraId="2DDD41A5" w14:textId="77777777" w:rsidR="000A11E4" w:rsidRPr="00AD617B" w:rsidRDefault="000A11E4" w:rsidP="002A557B">
            <w:pPr>
              <w:spacing w:before="240" w:line="276" w:lineRule="auto"/>
              <w:jc w:val="center"/>
            </w:pPr>
          </w:p>
        </w:tc>
        <w:tc>
          <w:tcPr>
            <w:tcW w:w="1126" w:type="dxa"/>
          </w:tcPr>
          <w:p w14:paraId="1C2C0FAA" w14:textId="0D5363D9" w:rsidR="000A11E4" w:rsidRPr="00AD617B" w:rsidRDefault="00806725" w:rsidP="002A557B">
            <w:pPr>
              <w:spacing w:before="240" w:line="276" w:lineRule="auto"/>
              <w:jc w:val="center"/>
            </w:pPr>
            <w:r w:rsidRPr="00AD617B">
              <w:t>[</w:t>
            </w:r>
            <w:r w:rsidR="00E544D4" w:rsidRPr="00AD617B">
              <w:t>59</w:t>
            </w:r>
            <w:r w:rsidRPr="00AD617B">
              <w:t>]</w:t>
            </w:r>
          </w:p>
        </w:tc>
      </w:tr>
      <w:tr w:rsidR="000A11E4" w:rsidRPr="00AD617B" w14:paraId="2625F635" w14:textId="77777777" w:rsidTr="002A557B">
        <w:tc>
          <w:tcPr>
            <w:tcW w:w="1782" w:type="dxa"/>
          </w:tcPr>
          <w:p w14:paraId="7C2FAE3B" w14:textId="77777777" w:rsidR="000A11E4" w:rsidRPr="00AD617B" w:rsidRDefault="000A11E4" w:rsidP="002A557B">
            <w:pPr>
              <w:spacing w:before="240" w:line="276" w:lineRule="auto"/>
            </w:pPr>
            <w:r w:rsidRPr="00AD617B">
              <w:t>Spain</w:t>
            </w:r>
          </w:p>
        </w:tc>
        <w:tc>
          <w:tcPr>
            <w:tcW w:w="235" w:type="dxa"/>
          </w:tcPr>
          <w:p w14:paraId="4C3BF5E2" w14:textId="77777777" w:rsidR="000A11E4" w:rsidRPr="00AD617B" w:rsidRDefault="000A11E4" w:rsidP="002A557B">
            <w:pPr>
              <w:spacing w:before="240" w:line="276" w:lineRule="auto"/>
            </w:pPr>
          </w:p>
        </w:tc>
        <w:tc>
          <w:tcPr>
            <w:tcW w:w="4782" w:type="dxa"/>
          </w:tcPr>
          <w:p w14:paraId="3354C109" w14:textId="469E358A" w:rsidR="000A11E4" w:rsidRPr="00AD617B" w:rsidRDefault="00AD617B" w:rsidP="002A557B">
            <w:pPr>
              <w:spacing w:before="240" w:line="276" w:lineRule="auto"/>
              <w:rPr>
                <w:highlight w:val="yellow"/>
              </w:rPr>
            </w:pPr>
            <w:r w:rsidRPr="00AD617B">
              <w:t>International Osteoporosis Foundation</w:t>
            </w:r>
          </w:p>
        </w:tc>
        <w:tc>
          <w:tcPr>
            <w:tcW w:w="1091" w:type="dxa"/>
          </w:tcPr>
          <w:p w14:paraId="557E3941" w14:textId="13C11BA7" w:rsidR="000A11E4" w:rsidRPr="00AD617B" w:rsidRDefault="000A11E4" w:rsidP="002A557B">
            <w:pPr>
              <w:spacing w:before="240" w:line="276" w:lineRule="auto"/>
              <w:jc w:val="center"/>
            </w:pPr>
          </w:p>
        </w:tc>
        <w:tc>
          <w:tcPr>
            <w:tcW w:w="1126" w:type="dxa"/>
          </w:tcPr>
          <w:p w14:paraId="66675B49" w14:textId="2B607B90" w:rsidR="000A11E4" w:rsidRPr="00AD617B" w:rsidRDefault="00806725" w:rsidP="002A557B">
            <w:pPr>
              <w:spacing w:before="240" w:line="276" w:lineRule="auto"/>
              <w:jc w:val="center"/>
            </w:pPr>
            <w:r w:rsidRPr="00AD617B">
              <w:t xml:space="preserve"> [</w:t>
            </w:r>
            <w:r w:rsidR="00C32BC5" w:rsidRPr="00AD617B">
              <w:t>3</w:t>
            </w:r>
            <w:r w:rsidRPr="00AD617B">
              <w:t>]</w:t>
            </w:r>
          </w:p>
        </w:tc>
      </w:tr>
      <w:tr w:rsidR="000A11E4" w:rsidRPr="00AD617B" w14:paraId="369B9C43" w14:textId="77777777" w:rsidTr="002A557B">
        <w:tc>
          <w:tcPr>
            <w:tcW w:w="1782" w:type="dxa"/>
          </w:tcPr>
          <w:p w14:paraId="363D0FC9" w14:textId="31CE51D7" w:rsidR="000A11E4" w:rsidRPr="00AD617B" w:rsidRDefault="000A11E4" w:rsidP="002A557B">
            <w:pPr>
              <w:spacing w:before="240" w:line="276" w:lineRule="auto"/>
            </w:pPr>
            <w:r w:rsidRPr="00AD617B">
              <w:t>Singapore</w:t>
            </w:r>
          </w:p>
        </w:tc>
        <w:tc>
          <w:tcPr>
            <w:tcW w:w="235" w:type="dxa"/>
          </w:tcPr>
          <w:p w14:paraId="5F936C75" w14:textId="77777777" w:rsidR="000A11E4" w:rsidRPr="00AD617B" w:rsidRDefault="000A11E4" w:rsidP="002A557B">
            <w:pPr>
              <w:spacing w:before="240" w:line="276" w:lineRule="auto"/>
            </w:pPr>
          </w:p>
        </w:tc>
        <w:tc>
          <w:tcPr>
            <w:tcW w:w="4782" w:type="dxa"/>
            <w:shd w:val="clear" w:color="auto" w:fill="auto"/>
          </w:tcPr>
          <w:p w14:paraId="35B4A78F" w14:textId="037702E8" w:rsidR="000A11E4" w:rsidRPr="00AD617B" w:rsidRDefault="000A11E4" w:rsidP="002A557B">
            <w:pPr>
              <w:spacing w:before="240" w:line="276" w:lineRule="auto"/>
              <w:rPr>
                <w:highlight w:val="yellow"/>
              </w:rPr>
            </w:pPr>
            <w:r w:rsidRPr="00AD617B">
              <w:t>Ministry of Health</w:t>
            </w:r>
          </w:p>
        </w:tc>
        <w:tc>
          <w:tcPr>
            <w:tcW w:w="1091" w:type="dxa"/>
          </w:tcPr>
          <w:p w14:paraId="6E8CF7BB" w14:textId="77777777" w:rsidR="000A11E4" w:rsidRPr="00AD617B" w:rsidRDefault="000A11E4" w:rsidP="002A557B">
            <w:pPr>
              <w:spacing w:before="240" w:line="276" w:lineRule="auto"/>
              <w:jc w:val="center"/>
            </w:pPr>
          </w:p>
        </w:tc>
        <w:tc>
          <w:tcPr>
            <w:tcW w:w="1126" w:type="dxa"/>
          </w:tcPr>
          <w:p w14:paraId="3108B885" w14:textId="0D95A7BB" w:rsidR="000A11E4" w:rsidRPr="00AD617B" w:rsidRDefault="00806725" w:rsidP="002A557B">
            <w:pPr>
              <w:spacing w:before="240" w:line="276" w:lineRule="auto"/>
              <w:jc w:val="center"/>
            </w:pPr>
            <w:r w:rsidRPr="00AD617B">
              <w:t xml:space="preserve"> [</w:t>
            </w:r>
            <w:r w:rsidR="00E544D4" w:rsidRPr="00AD617B">
              <w:t>60</w:t>
            </w:r>
            <w:r w:rsidRPr="00AD617B">
              <w:t>]</w:t>
            </w:r>
          </w:p>
        </w:tc>
      </w:tr>
      <w:tr w:rsidR="00C308A1" w:rsidRPr="00AD617B" w14:paraId="22821E3F" w14:textId="77777777" w:rsidTr="002A557B">
        <w:tc>
          <w:tcPr>
            <w:tcW w:w="1782" w:type="dxa"/>
          </w:tcPr>
          <w:p w14:paraId="6984A312" w14:textId="1013D309" w:rsidR="00C308A1" w:rsidRPr="00AD617B" w:rsidRDefault="00C308A1" w:rsidP="002A557B">
            <w:pPr>
              <w:spacing w:before="240" w:line="276" w:lineRule="auto"/>
            </w:pPr>
            <w:r w:rsidRPr="00AD617B">
              <w:t>UK</w:t>
            </w:r>
          </w:p>
        </w:tc>
        <w:tc>
          <w:tcPr>
            <w:tcW w:w="235" w:type="dxa"/>
          </w:tcPr>
          <w:p w14:paraId="2070DA62" w14:textId="77777777" w:rsidR="00C308A1" w:rsidRPr="00AD617B" w:rsidRDefault="00C308A1" w:rsidP="002A557B">
            <w:pPr>
              <w:spacing w:before="240" w:line="276" w:lineRule="auto"/>
            </w:pPr>
          </w:p>
        </w:tc>
        <w:tc>
          <w:tcPr>
            <w:tcW w:w="4782" w:type="dxa"/>
            <w:shd w:val="clear" w:color="auto" w:fill="auto"/>
          </w:tcPr>
          <w:p w14:paraId="2476AA36" w14:textId="56EF0751" w:rsidR="00C308A1" w:rsidRPr="00AD617B" w:rsidRDefault="009E3526" w:rsidP="002A557B">
            <w:pPr>
              <w:spacing w:before="240" w:line="276" w:lineRule="auto"/>
            </w:pPr>
            <w:r w:rsidRPr="009E3526">
              <w:t>National Institute for Health and Care Excellence</w:t>
            </w:r>
          </w:p>
        </w:tc>
        <w:tc>
          <w:tcPr>
            <w:tcW w:w="1091" w:type="dxa"/>
          </w:tcPr>
          <w:p w14:paraId="776C8D77" w14:textId="77777777" w:rsidR="00C308A1" w:rsidRPr="00AD617B" w:rsidRDefault="00C308A1" w:rsidP="002A557B">
            <w:pPr>
              <w:spacing w:before="240" w:line="276" w:lineRule="auto"/>
              <w:jc w:val="center"/>
            </w:pPr>
          </w:p>
        </w:tc>
        <w:tc>
          <w:tcPr>
            <w:tcW w:w="1126" w:type="dxa"/>
          </w:tcPr>
          <w:p w14:paraId="1A7C02BF" w14:textId="7339B071" w:rsidR="00C308A1" w:rsidRPr="00AD617B" w:rsidRDefault="00806725" w:rsidP="002A557B">
            <w:pPr>
              <w:spacing w:before="240" w:line="276" w:lineRule="auto"/>
              <w:jc w:val="center"/>
            </w:pPr>
            <w:r w:rsidRPr="00AD617B">
              <w:t xml:space="preserve"> [</w:t>
            </w:r>
            <w:r w:rsidR="005A054C" w:rsidRPr="00AD617B">
              <w:t>61</w:t>
            </w:r>
            <w:r w:rsidRPr="00AD617B">
              <w:t>]</w:t>
            </w:r>
          </w:p>
        </w:tc>
      </w:tr>
      <w:tr w:rsidR="00A217B0" w:rsidRPr="00AD617B" w14:paraId="2C65FB2A" w14:textId="77777777" w:rsidTr="002A557B">
        <w:tc>
          <w:tcPr>
            <w:tcW w:w="1782" w:type="dxa"/>
          </w:tcPr>
          <w:p w14:paraId="0C8E83B7" w14:textId="723E3FB9" w:rsidR="00A217B0" w:rsidRPr="00AD617B" w:rsidRDefault="00A217B0" w:rsidP="002A557B">
            <w:pPr>
              <w:spacing w:before="240" w:line="276" w:lineRule="auto"/>
            </w:pPr>
            <w:r w:rsidRPr="00AD617B">
              <w:t>US</w:t>
            </w:r>
          </w:p>
        </w:tc>
        <w:tc>
          <w:tcPr>
            <w:tcW w:w="235" w:type="dxa"/>
          </w:tcPr>
          <w:p w14:paraId="525FC0FF" w14:textId="77777777" w:rsidR="00A217B0" w:rsidRPr="00AD617B" w:rsidRDefault="00A217B0" w:rsidP="002A557B">
            <w:pPr>
              <w:spacing w:before="240" w:line="276" w:lineRule="auto"/>
            </w:pPr>
          </w:p>
        </w:tc>
        <w:tc>
          <w:tcPr>
            <w:tcW w:w="4782" w:type="dxa"/>
            <w:shd w:val="clear" w:color="auto" w:fill="auto"/>
          </w:tcPr>
          <w:p w14:paraId="3E7BD559" w14:textId="53BADD58" w:rsidR="00A217B0" w:rsidRPr="00AD617B" w:rsidRDefault="00A217B0" w:rsidP="002A557B">
            <w:pPr>
              <w:spacing w:before="240" w:line="276" w:lineRule="auto"/>
            </w:pPr>
            <w:r w:rsidRPr="00AD617B">
              <w:t>American Association of Clinical Endocrinologists</w:t>
            </w:r>
          </w:p>
        </w:tc>
        <w:tc>
          <w:tcPr>
            <w:tcW w:w="1091" w:type="dxa"/>
          </w:tcPr>
          <w:p w14:paraId="2FB48196" w14:textId="77777777" w:rsidR="00A217B0" w:rsidRPr="00AD617B" w:rsidRDefault="00A217B0" w:rsidP="002A557B">
            <w:pPr>
              <w:spacing w:before="240" w:line="276" w:lineRule="auto"/>
              <w:jc w:val="center"/>
            </w:pPr>
          </w:p>
        </w:tc>
        <w:tc>
          <w:tcPr>
            <w:tcW w:w="1126" w:type="dxa"/>
          </w:tcPr>
          <w:p w14:paraId="3ADC318E" w14:textId="23A6D77A" w:rsidR="00A217B0" w:rsidRPr="00AD617B" w:rsidRDefault="00806725" w:rsidP="002A557B">
            <w:pPr>
              <w:spacing w:before="240" w:line="276" w:lineRule="auto"/>
              <w:jc w:val="center"/>
            </w:pPr>
            <w:r w:rsidRPr="00AD617B">
              <w:t xml:space="preserve"> [</w:t>
            </w:r>
            <w:r w:rsidR="005A054C" w:rsidRPr="00AD617B">
              <w:t>62</w:t>
            </w:r>
            <w:r w:rsidRPr="00AD617B">
              <w:t>]</w:t>
            </w:r>
          </w:p>
        </w:tc>
      </w:tr>
      <w:tr w:rsidR="0047787B" w:rsidRPr="00AD617B" w14:paraId="13D11A06" w14:textId="77777777" w:rsidTr="002A557B">
        <w:tc>
          <w:tcPr>
            <w:tcW w:w="1782" w:type="dxa"/>
          </w:tcPr>
          <w:p w14:paraId="6D79E507" w14:textId="5F491EE2" w:rsidR="0047787B" w:rsidRPr="00AD617B" w:rsidRDefault="0047787B" w:rsidP="002A557B">
            <w:pPr>
              <w:spacing w:before="240" w:line="276" w:lineRule="auto"/>
            </w:pPr>
            <w:r w:rsidRPr="00AD617B">
              <w:t>US</w:t>
            </w:r>
          </w:p>
        </w:tc>
        <w:tc>
          <w:tcPr>
            <w:tcW w:w="235" w:type="dxa"/>
          </w:tcPr>
          <w:p w14:paraId="78543BF2" w14:textId="77777777" w:rsidR="0047787B" w:rsidRPr="00AD617B" w:rsidRDefault="0047787B" w:rsidP="002A557B">
            <w:pPr>
              <w:spacing w:before="240" w:line="276" w:lineRule="auto"/>
            </w:pPr>
          </w:p>
        </w:tc>
        <w:tc>
          <w:tcPr>
            <w:tcW w:w="4782" w:type="dxa"/>
            <w:shd w:val="clear" w:color="auto" w:fill="auto"/>
          </w:tcPr>
          <w:p w14:paraId="528C9D3D" w14:textId="2B50395E" w:rsidR="0047787B" w:rsidRPr="00AD617B" w:rsidRDefault="0047787B" w:rsidP="002A557B">
            <w:pPr>
              <w:spacing w:before="240" w:line="276" w:lineRule="auto"/>
            </w:pPr>
            <w:r w:rsidRPr="00AD617B">
              <w:t xml:space="preserve">Academy of Orthopaedic Surgeons </w:t>
            </w:r>
          </w:p>
        </w:tc>
        <w:tc>
          <w:tcPr>
            <w:tcW w:w="1091" w:type="dxa"/>
          </w:tcPr>
          <w:p w14:paraId="7778FD68" w14:textId="77777777" w:rsidR="0047787B" w:rsidRPr="00AD617B" w:rsidRDefault="0047787B" w:rsidP="002A557B">
            <w:pPr>
              <w:spacing w:before="240" w:line="276" w:lineRule="auto"/>
              <w:jc w:val="center"/>
            </w:pPr>
          </w:p>
        </w:tc>
        <w:tc>
          <w:tcPr>
            <w:tcW w:w="1126" w:type="dxa"/>
          </w:tcPr>
          <w:p w14:paraId="779E6D39" w14:textId="4FF423E7" w:rsidR="0047787B" w:rsidRPr="00AD617B" w:rsidRDefault="00806725" w:rsidP="002A557B">
            <w:pPr>
              <w:spacing w:before="240" w:line="276" w:lineRule="auto"/>
              <w:jc w:val="center"/>
            </w:pPr>
            <w:r w:rsidRPr="00AD617B">
              <w:t xml:space="preserve"> [</w:t>
            </w:r>
            <w:r w:rsidR="005A054C" w:rsidRPr="00AD617B">
              <w:t>63</w:t>
            </w:r>
            <w:r w:rsidRPr="00AD617B">
              <w:t>]</w:t>
            </w:r>
          </w:p>
        </w:tc>
      </w:tr>
      <w:tr w:rsidR="00481FC1" w:rsidRPr="00AD617B" w14:paraId="2C6B85AD" w14:textId="77777777" w:rsidTr="002A557B">
        <w:tc>
          <w:tcPr>
            <w:tcW w:w="1782" w:type="dxa"/>
          </w:tcPr>
          <w:p w14:paraId="73871CEA" w14:textId="282F8708" w:rsidR="00481FC1" w:rsidRPr="00AD617B" w:rsidRDefault="00481FC1" w:rsidP="002A557B">
            <w:pPr>
              <w:spacing w:before="240" w:line="276" w:lineRule="auto"/>
            </w:pPr>
            <w:r w:rsidRPr="00AD617B">
              <w:t>US</w:t>
            </w:r>
          </w:p>
        </w:tc>
        <w:tc>
          <w:tcPr>
            <w:tcW w:w="235" w:type="dxa"/>
          </w:tcPr>
          <w:p w14:paraId="216D25FC" w14:textId="77777777" w:rsidR="00481FC1" w:rsidRPr="00AD617B" w:rsidRDefault="00481FC1" w:rsidP="002A557B">
            <w:pPr>
              <w:spacing w:before="240" w:line="276" w:lineRule="auto"/>
            </w:pPr>
          </w:p>
        </w:tc>
        <w:tc>
          <w:tcPr>
            <w:tcW w:w="4782" w:type="dxa"/>
            <w:shd w:val="clear" w:color="auto" w:fill="auto"/>
          </w:tcPr>
          <w:p w14:paraId="7356FA74" w14:textId="3D34F810" w:rsidR="00481FC1" w:rsidRPr="00AD617B" w:rsidRDefault="00481FC1" w:rsidP="002A557B">
            <w:pPr>
              <w:spacing w:before="240" w:line="276" w:lineRule="auto"/>
            </w:pPr>
            <w:r w:rsidRPr="00AD617B">
              <w:t>American College of Physicians</w:t>
            </w:r>
          </w:p>
        </w:tc>
        <w:tc>
          <w:tcPr>
            <w:tcW w:w="1091" w:type="dxa"/>
          </w:tcPr>
          <w:p w14:paraId="6AD32009" w14:textId="77777777" w:rsidR="00481FC1" w:rsidRPr="00AD617B" w:rsidRDefault="00481FC1" w:rsidP="002A557B">
            <w:pPr>
              <w:spacing w:before="240" w:line="276" w:lineRule="auto"/>
              <w:jc w:val="center"/>
            </w:pPr>
          </w:p>
        </w:tc>
        <w:tc>
          <w:tcPr>
            <w:tcW w:w="1126" w:type="dxa"/>
          </w:tcPr>
          <w:p w14:paraId="4080E8B0" w14:textId="3F615C27" w:rsidR="00481FC1" w:rsidRPr="00AD617B" w:rsidRDefault="00806725" w:rsidP="002A557B">
            <w:pPr>
              <w:spacing w:before="240" w:line="276" w:lineRule="auto"/>
              <w:jc w:val="center"/>
            </w:pPr>
            <w:r w:rsidRPr="00AD617B">
              <w:t xml:space="preserve"> [</w:t>
            </w:r>
            <w:r w:rsidR="005A054C" w:rsidRPr="00AD617B">
              <w:t>64</w:t>
            </w:r>
            <w:r w:rsidRPr="00AD617B">
              <w:t>]</w:t>
            </w:r>
          </w:p>
        </w:tc>
      </w:tr>
      <w:tr w:rsidR="001F46C0" w:rsidRPr="00AD617B" w14:paraId="1C985F78" w14:textId="77777777" w:rsidTr="002A557B">
        <w:tc>
          <w:tcPr>
            <w:tcW w:w="1782" w:type="dxa"/>
          </w:tcPr>
          <w:p w14:paraId="237CECC9" w14:textId="4B47E81F" w:rsidR="001F46C0" w:rsidRPr="00AD617B" w:rsidRDefault="005B1A0F" w:rsidP="002A557B">
            <w:pPr>
              <w:spacing w:before="240" w:line="276" w:lineRule="auto"/>
            </w:pPr>
            <w:r w:rsidRPr="00AD617B">
              <w:t>US</w:t>
            </w:r>
          </w:p>
        </w:tc>
        <w:tc>
          <w:tcPr>
            <w:tcW w:w="235" w:type="dxa"/>
          </w:tcPr>
          <w:p w14:paraId="0A94A02F" w14:textId="77777777" w:rsidR="001F46C0" w:rsidRPr="00AD617B" w:rsidRDefault="001F46C0" w:rsidP="002A557B">
            <w:pPr>
              <w:spacing w:before="240" w:line="276" w:lineRule="auto"/>
            </w:pPr>
          </w:p>
        </w:tc>
        <w:tc>
          <w:tcPr>
            <w:tcW w:w="4782" w:type="dxa"/>
            <w:shd w:val="clear" w:color="auto" w:fill="auto"/>
          </w:tcPr>
          <w:p w14:paraId="02D1D14B" w14:textId="4EE42088" w:rsidR="001F46C0" w:rsidRPr="00AD617B" w:rsidRDefault="001F46C0" w:rsidP="002A557B">
            <w:pPr>
              <w:spacing w:before="240" w:line="276" w:lineRule="auto"/>
            </w:pPr>
            <w:r w:rsidRPr="00AD617B">
              <w:t>American College of Preventive Medicine)</w:t>
            </w:r>
          </w:p>
        </w:tc>
        <w:tc>
          <w:tcPr>
            <w:tcW w:w="1091" w:type="dxa"/>
          </w:tcPr>
          <w:p w14:paraId="4656CFC9" w14:textId="77777777" w:rsidR="001F46C0" w:rsidRPr="00AD617B" w:rsidRDefault="001F46C0" w:rsidP="002A557B">
            <w:pPr>
              <w:spacing w:before="240" w:line="276" w:lineRule="auto"/>
              <w:jc w:val="center"/>
            </w:pPr>
          </w:p>
        </w:tc>
        <w:tc>
          <w:tcPr>
            <w:tcW w:w="1126" w:type="dxa"/>
          </w:tcPr>
          <w:p w14:paraId="0B6E2BF0" w14:textId="25BB9790" w:rsidR="001F46C0" w:rsidRPr="00AD617B" w:rsidRDefault="00806725" w:rsidP="002A557B">
            <w:pPr>
              <w:spacing w:before="240" w:line="276" w:lineRule="auto"/>
              <w:jc w:val="center"/>
            </w:pPr>
            <w:r w:rsidRPr="00AD617B">
              <w:t xml:space="preserve"> [</w:t>
            </w:r>
            <w:r w:rsidR="005A054C" w:rsidRPr="00AD617B">
              <w:t>65</w:t>
            </w:r>
            <w:r w:rsidRPr="00AD617B">
              <w:t>]</w:t>
            </w:r>
          </w:p>
        </w:tc>
      </w:tr>
    </w:tbl>
    <w:p w14:paraId="7C177432" w14:textId="41E08202" w:rsidR="009E3526" w:rsidRPr="00DB1D7C" w:rsidRDefault="009E3526" w:rsidP="009E3526">
      <w:pPr>
        <w:spacing w:after="0"/>
        <w:rPr>
          <w:rFonts w:ascii="Calibri" w:hAnsi="Calibri"/>
          <w:sz w:val="20"/>
          <w:szCs w:val="20"/>
        </w:rPr>
      </w:pPr>
      <w:proofErr w:type="gramStart"/>
      <w:r>
        <w:rPr>
          <w:rFonts w:ascii="Calibri" w:hAnsi="Calibri"/>
          <w:sz w:val="20"/>
          <w:szCs w:val="20"/>
          <w:vertAlign w:val="superscript"/>
        </w:rPr>
        <w:t>a</w:t>
      </w:r>
      <w:proofErr w:type="gramEnd"/>
      <w:r w:rsidRPr="00DB1D7C">
        <w:rPr>
          <w:rFonts w:ascii="Calibri" w:hAnsi="Calibri"/>
          <w:sz w:val="20"/>
          <w:szCs w:val="20"/>
        </w:rPr>
        <w:t xml:space="preserve"> Guidelines for glucocorticoid induced osteoporosis </w:t>
      </w:r>
    </w:p>
    <w:p w14:paraId="4B01A3C8" w14:textId="5CE85447" w:rsidR="009E3526" w:rsidRPr="000C1538" w:rsidRDefault="009E3526" w:rsidP="009E3526">
      <w:pPr>
        <w:spacing w:after="0"/>
        <w:rPr>
          <w:rFonts w:ascii="Calibri" w:hAnsi="Calibri"/>
          <w:sz w:val="20"/>
          <w:szCs w:val="20"/>
        </w:rPr>
      </w:pPr>
      <w:proofErr w:type="gramStart"/>
      <w:r>
        <w:rPr>
          <w:rFonts w:ascii="Calibri" w:hAnsi="Calibri"/>
          <w:sz w:val="20"/>
          <w:szCs w:val="20"/>
          <w:vertAlign w:val="superscript"/>
        </w:rPr>
        <w:t>b</w:t>
      </w:r>
      <w:proofErr w:type="gramEnd"/>
      <w:r>
        <w:rPr>
          <w:rFonts w:ascii="Calibri" w:hAnsi="Calibri"/>
          <w:sz w:val="20"/>
          <w:szCs w:val="20"/>
        </w:rPr>
        <w:t xml:space="preserve"> Guideline for coeliac disease</w:t>
      </w:r>
    </w:p>
    <w:p w14:paraId="21D2796A" w14:textId="57F6018E" w:rsidR="002A557B" w:rsidRDefault="002A557B" w:rsidP="002A557B">
      <w:pPr>
        <w:spacing w:after="0"/>
        <w:rPr>
          <w:rFonts w:ascii="Calibri" w:hAnsi="Calibri"/>
          <w:sz w:val="20"/>
          <w:szCs w:val="20"/>
        </w:rPr>
      </w:pPr>
      <w:proofErr w:type="gramStart"/>
      <w:r>
        <w:rPr>
          <w:rFonts w:ascii="Calibri" w:hAnsi="Calibri"/>
          <w:sz w:val="20"/>
          <w:szCs w:val="20"/>
          <w:vertAlign w:val="superscript"/>
        </w:rPr>
        <w:t>c</w:t>
      </w:r>
      <w:proofErr w:type="gramEnd"/>
      <w:r w:rsidRPr="00DB1D7C">
        <w:rPr>
          <w:rFonts w:ascii="Calibri" w:hAnsi="Calibri"/>
          <w:sz w:val="20"/>
          <w:szCs w:val="20"/>
        </w:rPr>
        <w:t xml:space="preserve"> Guidelines for bone health in cancer</w:t>
      </w:r>
    </w:p>
    <w:p w14:paraId="3BC05105" w14:textId="13A695A8" w:rsidR="002A557B" w:rsidRDefault="002A557B" w:rsidP="002A557B">
      <w:pPr>
        <w:spacing w:after="0"/>
        <w:rPr>
          <w:rFonts w:ascii="Calibri" w:hAnsi="Calibri"/>
          <w:sz w:val="20"/>
          <w:szCs w:val="20"/>
        </w:rPr>
      </w:pPr>
      <w:proofErr w:type="gramStart"/>
      <w:r>
        <w:rPr>
          <w:rFonts w:ascii="Calibri" w:hAnsi="Calibri"/>
          <w:sz w:val="20"/>
          <w:szCs w:val="20"/>
          <w:vertAlign w:val="superscript"/>
        </w:rPr>
        <w:t>d</w:t>
      </w:r>
      <w:proofErr w:type="gramEnd"/>
      <w:r w:rsidRPr="000C1538">
        <w:rPr>
          <w:rFonts w:ascii="Calibri" w:hAnsi="Calibri"/>
          <w:sz w:val="20"/>
          <w:szCs w:val="20"/>
        </w:rPr>
        <w:t xml:space="preserve"> Guideline for prostate cancer</w:t>
      </w:r>
    </w:p>
    <w:p w14:paraId="6BBB520B" w14:textId="78C8052D" w:rsidR="002A557B" w:rsidRPr="002A557B" w:rsidRDefault="002A557B" w:rsidP="002A557B">
      <w:pPr>
        <w:spacing w:after="0"/>
        <w:rPr>
          <w:rFonts w:ascii="Calibri" w:hAnsi="Calibri"/>
          <w:sz w:val="20"/>
          <w:szCs w:val="20"/>
        </w:rPr>
      </w:pPr>
      <w:proofErr w:type="spellStart"/>
      <w:proofErr w:type="gramStart"/>
      <w:r w:rsidRPr="002A557B">
        <w:rPr>
          <w:rFonts w:ascii="Calibri" w:hAnsi="Calibri"/>
          <w:sz w:val="20"/>
          <w:szCs w:val="20"/>
          <w:vertAlign w:val="superscript"/>
        </w:rPr>
        <w:t>e</w:t>
      </w:r>
      <w:proofErr w:type="spellEnd"/>
      <w:proofErr w:type="gramEnd"/>
      <w:r w:rsidRPr="002A557B">
        <w:rPr>
          <w:rFonts w:ascii="Calibri" w:hAnsi="Calibri"/>
          <w:sz w:val="20"/>
          <w:szCs w:val="20"/>
        </w:rPr>
        <w:t xml:space="preserve"> Uses an alternative risk assessment tool</w:t>
      </w:r>
    </w:p>
    <w:p w14:paraId="375B8491" w14:textId="11854CD0" w:rsidR="00775DAF" w:rsidRPr="00DB1D7C" w:rsidRDefault="002A557B" w:rsidP="00E453B7">
      <w:pPr>
        <w:spacing w:after="0"/>
        <w:rPr>
          <w:rFonts w:ascii="Calibri" w:hAnsi="Calibri"/>
          <w:sz w:val="20"/>
          <w:szCs w:val="20"/>
        </w:rPr>
      </w:pPr>
      <w:proofErr w:type="gramStart"/>
      <w:r>
        <w:rPr>
          <w:rFonts w:ascii="Calibri" w:hAnsi="Calibri"/>
          <w:sz w:val="20"/>
          <w:szCs w:val="20"/>
          <w:vertAlign w:val="superscript"/>
        </w:rPr>
        <w:t>f</w:t>
      </w:r>
      <w:proofErr w:type="gramEnd"/>
      <w:r w:rsidR="00775DAF" w:rsidRPr="00DB1D7C">
        <w:rPr>
          <w:rFonts w:ascii="Calibri" w:hAnsi="Calibri"/>
          <w:sz w:val="20"/>
          <w:szCs w:val="20"/>
        </w:rPr>
        <w:t xml:space="preserve"> Guidance given in an accompanying </w:t>
      </w:r>
      <w:r w:rsidR="00775DAF" w:rsidRPr="002A557B">
        <w:rPr>
          <w:rFonts w:ascii="Calibri" w:hAnsi="Calibri"/>
          <w:sz w:val="20"/>
          <w:szCs w:val="20"/>
        </w:rPr>
        <w:t xml:space="preserve">editorial </w:t>
      </w:r>
      <w:r w:rsidR="005A054C" w:rsidRPr="002A557B">
        <w:rPr>
          <w:rFonts w:ascii="Calibri" w:hAnsi="Calibri"/>
          <w:sz w:val="20"/>
          <w:szCs w:val="20"/>
        </w:rPr>
        <w:t>[66]</w:t>
      </w:r>
    </w:p>
    <w:p w14:paraId="08E6333B" w14:textId="77777777" w:rsidR="000C1538" w:rsidRPr="00DB1D7C" w:rsidRDefault="000C1538" w:rsidP="00804032">
      <w:pPr>
        <w:spacing w:after="0"/>
        <w:rPr>
          <w:rFonts w:ascii="Calibri" w:hAnsi="Calibri"/>
          <w:sz w:val="20"/>
          <w:szCs w:val="20"/>
        </w:rPr>
      </w:pPr>
    </w:p>
    <w:p w14:paraId="7F7F8A51" w14:textId="47757697" w:rsidR="00BF2564" w:rsidRPr="00DB1D7C" w:rsidRDefault="00E065DB" w:rsidP="00BF2564">
      <w:pPr>
        <w:spacing w:after="0"/>
        <w:rPr>
          <w:rFonts w:ascii="Calibri" w:hAnsi="Calibri"/>
          <w:sz w:val="24"/>
          <w:szCs w:val="24"/>
        </w:rPr>
      </w:pPr>
      <w:r w:rsidRPr="00DB1D7C">
        <w:rPr>
          <w:rFonts w:ascii="Calibri" w:hAnsi="Calibri"/>
          <w:sz w:val="24"/>
          <w:szCs w:val="24"/>
        </w:rPr>
        <w:t>Where guidance on intervention thresholds has been provided, three</w:t>
      </w:r>
      <w:r w:rsidR="00BF2564" w:rsidRPr="00DB1D7C">
        <w:rPr>
          <w:rFonts w:ascii="Calibri" w:hAnsi="Calibri"/>
          <w:sz w:val="24"/>
          <w:szCs w:val="24"/>
        </w:rPr>
        <w:t xml:space="preserve"> </w:t>
      </w:r>
      <w:r w:rsidRPr="00DB1D7C">
        <w:rPr>
          <w:rFonts w:ascii="Calibri" w:hAnsi="Calibri"/>
          <w:sz w:val="24"/>
          <w:szCs w:val="24"/>
        </w:rPr>
        <w:t xml:space="preserve">broad </w:t>
      </w:r>
      <w:r w:rsidR="008937B8" w:rsidRPr="00DB1D7C">
        <w:rPr>
          <w:rFonts w:ascii="Calibri" w:hAnsi="Calibri"/>
          <w:sz w:val="24"/>
          <w:szCs w:val="24"/>
        </w:rPr>
        <w:t xml:space="preserve">approaches have been adopted.  The first was to determine a </w:t>
      </w:r>
      <w:r w:rsidR="008937B8" w:rsidRPr="00DB1D7C">
        <w:rPr>
          <w:rFonts w:ascii="Calibri" w:hAnsi="Calibri"/>
          <w:i/>
          <w:sz w:val="24"/>
          <w:szCs w:val="24"/>
        </w:rPr>
        <w:t>fixed threshold</w:t>
      </w:r>
      <w:r w:rsidR="008937B8" w:rsidRPr="00DB1D7C">
        <w:rPr>
          <w:rFonts w:ascii="Calibri" w:hAnsi="Calibri"/>
          <w:sz w:val="24"/>
          <w:szCs w:val="24"/>
        </w:rPr>
        <w:t xml:space="preserve"> that could be applied to men and women, irrespective of age.  This could be applied</w:t>
      </w:r>
      <w:r w:rsidR="00BF2564" w:rsidRPr="00DB1D7C">
        <w:rPr>
          <w:rFonts w:ascii="Calibri" w:hAnsi="Calibri"/>
          <w:sz w:val="24"/>
          <w:szCs w:val="24"/>
        </w:rPr>
        <w:t xml:space="preserve"> either alone or as a component of other thresholds (e.g. BMD, parental history of fracture etc.).</w:t>
      </w:r>
      <w:r w:rsidR="008937B8" w:rsidRPr="00DB1D7C">
        <w:rPr>
          <w:rFonts w:ascii="Calibri" w:hAnsi="Calibri"/>
          <w:sz w:val="24"/>
          <w:szCs w:val="24"/>
        </w:rPr>
        <w:t xml:space="preserve">  A second approach was to use </w:t>
      </w:r>
      <w:r w:rsidR="008937B8" w:rsidRPr="00DB1D7C">
        <w:rPr>
          <w:rFonts w:ascii="Calibri" w:hAnsi="Calibri"/>
          <w:i/>
          <w:sz w:val="24"/>
          <w:szCs w:val="24"/>
        </w:rPr>
        <w:t xml:space="preserve">age-dependent thresholds </w:t>
      </w:r>
      <w:r w:rsidR="008937B8" w:rsidRPr="00DB1D7C">
        <w:rPr>
          <w:rFonts w:ascii="Calibri" w:hAnsi="Calibri"/>
          <w:sz w:val="24"/>
          <w:szCs w:val="24"/>
        </w:rPr>
        <w:t xml:space="preserve">where the fracture probability at which treatment was recommended was age specific.  Finally a study from the UK and a guideline from Lebanon </w:t>
      </w:r>
      <w:r w:rsidR="008937B8" w:rsidRPr="00DB1D7C">
        <w:rPr>
          <w:rFonts w:ascii="Calibri" w:hAnsi="Calibri"/>
          <w:sz w:val="24"/>
          <w:szCs w:val="24"/>
        </w:rPr>
        <w:lastRenderedPageBreak/>
        <w:t>have used both fixed and age-dependent thresh</w:t>
      </w:r>
      <w:r w:rsidR="00876196" w:rsidRPr="00DB1D7C">
        <w:rPr>
          <w:rFonts w:ascii="Calibri" w:hAnsi="Calibri"/>
          <w:sz w:val="24"/>
          <w:szCs w:val="24"/>
        </w:rPr>
        <w:t>o</w:t>
      </w:r>
      <w:r w:rsidR="008937B8" w:rsidRPr="00DB1D7C">
        <w:rPr>
          <w:rFonts w:ascii="Calibri" w:hAnsi="Calibri"/>
          <w:sz w:val="24"/>
          <w:szCs w:val="24"/>
        </w:rPr>
        <w:t xml:space="preserve">lds </w:t>
      </w:r>
      <w:r w:rsidR="00876196" w:rsidRPr="00DB1D7C">
        <w:rPr>
          <w:rFonts w:ascii="Calibri" w:hAnsi="Calibri"/>
          <w:sz w:val="24"/>
          <w:szCs w:val="24"/>
        </w:rPr>
        <w:t xml:space="preserve">– termed </w:t>
      </w:r>
      <w:r w:rsidR="00876196" w:rsidRPr="00DB1D7C">
        <w:rPr>
          <w:rFonts w:ascii="Calibri" w:hAnsi="Calibri"/>
          <w:i/>
          <w:sz w:val="24"/>
          <w:szCs w:val="24"/>
        </w:rPr>
        <w:t>hybrid thresholds</w:t>
      </w:r>
      <w:r w:rsidR="00876196" w:rsidRPr="00DB1D7C">
        <w:rPr>
          <w:rFonts w:ascii="Calibri" w:hAnsi="Calibri"/>
          <w:sz w:val="24"/>
          <w:szCs w:val="24"/>
        </w:rPr>
        <w:t>.</w:t>
      </w:r>
      <w:r w:rsidR="008937B8" w:rsidRPr="00DB1D7C">
        <w:rPr>
          <w:rFonts w:ascii="Calibri" w:hAnsi="Calibri"/>
          <w:sz w:val="24"/>
          <w:szCs w:val="24"/>
        </w:rPr>
        <w:t xml:space="preserve"> </w:t>
      </w:r>
      <w:r w:rsidR="00876196" w:rsidRPr="00DB1D7C">
        <w:rPr>
          <w:rFonts w:ascii="Calibri" w:hAnsi="Calibri"/>
          <w:sz w:val="24"/>
          <w:szCs w:val="24"/>
        </w:rPr>
        <w:t>Th</w:t>
      </w:r>
      <w:r w:rsidR="00606B29" w:rsidRPr="00DB1D7C">
        <w:rPr>
          <w:rFonts w:ascii="Calibri" w:hAnsi="Calibri"/>
          <w:sz w:val="24"/>
          <w:szCs w:val="24"/>
        </w:rPr>
        <w:t>e</w:t>
      </w:r>
      <w:r w:rsidR="00876196" w:rsidRPr="00DB1D7C">
        <w:rPr>
          <w:rFonts w:ascii="Calibri" w:hAnsi="Calibri"/>
          <w:sz w:val="24"/>
          <w:szCs w:val="24"/>
        </w:rPr>
        <w:t>se three approaches are reviewed in turn.</w:t>
      </w:r>
    </w:p>
    <w:p w14:paraId="768CB8F5" w14:textId="77777777" w:rsidR="00594ACE" w:rsidRPr="00DB1D7C" w:rsidRDefault="00594ACE" w:rsidP="00BF2564">
      <w:pPr>
        <w:spacing w:after="0"/>
        <w:rPr>
          <w:rFonts w:ascii="Calibri" w:hAnsi="Calibri"/>
          <w:sz w:val="24"/>
          <w:szCs w:val="24"/>
        </w:rPr>
      </w:pPr>
    </w:p>
    <w:p w14:paraId="2A91BE61" w14:textId="77777777" w:rsidR="00E453B7" w:rsidRPr="00DB1D7C" w:rsidRDefault="00E453B7" w:rsidP="00E453B7">
      <w:pPr>
        <w:spacing w:after="0"/>
        <w:rPr>
          <w:rFonts w:ascii="Calibri" w:hAnsi="Calibri"/>
          <w:sz w:val="24"/>
          <w:szCs w:val="24"/>
        </w:rPr>
      </w:pPr>
    </w:p>
    <w:p w14:paraId="164A112F" w14:textId="2652BF99" w:rsidR="008E1A65" w:rsidRPr="00DB1D7C" w:rsidRDefault="00E3709F" w:rsidP="008A70B5">
      <w:pPr>
        <w:spacing w:after="0" w:line="276" w:lineRule="auto"/>
        <w:rPr>
          <w:rFonts w:ascii="Calibri" w:hAnsi="Calibri"/>
          <w:b/>
          <w:sz w:val="24"/>
          <w:szCs w:val="24"/>
        </w:rPr>
      </w:pPr>
      <w:r w:rsidRPr="00DB1D7C">
        <w:rPr>
          <w:rFonts w:ascii="Calibri" w:hAnsi="Calibri"/>
          <w:b/>
          <w:sz w:val="24"/>
          <w:szCs w:val="24"/>
        </w:rPr>
        <w:t>The use of a fixed FRAX intervention threshold</w:t>
      </w:r>
    </w:p>
    <w:p w14:paraId="3E9F3611" w14:textId="08B766C8" w:rsidR="00E3709F" w:rsidRPr="00DB1D7C" w:rsidRDefault="00E3709F" w:rsidP="008A70B5">
      <w:pPr>
        <w:spacing w:after="0" w:line="276" w:lineRule="auto"/>
        <w:rPr>
          <w:rFonts w:ascii="Calibri" w:hAnsi="Calibri"/>
          <w:b/>
          <w:sz w:val="24"/>
          <w:szCs w:val="24"/>
        </w:rPr>
      </w:pPr>
      <w:r w:rsidRPr="00DB1D7C">
        <w:rPr>
          <w:rFonts w:ascii="Calibri" w:hAnsi="Calibri"/>
          <w:sz w:val="24"/>
          <w:szCs w:val="24"/>
        </w:rPr>
        <w:t>Several guidelines that use FRAX have recommended that a fixed probability threshold be used as an intervention threshold.  Examples include a 20</w:t>
      </w:r>
      <w:r w:rsidR="00DC5574">
        <w:rPr>
          <w:rFonts w:ascii="Calibri" w:hAnsi="Calibri"/>
          <w:sz w:val="24"/>
          <w:szCs w:val="24"/>
        </w:rPr>
        <w:t xml:space="preserve"> </w:t>
      </w:r>
      <w:r w:rsidRPr="00DB1D7C">
        <w:rPr>
          <w:rFonts w:ascii="Calibri" w:hAnsi="Calibri"/>
          <w:sz w:val="24"/>
          <w:szCs w:val="24"/>
        </w:rPr>
        <w:t>% ten-year probability of a major fracture in Canada and the US, and a 15</w:t>
      </w:r>
      <w:r w:rsidR="00DC5574">
        <w:rPr>
          <w:rFonts w:ascii="Calibri" w:hAnsi="Calibri"/>
          <w:sz w:val="24"/>
          <w:szCs w:val="24"/>
        </w:rPr>
        <w:t xml:space="preserve"> </w:t>
      </w:r>
      <w:r w:rsidRPr="00DB1D7C">
        <w:rPr>
          <w:rFonts w:ascii="Calibri" w:hAnsi="Calibri"/>
          <w:sz w:val="24"/>
          <w:szCs w:val="24"/>
        </w:rPr>
        <w:t>% probability in Japan and Sweden</w:t>
      </w:r>
      <w:r w:rsidR="00ED0F27">
        <w:rPr>
          <w:rFonts w:ascii="Calibri" w:hAnsi="Calibri"/>
          <w:sz w:val="24"/>
          <w:szCs w:val="24"/>
        </w:rPr>
        <w:t xml:space="preserve"> [29, 31, 67, </w:t>
      </w:r>
      <w:proofErr w:type="gramStart"/>
      <w:r w:rsidR="00ED0F27">
        <w:rPr>
          <w:rFonts w:ascii="Calibri" w:hAnsi="Calibri"/>
          <w:sz w:val="24"/>
          <w:szCs w:val="24"/>
        </w:rPr>
        <w:t>68</w:t>
      </w:r>
      <w:proofErr w:type="gramEnd"/>
      <w:r w:rsidR="00ED0F27">
        <w:rPr>
          <w:rFonts w:ascii="Calibri" w:hAnsi="Calibri"/>
          <w:sz w:val="24"/>
          <w:szCs w:val="24"/>
        </w:rPr>
        <w:t>]</w:t>
      </w:r>
      <w:r w:rsidRPr="00DB1D7C">
        <w:rPr>
          <w:rFonts w:ascii="Calibri" w:hAnsi="Calibri"/>
          <w:sz w:val="24"/>
          <w:szCs w:val="24"/>
        </w:rPr>
        <w:t xml:space="preserve">. Other examples </w:t>
      </w:r>
      <w:r w:rsidRPr="002A1E50">
        <w:rPr>
          <w:rFonts w:ascii="Calibri" w:hAnsi="Calibri"/>
          <w:sz w:val="24"/>
          <w:szCs w:val="24"/>
        </w:rPr>
        <w:t xml:space="preserve">are given in Table </w:t>
      </w:r>
      <w:r w:rsidR="0006534F" w:rsidRPr="002A1E50">
        <w:rPr>
          <w:rFonts w:ascii="Calibri" w:hAnsi="Calibri"/>
          <w:sz w:val="24"/>
          <w:szCs w:val="24"/>
        </w:rPr>
        <w:t>3</w:t>
      </w:r>
      <w:r w:rsidRPr="002A1E50">
        <w:rPr>
          <w:rFonts w:ascii="Calibri" w:hAnsi="Calibri"/>
          <w:sz w:val="24"/>
          <w:szCs w:val="24"/>
        </w:rPr>
        <w:t>.</w:t>
      </w:r>
    </w:p>
    <w:p w14:paraId="40F96162" w14:textId="77777777" w:rsidR="008A70B5" w:rsidRPr="00DB1D7C" w:rsidRDefault="008A70B5" w:rsidP="008E1A65">
      <w:pPr>
        <w:spacing w:after="0"/>
        <w:rPr>
          <w:rFonts w:ascii="Calibri" w:hAnsi="Calibri"/>
          <w:b/>
          <w:highlight w:val="cyan"/>
        </w:rPr>
      </w:pPr>
    </w:p>
    <w:p w14:paraId="1E2CC03A" w14:textId="28F38D7D" w:rsidR="008E1A65" w:rsidRPr="00DB1D7C" w:rsidRDefault="008E1A65" w:rsidP="008E1A65">
      <w:pPr>
        <w:spacing w:after="0"/>
        <w:rPr>
          <w:rFonts w:ascii="Calibri" w:hAnsi="Calibri"/>
          <w:b/>
        </w:rPr>
      </w:pPr>
      <w:r w:rsidRPr="002A1E50">
        <w:rPr>
          <w:rFonts w:ascii="Calibri" w:hAnsi="Calibri"/>
          <w:b/>
        </w:rPr>
        <w:t xml:space="preserve">Table </w:t>
      </w:r>
      <w:r w:rsidR="0006534F" w:rsidRPr="002A1E50">
        <w:rPr>
          <w:rFonts w:ascii="Calibri" w:hAnsi="Calibri"/>
          <w:b/>
        </w:rPr>
        <w:t>3</w:t>
      </w:r>
      <w:r w:rsidRPr="002A1E50">
        <w:rPr>
          <w:rFonts w:ascii="Calibri" w:hAnsi="Calibri"/>
          <w:b/>
        </w:rPr>
        <w:t>.</w:t>
      </w:r>
      <w:r w:rsidRPr="00DB1D7C">
        <w:rPr>
          <w:rFonts w:ascii="Calibri" w:hAnsi="Calibri"/>
          <w:b/>
        </w:rPr>
        <w:t xml:space="preserve">  </w:t>
      </w:r>
      <w:r w:rsidR="00E841CB" w:rsidRPr="00DB1D7C">
        <w:rPr>
          <w:rFonts w:ascii="Calibri" w:hAnsi="Calibri"/>
        </w:rPr>
        <w:t>I</w:t>
      </w:r>
      <w:r w:rsidRPr="00DB1D7C">
        <w:rPr>
          <w:rFonts w:ascii="Calibri" w:hAnsi="Calibri"/>
        </w:rPr>
        <w:t xml:space="preserve">ntervention thresholds </w:t>
      </w:r>
      <w:r w:rsidR="00E841CB" w:rsidRPr="00DB1D7C">
        <w:rPr>
          <w:rFonts w:ascii="Calibri" w:hAnsi="Calibri"/>
        </w:rPr>
        <w:t xml:space="preserve">explored or adopted </w:t>
      </w:r>
      <w:r w:rsidRPr="00DB1D7C">
        <w:rPr>
          <w:rFonts w:ascii="Calibri" w:hAnsi="Calibri"/>
        </w:rPr>
        <w:t>using a fixed FRAX probability</w:t>
      </w:r>
      <w:r w:rsidR="00876196" w:rsidRPr="00DB1D7C">
        <w:rPr>
          <w:rFonts w:ascii="Calibri" w:hAnsi="Calibri"/>
        </w:rPr>
        <w:t xml:space="preserve"> for a major osteoporotic fracture (MOF) or hip fracture (HF).</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8"/>
        <w:gridCol w:w="236"/>
        <w:gridCol w:w="3841"/>
        <w:gridCol w:w="1283"/>
        <w:gridCol w:w="1132"/>
        <w:gridCol w:w="987"/>
      </w:tblGrid>
      <w:tr w:rsidR="005D01CB" w:rsidRPr="005C4100" w14:paraId="58ECA79E" w14:textId="77777777" w:rsidTr="005C4100">
        <w:tc>
          <w:tcPr>
            <w:tcW w:w="1588" w:type="dxa"/>
            <w:tcBorders>
              <w:bottom w:val="nil"/>
            </w:tcBorders>
          </w:tcPr>
          <w:p w14:paraId="64AFFED8" w14:textId="77777777" w:rsidR="005D01CB" w:rsidRPr="005C4100" w:rsidRDefault="005D01CB" w:rsidP="00ED0F27">
            <w:pPr>
              <w:spacing w:before="240"/>
            </w:pPr>
          </w:p>
        </w:tc>
        <w:tc>
          <w:tcPr>
            <w:tcW w:w="236" w:type="dxa"/>
            <w:tcBorders>
              <w:bottom w:val="nil"/>
            </w:tcBorders>
          </w:tcPr>
          <w:p w14:paraId="4ED08D25" w14:textId="77777777" w:rsidR="005D01CB" w:rsidRPr="005C4100" w:rsidRDefault="005D01CB" w:rsidP="00ED0F27">
            <w:pPr>
              <w:spacing w:before="240"/>
            </w:pPr>
          </w:p>
        </w:tc>
        <w:tc>
          <w:tcPr>
            <w:tcW w:w="3841" w:type="dxa"/>
            <w:tcBorders>
              <w:bottom w:val="nil"/>
            </w:tcBorders>
          </w:tcPr>
          <w:p w14:paraId="31C394C4" w14:textId="77777777" w:rsidR="005D01CB" w:rsidRPr="005C4100" w:rsidRDefault="005D01CB" w:rsidP="00ED0F27">
            <w:pPr>
              <w:spacing w:before="240"/>
            </w:pPr>
          </w:p>
        </w:tc>
        <w:tc>
          <w:tcPr>
            <w:tcW w:w="1283" w:type="dxa"/>
            <w:tcBorders>
              <w:bottom w:val="nil"/>
            </w:tcBorders>
          </w:tcPr>
          <w:p w14:paraId="372EF241" w14:textId="77777777" w:rsidR="005D01CB" w:rsidRPr="005C4100" w:rsidRDefault="005D01CB" w:rsidP="00C26BE9">
            <w:pPr>
              <w:spacing w:before="240"/>
              <w:jc w:val="center"/>
            </w:pPr>
          </w:p>
        </w:tc>
        <w:tc>
          <w:tcPr>
            <w:tcW w:w="2119" w:type="dxa"/>
            <w:gridSpan w:val="2"/>
            <w:tcBorders>
              <w:top w:val="single" w:sz="4" w:space="0" w:color="auto"/>
              <w:bottom w:val="single" w:sz="4" w:space="0" w:color="auto"/>
            </w:tcBorders>
          </w:tcPr>
          <w:p w14:paraId="5523C941" w14:textId="61AAED74" w:rsidR="005D01CB" w:rsidRPr="005C4100" w:rsidRDefault="005D01CB" w:rsidP="00ED0F27">
            <w:pPr>
              <w:spacing w:before="240"/>
              <w:jc w:val="center"/>
            </w:pPr>
            <w:r w:rsidRPr="005C4100">
              <w:t>Threshold (%)</w:t>
            </w:r>
          </w:p>
        </w:tc>
      </w:tr>
      <w:tr w:rsidR="005D01CB" w:rsidRPr="005C4100" w14:paraId="202901E5" w14:textId="26DC5D45" w:rsidTr="005C4100">
        <w:tc>
          <w:tcPr>
            <w:tcW w:w="1588" w:type="dxa"/>
            <w:tcBorders>
              <w:top w:val="nil"/>
              <w:bottom w:val="single" w:sz="4" w:space="0" w:color="auto"/>
            </w:tcBorders>
          </w:tcPr>
          <w:p w14:paraId="0A706C9A" w14:textId="09CDBD82" w:rsidR="005D01CB" w:rsidRPr="005C4100" w:rsidRDefault="005D01CB" w:rsidP="00ED0F27">
            <w:pPr>
              <w:spacing w:before="240"/>
            </w:pPr>
            <w:r w:rsidRPr="005C4100">
              <w:t>Country</w:t>
            </w:r>
            <w:r w:rsidR="00ED0F27" w:rsidRPr="005C4100">
              <w:t>/region</w:t>
            </w:r>
          </w:p>
        </w:tc>
        <w:tc>
          <w:tcPr>
            <w:tcW w:w="236" w:type="dxa"/>
            <w:tcBorders>
              <w:top w:val="nil"/>
              <w:bottom w:val="single" w:sz="4" w:space="0" w:color="auto"/>
            </w:tcBorders>
          </w:tcPr>
          <w:p w14:paraId="1602F6B0" w14:textId="77777777" w:rsidR="005D01CB" w:rsidRPr="005C4100" w:rsidRDefault="005D01CB" w:rsidP="00ED0F27">
            <w:pPr>
              <w:spacing w:before="240"/>
            </w:pPr>
          </w:p>
        </w:tc>
        <w:tc>
          <w:tcPr>
            <w:tcW w:w="3841" w:type="dxa"/>
            <w:tcBorders>
              <w:top w:val="nil"/>
              <w:bottom w:val="single" w:sz="4" w:space="0" w:color="auto"/>
            </w:tcBorders>
          </w:tcPr>
          <w:p w14:paraId="0ABE6DE5" w14:textId="1A3BA809" w:rsidR="005D01CB" w:rsidRPr="005C4100" w:rsidRDefault="005D01CB" w:rsidP="00ED0F27">
            <w:pPr>
              <w:spacing w:before="240"/>
            </w:pPr>
            <w:r w:rsidRPr="005C4100">
              <w:t>Source</w:t>
            </w:r>
          </w:p>
        </w:tc>
        <w:tc>
          <w:tcPr>
            <w:tcW w:w="1283" w:type="dxa"/>
            <w:tcBorders>
              <w:top w:val="nil"/>
              <w:bottom w:val="single" w:sz="4" w:space="0" w:color="auto"/>
            </w:tcBorders>
          </w:tcPr>
          <w:p w14:paraId="468AA742" w14:textId="7DAA2BAB" w:rsidR="005D01CB" w:rsidRPr="005C4100" w:rsidRDefault="005D01CB" w:rsidP="00C26BE9">
            <w:pPr>
              <w:spacing w:before="240"/>
              <w:jc w:val="center"/>
            </w:pPr>
            <w:r w:rsidRPr="005C4100">
              <w:t>Reference</w:t>
            </w:r>
          </w:p>
        </w:tc>
        <w:tc>
          <w:tcPr>
            <w:tcW w:w="1132" w:type="dxa"/>
            <w:tcBorders>
              <w:top w:val="single" w:sz="4" w:space="0" w:color="auto"/>
              <w:bottom w:val="single" w:sz="4" w:space="0" w:color="auto"/>
            </w:tcBorders>
          </w:tcPr>
          <w:p w14:paraId="503F6A3D" w14:textId="67AE71B7" w:rsidR="005D01CB" w:rsidRPr="005C4100" w:rsidRDefault="005D01CB" w:rsidP="00ED0F27">
            <w:pPr>
              <w:spacing w:before="240"/>
              <w:jc w:val="center"/>
            </w:pPr>
            <w:r w:rsidRPr="005C4100">
              <w:t>MOF</w:t>
            </w:r>
          </w:p>
        </w:tc>
        <w:tc>
          <w:tcPr>
            <w:tcW w:w="987" w:type="dxa"/>
            <w:tcBorders>
              <w:top w:val="single" w:sz="4" w:space="0" w:color="auto"/>
              <w:bottom w:val="single" w:sz="4" w:space="0" w:color="auto"/>
            </w:tcBorders>
          </w:tcPr>
          <w:p w14:paraId="2BDB8924" w14:textId="2A4D5798" w:rsidR="005D01CB" w:rsidRPr="005C4100" w:rsidRDefault="005D01CB" w:rsidP="00ED0F27">
            <w:pPr>
              <w:spacing w:before="240"/>
              <w:jc w:val="center"/>
            </w:pPr>
            <w:r w:rsidRPr="005C4100">
              <w:t>HF</w:t>
            </w:r>
          </w:p>
        </w:tc>
      </w:tr>
      <w:tr w:rsidR="00ED7673" w:rsidRPr="005C4100" w14:paraId="1C81DC13" w14:textId="77777777" w:rsidTr="005C4100">
        <w:tc>
          <w:tcPr>
            <w:tcW w:w="1588" w:type="dxa"/>
            <w:tcBorders>
              <w:top w:val="single" w:sz="4" w:space="0" w:color="auto"/>
            </w:tcBorders>
            <w:shd w:val="clear" w:color="auto" w:fill="auto"/>
          </w:tcPr>
          <w:p w14:paraId="69BBF9C4" w14:textId="1CF87A25" w:rsidR="00ED7673" w:rsidRPr="005C4100" w:rsidRDefault="00ED7673" w:rsidP="00DA0C6C">
            <w:pPr>
              <w:spacing w:before="240"/>
            </w:pPr>
            <w:r w:rsidRPr="005C4100">
              <w:t>--</w:t>
            </w:r>
            <w:r w:rsidR="00DA0C6C" w:rsidRPr="005C4100">
              <w:rPr>
                <w:vertAlign w:val="superscript"/>
              </w:rPr>
              <w:t>a</w:t>
            </w:r>
          </w:p>
        </w:tc>
        <w:tc>
          <w:tcPr>
            <w:tcW w:w="236" w:type="dxa"/>
            <w:tcBorders>
              <w:top w:val="single" w:sz="4" w:space="0" w:color="auto"/>
            </w:tcBorders>
          </w:tcPr>
          <w:p w14:paraId="6B69D394" w14:textId="77777777" w:rsidR="00ED7673" w:rsidRPr="005C4100" w:rsidRDefault="00ED7673" w:rsidP="00ED0F27">
            <w:pPr>
              <w:spacing w:before="240"/>
            </w:pPr>
          </w:p>
        </w:tc>
        <w:tc>
          <w:tcPr>
            <w:tcW w:w="3841" w:type="dxa"/>
            <w:tcBorders>
              <w:top w:val="single" w:sz="4" w:space="0" w:color="auto"/>
            </w:tcBorders>
            <w:shd w:val="clear" w:color="auto" w:fill="auto"/>
          </w:tcPr>
          <w:p w14:paraId="55E6CCE0" w14:textId="77777777" w:rsidR="00ED7673" w:rsidRPr="005C4100" w:rsidRDefault="00ED7673" w:rsidP="00ED0F27">
            <w:pPr>
              <w:spacing w:before="240"/>
            </w:pPr>
            <w:r w:rsidRPr="005C4100">
              <w:t>Academia</w:t>
            </w:r>
          </w:p>
        </w:tc>
        <w:tc>
          <w:tcPr>
            <w:tcW w:w="1283" w:type="dxa"/>
            <w:tcBorders>
              <w:top w:val="single" w:sz="4" w:space="0" w:color="auto"/>
            </w:tcBorders>
          </w:tcPr>
          <w:p w14:paraId="124E8DD0" w14:textId="1D2E22D2" w:rsidR="00ED7673" w:rsidRPr="005C4100" w:rsidRDefault="00806725" w:rsidP="00C26BE9">
            <w:pPr>
              <w:spacing w:before="240"/>
              <w:jc w:val="center"/>
            </w:pPr>
            <w:r w:rsidRPr="005C4100">
              <w:t xml:space="preserve"> [</w:t>
            </w:r>
            <w:r w:rsidR="00784301" w:rsidRPr="005C4100">
              <w:t>69</w:t>
            </w:r>
            <w:r w:rsidRPr="005C4100">
              <w:t>]</w:t>
            </w:r>
          </w:p>
        </w:tc>
        <w:tc>
          <w:tcPr>
            <w:tcW w:w="1132" w:type="dxa"/>
            <w:tcBorders>
              <w:top w:val="single" w:sz="4" w:space="0" w:color="auto"/>
            </w:tcBorders>
          </w:tcPr>
          <w:p w14:paraId="6AA30F45" w14:textId="77777777" w:rsidR="00ED7673" w:rsidRPr="005C4100" w:rsidRDefault="00ED7673" w:rsidP="00ED0F27">
            <w:pPr>
              <w:spacing w:before="240"/>
              <w:jc w:val="center"/>
            </w:pPr>
            <w:r w:rsidRPr="005C4100">
              <w:t>20</w:t>
            </w:r>
          </w:p>
        </w:tc>
        <w:tc>
          <w:tcPr>
            <w:tcW w:w="987" w:type="dxa"/>
            <w:tcBorders>
              <w:top w:val="single" w:sz="4" w:space="0" w:color="auto"/>
            </w:tcBorders>
          </w:tcPr>
          <w:p w14:paraId="0C8DB870" w14:textId="77777777" w:rsidR="00ED7673" w:rsidRPr="005C4100" w:rsidRDefault="00ED7673" w:rsidP="00ED0F27">
            <w:pPr>
              <w:spacing w:before="240"/>
              <w:jc w:val="center"/>
            </w:pPr>
            <w:r w:rsidRPr="005C4100">
              <w:t>3</w:t>
            </w:r>
          </w:p>
        </w:tc>
      </w:tr>
      <w:tr w:rsidR="00ED7673" w:rsidRPr="005C4100" w14:paraId="140600AE" w14:textId="77777777" w:rsidTr="005C4100">
        <w:tc>
          <w:tcPr>
            <w:tcW w:w="1588" w:type="dxa"/>
          </w:tcPr>
          <w:p w14:paraId="3CE486B1" w14:textId="77777777" w:rsidR="00ED7673" w:rsidRPr="005C4100" w:rsidRDefault="00ED7673" w:rsidP="00ED0F27">
            <w:pPr>
              <w:spacing w:before="240"/>
            </w:pPr>
            <w:r w:rsidRPr="005C4100">
              <w:t>Austria</w:t>
            </w:r>
          </w:p>
        </w:tc>
        <w:tc>
          <w:tcPr>
            <w:tcW w:w="236" w:type="dxa"/>
          </w:tcPr>
          <w:p w14:paraId="260FFA36" w14:textId="77777777" w:rsidR="00ED7673" w:rsidRPr="005C4100" w:rsidRDefault="00ED7673" w:rsidP="00ED0F27">
            <w:pPr>
              <w:spacing w:before="240"/>
            </w:pPr>
          </w:p>
        </w:tc>
        <w:tc>
          <w:tcPr>
            <w:tcW w:w="3841" w:type="dxa"/>
            <w:shd w:val="clear" w:color="auto" w:fill="auto"/>
          </w:tcPr>
          <w:p w14:paraId="4DFEAF26" w14:textId="77777777" w:rsidR="00ED7673" w:rsidRPr="005C4100" w:rsidRDefault="00ED7673" w:rsidP="00ED0F27">
            <w:pPr>
              <w:spacing w:before="240"/>
            </w:pPr>
            <w:proofErr w:type="spellStart"/>
            <w:r w:rsidRPr="005C4100">
              <w:t>Pharmig</w:t>
            </w:r>
            <w:proofErr w:type="spellEnd"/>
            <w:r w:rsidRPr="005C4100">
              <w:t xml:space="preserve">, </w:t>
            </w:r>
            <w:proofErr w:type="spellStart"/>
            <w:r w:rsidRPr="005C4100">
              <w:t>Verband</w:t>
            </w:r>
            <w:proofErr w:type="spellEnd"/>
            <w:r w:rsidRPr="005C4100">
              <w:t xml:space="preserve"> der </w:t>
            </w:r>
            <w:proofErr w:type="spellStart"/>
            <w:r w:rsidRPr="005C4100">
              <w:t>pharmazeutischen</w:t>
            </w:r>
            <w:proofErr w:type="spellEnd"/>
            <w:r w:rsidRPr="005C4100">
              <w:t xml:space="preserve"> </w:t>
            </w:r>
            <w:proofErr w:type="spellStart"/>
            <w:r w:rsidRPr="005C4100">
              <w:t>Industrie</w:t>
            </w:r>
            <w:proofErr w:type="spellEnd"/>
            <w:r w:rsidRPr="005C4100">
              <w:t xml:space="preserve"> </w:t>
            </w:r>
            <w:proofErr w:type="spellStart"/>
            <w:r w:rsidRPr="005C4100">
              <w:t>Österreichs</w:t>
            </w:r>
            <w:proofErr w:type="spellEnd"/>
          </w:p>
        </w:tc>
        <w:tc>
          <w:tcPr>
            <w:tcW w:w="1283" w:type="dxa"/>
            <w:shd w:val="clear" w:color="auto" w:fill="auto"/>
          </w:tcPr>
          <w:p w14:paraId="3E923439" w14:textId="59230686" w:rsidR="00ED7673" w:rsidRPr="005C4100" w:rsidRDefault="00806725" w:rsidP="00C26BE9">
            <w:pPr>
              <w:spacing w:before="240"/>
              <w:jc w:val="center"/>
            </w:pPr>
            <w:r w:rsidRPr="005C4100">
              <w:t xml:space="preserve"> </w:t>
            </w:r>
            <w:r w:rsidR="00784301" w:rsidRPr="005C4100">
              <w:t>[70</w:t>
            </w:r>
            <w:r w:rsidRPr="005C4100">
              <w:t>]</w:t>
            </w:r>
          </w:p>
        </w:tc>
        <w:tc>
          <w:tcPr>
            <w:tcW w:w="1132" w:type="dxa"/>
          </w:tcPr>
          <w:p w14:paraId="09EA4C5F" w14:textId="77777777" w:rsidR="00ED7673" w:rsidRPr="005C4100" w:rsidRDefault="00ED7673" w:rsidP="00ED0F27">
            <w:pPr>
              <w:spacing w:before="240"/>
              <w:jc w:val="center"/>
            </w:pPr>
            <w:r w:rsidRPr="005C4100">
              <w:t>20</w:t>
            </w:r>
          </w:p>
        </w:tc>
        <w:tc>
          <w:tcPr>
            <w:tcW w:w="987" w:type="dxa"/>
          </w:tcPr>
          <w:p w14:paraId="7C808DEF" w14:textId="77777777" w:rsidR="00ED7673" w:rsidRPr="005C4100" w:rsidRDefault="00ED7673" w:rsidP="00ED0F27">
            <w:pPr>
              <w:spacing w:before="240"/>
              <w:jc w:val="center"/>
            </w:pPr>
          </w:p>
        </w:tc>
      </w:tr>
      <w:tr w:rsidR="001F46C0" w:rsidRPr="005C4100" w14:paraId="2FF8BC66" w14:textId="77777777" w:rsidTr="005C4100">
        <w:tc>
          <w:tcPr>
            <w:tcW w:w="1588" w:type="dxa"/>
            <w:shd w:val="clear" w:color="auto" w:fill="auto"/>
          </w:tcPr>
          <w:p w14:paraId="1D889175" w14:textId="6A8B2C3D" w:rsidR="001F46C0" w:rsidRPr="005C4100" w:rsidRDefault="001F46C0" w:rsidP="00DA0C6C">
            <w:pPr>
              <w:spacing w:before="240"/>
            </w:pPr>
            <w:r w:rsidRPr="005C4100">
              <w:t xml:space="preserve">Belgium </w:t>
            </w:r>
            <w:r w:rsidR="00DA0C6C" w:rsidRPr="005C4100">
              <w:rPr>
                <w:vertAlign w:val="superscript"/>
              </w:rPr>
              <w:t>b</w:t>
            </w:r>
          </w:p>
        </w:tc>
        <w:tc>
          <w:tcPr>
            <w:tcW w:w="236" w:type="dxa"/>
          </w:tcPr>
          <w:p w14:paraId="1B40E5C3" w14:textId="77777777" w:rsidR="001F46C0" w:rsidRPr="005C4100" w:rsidRDefault="001F46C0" w:rsidP="00ED0F27">
            <w:pPr>
              <w:spacing w:before="240"/>
            </w:pPr>
          </w:p>
        </w:tc>
        <w:tc>
          <w:tcPr>
            <w:tcW w:w="3841" w:type="dxa"/>
            <w:shd w:val="clear" w:color="auto" w:fill="auto"/>
          </w:tcPr>
          <w:p w14:paraId="23BB1C6B" w14:textId="713159E8" w:rsidR="001F46C0" w:rsidRPr="005C4100" w:rsidRDefault="001F46C0" w:rsidP="00ED0F27">
            <w:pPr>
              <w:spacing w:before="240"/>
            </w:pPr>
            <w:r w:rsidRPr="005C4100">
              <w:t>Academia</w:t>
            </w:r>
          </w:p>
        </w:tc>
        <w:tc>
          <w:tcPr>
            <w:tcW w:w="1283" w:type="dxa"/>
            <w:shd w:val="clear" w:color="auto" w:fill="auto"/>
          </w:tcPr>
          <w:p w14:paraId="5C3DFFA6" w14:textId="712D2F03" w:rsidR="001F46C0" w:rsidRPr="005C4100" w:rsidRDefault="00806725" w:rsidP="00C26BE9">
            <w:pPr>
              <w:spacing w:before="240"/>
              <w:jc w:val="center"/>
              <w:rPr>
                <w:rFonts w:eastAsia="MS Mincho" w:cs="Arial"/>
                <w:lang w:eastAsia="ja-JP"/>
              </w:rPr>
            </w:pPr>
            <w:r w:rsidRPr="005C4100">
              <w:t xml:space="preserve"> [</w:t>
            </w:r>
            <w:r w:rsidR="00784301" w:rsidRPr="005C4100">
              <w:t>71</w:t>
            </w:r>
            <w:r w:rsidRPr="005C4100">
              <w:t>]</w:t>
            </w:r>
          </w:p>
        </w:tc>
        <w:tc>
          <w:tcPr>
            <w:tcW w:w="1132" w:type="dxa"/>
          </w:tcPr>
          <w:p w14:paraId="518567C8" w14:textId="43D54C1B" w:rsidR="001F46C0" w:rsidRPr="005C4100" w:rsidRDefault="001F46C0" w:rsidP="00ED0F27">
            <w:pPr>
              <w:spacing w:before="240"/>
              <w:jc w:val="center"/>
            </w:pPr>
            <w:r w:rsidRPr="005C4100">
              <w:t>20</w:t>
            </w:r>
          </w:p>
        </w:tc>
        <w:tc>
          <w:tcPr>
            <w:tcW w:w="987" w:type="dxa"/>
          </w:tcPr>
          <w:p w14:paraId="05EB53C1" w14:textId="68D591C1" w:rsidR="001F46C0" w:rsidRPr="005C4100" w:rsidRDefault="001F46C0" w:rsidP="00ED0F27">
            <w:pPr>
              <w:spacing w:before="240"/>
              <w:jc w:val="center"/>
            </w:pPr>
            <w:r w:rsidRPr="005C4100">
              <w:t>3</w:t>
            </w:r>
          </w:p>
        </w:tc>
      </w:tr>
      <w:tr w:rsidR="00ED7673" w:rsidRPr="005C4100" w14:paraId="31BC93B1" w14:textId="77777777" w:rsidTr="005C4100">
        <w:tc>
          <w:tcPr>
            <w:tcW w:w="1588" w:type="dxa"/>
          </w:tcPr>
          <w:p w14:paraId="4554C4E3" w14:textId="77777777" w:rsidR="00ED7673" w:rsidRPr="005C4100" w:rsidRDefault="00ED7673" w:rsidP="00ED0F27">
            <w:pPr>
              <w:spacing w:before="240"/>
            </w:pPr>
            <w:r w:rsidRPr="005C4100">
              <w:t>Canada</w:t>
            </w:r>
          </w:p>
        </w:tc>
        <w:tc>
          <w:tcPr>
            <w:tcW w:w="236" w:type="dxa"/>
          </w:tcPr>
          <w:p w14:paraId="601222B6" w14:textId="77777777" w:rsidR="00ED7673" w:rsidRPr="005C4100" w:rsidRDefault="00ED7673" w:rsidP="00ED0F27">
            <w:pPr>
              <w:spacing w:before="240"/>
            </w:pPr>
          </w:p>
        </w:tc>
        <w:tc>
          <w:tcPr>
            <w:tcW w:w="3841" w:type="dxa"/>
            <w:shd w:val="clear" w:color="auto" w:fill="auto"/>
          </w:tcPr>
          <w:p w14:paraId="32CA8FB0" w14:textId="40F920D4" w:rsidR="00ED7673" w:rsidRPr="005C4100" w:rsidRDefault="00ED7673" w:rsidP="00ED0F27">
            <w:pPr>
              <w:spacing w:before="240"/>
            </w:pPr>
            <w:r w:rsidRPr="005C4100">
              <w:t>Osteoporosis Canada.</w:t>
            </w:r>
          </w:p>
        </w:tc>
        <w:tc>
          <w:tcPr>
            <w:tcW w:w="1283" w:type="dxa"/>
          </w:tcPr>
          <w:p w14:paraId="1FF7182C" w14:textId="44EE072D" w:rsidR="00ED7673" w:rsidRPr="005C4100" w:rsidRDefault="00806725" w:rsidP="00C26BE9">
            <w:pPr>
              <w:spacing w:before="240"/>
              <w:jc w:val="center"/>
            </w:pPr>
            <w:r w:rsidRPr="005C4100">
              <w:t xml:space="preserve"> [</w:t>
            </w:r>
            <w:r w:rsidR="00784301" w:rsidRPr="005C4100">
              <w:t>29</w:t>
            </w:r>
            <w:r w:rsidRPr="005C4100">
              <w:t>]</w:t>
            </w:r>
          </w:p>
        </w:tc>
        <w:tc>
          <w:tcPr>
            <w:tcW w:w="1132" w:type="dxa"/>
          </w:tcPr>
          <w:p w14:paraId="65672387" w14:textId="77777777" w:rsidR="00ED7673" w:rsidRPr="005C4100" w:rsidRDefault="00ED7673" w:rsidP="00ED0F27">
            <w:pPr>
              <w:spacing w:before="240"/>
              <w:jc w:val="center"/>
            </w:pPr>
            <w:r w:rsidRPr="005C4100">
              <w:t>20</w:t>
            </w:r>
          </w:p>
        </w:tc>
        <w:tc>
          <w:tcPr>
            <w:tcW w:w="987" w:type="dxa"/>
          </w:tcPr>
          <w:p w14:paraId="40CAE030" w14:textId="77777777" w:rsidR="00ED7673" w:rsidRPr="005C4100" w:rsidRDefault="00ED7673" w:rsidP="00ED0F27">
            <w:pPr>
              <w:spacing w:before="240"/>
              <w:jc w:val="center"/>
            </w:pPr>
          </w:p>
        </w:tc>
      </w:tr>
      <w:tr w:rsidR="00037DB4" w:rsidRPr="005C4100" w14:paraId="36B765DD" w14:textId="77777777" w:rsidTr="005C4100">
        <w:tc>
          <w:tcPr>
            <w:tcW w:w="1588" w:type="dxa"/>
          </w:tcPr>
          <w:p w14:paraId="7BB337E1" w14:textId="2E191B81" w:rsidR="00037DB4" w:rsidRPr="005C4100" w:rsidRDefault="00037DB4" w:rsidP="00ED0F27">
            <w:pPr>
              <w:spacing w:before="240"/>
            </w:pPr>
          </w:p>
        </w:tc>
        <w:tc>
          <w:tcPr>
            <w:tcW w:w="236" w:type="dxa"/>
          </w:tcPr>
          <w:p w14:paraId="2573B2A5" w14:textId="77777777" w:rsidR="00037DB4" w:rsidRPr="005C4100" w:rsidRDefault="00037DB4" w:rsidP="00ED0F27">
            <w:pPr>
              <w:spacing w:before="240"/>
            </w:pPr>
          </w:p>
        </w:tc>
        <w:tc>
          <w:tcPr>
            <w:tcW w:w="3841" w:type="dxa"/>
          </w:tcPr>
          <w:p w14:paraId="629919D0" w14:textId="524B4EC1" w:rsidR="00037DB4" w:rsidRPr="005C4100" w:rsidRDefault="00037DB4" w:rsidP="00ED0F27">
            <w:pPr>
              <w:spacing w:before="240"/>
            </w:pPr>
          </w:p>
        </w:tc>
        <w:tc>
          <w:tcPr>
            <w:tcW w:w="1283" w:type="dxa"/>
          </w:tcPr>
          <w:p w14:paraId="26803168" w14:textId="0F3DD61A" w:rsidR="00037DB4" w:rsidRPr="005C4100" w:rsidRDefault="00037DB4" w:rsidP="00C26BE9">
            <w:pPr>
              <w:spacing w:before="240"/>
              <w:jc w:val="center"/>
            </w:pPr>
          </w:p>
        </w:tc>
        <w:tc>
          <w:tcPr>
            <w:tcW w:w="1132" w:type="dxa"/>
            <w:shd w:val="clear" w:color="auto" w:fill="auto"/>
          </w:tcPr>
          <w:p w14:paraId="1EF42B64" w14:textId="18A8652B" w:rsidR="00037DB4" w:rsidRPr="005C4100" w:rsidRDefault="00037DB4" w:rsidP="00C168EA">
            <w:pPr>
              <w:spacing w:before="240"/>
              <w:jc w:val="center"/>
            </w:pPr>
          </w:p>
        </w:tc>
        <w:tc>
          <w:tcPr>
            <w:tcW w:w="987" w:type="dxa"/>
          </w:tcPr>
          <w:p w14:paraId="18314F2E" w14:textId="52F1932F" w:rsidR="00037DB4" w:rsidRPr="005C4100" w:rsidRDefault="00037DB4" w:rsidP="00ED0F27">
            <w:pPr>
              <w:spacing w:before="240"/>
              <w:jc w:val="center"/>
            </w:pPr>
          </w:p>
        </w:tc>
      </w:tr>
      <w:tr w:rsidR="00B2113E" w:rsidRPr="005C4100" w14:paraId="6442114C" w14:textId="77777777" w:rsidTr="005C4100">
        <w:tc>
          <w:tcPr>
            <w:tcW w:w="1588" w:type="dxa"/>
          </w:tcPr>
          <w:p w14:paraId="6880819B" w14:textId="25CB821B" w:rsidR="00B2113E" w:rsidRPr="005C4100" w:rsidRDefault="00B2113E" w:rsidP="00ED0F27">
            <w:pPr>
              <w:spacing w:before="240"/>
            </w:pPr>
            <w:r w:rsidRPr="005C4100">
              <w:t>Canada</w:t>
            </w:r>
          </w:p>
        </w:tc>
        <w:tc>
          <w:tcPr>
            <w:tcW w:w="236" w:type="dxa"/>
          </w:tcPr>
          <w:p w14:paraId="24F903CF" w14:textId="77777777" w:rsidR="00B2113E" w:rsidRPr="005C4100" w:rsidRDefault="00B2113E" w:rsidP="00ED0F27">
            <w:pPr>
              <w:spacing w:before="240"/>
            </w:pPr>
          </w:p>
        </w:tc>
        <w:tc>
          <w:tcPr>
            <w:tcW w:w="3841" w:type="dxa"/>
            <w:shd w:val="clear" w:color="auto" w:fill="auto"/>
          </w:tcPr>
          <w:p w14:paraId="0013D047" w14:textId="37DAB1EC" w:rsidR="00B2113E" w:rsidRPr="005C4100" w:rsidRDefault="00B2113E" w:rsidP="00ED0F27">
            <w:pPr>
              <w:spacing w:before="240"/>
            </w:pPr>
            <w:r w:rsidRPr="005C4100">
              <w:t>Ministry of Health, British Columbia</w:t>
            </w:r>
          </w:p>
        </w:tc>
        <w:tc>
          <w:tcPr>
            <w:tcW w:w="1283" w:type="dxa"/>
          </w:tcPr>
          <w:p w14:paraId="1329F07D" w14:textId="5D9E39EE" w:rsidR="00B2113E" w:rsidRPr="005C4100" w:rsidRDefault="00806725" w:rsidP="00C26BE9">
            <w:pPr>
              <w:spacing w:before="240"/>
              <w:jc w:val="center"/>
            </w:pPr>
            <w:r w:rsidRPr="005C4100">
              <w:t xml:space="preserve"> [</w:t>
            </w:r>
            <w:r w:rsidR="00784301" w:rsidRPr="005C4100">
              <w:t>73</w:t>
            </w:r>
            <w:r w:rsidRPr="005C4100">
              <w:t>]</w:t>
            </w:r>
          </w:p>
        </w:tc>
        <w:tc>
          <w:tcPr>
            <w:tcW w:w="1132" w:type="dxa"/>
          </w:tcPr>
          <w:p w14:paraId="4AFBA3D5" w14:textId="2DB75B8B" w:rsidR="00B2113E" w:rsidRPr="005C4100" w:rsidRDefault="00B2113E" w:rsidP="00ED0F27">
            <w:pPr>
              <w:spacing w:before="240"/>
              <w:jc w:val="center"/>
            </w:pPr>
            <w:r w:rsidRPr="005C4100">
              <w:t>20</w:t>
            </w:r>
          </w:p>
        </w:tc>
        <w:tc>
          <w:tcPr>
            <w:tcW w:w="987" w:type="dxa"/>
          </w:tcPr>
          <w:p w14:paraId="32C90142" w14:textId="29B527FB" w:rsidR="00B2113E" w:rsidRPr="005C4100" w:rsidRDefault="00B2113E" w:rsidP="00ED0F27">
            <w:pPr>
              <w:spacing w:before="240"/>
              <w:jc w:val="center"/>
            </w:pPr>
          </w:p>
        </w:tc>
      </w:tr>
      <w:tr w:rsidR="000040F5" w:rsidRPr="005C4100" w14:paraId="0729B03A" w14:textId="77777777" w:rsidTr="005C4100">
        <w:tc>
          <w:tcPr>
            <w:tcW w:w="1588" w:type="dxa"/>
          </w:tcPr>
          <w:p w14:paraId="45345C80" w14:textId="624A0BE6" w:rsidR="000040F5" w:rsidRPr="005C4100" w:rsidRDefault="000040F5" w:rsidP="00ED0F27">
            <w:pPr>
              <w:spacing w:before="240"/>
            </w:pPr>
            <w:r w:rsidRPr="005C4100">
              <w:t>Canada</w:t>
            </w:r>
          </w:p>
        </w:tc>
        <w:tc>
          <w:tcPr>
            <w:tcW w:w="236" w:type="dxa"/>
          </w:tcPr>
          <w:p w14:paraId="04CD7398" w14:textId="77777777" w:rsidR="000040F5" w:rsidRPr="005C4100" w:rsidRDefault="000040F5" w:rsidP="00ED0F27">
            <w:pPr>
              <w:spacing w:before="240"/>
            </w:pPr>
          </w:p>
        </w:tc>
        <w:tc>
          <w:tcPr>
            <w:tcW w:w="3841" w:type="dxa"/>
            <w:shd w:val="clear" w:color="auto" w:fill="auto"/>
          </w:tcPr>
          <w:p w14:paraId="58D84092" w14:textId="5D807BF9" w:rsidR="000040F5" w:rsidRPr="005C4100" w:rsidRDefault="000040F5" w:rsidP="00ED0F27">
            <w:pPr>
              <w:spacing w:before="240"/>
            </w:pPr>
            <w:r w:rsidRPr="005C4100">
              <w:t>Society of Obstetricians and Gynaecologists of Canada</w:t>
            </w:r>
          </w:p>
        </w:tc>
        <w:tc>
          <w:tcPr>
            <w:tcW w:w="1283" w:type="dxa"/>
          </w:tcPr>
          <w:p w14:paraId="7B31FD46" w14:textId="0A44382E" w:rsidR="000040F5" w:rsidRPr="005C4100" w:rsidRDefault="00806725" w:rsidP="00C26BE9">
            <w:pPr>
              <w:spacing w:before="240"/>
              <w:jc w:val="center"/>
            </w:pPr>
            <w:r w:rsidRPr="005C4100">
              <w:t xml:space="preserve"> [</w:t>
            </w:r>
            <w:r w:rsidR="00784301" w:rsidRPr="005C4100">
              <w:t>74</w:t>
            </w:r>
            <w:r w:rsidRPr="005C4100">
              <w:t>]</w:t>
            </w:r>
          </w:p>
        </w:tc>
        <w:tc>
          <w:tcPr>
            <w:tcW w:w="1132" w:type="dxa"/>
          </w:tcPr>
          <w:p w14:paraId="47CE5746" w14:textId="65DE6BB9" w:rsidR="000040F5" w:rsidRPr="005C4100" w:rsidRDefault="00A3707D" w:rsidP="00ED0F27">
            <w:pPr>
              <w:spacing w:before="240"/>
              <w:jc w:val="center"/>
            </w:pPr>
            <w:r w:rsidRPr="005C4100">
              <w:t>20</w:t>
            </w:r>
          </w:p>
        </w:tc>
        <w:tc>
          <w:tcPr>
            <w:tcW w:w="987" w:type="dxa"/>
          </w:tcPr>
          <w:p w14:paraId="51F6E12F" w14:textId="61CAB9BC" w:rsidR="000040F5" w:rsidRPr="005C4100" w:rsidRDefault="000040F5" w:rsidP="00ED0F27">
            <w:pPr>
              <w:spacing w:before="240"/>
              <w:jc w:val="center"/>
            </w:pPr>
          </w:p>
        </w:tc>
      </w:tr>
      <w:tr w:rsidR="002E0CBA" w:rsidRPr="005C4100" w14:paraId="7B5F664A" w14:textId="77777777" w:rsidTr="005C4100">
        <w:tc>
          <w:tcPr>
            <w:tcW w:w="1588" w:type="dxa"/>
          </w:tcPr>
          <w:p w14:paraId="128D4E32" w14:textId="5AD037EA" w:rsidR="002E0CBA" w:rsidRPr="005C4100" w:rsidRDefault="002E0CBA" w:rsidP="00ED0F27">
            <w:pPr>
              <w:spacing w:before="240"/>
            </w:pPr>
            <w:r w:rsidRPr="005C4100">
              <w:t>China</w:t>
            </w:r>
          </w:p>
        </w:tc>
        <w:tc>
          <w:tcPr>
            <w:tcW w:w="236" w:type="dxa"/>
          </w:tcPr>
          <w:p w14:paraId="51FD865E" w14:textId="77777777" w:rsidR="002E0CBA" w:rsidRPr="005C4100" w:rsidRDefault="002E0CBA" w:rsidP="00ED0F27">
            <w:pPr>
              <w:spacing w:before="240"/>
            </w:pPr>
          </w:p>
        </w:tc>
        <w:tc>
          <w:tcPr>
            <w:tcW w:w="3841" w:type="dxa"/>
            <w:shd w:val="clear" w:color="auto" w:fill="auto"/>
          </w:tcPr>
          <w:p w14:paraId="06189274" w14:textId="44765B02" w:rsidR="002E0CBA" w:rsidRPr="005C4100" w:rsidRDefault="002E0CBA" w:rsidP="00ED0F27">
            <w:pPr>
              <w:spacing w:before="240"/>
            </w:pPr>
            <w:r w:rsidRPr="005C4100">
              <w:t>Academia</w:t>
            </w:r>
          </w:p>
        </w:tc>
        <w:tc>
          <w:tcPr>
            <w:tcW w:w="1283" w:type="dxa"/>
          </w:tcPr>
          <w:p w14:paraId="77B7187F" w14:textId="40827DA6" w:rsidR="002E0CBA" w:rsidRPr="005C4100" w:rsidRDefault="00806725" w:rsidP="00C26BE9">
            <w:pPr>
              <w:spacing w:before="240"/>
              <w:jc w:val="center"/>
            </w:pPr>
            <w:r w:rsidRPr="005C4100">
              <w:t xml:space="preserve"> [</w:t>
            </w:r>
            <w:r w:rsidR="00784301" w:rsidRPr="005C4100">
              <w:t>75</w:t>
            </w:r>
            <w:r w:rsidRPr="005C4100">
              <w:t>]</w:t>
            </w:r>
          </w:p>
        </w:tc>
        <w:tc>
          <w:tcPr>
            <w:tcW w:w="1132" w:type="dxa"/>
          </w:tcPr>
          <w:p w14:paraId="4633AE5B" w14:textId="2D66610D" w:rsidR="002E0CBA" w:rsidRPr="005C4100" w:rsidRDefault="002E0CBA" w:rsidP="00ED0F27">
            <w:pPr>
              <w:spacing w:before="240"/>
              <w:jc w:val="center"/>
            </w:pPr>
            <w:r w:rsidRPr="005C4100">
              <w:t>4</w:t>
            </w:r>
          </w:p>
        </w:tc>
        <w:tc>
          <w:tcPr>
            <w:tcW w:w="987" w:type="dxa"/>
          </w:tcPr>
          <w:p w14:paraId="47B4BA64" w14:textId="4BA60C42" w:rsidR="002E0CBA" w:rsidRPr="005C4100" w:rsidRDefault="002E0CBA" w:rsidP="00ED0F27">
            <w:pPr>
              <w:spacing w:before="240"/>
              <w:jc w:val="center"/>
            </w:pPr>
            <w:r w:rsidRPr="005C4100">
              <w:t>1.3</w:t>
            </w:r>
          </w:p>
        </w:tc>
      </w:tr>
      <w:tr w:rsidR="00040540" w:rsidRPr="005C4100" w14:paraId="05219EA1" w14:textId="77777777" w:rsidTr="005C4100">
        <w:tc>
          <w:tcPr>
            <w:tcW w:w="1588" w:type="dxa"/>
            <w:shd w:val="clear" w:color="auto" w:fill="auto"/>
          </w:tcPr>
          <w:p w14:paraId="313FFC1E" w14:textId="79AD688E" w:rsidR="00040540" w:rsidRPr="005C4100" w:rsidRDefault="00040540" w:rsidP="005C4100">
            <w:pPr>
              <w:spacing w:before="240"/>
            </w:pPr>
            <w:r w:rsidRPr="005C4100">
              <w:t xml:space="preserve">Czech </w:t>
            </w:r>
            <w:r w:rsidR="00DA0C6C" w:rsidRPr="005C4100">
              <w:rPr>
                <w:vertAlign w:val="superscript"/>
              </w:rPr>
              <w:t>c</w:t>
            </w:r>
          </w:p>
        </w:tc>
        <w:tc>
          <w:tcPr>
            <w:tcW w:w="236" w:type="dxa"/>
          </w:tcPr>
          <w:p w14:paraId="7EB7D513" w14:textId="77777777" w:rsidR="00040540" w:rsidRPr="005C4100" w:rsidRDefault="00040540" w:rsidP="00ED0F27">
            <w:pPr>
              <w:spacing w:before="240"/>
            </w:pPr>
          </w:p>
        </w:tc>
        <w:tc>
          <w:tcPr>
            <w:tcW w:w="3841" w:type="dxa"/>
            <w:shd w:val="clear" w:color="auto" w:fill="auto"/>
          </w:tcPr>
          <w:p w14:paraId="6D76335C" w14:textId="59488BEE" w:rsidR="00040540" w:rsidRPr="005C4100" w:rsidRDefault="00040540" w:rsidP="00ED0F27">
            <w:pPr>
              <w:spacing w:before="240"/>
            </w:pPr>
            <w:r w:rsidRPr="005C4100">
              <w:t>Academia</w:t>
            </w:r>
          </w:p>
        </w:tc>
        <w:tc>
          <w:tcPr>
            <w:tcW w:w="1283" w:type="dxa"/>
          </w:tcPr>
          <w:p w14:paraId="6A9D3B31" w14:textId="71EC805A" w:rsidR="00040540" w:rsidRPr="005C4100" w:rsidRDefault="00806725" w:rsidP="00C26BE9">
            <w:pPr>
              <w:spacing w:before="240"/>
              <w:jc w:val="center"/>
            </w:pPr>
            <w:r w:rsidRPr="005C4100">
              <w:t xml:space="preserve"> [</w:t>
            </w:r>
            <w:r w:rsidR="00304EC1" w:rsidRPr="005C4100">
              <w:t>76</w:t>
            </w:r>
            <w:r w:rsidRPr="005C4100">
              <w:t>]</w:t>
            </w:r>
          </w:p>
        </w:tc>
        <w:tc>
          <w:tcPr>
            <w:tcW w:w="1132" w:type="dxa"/>
          </w:tcPr>
          <w:p w14:paraId="2CF4C0DC" w14:textId="77777777" w:rsidR="00040540" w:rsidRPr="005C4100" w:rsidRDefault="00040540" w:rsidP="00ED0F27">
            <w:pPr>
              <w:spacing w:before="240"/>
              <w:jc w:val="center"/>
            </w:pPr>
          </w:p>
        </w:tc>
        <w:tc>
          <w:tcPr>
            <w:tcW w:w="987" w:type="dxa"/>
          </w:tcPr>
          <w:p w14:paraId="44978DA4" w14:textId="0FF52F57" w:rsidR="00040540" w:rsidRPr="005C4100" w:rsidRDefault="00040540" w:rsidP="00ED0F27">
            <w:pPr>
              <w:spacing w:before="240"/>
              <w:jc w:val="center"/>
            </w:pPr>
            <w:r w:rsidRPr="005C4100">
              <w:t>3</w:t>
            </w:r>
          </w:p>
        </w:tc>
      </w:tr>
      <w:tr w:rsidR="002E0CBA" w:rsidRPr="005C4100" w14:paraId="0AE3A933" w14:textId="77777777" w:rsidTr="005C4100">
        <w:tc>
          <w:tcPr>
            <w:tcW w:w="1588" w:type="dxa"/>
            <w:shd w:val="clear" w:color="auto" w:fill="auto"/>
          </w:tcPr>
          <w:p w14:paraId="2A7AADF7" w14:textId="129D8B12" w:rsidR="002E0CBA" w:rsidRPr="005C4100" w:rsidRDefault="002E0CBA" w:rsidP="00DA0C6C">
            <w:pPr>
              <w:spacing w:before="240"/>
            </w:pPr>
            <w:r w:rsidRPr="005C4100">
              <w:t xml:space="preserve">Europe </w:t>
            </w:r>
            <w:r w:rsidR="00DA0C6C" w:rsidRPr="005C4100">
              <w:rPr>
                <w:vertAlign w:val="superscript"/>
              </w:rPr>
              <w:t>b</w:t>
            </w:r>
          </w:p>
        </w:tc>
        <w:tc>
          <w:tcPr>
            <w:tcW w:w="236" w:type="dxa"/>
          </w:tcPr>
          <w:p w14:paraId="3F70AD34" w14:textId="77777777" w:rsidR="002E0CBA" w:rsidRPr="005C4100" w:rsidRDefault="002E0CBA" w:rsidP="00ED0F27">
            <w:pPr>
              <w:spacing w:before="240"/>
            </w:pPr>
          </w:p>
        </w:tc>
        <w:tc>
          <w:tcPr>
            <w:tcW w:w="3841" w:type="dxa"/>
          </w:tcPr>
          <w:p w14:paraId="60B180E0" w14:textId="4D3FEBEE" w:rsidR="002E0CBA" w:rsidRPr="005C4100" w:rsidRDefault="002E0CBA" w:rsidP="00C26BE9">
            <w:pPr>
              <w:spacing w:before="240"/>
            </w:pPr>
            <w:r w:rsidRPr="005C4100">
              <w:t>European Society for Clinical and Economic Aspects of Osteoporosis</w:t>
            </w:r>
          </w:p>
        </w:tc>
        <w:tc>
          <w:tcPr>
            <w:tcW w:w="1283" w:type="dxa"/>
          </w:tcPr>
          <w:p w14:paraId="14A9FB2D" w14:textId="00F45263" w:rsidR="002E0CBA" w:rsidRPr="005C4100" w:rsidRDefault="00806725" w:rsidP="00C26BE9">
            <w:pPr>
              <w:spacing w:before="240"/>
              <w:jc w:val="center"/>
            </w:pPr>
            <w:r w:rsidRPr="005C4100">
              <w:t xml:space="preserve"> [</w:t>
            </w:r>
            <w:r w:rsidR="00304EC1" w:rsidRPr="005C4100">
              <w:t>77</w:t>
            </w:r>
            <w:r w:rsidRPr="005C4100">
              <w:t>]</w:t>
            </w:r>
          </w:p>
        </w:tc>
        <w:tc>
          <w:tcPr>
            <w:tcW w:w="1132" w:type="dxa"/>
          </w:tcPr>
          <w:p w14:paraId="5815B31B" w14:textId="77777777" w:rsidR="002E0CBA" w:rsidRPr="005C4100" w:rsidRDefault="002E0CBA" w:rsidP="00ED0F27">
            <w:pPr>
              <w:spacing w:before="240"/>
              <w:jc w:val="center"/>
            </w:pPr>
            <w:r w:rsidRPr="005C4100">
              <w:t>20</w:t>
            </w:r>
          </w:p>
        </w:tc>
        <w:tc>
          <w:tcPr>
            <w:tcW w:w="987" w:type="dxa"/>
          </w:tcPr>
          <w:p w14:paraId="5384F0C5" w14:textId="528D91D9" w:rsidR="002E0CBA" w:rsidRPr="005C4100" w:rsidRDefault="002E0CBA" w:rsidP="00C26BE9">
            <w:pPr>
              <w:spacing w:before="240"/>
              <w:jc w:val="center"/>
            </w:pPr>
            <w:r w:rsidRPr="005C4100">
              <w:t>3</w:t>
            </w:r>
          </w:p>
        </w:tc>
      </w:tr>
      <w:tr w:rsidR="0047408A" w:rsidRPr="005C4100" w14:paraId="5FD7FC9E" w14:textId="77777777" w:rsidTr="005C4100">
        <w:tc>
          <w:tcPr>
            <w:tcW w:w="1588" w:type="dxa"/>
            <w:shd w:val="clear" w:color="auto" w:fill="auto"/>
          </w:tcPr>
          <w:p w14:paraId="017F4DBE" w14:textId="6942AE27" w:rsidR="0047408A" w:rsidRPr="005C4100" w:rsidRDefault="0047408A" w:rsidP="00245DF0">
            <w:pPr>
              <w:spacing w:before="240"/>
            </w:pPr>
            <w:r w:rsidRPr="005C4100">
              <w:t xml:space="preserve">Finland </w:t>
            </w:r>
            <w:r w:rsidR="00245DF0" w:rsidRPr="005C4100">
              <w:rPr>
                <w:vertAlign w:val="superscript"/>
              </w:rPr>
              <w:t>d</w:t>
            </w:r>
          </w:p>
        </w:tc>
        <w:tc>
          <w:tcPr>
            <w:tcW w:w="236" w:type="dxa"/>
          </w:tcPr>
          <w:p w14:paraId="0BD61FF5" w14:textId="77777777" w:rsidR="0047408A" w:rsidRPr="005C4100" w:rsidRDefault="0047408A" w:rsidP="00ED0F27">
            <w:pPr>
              <w:spacing w:before="240"/>
            </w:pPr>
          </w:p>
        </w:tc>
        <w:tc>
          <w:tcPr>
            <w:tcW w:w="3841" w:type="dxa"/>
          </w:tcPr>
          <w:p w14:paraId="3094BABF" w14:textId="189F771D" w:rsidR="0047408A" w:rsidRPr="005C4100" w:rsidRDefault="0047408A" w:rsidP="00ED0F27">
            <w:pPr>
              <w:spacing w:before="240"/>
            </w:pPr>
            <w:r w:rsidRPr="005C4100">
              <w:t>National</w:t>
            </w:r>
          </w:p>
        </w:tc>
        <w:tc>
          <w:tcPr>
            <w:tcW w:w="1283" w:type="dxa"/>
          </w:tcPr>
          <w:p w14:paraId="54CCEDF7" w14:textId="0CC27B1F" w:rsidR="0047408A" w:rsidRPr="005C4100" w:rsidRDefault="00806725" w:rsidP="00C26BE9">
            <w:pPr>
              <w:spacing w:before="240"/>
              <w:jc w:val="center"/>
            </w:pPr>
            <w:r w:rsidRPr="005C4100">
              <w:t xml:space="preserve"> [</w:t>
            </w:r>
            <w:r w:rsidR="00304EC1" w:rsidRPr="005C4100">
              <w:t>78</w:t>
            </w:r>
            <w:r w:rsidRPr="005C4100">
              <w:t>]</w:t>
            </w:r>
          </w:p>
        </w:tc>
        <w:tc>
          <w:tcPr>
            <w:tcW w:w="1132" w:type="dxa"/>
          </w:tcPr>
          <w:p w14:paraId="54D2043E" w14:textId="344DBD20" w:rsidR="0047408A" w:rsidRPr="005C4100" w:rsidRDefault="0047408A" w:rsidP="00ED0F27">
            <w:pPr>
              <w:spacing w:before="240"/>
              <w:jc w:val="center"/>
            </w:pPr>
            <w:r w:rsidRPr="005C4100">
              <w:t>10, 20</w:t>
            </w:r>
          </w:p>
        </w:tc>
        <w:tc>
          <w:tcPr>
            <w:tcW w:w="987" w:type="dxa"/>
          </w:tcPr>
          <w:p w14:paraId="17F9A913" w14:textId="77777777" w:rsidR="0047408A" w:rsidRPr="005C4100" w:rsidRDefault="0047408A" w:rsidP="00ED0F27">
            <w:pPr>
              <w:spacing w:before="240"/>
              <w:jc w:val="center"/>
            </w:pPr>
          </w:p>
        </w:tc>
      </w:tr>
      <w:tr w:rsidR="002E0CBA" w:rsidRPr="005C4100" w14:paraId="51A87626" w14:textId="77777777" w:rsidTr="005C4100">
        <w:tc>
          <w:tcPr>
            <w:tcW w:w="1588" w:type="dxa"/>
          </w:tcPr>
          <w:p w14:paraId="5ADEC5FE" w14:textId="24EC9160" w:rsidR="002E0CBA" w:rsidRPr="005C4100" w:rsidRDefault="002E0CBA" w:rsidP="00ED0F27">
            <w:pPr>
              <w:spacing w:before="240"/>
            </w:pPr>
            <w:r w:rsidRPr="005C4100">
              <w:t>Greece</w:t>
            </w:r>
          </w:p>
        </w:tc>
        <w:tc>
          <w:tcPr>
            <w:tcW w:w="236" w:type="dxa"/>
          </w:tcPr>
          <w:p w14:paraId="2F5E9184" w14:textId="77777777" w:rsidR="002E0CBA" w:rsidRPr="005C4100" w:rsidRDefault="002E0CBA" w:rsidP="00ED0F27">
            <w:pPr>
              <w:spacing w:before="240"/>
            </w:pPr>
          </w:p>
        </w:tc>
        <w:tc>
          <w:tcPr>
            <w:tcW w:w="3841" w:type="dxa"/>
            <w:shd w:val="clear" w:color="auto" w:fill="auto"/>
          </w:tcPr>
          <w:p w14:paraId="5A01528A" w14:textId="77777777" w:rsidR="002E0CBA" w:rsidRPr="005C4100" w:rsidRDefault="002E0CBA" w:rsidP="00ED0F27">
            <w:pPr>
              <w:spacing w:before="240"/>
            </w:pPr>
            <w:r w:rsidRPr="005C4100">
              <w:t>Greek National Medicine Agency</w:t>
            </w:r>
          </w:p>
        </w:tc>
        <w:tc>
          <w:tcPr>
            <w:tcW w:w="1283" w:type="dxa"/>
          </w:tcPr>
          <w:p w14:paraId="7FC84CF3" w14:textId="72EF143F" w:rsidR="002E0CBA" w:rsidRPr="005C4100" w:rsidRDefault="00806725" w:rsidP="00C26BE9">
            <w:pPr>
              <w:spacing w:before="240"/>
              <w:jc w:val="center"/>
            </w:pPr>
            <w:r w:rsidRPr="005C4100">
              <w:t xml:space="preserve"> [</w:t>
            </w:r>
            <w:r w:rsidR="00304EC1" w:rsidRPr="005C4100">
              <w:t>79</w:t>
            </w:r>
            <w:r w:rsidRPr="005C4100">
              <w:t>]</w:t>
            </w:r>
          </w:p>
        </w:tc>
        <w:tc>
          <w:tcPr>
            <w:tcW w:w="1132" w:type="dxa"/>
          </w:tcPr>
          <w:p w14:paraId="423CF7CB" w14:textId="77777777" w:rsidR="002E0CBA" w:rsidRPr="005C4100" w:rsidRDefault="002E0CBA" w:rsidP="00ED0F27">
            <w:pPr>
              <w:spacing w:before="240"/>
              <w:jc w:val="center"/>
            </w:pPr>
            <w:r w:rsidRPr="005C4100">
              <w:t>20</w:t>
            </w:r>
          </w:p>
        </w:tc>
        <w:tc>
          <w:tcPr>
            <w:tcW w:w="987" w:type="dxa"/>
          </w:tcPr>
          <w:p w14:paraId="37FB07C7" w14:textId="4845481E" w:rsidR="002E0CBA" w:rsidRPr="005C4100" w:rsidRDefault="002E0CBA" w:rsidP="00ED0F27">
            <w:pPr>
              <w:spacing w:before="240"/>
              <w:jc w:val="center"/>
            </w:pPr>
            <w:r w:rsidRPr="005C4100">
              <w:t>3</w:t>
            </w:r>
          </w:p>
        </w:tc>
      </w:tr>
      <w:tr w:rsidR="002E0CBA" w:rsidRPr="005C4100" w14:paraId="0C47DDEB" w14:textId="77777777" w:rsidTr="005C4100">
        <w:tc>
          <w:tcPr>
            <w:tcW w:w="1588" w:type="dxa"/>
            <w:shd w:val="clear" w:color="auto" w:fill="auto"/>
          </w:tcPr>
          <w:p w14:paraId="46C981FF" w14:textId="66A4C3E7" w:rsidR="002E0CBA" w:rsidRPr="005C4100" w:rsidRDefault="002E0CBA" w:rsidP="00245DF0">
            <w:pPr>
              <w:spacing w:before="240"/>
            </w:pPr>
            <w:r w:rsidRPr="005C4100">
              <w:t>Greece</w:t>
            </w:r>
            <w:r w:rsidRPr="005C4100">
              <w:rPr>
                <w:vertAlign w:val="superscript"/>
              </w:rPr>
              <w:t xml:space="preserve"> </w:t>
            </w:r>
            <w:r w:rsidR="00245DF0" w:rsidRPr="005C4100">
              <w:rPr>
                <w:vertAlign w:val="superscript"/>
              </w:rPr>
              <w:t>e</w:t>
            </w:r>
          </w:p>
        </w:tc>
        <w:tc>
          <w:tcPr>
            <w:tcW w:w="236" w:type="dxa"/>
          </w:tcPr>
          <w:p w14:paraId="3B8CE695" w14:textId="77777777" w:rsidR="002E0CBA" w:rsidRPr="005C4100" w:rsidRDefault="002E0CBA" w:rsidP="00ED0F27">
            <w:pPr>
              <w:spacing w:before="240"/>
            </w:pPr>
          </w:p>
        </w:tc>
        <w:tc>
          <w:tcPr>
            <w:tcW w:w="3841" w:type="dxa"/>
            <w:shd w:val="clear" w:color="auto" w:fill="auto"/>
          </w:tcPr>
          <w:p w14:paraId="2776BEE4" w14:textId="77777777" w:rsidR="002E0CBA" w:rsidRPr="005C4100" w:rsidRDefault="002E0CBA" w:rsidP="00ED0F27">
            <w:pPr>
              <w:spacing w:before="240"/>
            </w:pPr>
            <w:r w:rsidRPr="005C4100">
              <w:t>Academia</w:t>
            </w:r>
          </w:p>
        </w:tc>
        <w:tc>
          <w:tcPr>
            <w:tcW w:w="1283" w:type="dxa"/>
          </w:tcPr>
          <w:p w14:paraId="118605BA" w14:textId="09A29878" w:rsidR="002E0CBA" w:rsidRPr="005C4100" w:rsidRDefault="00806725" w:rsidP="00C26BE9">
            <w:pPr>
              <w:spacing w:before="240"/>
              <w:jc w:val="center"/>
            </w:pPr>
            <w:r w:rsidRPr="005C4100">
              <w:t xml:space="preserve"> [</w:t>
            </w:r>
            <w:r w:rsidR="00304EC1" w:rsidRPr="005C4100">
              <w:t>80</w:t>
            </w:r>
            <w:r w:rsidRPr="005C4100">
              <w:t>]</w:t>
            </w:r>
          </w:p>
        </w:tc>
        <w:tc>
          <w:tcPr>
            <w:tcW w:w="1132" w:type="dxa"/>
          </w:tcPr>
          <w:p w14:paraId="5D965C54" w14:textId="77777777" w:rsidR="002E0CBA" w:rsidRPr="005C4100" w:rsidRDefault="002E0CBA" w:rsidP="00ED0F27">
            <w:pPr>
              <w:spacing w:before="240"/>
              <w:jc w:val="center"/>
            </w:pPr>
            <w:r w:rsidRPr="005C4100">
              <w:t>10</w:t>
            </w:r>
          </w:p>
          <w:p w14:paraId="5B655B8E" w14:textId="50DAB1BB" w:rsidR="002E0CBA" w:rsidRPr="005C4100" w:rsidRDefault="002E0CBA" w:rsidP="00ED0F27">
            <w:pPr>
              <w:spacing w:before="240"/>
              <w:jc w:val="center"/>
            </w:pPr>
            <w:r w:rsidRPr="005C4100">
              <w:t>15</w:t>
            </w:r>
          </w:p>
        </w:tc>
        <w:tc>
          <w:tcPr>
            <w:tcW w:w="987" w:type="dxa"/>
          </w:tcPr>
          <w:p w14:paraId="5A764B19" w14:textId="77777777" w:rsidR="002E0CBA" w:rsidRPr="005C4100" w:rsidRDefault="002E0CBA" w:rsidP="00ED0F27">
            <w:pPr>
              <w:spacing w:before="240"/>
              <w:jc w:val="center"/>
            </w:pPr>
            <w:r w:rsidRPr="005C4100">
              <w:t>2.5</w:t>
            </w:r>
          </w:p>
          <w:p w14:paraId="072BE93C" w14:textId="24CCFB6D" w:rsidR="002E0CBA" w:rsidRPr="005C4100" w:rsidRDefault="002E0CBA" w:rsidP="00ED0F27">
            <w:pPr>
              <w:spacing w:before="240"/>
              <w:jc w:val="center"/>
            </w:pPr>
            <w:r w:rsidRPr="005C4100">
              <w:t>5</w:t>
            </w:r>
          </w:p>
        </w:tc>
      </w:tr>
      <w:tr w:rsidR="002E0CBA" w:rsidRPr="005C4100" w14:paraId="330EEECB" w14:textId="77777777" w:rsidTr="005C4100">
        <w:tc>
          <w:tcPr>
            <w:tcW w:w="1588" w:type="dxa"/>
          </w:tcPr>
          <w:p w14:paraId="3C19320D" w14:textId="13BBC04D" w:rsidR="002E0CBA" w:rsidRPr="005C4100" w:rsidRDefault="002E0CBA" w:rsidP="00ED0F27">
            <w:pPr>
              <w:spacing w:before="240"/>
            </w:pPr>
            <w:r w:rsidRPr="005C4100">
              <w:t>Hong Kong</w:t>
            </w:r>
          </w:p>
        </w:tc>
        <w:tc>
          <w:tcPr>
            <w:tcW w:w="236" w:type="dxa"/>
          </w:tcPr>
          <w:p w14:paraId="2DA1E09C" w14:textId="77777777" w:rsidR="002E0CBA" w:rsidRPr="005C4100" w:rsidRDefault="002E0CBA" w:rsidP="00ED0F27">
            <w:pPr>
              <w:spacing w:before="240"/>
            </w:pPr>
          </w:p>
        </w:tc>
        <w:tc>
          <w:tcPr>
            <w:tcW w:w="3841" w:type="dxa"/>
          </w:tcPr>
          <w:p w14:paraId="363289E1" w14:textId="77777777" w:rsidR="002E0CBA" w:rsidRPr="005C4100" w:rsidRDefault="002E0CBA" w:rsidP="00ED0F27">
            <w:pPr>
              <w:spacing w:before="240"/>
            </w:pPr>
            <w:r w:rsidRPr="005C4100">
              <w:t>Academia</w:t>
            </w:r>
          </w:p>
        </w:tc>
        <w:tc>
          <w:tcPr>
            <w:tcW w:w="1283" w:type="dxa"/>
          </w:tcPr>
          <w:p w14:paraId="4BE041F9" w14:textId="37EBB3C1" w:rsidR="002E0CBA" w:rsidRPr="005C4100" w:rsidRDefault="00806725" w:rsidP="00C26BE9">
            <w:pPr>
              <w:spacing w:before="240"/>
              <w:jc w:val="center"/>
            </w:pPr>
            <w:r w:rsidRPr="005C4100">
              <w:t xml:space="preserve"> [</w:t>
            </w:r>
            <w:r w:rsidR="00304EC1" w:rsidRPr="005C4100">
              <w:t>81</w:t>
            </w:r>
            <w:r w:rsidRPr="005C4100">
              <w:t>]</w:t>
            </w:r>
          </w:p>
        </w:tc>
        <w:tc>
          <w:tcPr>
            <w:tcW w:w="1132" w:type="dxa"/>
          </w:tcPr>
          <w:p w14:paraId="754FC100" w14:textId="77777777" w:rsidR="002E0CBA" w:rsidRPr="005C4100" w:rsidRDefault="002E0CBA" w:rsidP="00ED0F27">
            <w:pPr>
              <w:spacing w:before="240"/>
              <w:jc w:val="center"/>
            </w:pPr>
            <w:r w:rsidRPr="005C4100">
              <w:t>9.95</w:t>
            </w:r>
          </w:p>
        </w:tc>
        <w:tc>
          <w:tcPr>
            <w:tcW w:w="987" w:type="dxa"/>
          </w:tcPr>
          <w:p w14:paraId="0FAC0B26" w14:textId="3B99BB85" w:rsidR="002E0CBA" w:rsidRPr="005C4100" w:rsidRDefault="002E0CBA" w:rsidP="00ED0F27">
            <w:pPr>
              <w:spacing w:before="240"/>
              <w:jc w:val="center"/>
            </w:pPr>
          </w:p>
        </w:tc>
      </w:tr>
      <w:tr w:rsidR="002E0CBA" w:rsidRPr="005C4100" w14:paraId="0D346FA4" w14:textId="77777777" w:rsidTr="005C4100">
        <w:tc>
          <w:tcPr>
            <w:tcW w:w="1588" w:type="dxa"/>
          </w:tcPr>
          <w:p w14:paraId="5EEBC087" w14:textId="446D992A" w:rsidR="002E0CBA" w:rsidRPr="005C4100" w:rsidRDefault="002E0CBA" w:rsidP="00ED0F27">
            <w:pPr>
              <w:spacing w:before="240"/>
            </w:pPr>
            <w:r w:rsidRPr="005C4100">
              <w:t>Hungary</w:t>
            </w:r>
          </w:p>
        </w:tc>
        <w:tc>
          <w:tcPr>
            <w:tcW w:w="236" w:type="dxa"/>
          </w:tcPr>
          <w:p w14:paraId="1545F2A2" w14:textId="77777777" w:rsidR="002E0CBA" w:rsidRPr="005C4100" w:rsidRDefault="002E0CBA" w:rsidP="00ED0F27">
            <w:pPr>
              <w:spacing w:before="240"/>
            </w:pPr>
          </w:p>
        </w:tc>
        <w:tc>
          <w:tcPr>
            <w:tcW w:w="3841" w:type="dxa"/>
            <w:shd w:val="clear" w:color="auto" w:fill="auto"/>
          </w:tcPr>
          <w:p w14:paraId="3779E06F" w14:textId="1749E3B8" w:rsidR="002E0CBA" w:rsidRPr="005C4100" w:rsidRDefault="002E0CBA" w:rsidP="00C26BE9">
            <w:pPr>
              <w:spacing w:before="240"/>
            </w:pPr>
            <w:r w:rsidRPr="005C4100">
              <w:t xml:space="preserve">Hungarian Society for Osteoporosis and </w:t>
            </w:r>
            <w:proofErr w:type="spellStart"/>
            <w:r w:rsidRPr="005C4100">
              <w:lastRenderedPageBreak/>
              <w:t>Osteoarthrology</w:t>
            </w:r>
            <w:proofErr w:type="spellEnd"/>
            <w:r w:rsidRPr="005C4100">
              <w:t xml:space="preserve"> </w:t>
            </w:r>
          </w:p>
        </w:tc>
        <w:tc>
          <w:tcPr>
            <w:tcW w:w="1283" w:type="dxa"/>
            <w:shd w:val="clear" w:color="auto" w:fill="auto"/>
          </w:tcPr>
          <w:p w14:paraId="59A3C2E9" w14:textId="5C6C7624" w:rsidR="002E0CBA" w:rsidRPr="005C4100" w:rsidRDefault="00806725" w:rsidP="00C26BE9">
            <w:pPr>
              <w:spacing w:before="240"/>
              <w:jc w:val="center"/>
            </w:pPr>
            <w:r w:rsidRPr="005C4100">
              <w:lastRenderedPageBreak/>
              <w:t xml:space="preserve"> [</w:t>
            </w:r>
            <w:r w:rsidR="00304EC1" w:rsidRPr="005C4100">
              <w:t>82</w:t>
            </w:r>
            <w:r w:rsidRPr="005C4100">
              <w:t>]</w:t>
            </w:r>
          </w:p>
        </w:tc>
        <w:tc>
          <w:tcPr>
            <w:tcW w:w="1132" w:type="dxa"/>
          </w:tcPr>
          <w:p w14:paraId="7A795482" w14:textId="77777777" w:rsidR="002E0CBA" w:rsidRPr="005C4100" w:rsidRDefault="002E0CBA" w:rsidP="00ED0F27">
            <w:pPr>
              <w:spacing w:before="240"/>
              <w:jc w:val="center"/>
            </w:pPr>
            <w:r w:rsidRPr="005C4100">
              <w:t>20</w:t>
            </w:r>
          </w:p>
        </w:tc>
        <w:tc>
          <w:tcPr>
            <w:tcW w:w="987" w:type="dxa"/>
          </w:tcPr>
          <w:p w14:paraId="1BAC06B3" w14:textId="44AD38EC" w:rsidR="002E0CBA" w:rsidRPr="005C4100" w:rsidRDefault="002E0CBA" w:rsidP="00ED0F27">
            <w:pPr>
              <w:spacing w:before="240"/>
              <w:jc w:val="center"/>
            </w:pPr>
            <w:r w:rsidRPr="005C4100">
              <w:t>3</w:t>
            </w:r>
          </w:p>
        </w:tc>
      </w:tr>
      <w:tr w:rsidR="002E0CBA" w:rsidRPr="005C4100" w14:paraId="1F69328D" w14:textId="77777777" w:rsidTr="005C4100">
        <w:tc>
          <w:tcPr>
            <w:tcW w:w="1588" w:type="dxa"/>
          </w:tcPr>
          <w:p w14:paraId="2FAB8C6B" w14:textId="36D92D57" w:rsidR="002E0CBA" w:rsidRPr="005C4100" w:rsidRDefault="002E0CBA" w:rsidP="00ED0F27">
            <w:pPr>
              <w:spacing w:before="240"/>
            </w:pPr>
            <w:r w:rsidRPr="005C4100">
              <w:lastRenderedPageBreak/>
              <w:t>Japan</w:t>
            </w:r>
          </w:p>
        </w:tc>
        <w:tc>
          <w:tcPr>
            <w:tcW w:w="236" w:type="dxa"/>
          </w:tcPr>
          <w:p w14:paraId="6336B44B" w14:textId="77777777" w:rsidR="002E0CBA" w:rsidRPr="005C4100" w:rsidRDefault="002E0CBA" w:rsidP="00ED0F27">
            <w:pPr>
              <w:spacing w:before="240"/>
            </w:pPr>
          </w:p>
        </w:tc>
        <w:tc>
          <w:tcPr>
            <w:tcW w:w="3841" w:type="dxa"/>
          </w:tcPr>
          <w:p w14:paraId="44AF8FC4" w14:textId="77777777" w:rsidR="002E0CBA" w:rsidRPr="005C4100" w:rsidRDefault="002E0CBA" w:rsidP="00ED0F27">
            <w:pPr>
              <w:spacing w:before="240"/>
            </w:pPr>
            <w:r w:rsidRPr="005C4100">
              <w:t>Japan Osteoporosis Society; Japanese Society for Bone and Mineral Research; Japan Osteoporosis Foundation</w:t>
            </w:r>
          </w:p>
        </w:tc>
        <w:tc>
          <w:tcPr>
            <w:tcW w:w="1283" w:type="dxa"/>
          </w:tcPr>
          <w:p w14:paraId="1E2B28F9" w14:textId="7DB303DB" w:rsidR="002E0CBA" w:rsidRPr="005C4100" w:rsidRDefault="00806725" w:rsidP="00C26BE9">
            <w:pPr>
              <w:spacing w:before="240"/>
              <w:jc w:val="center"/>
            </w:pPr>
            <w:r w:rsidRPr="005C4100">
              <w:t xml:space="preserve"> </w:t>
            </w:r>
            <w:r w:rsidR="008546A7" w:rsidRPr="005C4100">
              <w:t>[31]</w:t>
            </w:r>
          </w:p>
        </w:tc>
        <w:tc>
          <w:tcPr>
            <w:tcW w:w="1132" w:type="dxa"/>
          </w:tcPr>
          <w:p w14:paraId="78CF98F8" w14:textId="77777777" w:rsidR="002E0CBA" w:rsidRPr="005C4100" w:rsidRDefault="002E0CBA" w:rsidP="00ED0F27">
            <w:pPr>
              <w:spacing w:before="240"/>
              <w:jc w:val="center"/>
            </w:pPr>
            <w:r w:rsidRPr="005C4100">
              <w:t>15</w:t>
            </w:r>
          </w:p>
        </w:tc>
        <w:tc>
          <w:tcPr>
            <w:tcW w:w="987" w:type="dxa"/>
          </w:tcPr>
          <w:p w14:paraId="4F2C4AFE" w14:textId="6649C360" w:rsidR="002E0CBA" w:rsidRPr="005C4100" w:rsidRDefault="002E0CBA" w:rsidP="00ED0F27">
            <w:pPr>
              <w:spacing w:before="240"/>
              <w:jc w:val="center"/>
            </w:pPr>
          </w:p>
        </w:tc>
      </w:tr>
      <w:tr w:rsidR="002E0CBA" w:rsidRPr="005C4100" w14:paraId="4AF69A29" w14:textId="77777777" w:rsidTr="005C4100">
        <w:tc>
          <w:tcPr>
            <w:tcW w:w="1588" w:type="dxa"/>
          </w:tcPr>
          <w:p w14:paraId="60CDB765" w14:textId="36333A21" w:rsidR="002E0CBA" w:rsidRPr="005C4100" w:rsidRDefault="002E0CBA" w:rsidP="00ED0F27">
            <w:pPr>
              <w:spacing w:before="240"/>
            </w:pPr>
            <w:r w:rsidRPr="005C4100">
              <w:t>Japan</w:t>
            </w:r>
          </w:p>
        </w:tc>
        <w:tc>
          <w:tcPr>
            <w:tcW w:w="236" w:type="dxa"/>
          </w:tcPr>
          <w:p w14:paraId="4F018F5B" w14:textId="77777777" w:rsidR="002E0CBA" w:rsidRPr="005C4100" w:rsidRDefault="002E0CBA" w:rsidP="00ED0F27">
            <w:pPr>
              <w:spacing w:before="240"/>
            </w:pPr>
          </w:p>
        </w:tc>
        <w:tc>
          <w:tcPr>
            <w:tcW w:w="3841" w:type="dxa"/>
          </w:tcPr>
          <w:p w14:paraId="09E584F5" w14:textId="6A24FC5A" w:rsidR="002E0CBA" w:rsidRPr="005C4100" w:rsidRDefault="002E0CBA" w:rsidP="00ED0F27">
            <w:pPr>
              <w:spacing w:before="240"/>
            </w:pPr>
            <w:r w:rsidRPr="005C4100">
              <w:t>Academia</w:t>
            </w:r>
          </w:p>
        </w:tc>
        <w:tc>
          <w:tcPr>
            <w:tcW w:w="1283" w:type="dxa"/>
          </w:tcPr>
          <w:p w14:paraId="452A57E3" w14:textId="45D47102" w:rsidR="002E0CBA" w:rsidRPr="005C4100" w:rsidRDefault="00806725" w:rsidP="00C26BE9">
            <w:pPr>
              <w:spacing w:before="240"/>
              <w:jc w:val="center"/>
            </w:pPr>
            <w:r w:rsidRPr="005C4100">
              <w:t xml:space="preserve"> [</w:t>
            </w:r>
            <w:r w:rsidR="00304EC1" w:rsidRPr="005C4100">
              <w:t>83</w:t>
            </w:r>
            <w:r w:rsidRPr="005C4100">
              <w:t>]</w:t>
            </w:r>
          </w:p>
        </w:tc>
        <w:tc>
          <w:tcPr>
            <w:tcW w:w="1132" w:type="dxa"/>
          </w:tcPr>
          <w:p w14:paraId="047A71BD" w14:textId="27F1F74B" w:rsidR="002E0CBA" w:rsidRPr="005C4100" w:rsidRDefault="002E0CBA" w:rsidP="00ED0F27">
            <w:pPr>
              <w:spacing w:before="240"/>
              <w:jc w:val="center"/>
            </w:pPr>
            <w:r w:rsidRPr="005C4100">
              <w:t>10</w:t>
            </w:r>
          </w:p>
        </w:tc>
        <w:tc>
          <w:tcPr>
            <w:tcW w:w="987" w:type="dxa"/>
          </w:tcPr>
          <w:p w14:paraId="686A2411" w14:textId="37EA650B" w:rsidR="002E0CBA" w:rsidRPr="005C4100" w:rsidRDefault="002E0CBA" w:rsidP="00ED0F27">
            <w:pPr>
              <w:spacing w:before="240"/>
              <w:jc w:val="center"/>
            </w:pPr>
            <w:r w:rsidRPr="005C4100">
              <w:t>5</w:t>
            </w:r>
          </w:p>
        </w:tc>
      </w:tr>
      <w:tr w:rsidR="002E0CBA" w:rsidRPr="005C4100" w14:paraId="1F03F8F2" w14:textId="77777777" w:rsidTr="005C4100">
        <w:tc>
          <w:tcPr>
            <w:tcW w:w="1588" w:type="dxa"/>
            <w:shd w:val="clear" w:color="auto" w:fill="auto"/>
          </w:tcPr>
          <w:p w14:paraId="21C5182D" w14:textId="73E87556" w:rsidR="002E0CBA" w:rsidRPr="005C4100" w:rsidRDefault="002E0CBA" w:rsidP="00ED0F27">
            <w:pPr>
              <w:spacing w:before="240"/>
            </w:pPr>
            <w:r w:rsidRPr="005C4100">
              <w:t>Lebanon</w:t>
            </w:r>
            <w:r w:rsidRPr="005C4100">
              <w:rPr>
                <w:vertAlign w:val="superscript"/>
              </w:rPr>
              <w:t xml:space="preserve"> f </w:t>
            </w:r>
          </w:p>
        </w:tc>
        <w:tc>
          <w:tcPr>
            <w:tcW w:w="236" w:type="dxa"/>
          </w:tcPr>
          <w:p w14:paraId="213D3EBB" w14:textId="77777777" w:rsidR="002E0CBA" w:rsidRPr="005C4100" w:rsidRDefault="002E0CBA" w:rsidP="00ED0F27">
            <w:pPr>
              <w:spacing w:before="240"/>
            </w:pPr>
          </w:p>
        </w:tc>
        <w:tc>
          <w:tcPr>
            <w:tcW w:w="3841" w:type="dxa"/>
          </w:tcPr>
          <w:p w14:paraId="459C513E" w14:textId="23614864" w:rsidR="002E0CBA" w:rsidRPr="005C4100" w:rsidRDefault="002E0CBA" w:rsidP="00ED0F27">
            <w:pPr>
              <w:spacing w:before="240"/>
            </w:pPr>
            <w:r w:rsidRPr="005C4100">
              <w:t xml:space="preserve">Ministry of </w:t>
            </w:r>
            <w:r w:rsidR="0064414A">
              <w:t xml:space="preserve">Public </w:t>
            </w:r>
            <w:r w:rsidRPr="005C4100">
              <w:t>Health</w:t>
            </w:r>
            <w:r w:rsidR="0064414A">
              <w:t xml:space="preserve"> and multiple societies</w:t>
            </w:r>
          </w:p>
        </w:tc>
        <w:tc>
          <w:tcPr>
            <w:tcW w:w="1283" w:type="dxa"/>
          </w:tcPr>
          <w:p w14:paraId="18E5920A" w14:textId="40E2EF30" w:rsidR="002E0CBA" w:rsidRPr="005C4100" w:rsidRDefault="00806725" w:rsidP="00C26BE9">
            <w:pPr>
              <w:spacing w:before="240"/>
              <w:jc w:val="center"/>
            </w:pPr>
            <w:r w:rsidRPr="005C4100">
              <w:t xml:space="preserve"> [</w:t>
            </w:r>
            <w:r w:rsidR="00304EC1" w:rsidRPr="005C4100">
              <w:t>84</w:t>
            </w:r>
            <w:r w:rsidRPr="005C4100">
              <w:t>]</w:t>
            </w:r>
          </w:p>
        </w:tc>
        <w:tc>
          <w:tcPr>
            <w:tcW w:w="1132" w:type="dxa"/>
          </w:tcPr>
          <w:p w14:paraId="3A204D4B" w14:textId="77777777" w:rsidR="002E0CBA" w:rsidRPr="005C4100" w:rsidRDefault="002E0CBA" w:rsidP="00ED0F27">
            <w:pPr>
              <w:spacing w:before="240"/>
              <w:jc w:val="center"/>
            </w:pPr>
            <w:r w:rsidRPr="005C4100">
              <w:t>10</w:t>
            </w:r>
          </w:p>
        </w:tc>
        <w:tc>
          <w:tcPr>
            <w:tcW w:w="987" w:type="dxa"/>
          </w:tcPr>
          <w:p w14:paraId="044210EA" w14:textId="5D146EB8" w:rsidR="002E0CBA" w:rsidRPr="005C4100" w:rsidRDefault="002E0CBA" w:rsidP="00ED0F27">
            <w:pPr>
              <w:spacing w:before="240"/>
              <w:jc w:val="center"/>
            </w:pPr>
          </w:p>
        </w:tc>
      </w:tr>
      <w:tr w:rsidR="002E0CBA" w:rsidRPr="005C4100" w14:paraId="18890367" w14:textId="77777777" w:rsidTr="005C4100">
        <w:tc>
          <w:tcPr>
            <w:tcW w:w="1588" w:type="dxa"/>
          </w:tcPr>
          <w:p w14:paraId="76722E42" w14:textId="362FA688" w:rsidR="002E0CBA" w:rsidRPr="005C4100" w:rsidRDefault="002E0CBA" w:rsidP="00ED0F27">
            <w:pPr>
              <w:spacing w:before="240"/>
            </w:pPr>
            <w:r w:rsidRPr="005C4100">
              <w:t>Malaysia</w:t>
            </w:r>
          </w:p>
        </w:tc>
        <w:tc>
          <w:tcPr>
            <w:tcW w:w="236" w:type="dxa"/>
          </w:tcPr>
          <w:p w14:paraId="15658BB8" w14:textId="77777777" w:rsidR="002E0CBA" w:rsidRPr="005C4100" w:rsidRDefault="002E0CBA" w:rsidP="00ED0F27">
            <w:pPr>
              <w:spacing w:before="240"/>
            </w:pPr>
          </w:p>
        </w:tc>
        <w:tc>
          <w:tcPr>
            <w:tcW w:w="3841" w:type="dxa"/>
          </w:tcPr>
          <w:p w14:paraId="70B07BD5" w14:textId="52342AED" w:rsidR="002E0CBA" w:rsidRPr="005C4100" w:rsidRDefault="002E0CBA" w:rsidP="00C26BE9">
            <w:pPr>
              <w:spacing w:before="240"/>
            </w:pPr>
            <w:r w:rsidRPr="005C4100">
              <w:t>Ministry of Health</w:t>
            </w:r>
            <w:r w:rsidR="00C26BE9" w:rsidRPr="005C4100">
              <w:t>,</w:t>
            </w:r>
            <w:r w:rsidRPr="005C4100">
              <w:t xml:space="preserve"> Malaysia</w:t>
            </w:r>
          </w:p>
        </w:tc>
        <w:tc>
          <w:tcPr>
            <w:tcW w:w="1283" w:type="dxa"/>
          </w:tcPr>
          <w:p w14:paraId="2D6BB242" w14:textId="62CC29E0" w:rsidR="002E0CBA" w:rsidRPr="005C4100" w:rsidRDefault="00806725" w:rsidP="00C26BE9">
            <w:pPr>
              <w:spacing w:before="240"/>
              <w:jc w:val="center"/>
            </w:pPr>
            <w:r w:rsidRPr="005C4100">
              <w:t xml:space="preserve"> [</w:t>
            </w:r>
            <w:r w:rsidR="00304EC1" w:rsidRPr="005C4100">
              <w:t>85</w:t>
            </w:r>
            <w:r w:rsidRPr="005C4100">
              <w:t>]</w:t>
            </w:r>
          </w:p>
        </w:tc>
        <w:tc>
          <w:tcPr>
            <w:tcW w:w="1132" w:type="dxa"/>
          </w:tcPr>
          <w:p w14:paraId="17A26B0A" w14:textId="77777777" w:rsidR="002E0CBA" w:rsidRPr="005C4100" w:rsidRDefault="002E0CBA" w:rsidP="00ED0F27">
            <w:pPr>
              <w:spacing w:before="240"/>
              <w:jc w:val="center"/>
            </w:pPr>
            <w:r w:rsidRPr="005C4100">
              <w:t>20</w:t>
            </w:r>
          </w:p>
        </w:tc>
        <w:tc>
          <w:tcPr>
            <w:tcW w:w="987" w:type="dxa"/>
          </w:tcPr>
          <w:p w14:paraId="4CF12909" w14:textId="26701DB0" w:rsidR="002E0CBA" w:rsidRPr="005C4100" w:rsidRDefault="002E0CBA" w:rsidP="00ED0F27">
            <w:pPr>
              <w:spacing w:before="240"/>
              <w:jc w:val="center"/>
            </w:pPr>
          </w:p>
        </w:tc>
      </w:tr>
      <w:tr w:rsidR="00304EC1" w:rsidRPr="005C4100" w14:paraId="12FBD877" w14:textId="77777777" w:rsidTr="005C4100">
        <w:tc>
          <w:tcPr>
            <w:tcW w:w="1588" w:type="dxa"/>
          </w:tcPr>
          <w:p w14:paraId="2D854FA1" w14:textId="3E466F58" w:rsidR="00304EC1" w:rsidRPr="005C4100" w:rsidRDefault="00304EC1" w:rsidP="00ED0F27">
            <w:pPr>
              <w:spacing w:before="240"/>
            </w:pPr>
            <w:r w:rsidRPr="005C4100">
              <w:t>Malaysia</w:t>
            </w:r>
          </w:p>
        </w:tc>
        <w:tc>
          <w:tcPr>
            <w:tcW w:w="236" w:type="dxa"/>
          </w:tcPr>
          <w:p w14:paraId="6E4C975F" w14:textId="77777777" w:rsidR="00304EC1" w:rsidRPr="005C4100" w:rsidRDefault="00304EC1" w:rsidP="00ED0F27">
            <w:pPr>
              <w:spacing w:before="240"/>
            </w:pPr>
          </w:p>
        </w:tc>
        <w:tc>
          <w:tcPr>
            <w:tcW w:w="3841" w:type="dxa"/>
          </w:tcPr>
          <w:p w14:paraId="0B580715" w14:textId="501B7D34" w:rsidR="00304EC1" w:rsidRPr="005C4100" w:rsidRDefault="00304EC1" w:rsidP="00ED0F27">
            <w:pPr>
              <w:spacing w:before="240"/>
            </w:pPr>
            <w:r w:rsidRPr="005C4100">
              <w:t>Malaysian Osteoporosis Society</w:t>
            </w:r>
          </w:p>
        </w:tc>
        <w:tc>
          <w:tcPr>
            <w:tcW w:w="1283" w:type="dxa"/>
          </w:tcPr>
          <w:p w14:paraId="4B1475F0" w14:textId="515A71F1" w:rsidR="00304EC1" w:rsidRPr="005C4100" w:rsidRDefault="00304EC1" w:rsidP="00C26BE9">
            <w:pPr>
              <w:spacing w:before="240"/>
              <w:jc w:val="center"/>
            </w:pPr>
            <w:r w:rsidRPr="005C4100">
              <w:t xml:space="preserve"> [86]</w:t>
            </w:r>
          </w:p>
        </w:tc>
        <w:tc>
          <w:tcPr>
            <w:tcW w:w="1132" w:type="dxa"/>
          </w:tcPr>
          <w:p w14:paraId="6AFD52B3" w14:textId="6B271795" w:rsidR="00304EC1" w:rsidRPr="005C4100" w:rsidRDefault="00304EC1" w:rsidP="00ED0F27">
            <w:pPr>
              <w:spacing w:before="240"/>
              <w:jc w:val="center"/>
            </w:pPr>
            <w:r w:rsidRPr="005C4100">
              <w:t>20</w:t>
            </w:r>
          </w:p>
        </w:tc>
        <w:tc>
          <w:tcPr>
            <w:tcW w:w="987" w:type="dxa"/>
          </w:tcPr>
          <w:p w14:paraId="135A870E" w14:textId="55C0A8BD" w:rsidR="00304EC1" w:rsidRPr="005C4100" w:rsidRDefault="00304EC1" w:rsidP="00ED0F27">
            <w:pPr>
              <w:spacing w:before="240"/>
              <w:jc w:val="center"/>
            </w:pPr>
            <w:r w:rsidRPr="005C4100">
              <w:t>3</w:t>
            </w:r>
          </w:p>
        </w:tc>
      </w:tr>
      <w:tr w:rsidR="005D4538" w:rsidRPr="005C4100" w14:paraId="5090A730" w14:textId="77777777" w:rsidTr="005C4100">
        <w:tc>
          <w:tcPr>
            <w:tcW w:w="1588" w:type="dxa"/>
          </w:tcPr>
          <w:p w14:paraId="4261BD95" w14:textId="61DCB630" w:rsidR="005D4538" w:rsidRPr="005C4100" w:rsidRDefault="005D4538" w:rsidP="00ED0F27">
            <w:pPr>
              <w:spacing w:before="240"/>
            </w:pPr>
            <w:r w:rsidRPr="005C4100">
              <w:t>Mexico</w:t>
            </w:r>
          </w:p>
        </w:tc>
        <w:tc>
          <w:tcPr>
            <w:tcW w:w="236" w:type="dxa"/>
          </w:tcPr>
          <w:p w14:paraId="3AB2D5B2" w14:textId="77777777" w:rsidR="005D4538" w:rsidRPr="005C4100" w:rsidRDefault="005D4538" w:rsidP="00ED0F27">
            <w:pPr>
              <w:spacing w:before="240"/>
            </w:pPr>
          </w:p>
        </w:tc>
        <w:tc>
          <w:tcPr>
            <w:tcW w:w="3841" w:type="dxa"/>
          </w:tcPr>
          <w:p w14:paraId="79BCDBF6" w14:textId="675CFE4A" w:rsidR="005D4538" w:rsidRPr="005C4100" w:rsidRDefault="005D4538" w:rsidP="00ED0F27">
            <w:pPr>
              <w:spacing w:before="240"/>
            </w:pPr>
            <w:proofErr w:type="spellStart"/>
            <w:r w:rsidRPr="005C4100">
              <w:t>Colegio</w:t>
            </w:r>
            <w:proofErr w:type="spellEnd"/>
            <w:r w:rsidRPr="005C4100">
              <w:t xml:space="preserve"> </w:t>
            </w:r>
            <w:proofErr w:type="spellStart"/>
            <w:r w:rsidRPr="005C4100">
              <w:t>Mexicano</w:t>
            </w:r>
            <w:proofErr w:type="spellEnd"/>
            <w:r w:rsidRPr="005C4100">
              <w:t xml:space="preserve"> de </w:t>
            </w:r>
            <w:proofErr w:type="spellStart"/>
            <w:r w:rsidRPr="005C4100">
              <w:t>Ortopedia</w:t>
            </w:r>
            <w:proofErr w:type="spellEnd"/>
            <w:r w:rsidRPr="005C4100">
              <w:t xml:space="preserve"> y </w:t>
            </w:r>
            <w:proofErr w:type="spellStart"/>
            <w:r w:rsidRPr="005C4100">
              <w:t>Traumatología</w:t>
            </w:r>
            <w:proofErr w:type="spellEnd"/>
          </w:p>
        </w:tc>
        <w:tc>
          <w:tcPr>
            <w:tcW w:w="1283" w:type="dxa"/>
          </w:tcPr>
          <w:p w14:paraId="5D4F6573" w14:textId="47ABD813" w:rsidR="005D4538" w:rsidRPr="005C4100" w:rsidRDefault="00806725" w:rsidP="00C26BE9">
            <w:pPr>
              <w:spacing w:before="240"/>
              <w:jc w:val="center"/>
            </w:pPr>
            <w:r w:rsidRPr="005C4100">
              <w:t xml:space="preserve"> [</w:t>
            </w:r>
            <w:r w:rsidR="00C2079F" w:rsidRPr="005C4100">
              <w:t>87</w:t>
            </w:r>
            <w:r w:rsidRPr="005C4100">
              <w:t>]</w:t>
            </w:r>
          </w:p>
        </w:tc>
        <w:tc>
          <w:tcPr>
            <w:tcW w:w="1132" w:type="dxa"/>
          </w:tcPr>
          <w:p w14:paraId="49F3DAFF" w14:textId="52C4C037" w:rsidR="005D4538" w:rsidRPr="005C4100" w:rsidRDefault="005D4538" w:rsidP="00ED0F27">
            <w:pPr>
              <w:spacing w:before="240"/>
              <w:jc w:val="center"/>
            </w:pPr>
            <w:r w:rsidRPr="005C4100">
              <w:t>20</w:t>
            </w:r>
          </w:p>
        </w:tc>
        <w:tc>
          <w:tcPr>
            <w:tcW w:w="987" w:type="dxa"/>
          </w:tcPr>
          <w:p w14:paraId="2B2549E5" w14:textId="13AFFF2A" w:rsidR="005D4538" w:rsidRPr="005C4100" w:rsidRDefault="005D4538" w:rsidP="00ED0F27">
            <w:pPr>
              <w:spacing w:before="240"/>
              <w:jc w:val="center"/>
            </w:pPr>
            <w:r w:rsidRPr="005C4100">
              <w:t>3</w:t>
            </w:r>
          </w:p>
        </w:tc>
      </w:tr>
      <w:tr w:rsidR="00F50CA3" w:rsidRPr="005C4100" w14:paraId="63AD5F7C" w14:textId="77777777" w:rsidTr="005C4100">
        <w:tc>
          <w:tcPr>
            <w:tcW w:w="1588" w:type="dxa"/>
          </w:tcPr>
          <w:p w14:paraId="2C99320C" w14:textId="3D2B1933" w:rsidR="00F50CA3" w:rsidRPr="005C4100" w:rsidRDefault="00F50CA3" w:rsidP="00ED0F27">
            <w:pPr>
              <w:spacing w:before="240"/>
            </w:pPr>
            <w:r w:rsidRPr="005C4100">
              <w:t>Philippines</w:t>
            </w:r>
          </w:p>
        </w:tc>
        <w:tc>
          <w:tcPr>
            <w:tcW w:w="236" w:type="dxa"/>
          </w:tcPr>
          <w:p w14:paraId="0C21C8C9" w14:textId="77777777" w:rsidR="00F50CA3" w:rsidRPr="005C4100" w:rsidRDefault="00F50CA3" w:rsidP="00ED0F27">
            <w:pPr>
              <w:spacing w:before="240"/>
            </w:pPr>
          </w:p>
        </w:tc>
        <w:tc>
          <w:tcPr>
            <w:tcW w:w="3841" w:type="dxa"/>
          </w:tcPr>
          <w:p w14:paraId="07207302" w14:textId="3A677122" w:rsidR="00F50CA3" w:rsidRPr="005C4100" w:rsidRDefault="00F50CA3" w:rsidP="00ED0F27">
            <w:pPr>
              <w:spacing w:before="240"/>
            </w:pPr>
            <w:r w:rsidRPr="005C4100">
              <w:t xml:space="preserve">Osteoporosis Society of the Philippines and Philippine </w:t>
            </w:r>
            <w:proofErr w:type="spellStart"/>
            <w:r w:rsidRPr="005C4100">
              <w:t>Orthopedic</w:t>
            </w:r>
            <w:proofErr w:type="spellEnd"/>
            <w:r w:rsidRPr="005C4100">
              <w:t xml:space="preserve"> Association</w:t>
            </w:r>
          </w:p>
        </w:tc>
        <w:tc>
          <w:tcPr>
            <w:tcW w:w="1283" w:type="dxa"/>
          </w:tcPr>
          <w:p w14:paraId="02E8B8BF" w14:textId="5DA5246F" w:rsidR="00F50CA3" w:rsidRPr="005C4100" w:rsidRDefault="00806725" w:rsidP="00C26BE9">
            <w:pPr>
              <w:spacing w:before="240"/>
              <w:jc w:val="center"/>
            </w:pPr>
            <w:r w:rsidRPr="005C4100">
              <w:t xml:space="preserve"> [</w:t>
            </w:r>
            <w:r w:rsidR="00C2079F" w:rsidRPr="005C4100">
              <w:t>88</w:t>
            </w:r>
            <w:r w:rsidRPr="005C4100">
              <w:t>]</w:t>
            </w:r>
          </w:p>
        </w:tc>
        <w:tc>
          <w:tcPr>
            <w:tcW w:w="1132" w:type="dxa"/>
          </w:tcPr>
          <w:p w14:paraId="35042086" w14:textId="735C5890" w:rsidR="00F50CA3" w:rsidRPr="005C4100" w:rsidRDefault="00F50CA3" w:rsidP="00ED0F27">
            <w:pPr>
              <w:spacing w:before="240"/>
              <w:jc w:val="center"/>
            </w:pPr>
            <w:r w:rsidRPr="005C4100">
              <w:t>20</w:t>
            </w:r>
          </w:p>
        </w:tc>
        <w:tc>
          <w:tcPr>
            <w:tcW w:w="987" w:type="dxa"/>
          </w:tcPr>
          <w:p w14:paraId="7A6083CE" w14:textId="38BE7882" w:rsidR="00F50CA3" w:rsidRPr="005C4100" w:rsidRDefault="00F50CA3" w:rsidP="00ED0F27">
            <w:pPr>
              <w:spacing w:before="240"/>
              <w:jc w:val="center"/>
            </w:pPr>
            <w:r w:rsidRPr="005C4100">
              <w:t>3</w:t>
            </w:r>
          </w:p>
        </w:tc>
      </w:tr>
      <w:tr w:rsidR="002E0CBA" w:rsidRPr="005C4100" w14:paraId="5FB4B033" w14:textId="77777777" w:rsidTr="005C4100">
        <w:tc>
          <w:tcPr>
            <w:tcW w:w="1588" w:type="dxa"/>
          </w:tcPr>
          <w:p w14:paraId="5B545431" w14:textId="4463097F" w:rsidR="002E0CBA" w:rsidRPr="005C4100" w:rsidRDefault="002E0CBA" w:rsidP="00ED0F27">
            <w:pPr>
              <w:spacing w:before="240"/>
            </w:pPr>
            <w:r w:rsidRPr="005C4100">
              <w:t>Poland</w:t>
            </w:r>
          </w:p>
        </w:tc>
        <w:tc>
          <w:tcPr>
            <w:tcW w:w="236" w:type="dxa"/>
          </w:tcPr>
          <w:p w14:paraId="4D2ECA78" w14:textId="77777777" w:rsidR="002E0CBA" w:rsidRPr="005C4100" w:rsidRDefault="002E0CBA" w:rsidP="00ED0F27">
            <w:pPr>
              <w:spacing w:before="240"/>
            </w:pPr>
          </w:p>
        </w:tc>
        <w:tc>
          <w:tcPr>
            <w:tcW w:w="3841" w:type="dxa"/>
          </w:tcPr>
          <w:p w14:paraId="171A424D" w14:textId="77777777" w:rsidR="002E0CBA" w:rsidRPr="005C4100" w:rsidRDefault="002E0CBA" w:rsidP="00ED0F27">
            <w:pPr>
              <w:spacing w:before="240"/>
            </w:pPr>
            <w:r w:rsidRPr="005C4100">
              <w:t>Academia</w:t>
            </w:r>
          </w:p>
        </w:tc>
        <w:tc>
          <w:tcPr>
            <w:tcW w:w="1283" w:type="dxa"/>
          </w:tcPr>
          <w:p w14:paraId="656E3C3E" w14:textId="737FC6C4" w:rsidR="002E0CBA" w:rsidRPr="005C4100" w:rsidRDefault="00806725" w:rsidP="00C26BE9">
            <w:pPr>
              <w:spacing w:before="240"/>
              <w:jc w:val="center"/>
            </w:pPr>
            <w:r w:rsidRPr="005C4100">
              <w:t xml:space="preserve"> [</w:t>
            </w:r>
            <w:r w:rsidR="00C2079F" w:rsidRPr="005C4100">
              <w:t>89</w:t>
            </w:r>
            <w:r w:rsidRPr="005C4100">
              <w:t>]</w:t>
            </w:r>
          </w:p>
        </w:tc>
        <w:tc>
          <w:tcPr>
            <w:tcW w:w="1132" w:type="dxa"/>
          </w:tcPr>
          <w:p w14:paraId="510A002C" w14:textId="77777777" w:rsidR="002E0CBA" w:rsidRPr="005C4100" w:rsidRDefault="002E0CBA" w:rsidP="00ED0F27">
            <w:pPr>
              <w:spacing w:before="240"/>
              <w:jc w:val="center"/>
            </w:pPr>
            <w:r w:rsidRPr="005C4100">
              <w:t>11.6, 17.4</w:t>
            </w:r>
          </w:p>
        </w:tc>
        <w:tc>
          <w:tcPr>
            <w:tcW w:w="987" w:type="dxa"/>
          </w:tcPr>
          <w:p w14:paraId="07B5762C" w14:textId="7B7EA3E9" w:rsidR="002E0CBA" w:rsidRPr="005C4100" w:rsidRDefault="002E0CBA" w:rsidP="00ED0F27">
            <w:pPr>
              <w:spacing w:before="240"/>
              <w:jc w:val="center"/>
            </w:pPr>
          </w:p>
        </w:tc>
      </w:tr>
      <w:tr w:rsidR="0039535E" w:rsidRPr="005C4100" w14:paraId="54D67468" w14:textId="77777777" w:rsidTr="005C4100">
        <w:tc>
          <w:tcPr>
            <w:tcW w:w="1588" w:type="dxa"/>
          </w:tcPr>
          <w:p w14:paraId="3046AE54" w14:textId="1D83C069" w:rsidR="0039535E" w:rsidRPr="005C4100" w:rsidRDefault="0039535E" w:rsidP="00ED0F27">
            <w:pPr>
              <w:spacing w:before="240"/>
            </w:pPr>
            <w:r w:rsidRPr="005C4100">
              <w:t>Poland</w:t>
            </w:r>
          </w:p>
        </w:tc>
        <w:tc>
          <w:tcPr>
            <w:tcW w:w="236" w:type="dxa"/>
          </w:tcPr>
          <w:p w14:paraId="229A9A38" w14:textId="77777777" w:rsidR="0039535E" w:rsidRPr="005C4100" w:rsidRDefault="0039535E" w:rsidP="00ED0F27">
            <w:pPr>
              <w:spacing w:before="240"/>
            </w:pPr>
          </w:p>
        </w:tc>
        <w:tc>
          <w:tcPr>
            <w:tcW w:w="3841" w:type="dxa"/>
          </w:tcPr>
          <w:p w14:paraId="201B17AF" w14:textId="79263CB3" w:rsidR="0039535E" w:rsidRPr="005C4100" w:rsidRDefault="0039535E" w:rsidP="00ED0F27">
            <w:pPr>
              <w:spacing w:before="240"/>
            </w:pPr>
            <w:r w:rsidRPr="005C4100">
              <w:t>Multiple societies</w:t>
            </w:r>
          </w:p>
        </w:tc>
        <w:tc>
          <w:tcPr>
            <w:tcW w:w="1283" w:type="dxa"/>
          </w:tcPr>
          <w:p w14:paraId="4A685709" w14:textId="6E0A88BD" w:rsidR="0039535E" w:rsidRPr="005C4100" w:rsidRDefault="00806725" w:rsidP="00C26BE9">
            <w:pPr>
              <w:spacing w:before="240"/>
              <w:jc w:val="center"/>
            </w:pPr>
            <w:r w:rsidRPr="005C4100">
              <w:t xml:space="preserve"> [</w:t>
            </w:r>
            <w:r w:rsidR="00C2079F" w:rsidRPr="005C4100">
              <w:t>90</w:t>
            </w:r>
            <w:r w:rsidRPr="005C4100">
              <w:t>]</w:t>
            </w:r>
          </w:p>
        </w:tc>
        <w:tc>
          <w:tcPr>
            <w:tcW w:w="1132" w:type="dxa"/>
          </w:tcPr>
          <w:p w14:paraId="1FDFD288" w14:textId="62793217" w:rsidR="0039535E" w:rsidRPr="005C4100" w:rsidRDefault="0039535E" w:rsidP="00ED0F27">
            <w:pPr>
              <w:spacing w:before="240"/>
              <w:jc w:val="center"/>
            </w:pPr>
            <w:r w:rsidRPr="005C4100">
              <w:t>20</w:t>
            </w:r>
          </w:p>
        </w:tc>
        <w:tc>
          <w:tcPr>
            <w:tcW w:w="987" w:type="dxa"/>
          </w:tcPr>
          <w:p w14:paraId="689C7236" w14:textId="77777777" w:rsidR="0039535E" w:rsidRPr="005C4100" w:rsidRDefault="0039535E" w:rsidP="00ED0F27">
            <w:pPr>
              <w:spacing w:before="240"/>
              <w:jc w:val="center"/>
            </w:pPr>
          </w:p>
        </w:tc>
      </w:tr>
      <w:tr w:rsidR="003105F3" w:rsidRPr="005C4100" w14:paraId="61D1E518" w14:textId="77777777" w:rsidTr="005C4100">
        <w:tc>
          <w:tcPr>
            <w:tcW w:w="1588" w:type="dxa"/>
          </w:tcPr>
          <w:p w14:paraId="7E479824" w14:textId="3B79FC6E" w:rsidR="003105F3" w:rsidRPr="005C4100" w:rsidRDefault="003105F3" w:rsidP="00ED0F27">
            <w:pPr>
              <w:spacing w:before="240"/>
            </w:pPr>
            <w:r w:rsidRPr="005C4100">
              <w:t>Poland</w:t>
            </w:r>
          </w:p>
        </w:tc>
        <w:tc>
          <w:tcPr>
            <w:tcW w:w="236" w:type="dxa"/>
          </w:tcPr>
          <w:p w14:paraId="1BA49E08" w14:textId="77777777" w:rsidR="003105F3" w:rsidRPr="005C4100" w:rsidRDefault="003105F3" w:rsidP="00ED0F27">
            <w:pPr>
              <w:spacing w:before="240"/>
            </w:pPr>
          </w:p>
        </w:tc>
        <w:tc>
          <w:tcPr>
            <w:tcW w:w="3841" w:type="dxa"/>
          </w:tcPr>
          <w:p w14:paraId="154F639D" w14:textId="6F2A7AB7" w:rsidR="003105F3" w:rsidRPr="005C4100" w:rsidRDefault="003105F3" w:rsidP="00ED0F27">
            <w:pPr>
              <w:spacing w:before="240"/>
            </w:pPr>
            <w:r w:rsidRPr="005C4100">
              <w:t>Academia</w:t>
            </w:r>
          </w:p>
        </w:tc>
        <w:tc>
          <w:tcPr>
            <w:tcW w:w="1283" w:type="dxa"/>
          </w:tcPr>
          <w:p w14:paraId="21AD352F" w14:textId="2A4E0774" w:rsidR="003105F3" w:rsidRPr="005C4100" w:rsidRDefault="00806725" w:rsidP="00C26BE9">
            <w:pPr>
              <w:spacing w:before="240"/>
              <w:jc w:val="center"/>
            </w:pPr>
            <w:r w:rsidRPr="005C4100">
              <w:t xml:space="preserve"> [</w:t>
            </w:r>
            <w:r w:rsidR="00C2079F" w:rsidRPr="005C4100">
              <w:t>91</w:t>
            </w:r>
            <w:r w:rsidRPr="005C4100">
              <w:t>]</w:t>
            </w:r>
          </w:p>
        </w:tc>
        <w:tc>
          <w:tcPr>
            <w:tcW w:w="1132" w:type="dxa"/>
          </w:tcPr>
          <w:p w14:paraId="0CDE19EE" w14:textId="65EED3EF" w:rsidR="003105F3" w:rsidRPr="005C4100" w:rsidRDefault="003105F3" w:rsidP="00ED0F27">
            <w:pPr>
              <w:spacing w:before="240"/>
              <w:jc w:val="center"/>
            </w:pPr>
            <w:r w:rsidRPr="005C4100">
              <w:t>18</w:t>
            </w:r>
          </w:p>
        </w:tc>
        <w:tc>
          <w:tcPr>
            <w:tcW w:w="987" w:type="dxa"/>
          </w:tcPr>
          <w:p w14:paraId="3F95685F" w14:textId="16456273" w:rsidR="003105F3" w:rsidRPr="005C4100" w:rsidRDefault="003105F3" w:rsidP="00ED0F27">
            <w:pPr>
              <w:spacing w:before="240"/>
              <w:jc w:val="center"/>
            </w:pPr>
            <w:r w:rsidRPr="005C4100">
              <w:t>9</w:t>
            </w:r>
          </w:p>
        </w:tc>
      </w:tr>
      <w:tr w:rsidR="002E0CBA" w:rsidRPr="005C4100" w14:paraId="1076E609" w14:textId="77777777" w:rsidTr="005C4100">
        <w:tc>
          <w:tcPr>
            <w:tcW w:w="1588" w:type="dxa"/>
          </w:tcPr>
          <w:p w14:paraId="31D8787C" w14:textId="20A8818C" w:rsidR="002E0CBA" w:rsidRPr="005C4100" w:rsidRDefault="002E0CBA" w:rsidP="00ED0F27">
            <w:pPr>
              <w:spacing w:before="240"/>
            </w:pPr>
            <w:r w:rsidRPr="005C4100">
              <w:t>Poland</w:t>
            </w:r>
          </w:p>
        </w:tc>
        <w:tc>
          <w:tcPr>
            <w:tcW w:w="236" w:type="dxa"/>
          </w:tcPr>
          <w:p w14:paraId="5892EC5C" w14:textId="77777777" w:rsidR="002E0CBA" w:rsidRPr="005C4100" w:rsidRDefault="002E0CBA" w:rsidP="00ED0F27">
            <w:pPr>
              <w:spacing w:before="240"/>
            </w:pPr>
          </w:p>
        </w:tc>
        <w:tc>
          <w:tcPr>
            <w:tcW w:w="3841" w:type="dxa"/>
          </w:tcPr>
          <w:p w14:paraId="178271EC" w14:textId="77777777" w:rsidR="002E0CBA" w:rsidRPr="005C4100" w:rsidRDefault="002E0CBA" w:rsidP="00ED0F27">
            <w:pPr>
              <w:spacing w:before="240"/>
            </w:pPr>
            <w:r w:rsidRPr="005C4100">
              <w:t>Multidisciplinary Osteoporotic Forum</w:t>
            </w:r>
          </w:p>
        </w:tc>
        <w:tc>
          <w:tcPr>
            <w:tcW w:w="1283" w:type="dxa"/>
          </w:tcPr>
          <w:p w14:paraId="02591ED0" w14:textId="1ED8DCD8" w:rsidR="002E0CBA" w:rsidRPr="005C4100" w:rsidRDefault="00806725" w:rsidP="00C26BE9">
            <w:pPr>
              <w:spacing w:before="240"/>
              <w:jc w:val="center"/>
            </w:pPr>
            <w:r w:rsidRPr="005C4100">
              <w:t xml:space="preserve"> [</w:t>
            </w:r>
            <w:r w:rsidR="00C2079F" w:rsidRPr="005C4100">
              <w:t>92</w:t>
            </w:r>
            <w:r w:rsidRPr="005C4100">
              <w:t>]</w:t>
            </w:r>
          </w:p>
        </w:tc>
        <w:tc>
          <w:tcPr>
            <w:tcW w:w="1132" w:type="dxa"/>
          </w:tcPr>
          <w:p w14:paraId="2FFFCE41" w14:textId="77777777" w:rsidR="002E0CBA" w:rsidRPr="005C4100" w:rsidRDefault="002E0CBA" w:rsidP="00ED0F27">
            <w:pPr>
              <w:spacing w:before="240"/>
              <w:jc w:val="center"/>
            </w:pPr>
            <w:r w:rsidRPr="005C4100">
              <w:t>10</w:t>
            </w:r>
          </w:p>
        </w:tc>
        <w:tc>
          <w:tcPr>
            <w:tcW w:w="987" w:type="dxa"/>
          </w:tcPr>
          <w:p w14:paraId="03987267" w14:textId="058A2B37" w:rsidR="002E0CBA" w:rsidRPr="005C4100" w:rsidRDefault="002E0CBA" w:rsidP="00ED0F27">
            <w:pPr>
              <w:spacing w:before="240"/>
              <w:jc w:val="center"/>
            </w:pPr>
          </w:p>
        </w:tc>
      </w:tr>
      <w:tr w:rsidR="00040540" w:rsidRPr="005C4100" w14:paraId="524CA131" w14:textId="77777777" w:rsidTr="005C4100">
        <w:tc>
          <w:tcPr>
            <w:tcW w:w="1588" w:type="dxa"/>
          </w:tcPr>
          <w:p w14:paraId="522EDB0D" w14:textId="0DEE2EE8" w:rsidR="00040540" w:rsidRPr="005C4100" w:rsidRDefault="00040540" w:rsidP="00ED0F27">
            <w:pPr>
              <w:spacing w:before="240"/>
            </w:pPr>
            <w:r w:rsidRPr="005C4100">
              <w:t>Portugal</w:t>
            </w:r>
          </w:p>
        </w:tc>
        <w:tc>
          <w:tcPr>
            <w:tcW w:w="236" w:type="dxa"/>
          </w:tcPr>
          <w:p w14:paraId="6A9673B0" w14:textId="77777777" w:rsidR="00040540" w:rsidRPr="005C4100" w:rsidRDefault="00040540" w:rsidP="00ED0F27">
            <w:pPr>
              <w:spacing w:before="240"/>
            </w:pPr>
          </w:p>
        </w:tc>
        <w:tc>
          <w:tcPr>
            <w:tcW w:w="3841" w:type="dxa"/>
          </w:tcPr>
          <w:p w14:paraId="28E10B58" w14:textId="458DBB12" w:rsidR="00040540" w:rsidRPr="005C4100" w:rsidRDefault="00040540" w:rsidP="00ED0F27">
            <w:pPr>
              <w:spacing w:before="240"/>
            </w:pPr>
            <w:r w:rsidRPr="005C4100">
              <w:t>Academia</w:t>
            </w:r>
          </w:p>
        </w:tc>
        <w:tc>
          <w:tcPr>
            <w:tcW w:w="1283" w:type="dxa"/>
          </w:tcPr>
          <w:p w14:paraId="5C7CF1BA" w14:textId="18BFE446" w:rsidR="00040540" w:rsidRPr="005C4100" w:rsidRDefault="00806725" w:rsidP="00C26BE9">
            <w:pPr>
              <w:spacing w:before="240"/>
              <w:jc w:val="center"/>
            </w:pPr>
            <w:r w:rsidRPr="005C4100">
              <w:t xml:space="preserve"> </w:t>
            </w:r>
            <w:r w:rsidR="00C2079F" w:rsidRPr="005C4100">
              <w:t>[93</w:t>
            </w:r>
            <w:r w:rsidRPr="005C4100">
              <w:t>]</w:t>
            </w:r>
          </w:p>
        </w:tc>
        <w:tc>
          <w:tcPr>
            <w:tcW w:w="1132" w:type="dxa"/>
          </w:tcPr>
          <w:p w14:paraId="405266B4" w14:textId="336C91F4" w:rsidR="00040540" w:rsidRPr="005C4100" w:rsidRDefault="00040540" w:rsidP="00ED0F27">
            <w:pPr>
              <w:spacing w:before="240"/>
              <w:jc w:val="center"/>
            </w:pPr>
            <w:r w:rsidRPr="005C4100">
              <w:t>20</w:t>
            </w:r>
          </w:p>
        </w:tc>
        <w:tc>
          <w:tcPr>
            <w:tcW w:w="987" w:type="dxa"/>
          </w:tcPr>
          <w:p w14:paraId="343AE414" w14:textId="386ECE54" w:rsidR="00040540" w:rsidRPr="005C4100" w:rsidRDefault="00040540" w:rsidP="00ED0F27">
            <w:pPr>
              <w:spacing w:before="240"/>
              <w:jc w:val="center"/>
            </w:pPr>
            <w:r w:rsidRPr="005C4100">
              <w:t>3</w:t>
            </w:r>
          </w:p>
        </w:tc>
      </w:tr>
      <w:tr w:rsidR="00040540" w:rsidRPr="005C4100" w14:paraId="0AC073C6" w14:textId="77777777" w:rsidTr="005C4100">
        <w:tc>
          <w:tcPr>
            <w:tcW w:w="1588" w:type="dxa"/>
          </w:tcPr>
          <w:p w14:paraId="3C63A8AF" w14:textId="123FE632" w:rsidR="00040540" w:rsidRPr="005C4100" w:rsidRDefault="00040540" w:rsidP="00ED0F27">
            <w:pPr>
              <w:spacing w:before="240"/>
            </w:pPr>
            <w:r w:rsidRPr="005C4100">
              <w:t>Saudi Arabia</w:t>
            </w:r>
          </w:p>
        </w:tc>
        <w:tc>
          <w:tcPr>
            <w:tcW w:w="236" w:type="dxa"/>
          </w:tcPr>
          <w:p w14:paraId="564B0B01" w14:textId="77777777" w:rsidR="00040540" w:rsidRPr="005C4100" w:rsidRDefault="00040540" w:rsidP="00ED0F27">
            <w:pPr>
              <w:spacing w:before="240"/>
            </w:pPr>
          </w:p>
        </w:tc>
        <w:tc>
          <w:tcPr>
            <w:tcW w:w="3841" w:type="dxa"/>
          </w:tcPr>
          <w:p w14:paraId="17F1FF81" w14:textId="77777777" w:rsidR="00040540" w:rsidRPr="005C4100" w:rsidRDefault="00040540" w:rsidP="00ED0F27">
            <w:pPr>
              <w:spacing w:before="240"/>
            </w:pPr>
            <w:r w:rsidRPr="005C4100">
              <w:t>Academia</w:t>
            </w:r>
          </w:p>
        </w:tc>
        <w:tc>
          <w:tcPr>
            <w:tcW w:w="1283" w:type="dxa"/>
          </w:tcPr>
          <w:p w14:paraId="39E3BF0C" w14:textId="2E4F2C14" w:rsidR="00040540" w:rsidRPr="005C4100" w:rsidRDefault="00806725" w:rsidP="00C26BE9">
            <w:pPr>
              <w:spacing w:before="240"/>
              <w:jc w:val="center"/>
            </w:pPr>
            <w:r w:rsidRPr="005C4100">
              <w:t xml:space="preserve"> [</w:t>
            </w:r>
            <w:r w:rsidR="00C2079F" w:rsidRPr="005C4100">
              <w:t>94</w:t>
            </w:r>
            <w:r w:rsidRPr="005C4100">
              <w:t>]</w:t>
            </w:r>
          </w:p>
        </w:tc>
        <w:tc>
          <w:tcPr>
            <w:tcW w:w="1132" w:type="dxa"/>
          </w:tcPr>
          <w:p w14:paraId="7124F843" w14:textId="77777777" w:rsidR="00040540" w:rsidRPr="005C4100" w:rsidRDefault="00040540" w:rsidP="00ED0F27">
            <w:pPr>
              <w:spacing w:before="240"/>
              <w:jc w:val="center"/>
            </w:pPr>
            <w:r w:rsidRPr="005C4100">
              <w:t>20</w:t>
            </w:r>
          </w:p>
        </w:tc>
        <w:tc>
          <w:tcPr>
            <w:tcW w:w="987" w:type="dxa"/>
          </w:tcPr>
          <w:p w14:paraId="3255186E" w14:textId="706C9FEB" w:rsidR="00040540" w:rsidRPr="005C4100" w:rsidRDefault="00040540" w:rsidP="00ED0F27">
            <w:pPr>
              <w:spacing w:before="240"/>
              <w:jc w:val="center"/>
            </w:pPr>
            <w:r w:rsidRPr="005C4100">
              <w:t>3</w:t>
            </w:r>
          </w:p>
        </w:tc>
      </w:tr>
      <w:tr w:rsidR="00040540" w:rsidRPr="005C4100" w14:paraId="04CC7706" w14:textId="77777777" w:rsidTr="005C4100">
        <w:tc>
          <w:tcPr>
            <w:tcW w:w="1588" w:type="dxa"/>
          </w:tcPr>
          <w:p w14:paraId="142634F2" w14:textId="66694AEF" w:rsidR="00040540" w:rsidRPr="005C4100" w:rsidRDefault="00040540" w:rsidP="00ED0F27">
            <w:pPr>
              <w:spacing w:before="240"/>
            </w:pPr>
            <w:r w:rsidRPr="005C4100">
              <w:t>Scotland</w:t>
            </w:r>
          </w:p>
        </w:tc>
        <w:tc>
          <w:tcPr>
            <w:tcW w:w="236" w:type="dxa"/>
          </w:tcPr>
          <w:p w14:paraId="18C9DC5E" w14:textId="77777777" w:rsidR="00040540" w:rsidRPr="005C4100" w:rsidRDefault="00040540" w:rsidP="00ED0F27">
            <w:pPr>
              <w:spacing w:before="240"/>
            </w:pPr>
          </w:p>
        </w:tc>
        <w:tc>
          <w:tcPr>
            <w:tcW w:w="3841" w:type="dxa"/>
          </w:tcPr>
          <w:p w14:paraId="1317BB52" w14:textId="7E7F1FDE" w:rsidR="00040540" w:rsidRPr="005C4100" w:rsidRDefault="00AA0A0F" w:rsidP="00ED0F27">
            <w:pPr>
              <w:spacing w:before="240"/>
            </w:pPr>
            <w:r w:rsidRPr="005C4100">
              <w:t>Scottish Intercollegiate Guidelines Network</w:t>
            </w:r>
          </w:p>
        </w:tc>
        <w:tc>
          <w:tcPr>
            <w:tcW w:w="1283" w:type="dxa"/>
          </w:tcPr>
          <w:p w14:paraId="107A02F9" w14:textId="6EBFFF20" w:rsidR="00040540" w:rsidRPr="005C4100" w:rsidRDefault="00C26BE9" w:rsidP="00C26BE9">
            <w:pPr>
              <w:spacing w:before="240"/>
              <w:jc w:val="center"/>
            </w:pPr>
            <w:r w:rsidRPr="005C4100">
              <w:t xml:space="preserve"> </w:t>
            </w:r>
            <w:r w:rsidR="008546A7" w:rsidRPr="005C4100">
              <w:t>[32]</w:t>
            </w:r>
          </w:p>
        </w:tc>
        <w:tc>
          <w:tcPr>
            <w:tcW w:w="1132" w:type="dxa"/>
            <w:shd w:val="clear" w:color="auto" w:fill="auto"/>
          </w:tcPr>
          <w:p w14:paraId="33D0B731" w14:textId="78C86191" w:rsidR="00040540" w:rsidRPr="005C4100" w:rsidRDefault="00040540" w:rsidP="00C168EA">
            <w:pPr>
              <w:spacing w:before="240"/>
              <w:jc w:val="center"/>
            </w:pPr>
            <w:r w:rsidRPr="005C4100">
              <w:t>10</w:t>
            </w:r>
            <w:r w:rsidR="00C168EA" w:rsidRPr="005C4100">
              <w:t xml:space="preserve"> </w:t>
            </w:r>
            <w:r w:rsidR="00C168EA" w:rsidRPr="005C4100">
              <w:rPr>
                <w:vertAlign w:val="superscript"/>
              </w:rPr>
              <w:t>j</w:t>
            </w:r>
          </w:p>
        </w:tc>
        <w:tc>
          <w:tcPr>
            <w:tcW w:w="987" w:type="dxa"/>
          </w:tcPr>
          <w:p w14:paraId="69109722" w14:textId="612869A2" w:rsidR="00040540" w:rsidRPr="005C4100" w:rsidRDefault="00040540" w:rsidP="00ED0F27">
            <w:pPr>
              <w:spacing w:before="240"/>
              <w:jc w:val="center"/>
            </w:pPr>
          </w:p>
        </w:tc>
      </w:tr>
      <w:tr w:rsidR="00040540" w:rsidRPr="005C4100" w14:paraId="4A528E01" w14:textId="77777777" w:rsidTr="005C4100">
        <w:tc>
          <w:tcPr>
            <w:tcW w:w="1588" w:type="dxa"/>
          </w:tcPr>
          <w:p w14:paraId="51F0B556" w14:textId="2C415361" w:rsidR="00040540" w:rsidRPr="005C4100" w:rsidRDefault="00040540" w:rsidP="00ED0F27">
            <w:pPr>
              <w:spacing w:before="240"/>
            </w:pPr>
            <w:r w:rsidRPr="005C4100">
              <w:t>Slovakia</w:t>
            </w:r>
          </w:p>
        </w:tc>
        <w:tc>
          <w:tcPr>
            <w:tcW w:w="236" w:type="dxa"/>
          </w:tcPr>
          <w:p w14:paraId="1A6994DD" w14:textId="77777777" w:rsidR="00040540" w:rsidRPr="005C4100" w:rsidRDefault="00040540" w:rsidP="00ED0F27">
            <w:pPr>
              <w:spacing w:before="240"/>
            </w:pPr>
          </w:p>
        </w:tc>
        <w:tc>
          <w:tcPr>
            <w:tcW w:w="3841" w:type="dxa"/>
          </w:tcPr>
          <w:p w14:paraId="5F8095FC" w14:textId="1172E201" w:rsidR="00040540" w:rsidRPr="005C4100" w:rsidRDefault="00040540" w:rsidP="00ED0F27">
            <w:pPr>
              <w:spacing w:before="240"/>
            </w:pPr>
            <w:r w:rsidRPr="005C4100">
              <w:t>Academia</w:t>
            </w:r>
          </w:p>
        </w:tc>
        <w:tc>
          <w:tcPr>
            <w:tcW w:w="1283" w:type="dxa"/>
          </w:tcPr>
          <w:p w14:paraId="6306CB1F" w14:textId="5B6DC6B1" w:rsidR="00040540" w:rsidRPr="005C4100" w:rsidRDefault="00806725" w:rsidP="00C26BE9">
            <w:pPr>
              <w:spacing w:before="240"/>
              <w:jc w:val="center"/>
            </w:pPr>
            <w:r w:rsidRPr="005C4100">
              <w:t xml:space="preserve"> [</w:t>
            </w:r>
            <w:r w:rsidR="00C2079F" w:rsidRPr="005C4100">
              <w:t>95</w:t>
            </w:r>
            <w:r w:rsidRPr="005C4100">
              <w:t>]</w:t>
            </w:r>
          </w:p>
        </w:tc>
        <w:tc>
          <w:tcPr>
            <w:tcW w:w="1132" w:type="dxa"/>
          </w:tcPr>
          <w:p w14:paraId="16AB57A7" w14:textId="7F54FD6D" w:rsidR="00040540" w:rsidRPr="005C4100" w:rsidRDefault="00040540" w:rsidP="00ED0F27">
            <w:pPr>
              <w:spacing w:before="240"/>
              <w:jc w:val="center"/>
            </w:pPr>
            <w:r w:rsidRPr="005C4100">
              <w:t>20</w:t>
            </w:r>
          </w:p>
        </w:tc>
        <w:tc>
          <w:tcPr>
            <w:tcW w:w="987" w:type="dxa"/>
          </w:tcPr>
          <w:p w14:paraId="464E7104" w14:textId="5359849D" w:rsidR="00040540" w:rsidRPr="005C4100" w:rsidRDefault="00040540" w:rsidP="00ED0F27">
            <w:pPr>
              <w:spacing w:before="240"/>
              <w:jc w:val="center"/>
            </w:pPr>
          </w:p>
        </w:tc>
      </w:tr>
      <w:tr w:rsidR="00040540" w:rsidRPr="005C4100" w14:paraId="19C9D4B6" w14:textId="77777777" w:rsidTr="005C4100">
        <w:tc>
          <w:tcPr>
            <w:tcW w:w="1588" w:type="dxa"/>
          </w:tcPr>
          <w:p w14:paraId="32FED09C" w14:textId="713D2FA3" w:rsidR="00040540" w:rsidRPr="005C4100" w:rsidRDefault="00040540" w:rsidP="00ED0F27">
            <w:pPr>
              <w:spacing w:before="240"/>
            </w:pPr>
            <w:r w:rsidRPr="005C4100">
              <w:t>Slovenia</w:t>
            </w:r>
          </w:p>
        </w:tc>
        <w:tc>
          <w:tcPr>
            <w:tcW w:w="236" w:type="dxa"/>
          </w:tcPr>
          <w:p w14:paraId="7495C9AF" w14:textId="77777777" w:rsidR="00040540" w:rsidRPr="005C4100" w:rsidRDefault="00040540" w:rsidP="00ED0F27">
            <w:pPr>
              <w:spacing w:before="240"/>
            </w:pPr>
          </w:p>
        </w:tc>
        <w:tc>
          <w:tcPr>
            <w:tcW w:w="3841" w:type="dxa"/>
          </w:tcPr>
          <w:p w14:paraId="316736AF" w14:textId="77777777" w:rsidR="00040540" w:rsidRPr="005C4100" w:rsidRDefault="00040540" w:rsidP="00ED0F27">
            <w:pPr>
              <w:spacing w:before="240"/>
            </w:pPr>
            <w:r w:rsidRPr="005C4100">
              <w:t>Endocrine Society</w:t>
            </w:r>
          </w:p>
        </w:tc>
        <w:tc>
          <w:tcPr>
            <w:tcW w:w="1283" w:type="dxa"/>
          </w:tcPr>
          <w:p w14:paraId="5FA9B801" w14:textId="6E44459B" w:rsidR="00040540" w:rsidRPr="005C4100" w:rsidRDefault="00806725" w:rsidP="00C26BE9">
            <w:pPr>
              <w:spacing w:before="240"/>
              <w:jc w:val="center"/>
            </w:pPr>
            <w:r w:rsidRPr="005C4100">
              <w:t xml:space="preserve"> [</w:t>
            </w:r>
            <w:r w:rsidR="007C2B2A" w:rsidRPr="005C4100">
              <w:t>96</w:t>
            </w:r>
            <w:r w:rsidRPr="005C4100">
              <w:t>]</w:t>
            </w:r>
          </w:p>
        </w:tc>
        <w:tc>
          <w:tcPr>
            <w:tcW w:w="1132" w:type="dxa"/>
          </w:tcPr>
          <w:p w14:paraId="0D04F5CD" w14:textId="77777777" w:rsidR="00040540" w:rsidRPr="005C4100" w:rsidRDefault="00040540" w:rsidP="00ED0F27">
            <w:pPr>
              <w:spacing w:before="240"/>
              <w:jc w:val="center"/>
            </w:pPr>
            <w:r w:rsidRPr="005C4100">
              <w:t>20</w:t>
            </w:r>
          </w:p>
        </w:tc>
        <w:tc>
          <w:tcPr>
            <w:tcW w:w="987" w:type="dxa"/>
          </w:tcPr>
          <w:p w14:paraId="1256817B" w14:textId="7A357E5A" w:rsidR="00040540" w:rsidRPr="005C4100" w:rsidRDefault="00040540" w:rsidP="00ED0F27">
            <w:pPr>
              <w:spacing w:before="240"/>
              <w:jc w:val="center"/>
            </w:pPr>
          </w:p>
        </w:tc>
      </w:tr>
      <w:tr w:rsidR="00040540" w:rsidRPr="005C4100" w14:paraId="0E242A19" w14:textId="77777777" w:rsidTr="005C4100">
        <w:tc>
          <w:tcPr>
            <w:tcW w:w="1588" w:type="dxa"/>
          </w:tcPr>
          <w:p w14:paraId="6EF20BE7" w14:textId="37B01C2B" w:rsidR="00040540" w:rsidRPr="005C4100" w:rsidRDefault="00040540" w:rsidP="00ED0F27">
            <w:pPr>
              <w:spacing w:before="240"/>
            </w:pPr>
            <w:r w:rsidRPr="005C4100">
              <w:t>Slovenia</w:t>
            </w:r>
          </w:p>
        </w:tc>
        <w:tc>
          <w:tcPr>
            <w:tcW w:w="236" w:type="dxa"/>
          </w:tcPr>
          <w:p w14:paraId="56BF8930" w14:textId="77777777" w:rsidR="00040540" w:rsidRPr="005C4100" w:rsidRDefault="00040540" w:rsidP="00ED0F27">
            <w:pPr>
              <w:spacing w:before="240"/>
            </w:pPr>
          </w:p>
        </w:tc>
        <w:tc>
          <w:tcPr>
            <w:tcW w:w="3841" w:type="dxa"/>
          </w:tcPr>
          <w:p w14:paraId="0CFEE26A" w14:textId="77777777" w:rsidR="00040540" w:rsidRPr="005C4100" w:rsidRDefault="00040540" w:rsidP="00ED0F27">
            <w:pPr>
              <w:spacing w:before="240"/>
            </w:pPr>
            <w:r w:rsidRPr="005C4100">
              <w:t>Reimbursement agency</w:t>
            </w:r>
          </w:p>
        </w:tc>
        <w:tc>
          <w:tcPr>
            <w:tcW w:w="1283" w:type="dxa"/>
          </w:tcPr>
          <w:p w14:paraId="2940A62B" w14:textId="39F088F9" w:rsidR="00040540" w:rsidRPr="005C4100" w:rsidRDefault="00806725" w:rsidP="00C26BE9">
            <w:pPr>
              <w:spacing w:before="240"/>
              <w:jc w:val="center"/>
            </w:pPr>
            <w:r w:rsidRPr="005C4100">
              <w:t xml:space="preserve"> [</w:t>
            </w:r>
            <w:r w:rsidR="007C2B2A" w:rsidRPr="005C4100">
              <w:t>97</w:t>
            </w:r>
            <w:r w:rsidRPr="005C4100">
              <w:t>]</w:t>
            </w:r>
          </w:p>
        </w:tc>
        <w:tc>
          <w:tcPr>
            <w:tcW w:w="1132" w:type="dxa"/>
          </w:tcPr>
          <w:p w14:paraId="30339929" w14:textId="77777777" w:rsidR="00040540" w:rsidRPr="005C4100" w:rsidRDefault="00040540" w:rsidP="00ED0F27">
            <w:pPr>
              <w:spacing w:before="240"/>
              <w:jc w:val="center"/>
            </w:pPr>
            <w:r w:rsidRPr="005C4100">
              <w:t>10-20</w:t>
            </w:r>
          </w:p>
        </w:tc>
        <w:tc>
          <w:tcPr>
            <w:tcW w:w="987" w:type="dxa"/>
          </w:tcPr>
          <w:p w14:paraId="4687960E" w14:textId="7C432A06" w:rsidR="00040540" w:rsidRPr="005C4100" w:rsidRDefault="00040540" w:rsidP="00ED0F27">
            <w:pPr>
              <w:spacing w:before="240"/>
              <w:jc w:val="center"/>
            </w:pPr>
          </w:p>
        </w:tc>
      </w:tr>
      <w:tr w:rsidR="00040540" w:rsidRPr="005C4100" w14:paraId="56521E23" w14:textId="77777777" w:rsidTr="005C4100">
        <w:tc>
          <w:tcPr>
            <w:tcW w:w="1588" w:type="dxa"/>
          </w:tcPr>
          <w:p w14:paraId="1C6FB48F" w14:textId="0B8B5B88" w:rsidR="00040540" w:rsidRPr="005C4100" w:rsidRDefault="00040540" w:rsidP="00ED0F27">
            <w:pPr>
              <w:spacing w:before="240"/>
            </w:pPr>
            <w:r w:rsidRPr="005C4100">
              <w:t>South Africa</w:t>
            </w:r>
          </w:p>
        </w:tc>
        <w:tc>
          <w:tcPr>
            <w:tcW w:w="236" w:type="dxa"/>
          </w:tcPr>
          <w:p w14:paraId="046EA3A0" w14:textId="77777777" w:rsidR="00040540" w:rsidRPr="005C4100" w:rsidRDefault="00040540" w:rsidP="00ED0F27">
            <w:pPr>
              <w:spacing w:before="240"/>
            </w:pPr>
          </w:p>
        </w:tc>
        <w:tc>
          <w:tcPr>
            <w:tcW w:w="3841" w:type="dxa"/>
          </w:tcPr>
          <w:p w14:paraId="2387E427" w14:textId="77777777" w:rsidR="00040540" w:rsidRPr="005C4100" w:rsidRDefault="00040540" w:rsidP="00ED0F27">
            <w:pPr>
              <w:spacing w:before="240"/>
            </w:pPr>
            <w:r w:rsidRPr="005C4100">
              <w:t>National Osteoporosis Foundation of South Africa (NOFSA)</w:t>
            </w:r>
          </w:p>
        </w:tc>
        <w:tc>
          <w:tcPr>
            <w:tcW w:w="1283" w:type="dxa"/>
          </w:tcPr>
          <w:p w14:paraId="2F487A65" w14:textId="4AABE2D3" w:rsidR="00040540" w:rsidRPr="005C4100" w:rsidRDefault="00806725" w:rsidP="00C26BE9">
            <w:pPr>
              <w:spacing w:before="240"/>
              <w:jc w:val="center"/>
            </w:pPr>
            <w:r w:rsidRPr="005C4100">
              <w:t xml:space="preserve"> [</w:t>
            </w:r>
            <w:r w:rsidR="007C2B2A" w:rsidRPr="005C4100">
              <w:t>98</w:t>
            </w:r>
            <w:r w:rsidRPr="005C4100">
              <w:t>]</w:t>
            </w:r>
          </w:p>
        </w:tc>
        <w:tc>
          <w:tcPr>
            <w:tcW w:w="1132" w:type="dxa"/>
          </w:tcPr>
          <w:p w14:paraId="0A8C4073" w14:textId="77777777" w:rsidR="00040540" w:rsidRPr="005C4100" w:rsidRDefault="00040540" w:rsidP="00ED0F27">
            <w:pPr>
              <w:spacing w:before="240"/>
              <w:jc w:val="center"/>
            </w:pPr>
          </w:p>
        </w:tc>
        <w:tc>
          <w:tcPr>
            <w:tcW w:w="987" w:type="dxa"/>
          </w:tcPr>
          <w:p w14:paraId="41912164" w14:textId="2701CFBD" w:rsidR="00040540" w:rsidRPr="005C4100" w:rsidRDefault="00040540" w:rsidP="00ED0F27">
            <w:pPr>
              <w:spacing w:before="240"/>
              <w:jc w:val="center"/>
            </w:pPr>
            <w:r w:rsidRPr="005C4100">
              <w:t>3-5</w:t>
            </w:r>
          </w:p>
        </w:tc>
      </w:tr>
      <w:tr w:rsidR="00040540" w:rsidRPr="005C4100" w14:paraId="30CD7741" w14:textId="77777777" w:rsidTr="005C4100">
        <w:tc>
          <w:tcPr>
            <w:tcW w:w="1588" w:type="dxa"/>
          </w:tcPr>
          <w:p w14:paraId="275AFA5C" w14:textId="4C099765" w:rsidR="00040540" w:rsidRPr="005C4100" w:rsidRDefault="00040540" w:rsidP="00ED0F27">
            <w:pPr>
              <w:spacing w:before="240"/>
            </w:pPr>
            <w:r w:rsidRPr="005C4100">
              <w:t>South Korea</w:t>
            </w:r>
          </w:p>
        </w:tc>
        <w:tc>
          <w:tcPr>
            <w:tcW w:w="236" w:type="dxa"/>
          </w:tcPr>
          <w:p w14:paraId="6843667F" w14:textId="77777777" w:rsidR="00040540" w:rsidRPr="005C4100" w:rsidRDefault="00040540" w:rsidP="00ED0F27">
            <w:pPr>
              <w:spacing w:before="240"/>
            </w:pPr>
          </w:p>
        </w:tc>
        <w:tc>
          <w:tcPr>
            <w:tcW w:w="3841" w:type="dxa"/>
          </w:tcPr>
          <w:p w14:paraId="7CC0167C" w14:textId="77777777" w:rsidR="00040540" w:rsidRPr="005C4100" w:rsidRDefault="00040540" w:rsidP="00ED0F27">
            <w:pPr>
              <w:spacing w:before="240"/>
            </w:pPr>
            <w:r w:rsidRPr="005C4100">
              <w:t>Academia</w:t>
            </w:r>
          </w:p>
        </w:tc>
        <w:tc>
          <w:tcPr>
            <w:tcW w:w="1283" w:type="dxa"/>
          </w:tcPr>
          <w:p w14:paraId="702B9904" w14:textId="01924E6E" w:rsidR="00040540" w:rsidRPr="005C4100" w:rsidRDefault="00806725" w:rsidP="00C26BE9">
            <w:pPr>
              <w:spacing w:before="240"/>
              <w:jc w:val="center"/>
            </w:pPr>
            <w:r w:rsidRPr="005C4100">
              <w:t xml:space="preserve"> [</w:t>
            </w:r>
            <w:r w:rsidR="007C2B2A" w:rsidRPr="005C4100">
              <w:t>99</w:t>
            </w:r>
            <w:r w:rsidRPr="005C4100">
              <w:t>]</w:t>
            </w:r>
          </w:p>
        </w:tc>
        <w:tc>
          <w:tcPr>
            <w:tcW w:w="1132" w:type="dxa"/>
          </w:tcPr>
          <w:p w14:paraId="539A25F6" w14:textId="77777777" w:rsidR="00040540" w:rsidRPr="005C4100" w:rsidRDefault="00040540" w:rsidP="00ED0F27">
            <w:pPr>
              <w:spacing w:before="240"/>
              <w:jc w:val="center"/>
            </w:pPr>
            <w:r w:rsidRPr="005C4100">
              <w:t>20 or 10</w:t>
            </w:r>
          </w:p>
        </w:tc>
        <w:tc>
          <w:tcPr>
            <w:tcW w:w="987" w:type="dxa"/>
          </w:tcPr>
          <w:p w14:paraId="5BAF43C7" w14:textId="6113B4BD" w:rsidR="00040540" w:rsidRPr="005C4100" w:rsidRDefault="00040540" w:rsidP="00ED0F27">
            <w:pPr>
              <w:spacing w:before="240"/>
              <w:jc w:val="center"/>
            </w:pPr>
            <w:r w:rsidRPr="005C4100">
              <w:t>3</w:t>
            </w:r>
          </w:p>
        </w:tc>
      </w:tr>
      <w:tr w:rsidR="00481FC1" w:rsidRPr="005C4100" w14:paraId="360FC8D8" w14:textId="77777777" w:rsidTr="005C4100">
        <w:tc>
          <w:tcPr>
            <w:tcW w:w="1588" w:type="dxa"/>
          </w:tcPr>
          <w:p w14:paraId="04D5366D" w14:textId="61BE4E4A" w:rsidR="00481FC1" w:rsidRPr="005C4100" w:rsidRDefault="00481FC1" w:rsidP="00ED0F27">
            <w:pPr>
              <w:spacing w:before="240"/>
            </w:pPr>
            <w:r w:rsidRPr="005C4100">
              <w:t>Spain</w:t>
            </w:r>
          </w:p>
        </w:tc>
        <w:tc>
          <w:tcPr>
            <w:tcW w:w="236" w:type="dxa"/>
          </w:tcPr>
          <w:p w14:paraId="0295B40A" w14:textId="77777777" w:rsidR="00481FC1" w:rsidRPr="005C4100" w:rsidRDefault="00481FC1" w:rsidP="00ED0F27">
            <w:pPr>
              <w:spacing w:before="240"/>
            </w:pPr>
          </w:p>
        </w:tc>
        <w:tc>
          <w:tcPr>
            <w:tcW w:w="3841" w:type="dxa"/>
          </w:tcPr>
          <w:p w14:paraId="44289F33" w14:textId="5964DE32" w:rsidR="00481FC1" w:rsidRPr="005C4100" w:rsidRDefault="00481FC1" w:rsidP="00ED0F27">
            <w:pPr>
              <w:spacing w:before="240"/>
            </w:pPr>
            <w:r w:rsidRPr="005C4100">
              <w:t>Spanish Society of Rheumatology</w:t>
            </w:r>
          </w:p>
        </w:tc>
        <w:tc>
          <w:tcPr>
            <w:tcW w:w="1283" w:type="dxa"/>
          </w:tcPr>
          <w:p w14:paraId="657050E0" w14:textId="18B62945" w:rsidR="00481FC1" w:rsidRPr="005C4100" w:rsidRDefault="00806725" w:rsidP="00C26BE9">
            <w:pPr>
              <w:spacing w:before="240"/>
              <w:jc w:val="center"/>
            </w:pPr>
            <w:r w:rsidRPr="005C4100">
              <w:t xml:space="preserve"> [</w:t>
            </w:r>
            <w:r w:rsidR="007C2B2A" w:rsidRPr="005C4100">
              <w:t>100</w:t>
            </w:r>
            <w:r w:rsidRPr="005C4100">
              <w:t>]</w:t>
            </w:r>
          </w:p>
        </w:tc>
        <w:tc>
          <w:tcPr>
            <w:tcW w:w="1132" w:type="dxa"/>
          </w:tcPr>
          <w:p w14:paraId="20DBA10E" w14:textId="01AF186B" w:rsidR="00481FC1" w:rsidRPr="005C4100" w:rsidRDefault="00D749DE" w:rsidP="00ED0F27">
            <w:pPr>
              <w:spacing w:before="240"/>
              <w:jc w:val="center"/>
            </w:pPr>
            <w:r w:rsidRPr="005C4100">
              <w:t>20</w:t>
            </w:r>
          </w:p>
        </w:tc>
        <w:tc>
          <w:tcPr>
            <w:tcW w:w="987" w:type="dxa"/>
          </w:tcPr>
          <w:p w14:paraId="24BE5D58" w14:textId="77777777" w:rsidR="00481FC1" w:rsidRPr="005C4100" w:rsidRDefault="00481FC1" w:rsidP="00ED0F27">
            <w:pPr>
              <w:spacing w:before="240"/>
              <w:jc w:val="center"/>
            </w:pPr>
          </w:p>
        </w:tc>
      </w:tr>
      <w:tr w:rsidR="005D4538" w:rsidRPr="005C4100" w14:paraId="2ED78B1D" w14:textId="77777777" w:rsidTr="005C4100">
        <w:tc>
          <w:tcPr>
            <w:tcW w:w="1588" w:type="dxa"/>
          </w:tcPr>
          <w:p w14:paraId="0EE9BE7A" w14:textId="4564F38F" w:rsidR="005D4538" w:rsidRPr="005C4100" w:rsidRDefault="005D4538" w:rsidP="00ED0F27">
            <w:pPr>
              <w:spacing w:before="240"/>
            </w:pPr>
            <w:r w:rsidRPr="005C4100">
              <w:t>Spain</w:t>
            </w:r>
          </w:p>
        </w:tc>
        <w:tc>
          <w:tcPr>
            <w:tcW w:w="236" w:type="dxa"/>
          </w:tcPr>
          <w:p w14:paraId="383D19A0" w14:textId="77777777" w:rsidR="005D4538" w:rsidRPr="005C4100" w:rsidRDefault="005D4538" w:rsidP="00ED0F27">
            <w:pPr>
              <w:spacing w:before="240"/>
            </w:pPr>
          </w:p>
        </w:tc>
        <w:tc>
          <w:tcPr>
            <w:tcW w:w="3841" w:type="dxa"/>
          </w:tcPr>
          <w:p w14:paraId="1B0CD7A8" w14:textId="69AE6528" w:rsidR="005D4538" w:rsidRPr="005C4100" w:rsidRDefault="005D4538" w:rsidP="00ED0F27">
            <w:pPr>
              <w:spacing w:before="240"/>
              <w:rPr>
                <w:lang w:val="fr-FR"/>
              </w:rPr>
            </w:pPr>
            <w:r w:rsidRPr="005C4100">
              <w:rPr>
                <w:lang w:val="fr-FR"/>
              </w:rPr>
              <w:t xml:space="preserve">Sociedad </w:t>
            </w:r>
            <w:proofErr w:type="spellStart"/>
            <w:r w:rsidRPr="005C4100">
              <w:rPr>
                <w:lang w:val="fr-FR"/>
              </w:rPr>
              <w:t>Española</w:t>
            </w:r>
            <w:proofErr w:type="spellEnd"/>
            <w:r w:rsidRPr="005C4100">
              <w:rPr>
                <w:lang w:val="fr-FR"/>
              </w:rPr>
              <w:t xml:space="preserve"> de </w:t>
            </w:r>
            <w:proofErr w:type="spellStart"/>
            <w:r w:rsidRPr="005C4100">
              <w:rPr>
                <w:lang w:val="fr-FR"/>
              </w:rPr>
              <w:t>Cirugía</w:t>
            </w:r>
            <w:proofErr w:type="spellEnd"/>
            <w:r w:rsidRPr="005C4100">
              <w:rPr>
                <w:lang w:val="fr-FR"/>
              </w:rPr>
              <w:t xml:space="preserve"> </w:t>
            </w:r>
            <w:proofErr w:type="spellStart"/>
            <w:r w:rsidRPr="005C4100">
              <w:rPr>
                <w:lang w:val="fr-FR"/>
              </w:rPr>
              <w:t>Ortopédica</w:t>
            </w:r>
            <w:proofErr w:type="spellEnd"/>
            <w:r w:rsidRPr="005C4100">
              <w:rPr>
                <w:lang w:val="fr-FR"/>
              </w:rPr>
              <w:t xml:space="preserve"> y </w:t>
            </w:r>
            <w:proofErr w:type="spellStart"/>
            <w:r w:rsidRPr="005C4100">
              <w:rPr>
                <w:lang w:val="fr-FR"/>
              </w:rPr>
              <w:t>Traumatología</w:t>
            </w:r>
            <w:proofErr w:type="spellEnd"/>
            <w:r w:rsidRPr="005C4100">
              <w:rPr>
                <w:vertAlign w:val="superscript"/>
                <w:lang w:val="fr-FR"/>
              </w:rPr>
              <w:t xml:space="preserve"> k</w:t>
            </w:r>
          </w:p>
        </w:tc>
        <w:tc>
          <w:tcPr>
            <w:tcW w:w="1283" w:type="dxa"/>
          </w:tcPr>
          <w:p w14:paraId="56BA1B47" w14:textId="3359C4AB" w:rsidR="005D4538" w:rsidRPr="005C4100" w:rsidRDefault="00806725" w:rsidP="00C26BE9">
            <w:pPr>
              <w:spacing w:before="240"/>
              <w:jc w:val="center"/>
            </w:pPr>
            <w:r w:rsidRPr="005C4100">
              <w:rPr>
                <w:lang w:val="fr-FR"/>
              </w:rPr>
              <w:t xml:space="preserve"> </w:t>
            </w:r>
            <w:r w:rsidR="007C2B2A" w:rsidRPr="005C4100">
              <w:t>[101</w:t>
            </w:r>
            <w:r w:rsidRPr="005C4100">
              <w:t>]</w:t>
            </w:r>
          </w:p>
        </w:tc>
        <w:tc>
          <w:tcPr>
            <w:tcW w:w="1132" w:type="dxa"/>
          </w:tcPr>
          <w:p w14:paraId="3CB54511" w14:textId="0082693A" w:rsidR="005D4538" w:rsidRPr="005C4100" w:rsidRDefault="005D4538" w:rsidP="00ED0F27">
            <w:pPr>
              <w:spacing w:before="240"/>
              <w:jc w:val="center"/>
            </w:pPr>
            <w:r w:rsidRPr="005C4100">
              <w:rPr>
                <w:lang w:val="fr-FR"/>
              </w:rPr>
              <w:t>20</w:t>
            </w:r>
          </w:p>
        </w:tc>
        <w:tc>
          <w:tcPr>
            <w:tcW w:w="987" w:type="dxa"/>
          </w:tcPr>
          <w:p w14:paraId="11276197" w14:textId="4D7966AE" w:rsidR="005D4538" w:rsidRPr="005C4100" w:rsidRDefault="005D4538" w:rsidP="00ED0F27">
            <w:pPr>
              <w:spacing w:before="240"/>
              <w:jc w:val="center"/>
            </w:pPr>
            <w:r w:rsidRPr="005C4100">
              <w:rPr>
                <w:lang w:val="fr-FR"/>
              </w:rPr>
              <w:t>3</w:t>
            </w:r>
          </w:p>
        </w:tc>
      </w:tr>
      <w:tr w:rsidR="005D4538" w:rsidRPr="005C4100" w14:paraId="58C90F80" w14:textId="77777777" w:rsidTr="005C4100">
        <w:tc>
          <w:tcPr>
            <w:tcW w:w="1588" w:type="dxa"/>
          </w:tcPr>
          <w:p w14:paraId="735B4B80" w14:textId="6B94FB4B" w:rsidR="005D4538" w:rsidRPr="005C4100" w:rsidRDefault="005D4538" w:rsidP="00ED0F27">
            <w:pPr>
              <w:spacing w:before="240"/>
            </w:pPr>
            <w:r w:rsidRPr="005C4100">
              <w:t>Spain</w:t>
            </w:r>
          </w:p>
        </w:tc>
        <w:tc>
          <w:tcPr>
            <w:tcW w:w="236" w:type="dxa"/>
          </w:tcPr>
          <w:p w14:paraId="106C5A99" w14:textId="77777777" w:rsidR="005D4538" w:rsidRPr="005C4100" w:rsidRDefault="005D4538" w:rsidP="00ED0F27">
            <w:pPr>
              <w:spacing w:before="240"/>
            </w:pPr>
          </w:p>
        </w:tc>
        <w:tc>
          <w:tcPr>
            <w:tcW w:w="3841" w:type="dxa"/>
          </w:tcPr>
          <w:p w14:paraId="27DC650B" w14:textId="3013A913" w:rsidR="005D4538" w:rsidRPr="005C4100" w:rsidRDefault="005D4538" w:rsidP="00ED0F27">
            <w:pPr>
              <w:spacing w:before="240"/>
              <w:rPr>
                <w:lang w:val="fr-FR"/>
              </w:rPr>
            </w:pPr>
            <w:r w:rsidRPr="005C4100">
              <w:rPr>
                <w:lang w:val="fr-FR"/>
              </w:rPr>
              <w:t xml:space="preserve">Sociedad </w:t>
            </w:r>
            <w:proofErr w:type="spellStart"/>
            <w:r w:rsidRPr="005C4100">
              <w:rPr>
                <w:lang w:val="fr-FR"/>
              </w:rPr>
              <w:t>Española</w:t>
            </w:r>
            <w:proofErr w:type="spellEnd"/>
            <w:r w:rsidRPr="005C4100">
              <w:rPr>
                <w:lang w:val="fr-FR"/>
              </w:rPr>
              <w:t xml:space="preserve"> de </w:t>
            </w:r>
            <w:proofErr w:type="spellStart"/>
            <w:r w:rsidRPr="005C4100">
              <w:rPr>
                <w:lang w:val="fr-FR"/>
              </w:rPr>
              <w:t>Endocrinilogia</w:t>
            </w:r>
            <w:proofErr w:type="spellEnd"/>
            <w:r w:rsidRPr="005C4100">
              <w:rPr>
                <w:lang w:val="fr-FR"/>
              </w:rPr>
              <w:t xml:space="preserve"> y </w:t>
            </w:r>
            <w:proofErr w:type="spellStart"/>
            <w:r w:rsidRPr="005C4100">
              <w:rPr>
                <w:lang w:val="fr-FR"/>
              </w:rPr>
              <w:t>Nutricion</w:t>
            </w:r>
            <w:proofErr w:type="spellEnd"/>
          </w:p>
        </w:tc>
        <w:tc>
          <w:tcPr>
            <w:tcW w:w="1283" w:type="dxa"/>
          </w:tcPr>
          <w:p w14:paraId="4D1D1915" w14:textId="589D3B40" w:rsidR="005D4538" w:rsidRPr="005C4100" w:rsidRDefault="00806725" w:rsidP="00C26BE9">
            <w:pPr>
              <w:spacing w:before="240"/>
              <w:jc w:val="center"/>
            </w:pPr>
            <w:r w:rsidRPr="005C4100">
              <w:rPr>
                <w:lang w:val="fr-FR"/>
              </w:rPr>
              <w:t xml:space="preserve"> </w:t>
            </w:r>
            <w:r w:rsidRPr="005C4100">
              <w:t>[</w:t>
            </w:r>
            <w:r w:rsidR="007C2B2A" w:rsidRPr="005C4100">
              <w:t>102</w:t>
            </w:r>
            <w:r w:rsidRPr="005C4100">
              <w:t>]</w:t>
            </w:r>
          </w:p>
        </w:tc>
        <w:tc>
          <w:tcPr>
            <w:tcW w:w="1132" w:type="dxa"/>
          </w:tcPr>
          <w:p w14:paraId="70581C68" w14:textId="1B58C9E9" w:rsidR="005D4538" w:rsidRPr="005C4100" w:rsidRDefault="005D4538" w:rsidP="00ED0F27">
            <w:pPr>
              <w:spacing w:before="240"/>
              <w:jc w:val="center"/>
            </w:pPr>
            <w:r w:rsidRPr="005C4100">
              <w:rPr>
                <w:lang w:val="fr-FR"/>
              </w:rPr>
              <w:t>20</w:t>
            </w:r>
          </w:p>
        </w:tc>
        <w:tc>
          <w:tcPr>
            <w:tcW w:w="987" w:type="dxa"/>
          </w:tcPr>
          <w:p w14:paraId="7F46C38E" w14:textId="533D23D8" w:rsidR="005D4538" w:rsidRPr="005C4100" w:rsidRDefault="005D4538" w:rsidP="00ED0F27">
            <w:pPr>
              <w:spacing w:before="240"/>
              <w:jc w:val="center"/>
            </w:pPr>
            <w:r w:rsidRPr="005C4100">
              <w:rPr>
                <w:lang w:val="fr-FR"/>
              </w:rPr>
              <w:t>3</w:t>
            </w:r>
          </w:p>
        </w:tc>
      </w:tr>
      <w:tr w:rsidR="00040540" w:rsidRPr="005C4100" w14:paraId="68C95208" w14:textId="77777777" w:rsidTr="005C4100">
        <w:tc>
          <w:tcPr>
            <w:tcW w:w="1588" w:type="dxa"/>
          </w:tcPr>
          <w:p w14:paraId="43A9BEAD" w14:textId="019C37C2" w:rsidR="00040540" w:rsidRPr="005C4100" w:rsidRDefault="00040540" w:rsidP="00ED0F27">
            <w:pPr>
              <w:spacing w:before="240"/>
            </w:pPr>
            <w:r w:rsidRPr="005C4100">
              <w:lastRenderedPageBreak/>
              <w:t>Sri Lanka</w:t>
            </w:r>
          </w:p>
        </w:tc>
        <w:tc>
          <w:tcPr>
            <w:tcW w:w="236" w:type="dxa"/>
          </w:tcPr>
          <w:p w14:paraId="6204D155" w14:textId="77777777" w:rsidR="00040540" w:rsidRPr="005C4100" w:rsidRDefault="00040540" w:rsidP="00ED0F27">
            <w:pPr>
              <w:spacing w:before="240"/>
            </w:pPr>
          </w:p>
        </w:tc>
        <w:tc>
          <w:tcPr>
            <w:tcW w:w="3841" w:type="dxa"/>
          </w:tcPr>
          <w:p w14:paraId="6DDF8597" w14:textId="560769B3" w:rsidR="00040540" w:rsidRPr="005C4100" w:rsidRDefault="00040540" w:rsidP="00ED0F27">
            <w:pPr>
              <w:spacing w:before="240"/>
            </w:pPr>
            <w:r w:rsidRPr="005C4100">
              <w:t>Ministry of Health</w:t>
            </w:r>
          </w:p>
        </w:tc>
        <w:tc>
          <w:tcPr>
            <w:tcW w:w="1283" w:type="dxa"/>
          </w:tcPr>
          <w:p w14:paraId="3314D849" w14:textId="11DD500F" w:rsidR="00040540" w:rsidRPr="005C4100" w:rsidRDefault="00806725" w:rsidP="00C26BE9">
            <w:pPr>
              <w:spacing w:before="240"/>
              <w:jc w:val="center"/>
            </w:pPr>
            <w:r w:rsidRPr="005C4100">
              <w:t xml:space="preserve"> [</w:t>
            </w:r>
            <w:r w:rsidR="007C2B2A" w:rsidRPr="005C4100">
              <w:t>103</w:t>
            </w:r>
            <w:r w:rsidRPr="005C4100">
              <w:t>]</w:t>
            </w:r>
          </w:p>
        </w:tc>
        <w:tc>
          <w:tcPr>
            <w:tcW w:w="1132" w:type="dxa"/>
          </w:tcPr>
          <w:p w14:paraId="41BA27AF" w14:textId="60B0F32E" w:rsidR="00040540" w:rsidRPr="005C4100" w:rsidRDefault="00040540" w:rsidP="00ED0F27">
            <w:pPr>
              <w:spacing w:before="240"/>
              <w:jc w:val="center"/>
            </w:pPr>
            <w:r w:rsidRPr="005C4100">
              <w:t>11</w:t>
            </w:r>
          </w:p>
        </w:tc>
        <w:tc>
          <w:tcPr>
            <w:tcW w:w="987" w:type="dxa"/>
          </w:tcPr>
          <w:p w14:paraId="1D914323" w14:textId="3DCD21F3" w:rsidR="00040540" w:rsidRPr="005C4100" w:rsidRDefault="00040540" w:rsidP="00ED0F27">
            <w:pPr>
              <w:spacing w:before="240"/>
              <w:jc w:val="center"/>
            </w:pPr>
            <w:r w:rsidRPr="005C4100">
              <w:t>3-5</w:t>
            </w:r>
          </w:p>
        </w:tc>
      </w:tr>
      <w:tr w:rsidR="00040540" w:rsidRPr="005C4100" w14:paraId="4D57BFBA" w14:textId="77777777" w:rsidTr="005C4100">
        <w:tc>
          <w:tcPr>
            <w:tcW w:w="1588" w:type="dxa"/>
            <w:shd w:val="clear" w:color="auto" w:fill="auto"/>
          </w:tcPr>
          <w:p w14:paraId="5564B754" w14:textId="3C0206B3" w:rsidR="00040540" w:rsidRPr="005C4100" w:rsidRDefault="00040540" w:rsidP="00245DF0">
            <w:pPr>
              <w:spacing w:before="240"/>
            </w:pPr>
            <w:r w:rsidRPr="005C4100">
              <w:t xml:space="preserve">Sweden </w:t>
            </w:r>
            <w:r w:rsidR="00245DF0" w:rsidRPr="005C4100">
              <w:rPr>
                <w:vertAlign w:val="superscript"/>
              </w:rPr>
              <w:t>g</w:t>
            </w:r>
          </w:p>
        </w:tc>
        <w:tc>
          <w:tcPr>
            <w:tcW w:w="236" w:type="dxa"/>
          </w:tcPr>
          <w:p w14:paraId="13D9ECA2" w14:textId="77777777" w:rsidR="00040540" w:rsidRPr="005C4100" w:rsidRDefault="00040540" w:rsidP="00ED0F27">
            <w:pPr>
              <w:spacing w:before="240"/>
            </w:pPr>
          </w:p>
        </w:tc>
        <w:tc>
          <w:tcPr>
            <w:tcW w:w="3841" w:type="dxa"/>
          </w:tcPr>
          <w:p w14:paraId="2A57B189" w14:textId="77777777" w:rsidR="00040540" w:rsidRPr="005C4100" w:rsidRDefault="00040540" w:rsidP="00ED0F27">
            <w:pPr>
              <w:spacing w:before="240"/>
            </w:pPr>
            <w:proofErr w:type="spellStart"/>
            <w:r w:rsidRPr="005C4100">
              <w:t>Socialstyrelsen</w:t>
            </w:r>
            <w:proofErr w:type="spellEnd"/>
            <w:r w:rsidRPr="005C4100">
              <w:t xml:space="preserve"> </w:t>
            </w:r>
          </w:p>
        </w:tc>
        <w:tc>
          <w:tcPr>
            <w:tcW w:w="1283" w:type="dxa"/>
          </w:tcPr>
          <w:p w14:paraId="71603FD2" w14:textId="7A28861C" w:rsidR="00040540" w:rsidRPr="005C4100" w:rsidRDefault="00806725" w:rsidP="00C26BE9">
            <w:pPr>
              <w:spacing w:before="240"/>
              <w:jc w:val="center"/>
            </w:pPr>
            <w:r w:rsidRPr="005C4100">
              <w:t xml:space="preserve"> [</w:t>
            </w:r>
            <w:r w:rsidR="00784301" w:rsidRPr="005C4100">
              <w:t>68</w:t>
            </w:r>
            <w:r w:rsidR="00C26BE9" w:rsidRPr="005C4100">
              <w:t xml:space="preserve">, </w:t>
            </w:r>
            <w:r w:rsidR="007C2B2A" w:rsidRPr="005C4100">
              <w:t>104</w:t>
            </w:r>
            <w:r w:rsidRPr="005C4100">
              <w:t>]</w:t>
            </w:r>
          </w:p>
        </w:tc>
        <w:tc>
          <w:tcPr>
            <w:tcW w:w="1132" w:type="dxa"/>
          </w:tcPr>
          <w:p w14:paraId="147D5E45" w14:textId="77777777" w:rsidR="00040540" w:rsidRPr="005C4100" w:rsidRDefault="00040540" w:rsidP="00ED0F27">
            <w:pPr>
              <w:spacing w:before="240"/>
              <w:jc w:val="center"/>
            </w:pPr>
            <w:r w:rsidRPr="005C4100">
              <w:t>15, 20</w:t>
            </w:r>
          </w:p>
        </w:tc>
        <w:tc>
          <w:tcPr>
            <w:tcW w:w="987" w:type="dxa"/>
          </w:tcPr>
          <w:p w14:paraId="28962933" w14:textId="12848DD7" w:rsidR="00040540" w:rsidRPr="005C4100" w:rsidRDefault="00040540" w:rsidP="00ED0F27">
            <w:pPr>
              <w:spacing w:before="240"/>
              <w:jc w:val="center"/>
            </w:pPr>
          </w:p>
        </w:tc>
      </w:tr>
      <w:tr w:rsidR="00040540" w:rsidRPr="005C4100" w14:paraId="4031123F" w14:textId="77777777" w:rsidTr="005C4100">
        <w:tc>
          <w:tcPr>
            <w:tcW w:w="1588" w:type="dxa"/>
          </w:tcPr>
          <w:p w14:paraId="3A631272" w14:textId="5D9AB0FC" w:rsidR="00040540" w:rsidRPr="005C4100" w:rsidRDefault="00040540" w:rsidP="00ED0F27">
            <w:pPr>
              <w:spacing w:before="240"/>
            </w:pPr>
            <w:r w:rsidRPr="005C4100">
              <w:t>Switzerland</w:t>
            </w:r>
          </w:p>
        </w:tc>
        <w:tc>
          <w:tcPr>
            <w:tcW w:w="236" w:type="dxa"/>
          </w:tcPr>
          <w:p w14:paraId="05C76B05" w14:textId="77777777" w:rsidR="00040540" w:rsidRPr="005C4100" w:rsidRDefault="00040540" w:rsidP="00ED0F27">
            <w:pPr>
              <w:spacing w:before="240"/>
            </w:pPr>
          </w:p>
        </w:tc>
        <w:tc>
          <w:tcPr>
            <w:tcW w:w="3841" w:type="dxa"/>
          </w:tcPr>
          <w:p w14:paraId="4E615CDB" w14:textId="77777777" w:rsidR="00040540" w:rsidRPr="005C4100" w:rsidRDefault="00040540" w:rsidP="00ED0F27">
            <w:pPr>
              <w:spacing w:before="240"/>
            </w:pPr>
            <w:r w:rsidRPr="005C4100">
              <w:t>Academia</w:t>
            </w:r>
          </w:p>
        </w:tc>
        <w:tc>
          <w:tcPr>
            <w:tcW w:w="1283" w:type="dxa"/>
          </w:tcPr>
          <w:p w14:paraId="083426B0" w14:textId="7FADD056" w:rsidR="00040540" w:rsidRPr="005C4100" w:rsidRDefault="00806725" w:rsidP="00C26BE9">
            <w:pPr>
              <w:spacing w:before="240"/>
              <w:jc w:val="center"/>
            </w:pPr>
            <w:r w:rsidRPr="005C4100">
              <w:t xml:space="preserve"> [</w:t>
            </w:r>
            <w:r w:rsidR="00372AFA" w:rsidRPr="005C4100">
              <w:t>105</w:t>
            </w:r>
            <w:r w:rsidRPr="005C4100">
              <w:t>]</w:t>
            </w:r>
          </w:p>
        </w:tc>
        <w:tc>
          <w:tcPr>
            <w:tcW w:w="1132" w:type="dxa"/>
          </w:tcPr>
          <w:p w14:paraId="53BCDB58" w14:textId="77777777" w:rsidR="00040540" w:rsidRPr="005C4100" w:rsidRDefault="00040540" w:rsidP="00ED0F27">
            <w:pPr>
              <w:spacing w:before="240"/>
              <w:jc w:val="center"/>
            </w:pPr>
            <w:r w:rsidRPr="005C4100">
              <w:t>15</w:t>
            </w:r>
          </w:p>
        </w:tc>
        <w:tc>
          <w:tcPr>
            <w:tcW w:w="987" w:type="dxa"/>
          </w:tcPr>
          <w:p w14:paraId="0F379BA9" w14:textId="06D612C5" w:rsidR="00040540" w:rsidRPr="005C4100" w:rsidRDefault="00040540" w:rsidP="00ED0F27">
            <w:pPr>
              <w:spacing w:before="240"/>
              <w:jc w:val="center"/>
            </w:pPr>
          </w:p>
        </w:tc>
      </w:tr>
      <w:tr w:rsidR="00040540" w:rsidRPr="005C4100" w14:paraId="579A44EF" w14:textId="77777777" w:rsidTr="005C4100">
        <w:tc>
          <w:tcPr>
            <w:tcW w:w="1588" w:type="dxa"/>
          </w:tcPr>
          <w:p w14:paraId="3595D759" w14:textId="1B64D898" w:rsidR="00040540" w:rsidRPr="005C4100" w:rsidRDefault="00040540" w:rsidP="00ED0F27">
            <w:pPr>
              <w:spacing w:before="240"/>
            </w:pPr>
            <w:r w:rsidRPr="005C4100">
              <w:t>Taiwan</w:t>
            </w:r>
          </w:p>
        </w:tc>
        <w:tc>
          <w:tcPr>
            <w:tcW w:w="236" w:type="dxa"/>
          </w:tcPr>
          <w:p w14:paraId="507350B7" w14:textId="77777777" w:rsidR="00040540" w:rsidRPr="005C4100" w:rsidRDefault="00040540" w:rsidP="00ED0F27">
            <w:pPr>
              <w:spacing w:before="240"/>
            </w:pPr>
          </w:p>
        </w:tc>
        <w:tc>
          <w:tcPr>
            <w:tcW w:w="3841" w:type="dxa"/>
            <w:shd w:val="clear" w:color="auto" w:fill="auto"/>
          </w:tcPr>
          <w:p w14:paraId="72EC5F15" w14:textId="77777777" w:rsidR="00040540" w:rsidRPr="005C4100" w:rsidRDefault="00040540" w:rsidP="00ED0F27">
            <w:pPr>
              <w:spacing w:before="240"/>
            </w:pPr>
            <w:r w:rsidRPr="005C4100">
              <w:t>Taiwanese Osteoporosis Association</w:t>
            </w:r>
          </w:p>
        </w:tc>
        <w:tc>
          <w:tcPr>
            <w:tcW w:w="1283" w:type="dxa"/>
            <w:shd w:val="clear" w:color="auto" w:fill="auto"/>
          </w:tcPr>
          <w:p w14:paraId="7108AA54" w14:textId="477BDBD8" w:rsidR="00040540" w:rsidRPr="005C4100" w:rsidRDefault="00806725" w:rsidP="00C26BE9">
            <w:pPr>
              <w:spacing w:before="240"/>
              <w:jc w:val="center"/>
            </w:pPr>
            <w:r w:rsidRPr="005C4100">
              <w:t xml:space="preserve"> [</w:t>
            </w:r>
            <w:r w:rsidR="00372AFA" w:rsidRPr="005C4100">
              <w:t>106</w:t>
            </w:r>
            <w:r w:rsidRPr="005C4100">
              <w:t>]</w:t>
            </w:r>
          </w:p>
        </w:tc>
        <w:tc>
          <w:tcPr>
            <w:tcW w:w="1132" w:type="dxa"/>
          </w:tcPr>
          <w:p w14:paraId="747B4289" w14:textId="77777777" w:rsidR="00040540" w:rsidRPr="005C4100" w:rsidRDefault="00040540" w:rsidP="00ED0F27">
            <w:pPr>
              <w:spacing w:before="240"/>
              <w:jc w:val="center"/>
            </w:pPr>
            <w:r w:rsidRPr="005C4100">
              <w:t>20</w:t>
            </w:r>
          </w:p>
        </w:tc>
        <w:tc>
          <w:tcPr>
            <w:tcW w:w="987" w:type="dxa"/>
          </w:tcPr>
          <w:p w14:paraId="37B482DF" w14:textId="34DCF30C" w:rsidR="00040540" w:rsidRPr="005C4100" w:rsidRDefault="00040540" w:rsidP="00ED0F27">
            <w:pPr>
              <w:spacing w:before="240"/>
              <w:jc w:val="center"/>
            </w:pPr>
            <w:r w:rsidRPr="005C4100">
              <w:t>3</w:t>
            </w:r>
          </w:p>
        </w:tc>
      </w:tr>
      <w:tr w:rsidR="00040540" w:rsidRPr="005C4100" w14:paraId="38C64DAA" w14:textId="77777777" w:rsidTr="005C4100">
        <w:tc>
          <w:tcPr>
            <w:tcW w:w="1588" w:type="dxa"/>
          </w:tcPr>
          <w:p w14:paraId="545379C9" w14:textId="634DA5C2" w:rsidR="00040540" w:rsidRPr="005C4100" w:rsidRDefault="00040540" w:rsidP="00ED0F27">
            <w:pPr>
              <w:spacing w:before="240"/>
            </w:pPr>
            <w:r w:rsidRPr="005C4100">
              <w:t>Thailand</w:t>
            </w:r>
          </w:p>
        </w:tc>
        <w:tc>
          <w:tcPr>
            <w:tcW w:w="236" w:type="dxa"/>
            <w:shd w:val="clear" w:color="auto" w:fill="auto"/>
          </w:tcPr>
          <w:p w14:paraId="2174029E" w14:textId="77777777" w:rsidR="00040540" w:rsidRPr="005C4100" w:rsidRDefault="00040540" w:rsidP="00ED0F27">
            <w:pPr>
              <w:spacing w:before="240"/>
            </w:pPr>
          </w:p>
        </w:tc>
        <w:tc>
          <w:tcPr>
            <w:tcW w:w="3841" w:type="dxa"/>
            <w:shd w:val="clear" w:color="auto" w:fill="auto"/>
          </w:tcPr>
          <w:p w14:paraId="7A951EC4" w14:textId="284B7209" w:rsidR="00040540" w:rsidRPr="005C4100" w:rsidRDefault="00040540" w:rsidP="00C26BE9">
            <w:pPr>
              <w:spacing w:before="240"/>
            </w:pPr>
            <w:r w:rsidRPr="005C4100">
              <w:t>Royal College of Orthopaedic Surgeons of Thailand and the Thai Osteoporosis Foundation</w:t>
            </w:r>
          </w:p>
        </w:tc>
        <w:tc>
          <w:tcPr>
            <w:tcW w:w="1283" w:type="dxa"/>
            <w:shd w:val="clear" w:color="auto" w:fill="auto"/>
          </w:tcPr>
          <w:p w14:paraId="45CA4E52" w14:textId="67AA6AFD" w:rsidR="00040540" w:rsidRPr="005C4100" w:rsidRDefault="00806725" w:rsidP="00C26BE9">
            <w:pPr>
              <w:spacing w:before="240"/>
              <w:jc w:val="center"/>
            </w:pPr>
            <w:r w:rsidRPr="005C4100">
              <w:t xml:space="preserve"> [</w:t>
            </w:r>
            <w:r w:rsidR="00372AFA" w:rsidRPr="005C4100">
              <w:t>107</w:t>
            </w:r>
            <w:r w:rsidRPr="005C4100">
              <w:t>]</w:t>
            </w:r>
          </w:p>
        </w:tc>
        <w:tc>
          <w:tcPr>
            <w:tcW w:w="1132" w:type="dxa"/>
          </w:tcPr>
          <w:p w14:paraId="7D2B8936" w14:textId="77777777" w:rsidR="00040540" w:rsidRPr="005C4100" w:rsidRDefault="00040540" w:rsidP="00ED0F27">
            <w:pPr>
              <w:spacing w:before="240"/>
              <w:jc w:val="center"/>
            </w:pPr>
            <w:r w:rsidRPr="005C4100">
              <w:t>20</w:t>
            </w:r>
          </w:p>
        </w:tc>
        <w:tc>
          <w:tcPr>
            <w:tcW w:w="987" w:type="dxa"/>
          </w:tcPr>
          <w:p w14:paraId="0A3BCC44" w14:textId="40D8EA7B" w:rsidR="00040540" w:rsidRPr="005C4100" w:rsidRDefault="00040540" w:rsidP="00ED0F27">
            <w:pPr>
              <w:spacing w:before="240"/>
              <w:jc w:val="center"/>
            </w:pPr>
            <w:r w:rsidRPr="005C4100">
              <w:t>3</w:t>
            </w:r>
          </w:p>
        </w:tc>
      </w:tr>
      <w:tr w:rsidR="00040540" w:rsidRPr="005C4100" w14:paraId="0CDFF591" w14:textId="77777777" w:rsidTr="005C4100">
        <w:tc>
          <w:tcPr>
            <w:tcW w:w="1588" w:type="dxa"/>
          </w:tcPr>
          <w:p w14:paraId="2A9E32AC" w14:textId="1B2E015A" w:rsidR="00040540" w:rsidRPr="005C4100" w:rsidRDefault="00040540" w:rsidP="00ED0F27">
            <w:pPr>
              <w:spacing w:before="240"/>
            </w:pPr>
            <w:r w:rsidRPr="005C4100">
              <w:t>UK</w:t>
            </w:r>
          </w:p>
        </w:tc>
        <w:tc>
          <w:tcPr>
            <w:tcW w:w="236" w:type="dxa"/>
          </w:tcPr>
          <w:p w14:paraId="120AC801" w14:textId="77777777" w:rsidR="00040540" w:rsidRPr="005C4100" w:rsidRDefault="00040540" w:rsidP="00ED0F27">
            <w:pPr>
              <w:spacing w:before="240"/>
            </w:pPr>
          </w:p>
        </w:tc>
        <w:tc>
          <w:tcPr>
            <w:tcW w:w="3841" w:type="dxa"/>
            <w:shd w:val="clear" w:color="auto" w:fill="auto"/>
          </w:tcPr>
          <w:p w14:paraId="42A787D5" w14:textId="192C2E11" w:rsidR="00040540" w:rsidRPr="005C4100" w:rsidRDefault="00040540" w:rsidP="00ED0F27">
            <w:pPr>
              <w:spacing w:before="240"/>
            </w:pPr>
            <w:r w:rsidRPr="005C4100">
              <w:t xml:space="preserve">National Institute for Health and </w:t>
            </w:r>
            <w:r w:rsidR="009E3526" w:rsidRPr="005C4100">
              <w:t>Care</w:t>
            </w:r>
            <w:r w:rsidRPr="005C4100">
              <w:t xml:space="preserve"> Excellence</w:t>
            </w:r>
          </w:p>
        </w:tc>
        <w:tc>
          <w:tcPr>
            <w:tcW w:w="1283" w:type="dxa"/>
            <w:shd w:val="clear" w:color="auto" w:fill="auto"/>
          </w:tcPr>
          <w:p w14:paraId="3012DC6F" w14:textId="14F64B7F" w:rsidR="00040540" w:rsidRPr="005C4100" w:rsidRDefault="00806725" w:rsidP="00C26BE9">
            <w:pPr>
              <w:spacing w:before="240"/>
              <w:jc w:val="center"/>
            </w:pPr>
            <w:r w:rsidRPr="005C4100">
              <w:t xml:space="preserve"> [</w:t>
            </w:r>
            <w:r w:rsidR="00372AFA" w:rsidRPr="005C4100">
              <w:t>108</w:t>
            </w:r>
            <w:r w:rsidRPr="005C4100">
              <w:t>]</w:t>
            </w:r>
          </w:p>
        </w:tc>
        <w:tc>
          <w:tcPr>
            <w:tcW w:w="1132" w:type="dxa"/>
            <w:shd w:val="clear" w:color="auto" w:fill="auto"/>
          </w:tcPr>
          <w:p w14:paraId="5E9F50EF" w14:textId="6FBF1279" w:rsidR="00040540" w:rsidRPr="005C4100" w:rsidRDefault="00040540" w:rsidP="00C168EA">
            <w:pPr>
              <w:spacing w:before="240"/>
              <w:jc w:val="center"/>
            </w:pPr>
            <w:r w:rsidRPr="005C4100">
              <w:t xml:space="preserve">Various </w:t>
            </w:r>
            <w:r w:rsidR="00C168EA" w:rsidRPr="005C4100">
              <w:rPr>
                <w:vertAlign w:val="superscript"/>
              </w:rPr>
              <w:t>k</w:t>
            </w:r>
          </w:p>
        </w:tc>
        <w:tc>
          <w:tcPr>
            <w:tcW w:w="987" w:type="dxa"/>
          </w:tcPr>
          <w:p w14:paraId="20F0CD06" w14:textId="4B0508C3" w:rsidR="00040540" w:rsidRPr="005C4100" w:rsidRDefault="00040540" w:rsidP="00ED0F27">
            <w:pPr>
              <w:spacing w:before="240"/>
              <w:jc w:val="center"/>
              <w:rPr>
                <w:highlight w:val="yellow"/>
              </w:rPr>
            </w:pPr>
          </w:p>
        </w:tc>
      </w:tr>
      <w:tr w:rsidR="00040540" w:rsidRPr="005C4100" w14:paraId="463C0779" w14:textId="77777777" w:rsidTr="005C4100">
        <w:tc>
          <w:tcPr>
            <w:tcW w:w="1588" w:type="dxa"/>
            <w:shd w:val="clear" w:color="auto" w:fill="auto"/>
          </w:tcPr>
          <w:p w14:paraId="06DC729A" w14:textId="1CE2FCB2" w:rsidR="00040540" w:rsidRPr="005C4100" w:rsidRDefault="00040540" w:rsidP="00ED0F27">
            <w:pPr>
              <w:spacing w:before="240"/>
            </w:pPr>
            <w:r w:rsidRPr="005C4100">
              <w:t xml:space="preserve">UK </w:t>
            </w:r>
            <w:r w:rsidRPr="005C4100">
              <w:rPr>
                <w:vertAlign w:val="superscript"/>
              </w:rPr>
              <w:t>f</w:t>
            </w:r>
          </w:p>
        </w:tc>
        <w:tc>
          <w:tcPr>
            <w:tcW w:w="236" w:type="dxa"/>
          </w:tcPr>
          <w:p w14:paraId="522536E4" w14:textId="77777777" w:rsidR="00040540" w:rsidRPr="005C4100" w:rsidRDefault="00040540" w:rsidP="00ED0F27">
            <w:pPr>
              <w:spacing w:before="240"/>
            </w:pPr>
          </w:p>
        </w:tc>
        <w:tc>
          <w:tcPr>
            <w:tcW w:w="3841" w:type="dxa"/>
            <w:shd w:val="clear" w:color="auto" w:fill="auto"/>
          </w:tcPr>
          <w:p w14:paraId="78B7A476" w14:textId="77777777" w:rsidR="00040540" w:rsidRPr="005C4100" w:rsidRDefault="00040540" w:rsidP="00ED0F27">
            <w:pPr>
              <w:spacing w:before="240"/>
            </w:pPr>
            <w:r w:rsidRPr="005C4100">
              <w:t>Academia</w:t>
            </w:r>
          </w:p>
        </w:tc>
        <w:tc>
          <w:tcPr>
            <w:tcW w:w="1283" w:type="dxa"/>
            <w:shd w:val="clear" w:color="auto" w:fill="auto"/>
          </w:tcPr>
          <w:p w14:paraId="382D48B1" w14:textId="7D3D3793" w:rsidR="00040540" w:rsidRPr="005C4100" w:rsidRDefault="00806725" w:rsidP="00C26BE9">
            <w:pPr>
              <w:spacing w:before="240"/>
              <w:jc w:val="center"/>
            </w:pPr>
            <w:r w:rsidRPr="005C4100">
              <w:t xml:space="preserve"> [</w:t>
            </w:r>
            <w:r w:rsidR="00372AFA" w:rsidRPr="005C4100">
              <w:t>109</w:t>
            </w:r>
            <w:r w:rsidRPr="005C4100">
              <w:t>]</w:t>
            </w:r>
          </w:p>
        </w:tc>
        <w:tc>
          <w:tcPr>
            <w:tcW w:w="1132" w:type="dxa"/>
          </w:tcPr>
          <w:p w14:paraId="3C4A71A9" w14:textId="77777777" w:rsidR="00040540" w:rsidRPr="005C4100" w:rsidRDefault="00040540" w:rsidP="00ED0F27">
            <w:pPr>
              <w:spacing w:before="240"/>
              <w:jc w:val="center"/>
            </w:pPr>
            <w:r w:rsidRPr="005C4100">
              <w:t>20</w:t>
            </w:r>
          </w:p>
        </w:tc>
        <w:tc>
          <w:tcPr>
            <w:tcW w:w="987" w:type="dxa"/>
          </w:tcPr>
          <w:p w14:paraId="0EF7458D" w14:textId="5F10A6FC" w:rsidR="00040540" w:rsidRPr="005C4100" w:rsidRDefault="00040540" w:rsidP="00ED0F27">
            <w:pPr>
              <w:spacing w:before="240"/>
              <w:jc w:val="center"/>
            </w:pPr>
          </w:p>
        </w:tc>
      </w:tr>
      <w:tr w:rsidR="00040540" w:rsidRPr="005C4100" w14:paraId="79F95FF1" w14:textId="77777777" w:rsidTr="005C4100">
        <w:tc>
          <w:tcPr>
            <w:tcW w:w="1588" w:type="dxa"/>
            <w:shd w:val="clear" w:color="auto" w:fill="auto"/>
          </w:tcPr>
          <w:p w14:paraId="42AB08C6" w14:textId="09E4BA81" w:rsidR="00040540" w:rsidRPr="005C4100" w:rsidRDefault="00040540" w:rsidP="00245DF0">
            <w:pPr>
              <w:spacing w:before="240"/>
            </w:pPr>
            <w:r w:rsidRPr="005C4100">
              <w:t xml:space="preserve">UK </w:t>
            </w:r>
            <w:r w:rsidR="00245DF0" w:rsidRPr="005C4100">
              <w:rPr>
                <w:vertAlign w:val="superscript"/>
              </w:rPr>
              <w:t>h</w:t>
            </w:r>
          </w:p>
        </w:tc>
        <w:tc>
          <w:tcPr>
            <w:tcW w:w="236" w:type="dxa"/>
          </w:tcPr>
          <w:p w14:paraId="367C7A22" w14:textId="77777777" w:rsidR="00040540" w:rsidRPr="005C4100" w:rsidRDefault="00040540" w:rsidP="00ED0F27">
            <w:pPr>
              <w:spacing w:before="240"/>
            </w:pPr>
          </w:p>
        </w:tc>
        <w:tc>
          <w:tcPr>
            <w:tcW w:w="3841" w:type="dxa"/>
          </w:tcPr>
          <w:p w14:paraId="60663AE6" w14:textId="15898F60" w:rsidR="00040540" w:rsidRPr="005C4100" w:rsidRDefault="00040540" w:rsidP="00ED0F27">
            <w:pPr>
              <w:spacing w:before="240"/>
            </w:pPr>
            <w:r w:rsidRPr="005C4100">
              <w:t>Academia</w:t>
            </w:r>
          </w:p>
        </w:tc>
        <w:tc>
          <w:tcPr>
            <w:tcW w:w="1283" w:type="dxa"/>
          </w:tcPr>
          <w:p w14:paraId="4CEE6D82" w14:textId="1BDC6081" w:rsidR="00040540" w:rsidRPr="005C4100" w:rsidRDefault="00806725" w:rsidP="00C26BE9">
            <w:pPr>
              <w:spacing w:before="240"/>
              <w:jc w:val="center"/>
            </w:pPr>
            <w:r w:rsidRPr="005C4100">
              <w:t xml:space="preserve"> [</w:t>
            </w:r>
            <w:r w:rsidR="00DF05BE" w:rsidRPr="005C4100">
              <w:t>110</w:t>
            </w:r>
            <w:r w:rsidRPr="005C4100">
              <w:t>]</w:t>
            </w:r>
          </w:p>
        </w:tc>
        <w:tc>
          <w:tcPr>
            <w:tcW w:w="1132" w:type="dxa"/>
          </w:tcPr>
          <w:p w14:paraId="71EBF9E7" w14:textId="22480DAE" w:rsidR="00040540" w:rsidRPr="005C4100" w:rsidRDefault="00040540" w:rsidP="00ED0F27">
            <w:pPr>
              <w:spacing w:before="240"/>
              <w:jc w:val="center"/>
            </w:pPr>
            <w:r w:rsidRPr="005C4100">
              <w:t>20</w:t>
            </w:r>
          </w:p>
        </w:tc>
        <w:tc>
          <w:tcPr>
            <w:tcW w:w="987" w:type="dxa"/>
          </w:tcPr>
          <w:p w14:paraId="04DEFF6B" w14:textId="075E18D6" w:rsidR="00040540" w:rsidRPr="005C4100" w:rsidRDefault="00040540" w:rsidP="00ED0F27">
            <w:pPr>
              <w:spacing w:before="240"/>
              <w:jc w:val="center"/>
            </w:pPr>
            <w:r w:rsidRPr="005C4100">
              <w:t>5</w:t>
            </w:r>
          </w:p>
        </w:tc>
      </w:tr>
      <w:tr w:rsidR="00040540" w:rsidRPr="005C4100" w14:paraId="433AA160" w14:textId="77777777" w:rsidTr="005C4100">
        <w:tc>
          <w:tcPr>
            <w:tcW w:w="1588" w:type="dxa"/>
          </w:tcPr>
          <w:p w14:paraId="07F78D65" w14:textId="5FF542CD" w:rsidR="00040540" w:rsidRPr="005C4100" w:rsidRDefault="00040540" w:rsidP="00ED0F27">
            <w:pPr>
              <w:spacing w:before="240"/>
            </w:pPr>
            <w:r w:rsidRPr="005C4100">
              <w:t>US</w:t>
            </w:r>
          </w:p>
        </w:tc>
        <w:tc>
          <w:tcPr>
            <w:tcW w:w="236" w:type="dxa"/>
          </w:tcPr>
          <w:p w14:paraId="3EF80667" w14:textId="77777777" w:rsidR="00040540" w:rsidRPr="005C4100" w:rsidRDefault="00040540" w:rsidP="00ED0F27">
            <w:pPr>
              <w:spacing w:before="240"/>
            </w:pPr>
          </w:p>
        </w:tc>
        <w:tc>
          <w:tcPr>
            <w:tcW w:w="3841" w:type="dxa"/>
          </w:tcPr>
          <w:p w14:paraId="4C1A656C" w14:textId="77777777" w:rsidR="00040540" w:rsidRPr="005C4100" w:rsidRDefault="00040540" w:rsidP="00ED0F27">
            <w:pPr>
              <w:spacing w:before="240"/>
            </w:pPr>
            <w:r w:rsidRPr="005C4100">
              <w:t>National Osteoporosis Foundation</w:t>
            </w:r>
          </w:p>
        </w:tc>
        <w:tc>
          <w:tcPr>
            <w:tcW w:w="1283" w:type="dxa"/>
          </w:tcPr>
          <w:p w14:paraId="2BB1CF6E" w14:textId="1A24FDBB" w:rsidR="00040540" w:rsidRPr="005C4100" w:rsidRDefault="00806725" w:rsidP="00C26BE9">
            <w:pPr>
              <w:spacing w:before="240"/>
              <w:jc w:val="center"/>
            </w:pPr>
            <w:r w:rsidRPr="005C4100">
              <w:t xml:space="preserve"> [</w:t>
            </w:r>
            <w:r w:rsidR="005A054C" w:rsidRPr="005C4100">
              <w:t>67</w:t>
            </w:r>
            <w:r w:rsidR="00C26BE9" w:rsidRPr="005C4100">
              <w:t>,</w:t>
            </w:r>
            <w:r w:rsidRPr="005C4100">
              <w:t xml:space="preserve"> </w:t>
            </w:r>
            <w:r w:rsidR="00DF05BE" w:rsidRPr="005C4100">
              <w:t>111</w:t>
            </w:r>
            <w:r w:rsidRPr="005C4100">
              <w:t>]</w:t>
            </w:r>
          </w:p>
        </w:tc>
        <w:tc>
          <w:tcPr>
            <w:tcW w:w="1132" w:type="dxa"/>
          </w:tcPr>
          <w:p w14:paraId="5F6F77B7" w14:textId="77777777" w:rsidR="00040540" w:rsidRPr="005C4100" w:rsidRDefault="00040540" w:rsidP="00ED0F27">
            <w:pPr>
              <w:spacing w:before="240"/>
              <w:jc w:val="center"/>
            </w:pPr>
            <w:r w:rsidRPr="005C4100">
              <w:t>20</w:t>
            </w:r>
          </w:p>
        </w:tc>
        <w:tc>
          <w:tcPr>
            <w:tcW w:w="987" w:type="dxa"/>
          </w:tcPr>
          <w:p w14:paraId="52508FA1" w14:textId="766D7382" w:rsidR="00040540" w:rsidRPr="005C4100" w:rsidRDefault="00040540" w:rsidP="00ED0F27">
            <w:pPr>
              <w:spacing w:before="240"/>
              <w:jc w:val="center"/>
            </w:pPr>
            <w:r w:rsidRPr="005C4100">
              <w:t>3</w:t>
            </w:r>
          </w:p>
        </w:tc>
      </w:tr>
      <w:tr w:rsidR="00040540" w:rsidRPr="005C4100" w14:paraId="1EAEFD89" w14:textId="77777777" w:rsidTr="005C4100">
        <w:tc>
          <w:tcPr>
            <w:tcW w:w="1588" w:type="dxa"/>
          </w:tcPr>
          <w:p w14:paraId="3B4DA8EE" w14:textId="54F5D807" w:rsidR="00040540" w:rsidRPr="005C4100" w:rsidRDefault="00040540" w:rsidP="00ED0F27">
            <w:pPr>
              <w:spacing w:before="240"/>
            </w:pPr>
            <w:r w:rsidRPr="005C4100">
              <w:t>US</w:t>
            </w:r>
          </w:p>
        </w:tc>
        <w:tc>
          <w:tcPr>
            <w:tcW w:w="236" w:type="dxa"/>
          </w:tcPr>
          <w:p w14:paraId="2D56901F" w14:textId="77777777" w:rsidR="00040540" w:rsidRPr="005C4100" w:rsidRDefault="00040540" w:rsidP="00ED0F27">
            <w:pPr>
              <w:spacing w:before="240"/>
            </w:pPr>
          </w:p>
        </w:tc>
        <w:tc>
          <w:tcPr>
            <w:tcW w:w="3841" w:type="dxa"/>
          </w:tcPr>
          <w:p w14:paraId="6CE3D10C" w14:textId="77777777" w:rsidR="00040540" w:rsidRPr="005C4100" w:rsidRDefault="00040540" w:rsidP="00ED0F27">
            <w:pPr>
              <w:spacing w:before="240"/>
            </w:pPr>
            <w:r w:rsidRPr="005C4100">
              <w:t>US Preventive Services Task Force</w:t>
            </w:r>
          </w:p>
        </w:tc>
        <w:tc>
          <w:tcPr>
            <w:tcW w:w="1283" w:type="dxa"/>
          </w:tcPr>
          <w:p w14:paraId="7AD7A6C0" w14:textId="18FECB1F" w:rsidR="00040540" w:rsidRPr="005C4100" w:rsidRDefault="00806725" w:rsidP="00C26BE9">
            <w:pPr>
              <w:spacing w:before="240"/>
              <w:jc w:val="center"/>
            </w:pPr>
            <w:r w:rsidRPr="005C4100">
              <w:t xml:space="preserve"> </w:t>
            </w:r>
            <w:r w:rsidR="00DF05BE" w:rsidRPr="005C4100">
              <w:t>[112</w:t>
            </w:r>
            <w:r w:rsidRPr="005C4100">
              <w:t>]</w:t>
            </w:r>
          </w:p>
        </w:tc>
        <w:tc>
          <w:tcPr>
            <w:tcW w:w="1132" w:type="dxa"/>
            <w:shd w:val="clear" w:color="auto" w:fill="auto"/>
          </w:tcPr>
          <w:p w14:paraId="3E251B72" w14:textId="769780AC" w:rsidR="00040540" w:rsidRPr="005C4100" w:rsidRDefault="00040540" w:rsidP="00C168EA">
            <w:pPr>
              <w:spacing w:before="240"/>
              <w:jc w:val="center"/>
            </w:pPr>
            <w:r w:rsidRPr="005C4100">
              <w:t>9.3</w:t>
            </w:r>
            <w:r w:rsidR="00C168EA" w:rsidRPr="005C4100">
              <w:rPr>
                <w:vertAlign w:val="superscript"/>
              </w:rPr>
              <w:t xml:space="preserve"> j</w:t>
            </w:r>
          </w:p>
        </w:tc>
        <w:tc>
          <w:tcPr>
            <w:tcW w:w="987" w:type="dxa"/>
          </w:tcPr>
          <w:p w14:paraId="309ABC75" w14:textId="3CA9B0F1" w:rsidR="00040540" w:rsidRPr="005C4100" w:rsidRDefault="00040540" w:rsidP="00ED0F27">
            <w:pPr>
              <w:spacing w:before="240"/>
              <w:jc w:val="center"/>
            </w:pPr>
          </w:p>
        </w:tc>
      </w:tr>
      <w:tr w:rsidR="00040540" w:rsidRPr="005C4100" w14:paraId="7CBC5D15" w14:textId="77777777" w:rsidTr="005C4100">
        <w:tc>
          <w:tcPr>
            <w:tcW w:w="1588" w:type="dxa"/>
            <w:shd w:val="clear" w:color="auto" w:fill="auto"/>
          </w:tcPr>
          <w:p w14:paraId="3A413601" w14:textId="3AC29B37" w:rsidR="00040540" w:rsidRPr="005C4100" w:rsidRDefault="00040540" w:rsidP="00245DF0">
            <w:pPr>
              <w:spacing w:before="240"/>
            </w:pPr>
            <w:r w:rsidRPr="005C4100">
              <w:t>US</w:t>
            </w:r>
            <w:r w:rsidR="00245DF0" w:rsidRPr="005C4100">
              <w:t xml:space="preserve"> </w:t>
            </w:r>
            <w:r w:rsidR="00245DF0" w:rsidRPr="005C4100">
              <w:rPr>
                <w:vertAlign w:val="superscript"/>
              </w:rPr>
              <w:t>d</w:t>
            </w:r>
          </w:p>
        </w:tc>
        <w:tc>
          <w:tcPr>
            <w:tcW w:w="236" w:type="dxa"/>
          </w:tcPr>
          <w:p w14:paraId="72C197E8" w14:textId="77777777" w:rsidR="00040540" w:rsidRPr="005C4100" w:rsidRDefault="00040540" w:rsidP="00ED0F27">
            <w:pPr>
              <w:spacing w:before="240"/>
            </w:pPr>
          </w:p>
        </w:tc>
        <w:tc>
          <w:tcPr>
            <w:tcW w:w="3841" w:type="dxa"/>
          </w:tcPr>
          <w:p w14:paraId="07ED8D6E" w14:textId="77777777" w:rsidR="00040540" w:rsidRPr="005C4100" w:rsidRDefault="00040540" w:rsidP="00ED0F27">
            <w:pPr>
              <w:spacing w:before="240"/>
            </w:pPr>
            <w:r w:rsidRPr="005C4100">
              <w:t>American College of Rheumatology</w:t>
            </w:r>
          </w:p>
        </w:tc>
        <w:tc>
          <w:tcPr>
            <w:tcW w:w="1283" w:type="dxa"/>
          </w:tcPr>
          <w:p w14:paraId="3F576909" w14:textId="723FD9D5" w:rsidR="00040540" w:rsidRPr="005C4100" w:rsidRDefault="00806725" w:rsidP="00C26BE9">
            <w:pPr>
              <w:spacing w:before="240"/>
              <w:jc w:val="center"/>
            </w:pPr>
            <w:r w:rsidRPr="005C4100">
              <w:t xml:space="preserve"> [</w:t>
            </w:r>
            <w:r w:rsidR="00DF05BE" w:rsidRPr="005C4100">
              <w:t>113</w:t>
            </w:r>
            <w:r w:rsidRPr="005C4100">
              <w:t>]</w:t>
            </w:r>
          </w:p>
        </w:tc>
        <w:tc>
          <w:tcPr>
            <w:tcW w:w="1132" w:type="dxa"/>
            <w:shd w:val="clear" w:color="auto" w:fill="auto"/>
          </w:tcPr>
          <w:p w14:paraId="17656154" w14:textId="77777777" w:rsidR="00040540" w:rsidRPr="005C4100" w:rsidRDefault="00040540" w:rsidP="00ED0F27">
            <w:pPr>
              <w:spacing w:before="240"/>
              <w:jc w:val="center"/>
            </w:pPr>
            <w:r w:rsidRPr="005C4100">
              <w:t>10</w:t>
            </w:r>
            <w:r w:rsidRPr="005C4100">
              <w:br/>
              <w:t>20</w:t>
            </w:r>
          </w:p>
        </w:tc>
        <w:tc>
          <w:tcPr>
            <w:tcW w:w="987" w:type="dxa"/>
          </w:tcPr>
          <w:p w14:paraId="27538BF0" w14:textId="354616F1" w:rsidR="00040540" w:rsidRPr="005C4100" w:rsidRDefault="00040540" w:rsidP="00ED0F27">
            <w:pPr>
              <w:spacing w:before="240"/>
              <w:jc w:val="center"/>
            </w:pPr>
          </w:p>
        </w:tc>
      </w:tr>
      <w:tr w:rsidR="00040540" w:rsidRPr="005C4100" w14:paraId="14B1AE08" w14:textId="77777777" w:rsidTr="005C4100">
        <w:tc>
          <w:tcPr>
            <w:tcW w:w="1588" w:type="dxa"/>
          </w:tcPr>
          <w:p w14:paraId="614BFBF1" w14:textId="15741333" w:rsidR="00040540" w:rsidRPr="005C4100" w:rsidRDefault="00040540" w:rsidP="00ED0F27">
            <w:pPr>
              <w:spacing w:before="240"/>
            </w:pPr>
            <w:r w:rsidRPr="005C4100">
              <w:t xml:space="preserve">US </w:t>
            </w:r>
          </w:p>
        </w:tc>
        <w:tc>
          <w:tcPr>
            <w:tcW w:w="236" w:type="dxa"/>
          </w:tcPr>
          <w:p w14:paraId="3B0D3C92" w14:textId="77777777" w:rsidR="00040540" w:rsidRPr="005C4100" w:rsidRDefault="00040540" w:rsidP="00ED0F27">
            <w:pPr>
              <w:spacing w:before="240"/>
            </w:pPr>
          </w:p>
        </w:tc>
        <w:tc>
          <w:tcPr>
            <w:tcW w:w="3841" w:type="dxa"/>
          </w:tcPr>
          <w:p w14:paraId="05D975B9" w14:textId="77777777" w:rsidR="00040540" w:rsidRPr="005C4100" w:rsidRDefault="00040540" w:rsidP="00ED0F27">
            <w:pPr>
              <w:spacing w:before="240"/>
            </w:pPr>
            <w:r w:rsidRPr="005C4100">
              <w:t>Endocrine Society</w:t>
            </w:r>
          </w:p>
        </w:tc>
        <w:tc>
          <w:tcPr>
            <w:tcW w:w="1283" w:type="dxa"/>
          </w:tcPr>
          <w:p w14:paraId="0285F508" w14:textId="5D7B5CEB" w:rsidR="00040540" w:rsidRPr="005C4100" w:rsidRDefault="00806725" w:rsidP="00C26BE9">
            <w:pPr>
              <w:spacing w:before="240"/>
              <w:jc w:val="center"/>
            </w:pPr>
            <w:r w:rsidRPr="005C4100">
              <w:t xml:space="preserve"> [</w:t>
            </w:r>
            <w:r w:rsidR="00DF05BE" w:rsidRPr="005C4100">
              <w:t>114</w:t>
            </w:r>
            <w:r w:rsidRPr="005C4100">
              <w:t>]</w:t>
            </w:r>
          </w:p>
        </w:tc>
        <w:tc>
          <w:tcPr>
            <w:tcW w:w="1132" w:type="dxa"/>
          </w:tcPr>
          <w:p w14:paraId="6815D792" w14:textId="77777777" w:rsidR="00040540" w:rsidRPr="005C4100" w:rsidRDefault="00040540" w:rsidP="00ED0F27">
            <w:pPr>
              <w:spacing w:before="240"/>
              <w:jc w:val="center"/>
            </w:pPr>
            <w:r w:rsidRPr="005C4100">
              <w:t>20</w:t>
            </w:r>
          </w:p>
        </w:tc>
        <w:tc>
          <w:tcPr>
            <w:tcW w:w="987" w:type="dxa"/>
          </w:tcPr>
          <w:p w14:paraId="28FBE791" w14:textId="5B1D4AB2" w:rsidR="00040540" w:rsidRPr="005C4100" w:rsidRDefault="00040540" w:rsidP="00ED0F27">
            <w:pPr>
              <w:spacing w:before="240"/>
              <w:jc w:val="center"/>
            </w:pPr>
            <w:r w:rsidRPr="005C4100">
              <w:t>3</w:t>
            </w:r>
          </w:p>
        </w:tc>
      </w:tr>
      <w:tr w:rsidR="00040540" w:rsidRPr="005C4100" w14:paraId="36226AA2" w14:textId="77777777" w:rsidTr="005C4100">
        <w:tc>
          <w:tcPr>
            <w:tcW w:w="1588" w:type="dxa"/>
            <w:shd w:val="clear" w:color="auto" w:fill="auto"/>
          </w:tcPr>
          <w:p w14:paraId="7F6E1D47" w14:textId="3E24F0B2" w:rsidR="00040540" w:rsidRPr="005C4100" w:rsidRDefault="00040540" w:rsidP="00245DF0">
            <w:pPr>
              <w:spacing w:before="240"/>
            </w:pPr>
            <w:r w:rsidRPr="005C4100">
              <w:t xml:space="preserve">US </w:t>
            </w:r>
            <w:r w:rsidR="00245DF0" w:rsidRPr="005C4100">
              <w:rPr>
                <w:vertAlign w:val="superscript"/>
              </w:rPr>
              <w:t>i</w:t>
            </w:r>
          </w:p>
        </w:tc>
        <w:tc>
          <w:tcPr>
            <w:tcW w:w="236" w:type="dxa"/>
          </w:tcPr>
          <w:p w14:paraId="3E662BB9" w14:textId="77777777" w:rsidR="00040540" w:rsidRPr="005C4100" w:rsidRDefault="00040540" w:rsidP="00ED0F27">
            <w:pPr>
              <w:spacing w:before="240"/>
            </w:pPr>
          </w:p>
        </w:tc>
        <w:tc>
          <w:tcPr>
            <w:tcW w:w="3841" w:type="dxa"/>
          </w:tcPr>
          <w:p w14:paraId="70A826A8" w14:textId="77777777" w:rsidR="00040540" w:rsidRPr="005C4100" w:rsidRDefault="00040540" w:rsidP="00ED0F27">
            <w:pPr>
              <w:spacing w:before="240"/>
            </w:pPr>
            <w:r w:rsidRPr="005C4100">
              <w:t>Academia</w:t>
            </w:r>
          </w:p>
        </w:tc>
        <w:tc>
          <w:tcPr>
            <w:tcW w:w="1283" w:type="dxa"/>
          </w:tcPr>
          <w:p w14:paraId="7DDFDBAF" w14:textId="1B694830" w:rsidR="00040540" w:rsidRPr="005C4100" w:rsidRDefault="00806725" w:rsidP="00C26BE9">
            <w:pPr>
              <w:spacing w:before="240"/>
              <w:jc w:val="center"/>
            </w:pPr>
            <w:r w:rsidRPr="005C4100">
              <w:t xml:space="preserve"> [</w:t>
            </w:r>
            <w:r w:rsidR="003C0071" w:rsidRPr="005C4100">
              <w:t>115</w:t>
            </w:r>
            <w:r w:rsidRPr="005C4100">
              <w:t>]</w:t>
            </w:r>
          </w:p>
        </w:tc>
        <w:tc>
          <w:tcPr>
            <w:tcW w:w="1132" w:type="dxa"/>
          </w:tcPr>
          <w:p w14:paraId="0FFBD511" w14:textId="77777777" w:rsidR="00040540" w:rsidRPr="005C4100" w:rsidRDefault="00040540" w:rsidP="00ED0F27">
            <w:pPr>
              <w:spacing w:before="240"/>
              <w:jc w:val="center"/>
            </w:pPr>
            <w:r w:rsidRPr="005C4100">
              <w:t>20</w:t>
            </w:r>
          </w:p>
        </w:tc>
        <w:tc>
          <w:tcPr>
            <w:tcW w:w="987" w:type="dxa"/>
          </w:tcPr>
          <w:p w14:paraId="4B29B6D4" w14:textId="26B30BD4" w:rsidR="00040540" w:rsidRPr="005C4100" w:rsidRDefault="00040540" w:rsidP="00ED0F27">
            <w:pPr>
              <w:spacing w:before="240"/>
              <w:jc w:val="center"/>
            </w:pPr>
          </w:p>
        </w:tc>
      </w:tr>
      <w:tr w:rsidR="00040540" w:rsidRPr="005C4100" w14:paraId="1A9DEF44" w14:textId="77777777" w:rsidTr="005C4100">
        <w:tc>
          <w:tcPr>
            <w:tcW w:w="1588" w:type="dxa"/>
          </w:tcPr>
          <w:p w14:paraId="25D42E1A" w14:textId="364C42FF" w:rsidR="00040540" w:rsidRPr="005C4100" w:rsidRDefault="00040540" w:rsidP="00ED0F27">
            <w:pPr>
              <w:spacing w:before="240"/>
            </w:pPr>
            <w:r w:rsidRPr="005C4100">
              <w:t>US</w:t>
            </w:r>
          </w:p>
        </w:tc>
        <w:tc>
          <w:tcPr>
            <w:tcW w:w="236" w:type="dxa"/>
          </w:tcPr>
          <w:p w14:paraId="57F94F4C" w14:textId="77777777" w:rsidR="00040540" w:rsidRPr="005C4100" w:rsidRDefault="00040540" w:rsidP="00ED0F27">
            <w:pPr>
              <w:spacing w:before="240"/>
            </w:pPr>
          </w:p>
        </w:tc>
        <w:tc>
          <w:tcPr>
            <w:tcW w:w="3841" w:type="dxa"/>
          </w:tcPr>
          <w:p w14:paraId="1263F044" w14:textId="11B2D387" w:rsidR="00040540" w:rsidRPr="005C4100" w:rsidRDefault="00040540" w:rsidP="00ED0F27">
            <w:pPr>
              <w:spacing w:before="240"/>
            </w:pPr>
            <w:r w:rsidRPr="005C4100">
              <w:t>Michigan Quality Improvement Consortium</w:t>
            </w:r>
          </w:p>
        </w:tc>
        <w:tc>
          <w:tcPr>
            <w:tcW w:w="1283" w:type="dxa"/>
          </w:tcPr>
          <w:p w14:paraId="1F050DD0" w14:textId="06B0531A" w:rsidR="00040540" w:rsidRPr="005C4100" w:rsidRDefault="003C0071" w:rsidP="00C26BE9">
            <w:pPr>
              <w:spacing w:before="240"/>
              <w:jc w:val="center"/>
            </w:pPr>
            <w:r w:rsidRPr="005C4100">
              <w:t>116</w:t>
            </w:r>
            <w:r w:rsidR="00806725" w:rsidRPr="005C4100">
              <w:t>]</w:t>
            </w:r>
          </w:p>
        </w:tc>
        <w:tc>
          <w:tcPr>
            <w:tcW w:w="1132" w:type="dxa"/>
            <w:shd w:val="clear" w:color="auto" w:fill="auto"/>
          </w:tcPr>
          <w:p w14:paraId="1FEFA561" w14:textId="453E9205" w:rsidR="00040540" w:rsidRPr="005C4100" w:rsidRDefault="00040540" w:rsidP="00C168EA">
            <w:pPr>
              <w:spacing w:before="240"/>
              <w:jc w:val="center"/>
            </w:pPr>
            <w:r w:rsidRPr="005C4100">
              <w:t>9.3</w:t>
            </w:r>
            <w:r w:rsidR="00C168EA" w:rsidRPr="005C4100">
              <w:rPr>
                <w:vertAlign w:val="superscript"/>
              </w:rPr>
              <w:t xml:space="preserve"> j</w:t>
            </w:r>
          </w:p>
        </w:tc>
        <w:tc>
          <w:tcPr>
            <w:tcW w:w="987" w:type="dxa"/>
          </w:tcPr>
          <w:p w14:paraId="47A83249" w14:textId="276DB1D7" w:rsidR="00040540" w:rsidRPr="005C4100" w:rsidRDefault="00040540" w:rsidP="00ED0F27">
            <w:pPr>
              <w:spacing w:before="240"/>
              <w:jc w:val="center"/>
            </w:pPr>
          </w:p>
        </w:tc>
      </w:tr>
      <w:tr w:rsidR="00040540" w:rsidRPr="005C4100" w14:paraId="2DCE3BCF" w14:textId="77777777" w:rsidTr="005C4100">
        <w:tc>
          <w:tcPr>
            <w:tcW w:w="1588" w:type="dxa"/>
          </w:tcPr>
          <w:p w14:paraId="67FD21A1" w14:textId="07E6418F" w:rsidR="00040540" w:rsidRPr="005C4100" w:rsidRDefault="00040540" w:rsidP="00ED0F27">
            <w:pPr>
              <w:spacing w:before="240"/>
            </w:pPr>
            <w:r w:rsidRPr="005C4100">
              <w:t>US</w:t>
            </w:r>
          </w:p>
        </w:tc>
        <w:tc>
          <w:tcPr>
            <w:tcW w:w="236" w:type="dxa"/>
          </w:tcPr>
          <w:p w14:paraId="75000B7B" w14:textId="77777777" w:rsidR="00040540" w:rsidRPr="005C4100" w:rsidRDefault="00040540" w:rsidP="00ED0F27">
            <w:pPr>
              <w:spacing w:before="240"/>
            </w:pPr>
          </w:p>
        </w:tc>
        <w:tc>
          <w:tcPr>
            <w:tcW w:w="3841" w:type="dxa"/>
          </w:tcPr>
          <w:p w14:paraId="1DC56067" w14:textId="55B36849" w:rsidR="00040540" w:rsidRPr="005C4100" w:rsidRDefault="00040540" w:rsidP="00ED0F27">
            <w:pPr>
              <w:spacing w:before="240"/>
            </w:pPr>
            <w:r w:rsidRPr="005C4100">
              <w:t xml:space="preserve">American College of Obstetricians and </w:t>
            </w:r>
            <w:proofErr w:type="spellStart"/>
            <w:r w:rsidRPr="005C4100">
              <w:t>Gynecologists</w:t>
            </w:r>
            <w:proofErr w:type="spellEnd"/>
            <w:r w:rsidRPr="005C4100">
              <w:t xml:space="preserve"> </w:t>
            </w:r>
          </w:p>
        </w:tc>
        <w:tc>
          <w:tcPr>
            <w:tcW w:w="1283" w:type="dxa"/>
          </w:tcPr>
          <w:p w14:paraId="3810067E" w14:textId="2CBA668C" w:rsidR="00040540" w:rsidRPr="005C4100" w:rsidRDefault="00806725" w:rsidP="00C26BE9">
            <w:pPr>
              <w:spacing w:before="240"/>
              <w:jc w:val="center"/>
            </w:pPr>
            <w:r w:rsidRPr="005C4100">
              <w:t xml:space="preserve"> [</w:t>
            </w:r>
            <w:r w:rsidR="003C0071" w:rsidRPr="005C4100">
              <w:t>117</w:t>
            </w:r>
            <w:r w:rsidRPr="005C4100">
              <w:t>]</w:t>
            </w:r>
          </w:p>
        </w:tc>
        <w:tc>
          <w:tcPr>
            <w:tcW w:w="1132" w:type="dxa"/>
          </w:tcPr>
          <w:p w14:paraId="59D5D6A8" w14:textId="343FE8CD" w:rsidR="00040540" w:rsidRPr="005C4100" w:rsidRDefault="00040540" w:rsidP="00ED0F27">
            <w:pPr>
              <w:spacing w:before="240"/>
              <w:jc w:val="center"/>
            </w:pPr>
            <w:r w:rsidRPr="005C4100">
              <w:t>20</w:t>
            </w:r>
          </w:p>
        </w:tc>
        <w:tc>
          <w:tcPr>
            <w:tcW w:w="987" w:type="dxa"/>
          </w:tcPr>
          <w:p w14:paraId="7B98BE6C" w14:textId="3CC5B60F" w:rsidR="00040540" w:rsidRPr="005C4100" w:rsidRDefault="00040540" w:rsidP="00ED0F27">
            <w:pPr>
              <w:spacing w:before="240"/>
              <w:jc w:val="center"/>
            </w:pPr>
            <w:r w:rsidRPr="005C4100">
              <w:t>3</w:t>
            </w:r>
          </w:p>
        </w:tc>
      </w:tr>
      <w:tr w:rsidR="00040540" w:rsidRPr="005C4100" w14:paraId="1D403510" w14:textId="77777777" w:rsidTr="005C4100">
        <w:tc>
          <w:tcPr>
            <w:tcW w:w="1588" w:type="dxa"/>
          </w:tcPr>
          <w:p w14:paraId="41296DEC" w14:textId="5B8C9F3C" w:rsidR="00040540" w:rsidRPr="005C4100" w:rsidRDefault="00040540" w:rsidP="00ED0F27">
            <w:pPr>
              <w:spacing w:before="240"/>
            </w:pPr>
            <w:r w:rsidRPr="005C4100">
              <w:t>US</w:t>
            </w:r>
          </w:p>
        </w:tc>
        <w:tc>
          <w:tcPr>
            <w:tcW w:w="236" w:type="dxa"/>
          </w:tcPr>
          <w:p w14:paraId="6D6ADBCF" w14:textId="77777777" w:rsidR="00040540" w:rsidRPr="005C4100" w:rsidRDefault="00040540" w:rsidP="00ED0F27">
            <w:pPr>
              <w:spacing w:before="240"/>
            </w:pPr>
          </w:p>
        </w:tc>
        <w:tc>
          <w:tcPr>
            <w:tcW w:w="3841" w:type="dxa"/>
          </w:tcPr>
          <w:p w14:paraId="377F95AD" w14:textId="381F9DBA" w:rsidR="00040540" w:rsidRPr="005C4100" w:rsidRDefault="00040540" w:rsidP="00ED0F27">
            <w:pPr>
              <w:spacing w:before="240"/>
            </w:pPr>
            <w:r w:rsidRPr="005C4100">
              <w:t>North American Menopause Society</w:t>
            </w:r>
          </w:p>
        </w:tc>
        <w:tc>
          <w:tcPr>
            <w:tcW w:w="1283" w:type="dxa"/>
          </w:tcPr>
          <w:p w14:paraId="349DE2E4" w14:textId="4BAD383E" w:rsidR="00040540" w:rsidRPr="005C4100" w:rsidRDefault="00806725" w:rsidP="00C26BE9">
            <w:pPr>
              <w:spacing w:before="240"/>
              <w:jc w:val="center"/>
            </w:pPr>
            <w:r w:rsidRPr="005C4100">
              <w:t xml:space="preserve"> [</w:t>
            </w:r>
            <w:r w:rsidR="003C0071" w:rsidRPr="005C4100">
              <w:t>118</w:t>
            </w:r>
            <w:r w:rsidRPr="005C4100">
              <w:t>]</w:t>
            </w:r>
          </w:p>
        </w:tc>
        <w:tc>
          <w:tcPr>
            <w:tcW w:w="1132" w:type="dxa"/>
          </w:tcPr>
          <w:p w14:paraId="281624E3" w14:textId="7BABC0FF" w:rsidR="00040540" w:rsidRPr="005C4100" w:rsidRDefault="00040540" w:rsidP="00ED0F27">
            <w:pPr>
              <w:spacing w:before="240"/>
              <w:jc w:val="center"/>
            </w:pPr>
            <w:r w:rsidRPr="005C4100">
              <w:t>20</w:t>
            </w:r>
          </w:p>
        </w:tc>
        <w:tc>
          <w:tcPr>
            <w:tcW w:w="987" w:type="dxa"/>
          </w:tcPr>
          <w:p w14:paraId="7491ED0E" w14:textId="71B22D9C" w:rsidR="00040540" w:rsidRPr="005C4100" w:rsidRDefault="00040540" w:rsidP="00ED0F27">
            <w:pPr>
              <w:spacing w:before="240"/>
              <w:jc w:val="center"/>
            </w:pPr>
            <w:r w:rsidRPr="005C4100">
              <w:t>3</w:t>
            </w:r>
          </w:p>
        </w:tc>
      </w:tr>
      <w:tr w:rsidR="00040540" w:rsidRPr="005C4100" w14:paraId="24E79A14" w14:textId="77777777" w:rsidTr="005C4100">
        <w:tc>
          <w:tcPr>
            <w:tcW w:w="1588" w:type="dxa"/>
          </w:tcPr>
          <w:p w14:paraId="5A90B14F" w14:textId="0708A518" w:rsidR="00040540" w:rsidRPr="005C4100" w:rsidRDefault="00040540" w:rsidP="00ED0F27">
            <w:pPr>
              <w:spacing w:before="240"/>
            </w:pPr>
            <w:r w:rsidRPr="005C4100">
              <w:t>US</w:t>
            </w:r>
          </w:p>
        </w:tc>
        <w:tc>
          <w:tcPr>
            <w:tcW w:w="236" w:type="dxa"/>
          </w:tcPr>
          <w:p w14:paraId="7BEF0A6C" w14:textId="77777777" w:rsidR="00040540" w:rsidRPr="005C4100" w:rsidRDefault="00040540" w:rsidP="00ED0F27">
            <w:pPr>
              <w:spacing w:before="240"/>
            </w:pPr>
          </w:p>
        </w:tc>
        <w:tc>
          <w:tcPr>
            <w:tcW w:w="3841" w:type="dxa"/>
          </w:tcPr>
          <w:p w14:paraId="1C6FD290" w14:textId="437CDF17" w:rsidR="00040540" w:rsidRPr="005C4100" w:rsidRDefault="00040540" w:rsidP="00ED0F27">
            <w:pPr>
              <w:spacing w:before="240"/>
            </w:pPr>
            <w:r w:rsidRPr="005C4100">
              <w:t>Family practice</w:t>
            </w:r>
          </w:p>
        </w:tc>
        <w:tc>
          <w:tcPr>
            <w:tcW w:w="1283" w:type="dxa"/>
          </w:tcPr>
          <w:p w14:paraId="08EDA593" w14:textId="41A422FF" w:rsidR="00040540" w:rsidRPr="005C4100" w:rsidRDefault="00806725" w:rsidP="00C26BE9">
            <w:pPr>
              <w:spacing w:before="240"/>
              <w:jc w:val="center"/>
            </w:pPr>
            <w:r w:rsidRPr="005C4100">
              <w:t xml:space="preserve"> [</w:t>
            </w:r>
            <w:r w:rsidR="003C0071" w:rsidRPr="005C4100">
              <w:t>119</w:t>
            </w:r>
            <w:r w:rsidRPr="005C4100">
              <w:t>]</w:t>
            </w:r>
          </w:p>
        </w:tc>
        <w:tc>
          <w:tcPr>
            <w:tcW w:w="1132" w:type="dxa"/>
          </w:tcPr>
          <w:p w14:paraId="1FF5A1EA" w14:textId="0717F3FF" w:rsidR="00040540" w:rsidRPr="005C4100" w:rsidRDefault="00040540" w:rsidP="00ED0F27">
            <w:pPr>
              <w:spacing w:before="240"/>
              <w:jc w:val="center"/>
            </w:pPr>
            <w:r w:rsidRPr="005C4100">
              <w:t>20</w:t>
            </w:r>
          </w:p>
        </w:tc>
        <w:tc>
          <w:tcPr>
            <w:tcW w:w="987" w:type="dxa"/>
          </w:tcPr>
          <w:p w14:paraId="2D51599D" w14:textId="007797D6" w:rsidR="00040540" w:rsidRPr="005C4100" w:rsidRDefault="00040540" w:rsidP="00ED0F27">
            <w:pPr>
              <w:spacing w:before="240"/>
              <w:jc w:val="center"/>
            </w:pPr>
            <w:r w:rsidRPr="005C4100">
              <w:t>3</w:t>
            </w:r>
          </w:p>
        </w:tc>
      </w:tr>
      <w:tr w:rsidR="00040540" w:rsidRPr="005C4100" w14:paraId="7F655F97" w14:textId="77777777" w:rsidTr="005C4100">
        <w:tc>
          <w:tcPr>
            <w:tcW w:w="1588" w:type="dxa"/>
          </w:tcPr>
          <w:p w14:paraId="2366FA3F" w14:textId="5F893E27" w:rsidR="00040540" w:rsidRPr="005C4100" w:rsidRDefault="00040540" w:rsidP="00ED0F27">
            <w:pPr>
              <w:spacing w:before="240"/>
            </w:pPr>
            <w:r w:rsidRPr="005C4100">
              <w:t>US</w:t>
            </w:r>
          </w:p>
        </w:tc>
        <w:tc>
          <w:tcPr>
            <w:tcW w:w="236" w:type="dxa"/>
          </w:tcPr>
          <w:p w14:paraId="409B0F64" w14:textId="77777777" w:rsidR="00040540" w:rsidRPr="005C4100" w:rsidRDefault="00040540" w:rsidP="00ED0F27">
            <w:pPr>
              <w:spacing w:before="240"/>
            </w:pPr>
          </w:p>
        </w:tc>
        <w:tc>
          <w:tcPr>
            <w:tcW w:w="3841" w:type="dxa"/>
          </w:tcPr>
          <w:p w14:paraId="17AA3444" w14:textId="5EE486AE" w:rsidR="00040540" w:rsidRPr="005C4100" w:rsidRDefault="00040540" w:rsidP="00ED0F27">
            <w:pPr>
              <w:spacing w:before="240"/>
            </w:pPr>
            <w:r w:rsidRPr="005C4100">
              <w:t>Academia</w:t>
            </w:r>
          </w:p>
        </w:tc>
        <w:tc>
          <w:tcPr>
            <w:tcW w:w="1283" w:type="dxa"/>
          </w:tcPr>
          <w:p w14:paraId="77A3CC5F" w14:textId="39E3F413" w:rsidR="00040540" w:rsidRPr="005C4100" w:rsidRDefault="00806725" w:rsidP="00C26BE9">
            <w:pPr>
              <w:spacing w:before="240"/>
              <w:jc w:val="center"/>
            </w:pPr>
            <w:r w:rsidRPr="005C4100">
              <w:t xml:space="preserve"> [</w:t>
            </w:r>
            <w:r w:rsidR="003C0071" w:rsidRPr="005C4100">
              <w:t>120</w:t>
            </w:r>
            <w:r w:rsidRPr="005C4100">
              <w:t>]</w:t>
            </w:r>
          </w:p>
        </w:tc>
        <w:tc>
          <w:tcPr>
            <w:tcW w:w="1132" w:type="dxa"/>
          </w:tcPr>
          <w:p w14:paraId="61E45724" w14:textId="7411F87E" w:rsidR="00040540" w:rsidRPr="005C4100" w:rsidRDefault="00040540" w:rsidP="00ED0F27">
            <w:pPr>
              <w:spacing w:before="240"/>
              <w:jc w:val="center"/>
            </w:pPr>
            <w:r w:rsidRPr="005C4100">
              <w:t>20</w:t>
            </w:r>
          </w:p>
        </w:tc>
        <w:tc>
          <w:tcPr>
            <w:tcW w:w="987" w:type="dxa"/>
          </w:tcPr>
          <w:p w14:paraId="0FEFD905" w14:textId="7076EC56" w:rsidR="00040540" w:rsidRPr="005C4100" w:rsidRDefault="00040540" w:rsidP="00ED0F27">
            <w:pPr>
              <w:spacing w:before="240"/>
              <w:jc w:val="center"/>
            </w:pPr>
            <w:r w:rsidRPr="005C4100">
              <w:t>3</w:t>
            </w:r>
          </w:p>
        </w:tc>
      </w:tr>
      <w:tr w:rsidR="00040540" w:rsidRPr="005C4100" w14:paraId="2FD3D68E" w14:textId="77777777" w:rsidTr="005C4100">
        <w:tc>
          <w:tcPr>
            <w:tcW w:w="1588" w:type="dxa"/>
          </w:tcPr>
          <w:p w14:paraId="2FDE52D2" w14:textId="1AF0A139" w:rsidR="00040540" w:rsidRPr="005C4100" w:rsidRDefault="00040540" w:rsidP="00ED0F27">
            <w:pPr>
              <w:spacing w:before="240"/>
            </w:pPr>
            <w:r w:rsidRPr="005C4100">
              <w:t>US</w:t>
            </w:r>
          </w:p>
        </w:tc>
        <w:tc>
          <w:tcPr>
            <w:tcW w:w="236" w:type="dxa"/>
          </w:tcPr>
          <w:p w14:paraId="7F1C0293" w14:textId="77777777" w:rsidR="00040540" w:rsidRPr="005C4100" w:rsidRDefault="00040540" w:rsidP="00ED0F27">
            <w:pPr>
              <w:spacing w:before="240"/>
            </w:pPr>
          </w:p>
        </w:tc>
        <w:tc>
          <w:tcPr>
            <w:tcW w:w="3841" w:type="dxa"/>
          </w:tcPr>
          <w:p w14:paraId="709BBBC2" w14:textId="5CEBED13" w:rsidR="00040540" w:rsidRPr="005C4100" w:rsidRDefault="00040540" w:rsidP="00ED0F27">
            <w:pPr>
              <w:spacing w:before="240"/>
            </w:pPr>
            <w:r w:rsidRPr="005C4100">
              <w:t>National Comprehensive Cancer Network (NCCN)</w:t>
            </w:r>
          </w:p>
        </w:tc>
        <w:tc>
          <w:tcPr>
            <w:tcW w:w="1283" w:type="dxa"/>
          </w:tcPr>
          <w:p w14:paraId="217EF325" w14:textId="13DAD245" w:rsidR="00040540" w:rsidRPr="005C4100" w:rsidRDefault="00806725" w:rsidP="00C26BE9">
            <w:pPr>
              <w:spacing w:before="240"/>
              <w:jc w:val="center"/>
            </w:pPr>
            <w:r w:rsidRPr="005C4100">
              <w:t xml:space="preserve"> [</w:t>
            </w:r>
            <w:r w:rsidR="003C0071" w:rsidRPr="005C4100">
              <w:t>121</w:t>
            </w:r>
            <w:r w:rsidRPr="005C4100">
              <w:t>]</w:t>
            </w:r>
          </w:p>
        </w:tc>
        <w:tc>
          <w:tcPr>
            <w:tcW w:w="1132" w:type="dxa"/>
          </w:tcPr>
          <w:p w14:paraId="1E429B0D" w14:textId="07AAD627" w:rsidR="00040540" w:rsidRPr="005C4100" w:rsidRDefault="00040540" w:rsidP="00ED0F27">
            <w:pPr>
              <w:spacing w:before="240"/>
              <w:jc w:val="center"/>
            </w:pPr>
            <w:r w:rsidRPr="005C4100">
              <w:t>20</w:t>
            </w:r>
          </w:p>
        </w:tc>
        <w:tc>
          <w:tcPr>
            <w:tcW w:w="987" w:type="dxa"/>
          </w:tcPr>
          <w:p w14:paraId="7C42F592" w14:textId="3FE64B84" w:rsidR="00040540" w:rsidRPr="005C4100" w:rsidRDefault="00040540" w:rsidP="00ED0F27">
            <w:pPr>
              <w:spacing w:before="240"/>
              <w:jc w:val="center"/>
            </w:pPr>
            <w:r w:rsidRPr="005C4100">
              <w:t>3</w:t>
            </w:r>
          </w:p>
        </w:tc>
      </w:tr>
      <w:tr w:rsidR="00040540" w:rsidRPr="005C4100" w14:paraId="6F75C02D" w14:textId="77777777" w:rsidTr="005C4100">
        <w:tc>
          <w:tcPr>
            <w:tcW w:w="1588" w:type="dxa"/>
          </w:tcPr>
          <w:p w14:paraId="5558EC19" w14:textId="1C32C950" w:rsidR="00040540" w:rsidRPr="005C4100" w:rsidRDefault="00040540" w:rsidP="00ED0F27">
            <w:pPr>
              <w:spacing w:before="240"/>
            </w:pPr>
            <w:r w:rsidRPr="005C4100">
              <w:t>US</w:t>
            </w:r>
          </w:p>
        </w:tc>
        <w:tc>
          <w:tcPr>
            <w:tcW w:w="236" w:type="dxa"/>
          </w:tcPr>
          <w:p w14:paraId="4F6658F7" w14:textId="77777777" w:rsidR="00040540" w:rsidRPr="005C4100" w:rsidRDefault="00040540" w:rsidP="00ED0F27">
            <w:pPr>
              <w:spacing w:before="240"/>
            </w:pPr>
          </w:p>
        </w:tc>
        <w:tc>
          <w:tcPr>
            <w:tcW w:w="3841" w:type="dxa"/>
          </w:tcPr>
          <w:p w14:paraId="246FEC6D" w14:textId="2D25EF21" w:rsidR="00040540" w:rsidRPr="005C4100" w:rsidRDefault="00040540" w:rsidP="00ED0F27">
            <w:pPr>
              <w:spacing w:before="240"/>
            </w:pPr>
            <w:r w:rsidRPr="005C4100">
              <w:t>American Academy of Family Physicians</w:t>
            </w:r>
          </w:p>
        </w:tc>
        <w:tc>
          <w:tcPr>
            <w:tcW w:w="1283" w:type="dxa"/>
          </w:tcPr>
          <w:p w14:paraId="74CDCC43" w14:textId="03C8D3F2" w:rsidR="00040540" w:rsidRPr="005C4100" w:rsidRDefault="00806725" w:rsidP="00C26BE9">
            <w:pPr>
              <w:spacing w:before="240"/>
              <w:jc w:val="center"/>
            </w:pPr>
            <w:r w:rsidRPr="005C4100">
              <w:t xml:space="preserve"> [</w:t>
            </w:r>
            <w:r w:rsidR="003C0071" w:rsidRPr="005C4100">
              <w:t>122</w:t>
            </w:r>
            <w:r w:rsidRPr="005C4100">
              <w:t>]</w:t>
            </w:r>
          </w:p>
        </w:tc>
        <w:tc>
          <w:tcPr>
            <w:tcW w:w="1132" w:type="dxa"/>
            <w:shd w:val="clear" w:color="auto" w:fill="auto"/>
          </w:tcPr>
          <w:p w14:paraId="16222F29" w14:textId="33CD8A72" w:rsidR="00040540" w:rsidRPr="005C4100" w:rsidRDefault="00040540" w:rsidP="00C168EA">
            <w:pPr>
              <w:spacing w:before="240"/>
              <w:jc w:val="center"/>
            </w:pPr>
            <w:r w:rsidRPr="005C4100">
              <w:t>9.3</w:t>
            </w:r>
            <w:r w:rsidR="00C168EA" w:rsidRPr="005C4100">
              <w:rPr>
                <w:vertAlign w:val="superscript"/>
              </w:rPr>
              <w:t xml:space="preserve"> j</w:t>
            </w:r>
          </w:p>
        </w:tc>
        <w:tc>
          <w:tcPr>
            <w:tcW w:w="987" w:type="dxa"/>
          </w:tcPr>
          <w:p w14:paraId="38780572" w14:textId="4B406792" w:rsidR="00040540" w:rsidRPr="005C4100" w:rsidRDefault="00040540" w:rsidP="00ED0F27">
            <w:pPr>
              <w:spacing w:before="240"/>
              <w:jc w:val="center"/>
            </w:pPr>
          </w:p>
        </w:tc>
      </w:tr>
      <w:tr w:rsidR="001943A2" w:rsidRPr="005C4100" w14:paraId="5819F247" w14:textId="77777777" w:rsidTr="005C4100">
        <w:tc>
          <w:tcPr>
            <w:tcW w:w="1588" w:type="dxa"/>
          </w:tcPr>
          <w:p w14:paraId="76EA4547" w14:textId="3653954C" w:rsidR="001943A2" w:rsidRPr="005C4100" w:rsidRDefault="001943A2" w:rsidP="00ED0F27">
            <w:pPr>
              <w:spacing w:before="240"/>
            </w:pPr>
            <w:r w:rsidRPr="005C4100">
              <w:t>US</w:t>
            </w:r>
          </w:p>
        </w:tc>
        <w:tc>
          <w:tcPr>
            <w:tcW w:w="236" w:type="dxa"/>
          </w:tcPr>
          <w:p w14:paraId="1470A2B7" w14:textId="77777777" w:rsidR="001943A2" w:rsidRPr="005C4100" w:rsidRDefault="001943A2" w:rsidP="00ED0F27">
            <w:pPr>
              <w:spacing w:before="240"/>
            </w:pPr>
          </w:p>
        </w:tc>
        <w:tc>
          <w:tcPr>
            <w:tcW w:w="3841" w:type="dxa"/>
          </w:tcPr>
          <w:p w14:paraId="401F0BF0" w14:textId="7DB13E3C" w:rsidR="001943A2" w:rsidRPr="005C4100" w:rsidRDefault="001943A2" w:rsidP="00ED0F27">
            <w:pPr>
              <w:spacing w:before="240"/>
            </w:pPr>
            <w:r w:rsidRPr="005C4100">
              <w:t>Institute for Clinical Systems Improvement</w:t>
            </w:r>
          </w:p>
        </w:tc>
        <w:tc>
          <w:tcPr>
            <w:tcW w:w="1283" w:type="dxa"/>
          </w:tcPr>
          <w:p w14:paraId="0219DEA4" w14:textId="543072F2" w:rsidR="001943A2" w:rsidRPr="005C4100" w:rsidRDefault="00806725" w:rsidP="00C26BE9">
            <w:pPr>
              <w:spacing w:before="240"/>
              <w:jc w:val="center"/>
            </w:pPr>
            <w:r w:rsidRPr="005C4100">
              <w:t xml:space="preserve"> [</w:t>
            </w:r>
            <w:r w:rsidR="005743B0" w:rsidRPr="005C4100">
              <w:t>123</w:t>
            </w:r>
            <w:r w:rsidRPr="005C4100">
              <w:t>]</w:t>
            </w:r>
          </w:p>
        </w:tc>
        <w:tc>
          <w:tcPr>
            <w:tcW w:w="1132" w:type="dxa"/>
            <w:shd w:val="clear" w:color="auto" w:fill="auto"/>
          </w:tcPr>
          <w:p w14:paraId="1440F217" w14:textId="77777777" w:rsidR="001943A2" w:rsidRDefault="001943A2" w:rsidP="00C168EA">
            <w:pPr>
              <w:spacing w:before="240"/>
              <w:jc w:val="center"/>
              <w:rPr>
                <w:vertAlign w:val="superscript"/>
              </w:rPr>
            </w:pPr>
            <w:r w:rsidRPr="005C4100">
              <w:t>9.3</w:t>
            </w:r>
            <w:r w:rsidR="00C168EA" w:rsidRPr="005C4100">
              <w:rPr>
                <w:vertAlign w:val="superscript"/>
              </w:rPr>
              <w:t xml:space="preserve"> j</w:t>
            </w:r>
          </w:p>
          <w:p w14:paraId="357EF4FF" w14:textId="172FCD07" w:rsidR="00EA6C1D" w:rsidRPr="005C4100" w:rsidRDefault="00EA6C1D" w:rsidP="00C168EA">
            <w:pPr>
              <w:spacing w:before="240"/>
              <w:jc w:val="center"/>
            </w:pPr>
          </w:p>
        </w:tc>
        <w:tc>
          <w:tcPr>
            <w:tcW w:w="987" w:type="dxa"/>
          </w:tcPr>
          <w:p w14:paraId="6289B60D" w14:textId="77777777" w:rsidR="001943A2" w:rsidRPr="005C4100" w:rsidRDefault="001943A2" w:rsidP="00ED0F27">
            <w:pPr>
              <w:spacing w:before="240"/>
              <w:jc w:val="center"/>
            </w:pPr>
          </w:p>
        </w:tc>
      </w:tr>
      <w:tr w:rsidR="00EA6C1D" w:rsidRPr="005C4100" w14:paraId="58C61CF6" w14:textId="77777777" w:rsidTr="005C4100">
        <w:tc>
          <w:tcPr>
            <w:tcW w:w="1588" w:type="dxa"/>
          </w:tcPr>
          <w:p w14:paraId="4D11D617" w14:textId="5F6C61CA" w:rsidR="00EA6C1D" w:rsidRPr="005C4100" w:rsidRDefault="00EA6C1D" w:rsidP="00EA6C1D">
            <w:pPr>
              <w:spacing w:before="240"/>
            </w:pPr>
            <w:r>
              <w:t>US</w:t>
            </w:r>
          </w:p>
        </w:tc>
        <w:tc>
          <w:tcPr>
            <w:tcW w:w="236" w:type="dxa"/>
          </w:tcPr>
          <w:p w14:paraId="404F0FF7" w14:textId="77777777" w:rsidR="00EA6C1D" w:rsidRPr="005C4100" w:rsidRDefault="00EA6C1D" w:rsidP="00EA6C1D">
            <w:pPr>
              <w:spacing w:before="240"/>
            </w:pPr>
          </w:p>
        </w:tc>
        <w:tc>
          <w:tcPr>
            <w:tcW w:w="3841" w:type="dxa"/>
          </w:tcPr>
          <w:p w14:paraId="342447E1" w14:textId="5BF071E0" w:rsidR="00EA6C1D" w:rsidRPr="005C4100" w:rsidRDefault="00EA6C1D" w:rsidP="00EA6C1D">
            <w:pPr>
              <w:spacing w:before="240"/>
            </w:pPr>
            <w:r w:rsidRPr="005C4100">
              <w:t>Institute for Clinical Systems Improvement</w:t>
            </w:r>
          </w:p>
        </w:tc>
        <w:tc>
          <w:tcPr>
            <w:tcW w:w="1283" w:type="dxa"/>
          </w:tcPr>
          <w:p w14:paraId="6EE651B6" w14:textId="324D8301" w:rsidR="00EA6C1D" w:rsidRPr="005C4100" w:rsidRDefault="00EA6C1D" w:rsidP="00EA6C1D">
            <w:pPr>
              <w:spacing w:before="240"/>
              <w:jc w:val="center"/>
            </w:pPr>
            <w:r w:rsidRPr="005C4100">
              <w:t xml:space="preserve"> [72]</w:t>
            </w:r>
          </w:p>
        </w:tc>
        <w:tc>
          <w:tcPr>
            <w:tcW w:w="1132" w:type="dxa"/>
            <w:shd w:val="clear" w:color="auto" w:fill="auto"/>
          </w:tcPr>
          <w:p w14:paraId="14D99E31" w14:textId="5BDDA9DF" w:rsidR="00EA6C1D" w:rsidRPr="005C4100" w:rsidRDefault="00EA6C1D" w:rsidP="00EA6C1D">
            <w:pPr>
              <w:spacing w:before="240"/>
              <w:jc w:val="center"/>
            </w:pPr>
            <w:r w:rsidRPr="005C4100">
              <w:t>20</w:t>
            </w:r>
          </w:p>
        </w:tc>
        <w:tc>
          <w:tcPr>
            <w:tcW w:w="987" w:type="dxa"/>
          </w:tcPr>
          <w:p w14:paraId="7B968701" w14:textId="520D1B50" w:rsidR="00EA6C1D" w:rsidRPr="005C4100" w:rsidRDefault="00EA6C1D" w:rsidP="00EA6C1D">
            <w:pPr>
              <w:spacing w:before="240"/>
              <w:jc w:val="center"/>
            </w:pPr>
            <w:r w:rsidRPr="005C4100">
              <w:t>3</w:t>
            </w:r>
          </w:p>
        </w:tc>
      </w:tr>
    </w:tbl>
    <w:p w14:paraId="6AF853E1" w14:textId="77777777" w:rsidR="00DA0C6C" w:rsidRDefault="00DA0C6C" w:rsidP="005959FA">
      <w:pPr>
        <w:spacing w:after="0" w:line="240" w:lineRule="auto"/>
        <w:rPr>
          <w:rFonts w:ascii="Calibri" w:hAnsi="Calibri"/>
          <w:sz w:val="24"/>
          <w:szCs w:val="24"/>
          <w:vertAlign w:val="superscript"/>
        </w:rPr>
      </w:pPr>
    </w:p>
    <w:p w14:paraId="2893A6BE" w14:textId="1CA2FA30" w:rsidR="00DA0C6C" w:rsidRPr="005C4100" w:rsidRDefault="00DA0C6C" w:rsidP="00DA0C6C">
      <w:pPr>
        <w:spacing w:after="0" w:line="240" w:lineRule="auto"/>
        <w:rPr>
          <w:rFonts w:ascii="Calibri" w:hAnsi="Calibri"/>
        </w:rPr>
      </w:pPr>
      <w:proofErr w:type="gramStart"/>
      <w:r w:rsidRPr="005C4100">
        <w:rPr>
          <w:rFonts w:ascii="Calibri" w:hAnsi="Calibri"/>
          <w:vertAlign w:val="superscript"/>
        </w:rPr>
        <w:t>a</w:t>
      </w:r>
      <w:proofErr w:type="gramEnd"/>
      <w:r w:rsidRPr="005C4100">
        <w:rPr>
          <w:rFonts w:ascii="Calibri" w:hAnsi="Calibri"/>
        </w:rPr>
        <w:t xml:space="preserve"> Guideline for chronic obstructive pulmonary disease</w:t>
      </w:r>
    </w:p>
    <w:p w14:paraId="0E7FA6D1" w14:textId="3364BCD5" w:rsidR="002130D0" w:rsidRPr="005C4100" w:rsidRDefault="00DA0C6C" w:rsidP="005959FA">
      <w:pPr>
        <w:spacing w:after="0" w:line="240" w:lineRule="auto"/>
        <w:rPr>
          <w:rFonts w:ascii="Calibri" w:hAnsi="Calibri"/>
        </w:rPr>
      </w:pPr>
      <w:proofErr w:type="gramStart"/>
      <w:r w:rsidRPr="005C4100">
        <w:rPr>
          <w:rFonts w:ascii="Calibri" w:hAnsi="Calibri"/>
          <w:vertAlign w:val="superscript"/>
        </w:rPr>
        <w:t>b</w:t>
      </w:r>
      <w:proofErr w:type="gramEnd"/>
      <w:r w:rsidR="008B165E" w:rsidRPr="005C4100">
        <w:rPr>
          <w:rFonts w:ascii="Calibri" w:hAnsi="Calibri"/>
        </w:rPr>
        <w:t xml:space="preserve"> Guidance for</w:t>
      </w:r>
      <w:r w:rsidR="008B165E" w:rsidRPr="005C4100">
        <w:t xml:space="preserve"> </w:t>
      </w:r>
      <w:r w:rsidR="008B165E" w:rsidRPr="005C4100">
        <w:rPr>
          <w:rFonts w:ascii="Calibri" w:hAnsi="Calibri"/>
        </w:rPr>
        <w:t>women treated with aromatase inhibitors for breast cancer</w:t>
      </w:r>
    </w:p>
    <w:p w14:paraId="20A8E6E0" w14:textId="1D4399F7" w:rsidR="00DA0C6C" w:rsidRPr="005C4100" w:rsidRDefault="00DA0C6C" w:rsidP="00DA0C6C">
      <w:pPr>
        <w:spacing w:after="0" w:line="240" w:lineRule="auto"/>
        <w:rPr>
          <w:rFonts w:ascii="Calibri" w:hAnsi="Calibri"/>
        </w:rPr>
      </w:pPr>
      <w:proofErr w:type="gramStart"/>
      <w:r w:rsidRPr="005C4100">
        <w:rPr>
          <w:rFonts w:ascii="Calibri" w:hAnsi="Calibri"/>
          <w:vertAlign w:val="superscript"/>
        </w:rPr>
        <w:t xml:space="preserve">c </w:t>
      </w:r>
      <w:r w:rsidR="005C4100" w:rsidRPr="005C4100">
        <w:rPr>
          <w:rFonts w:ascii="Calibri" w:hAnsi="Calibri"/>
          <w:vertAlign w:val="superscript"/>
        </w:rPr>
        <w:t xml:space="preserve"> </w:t>
      </w:r>
      <w:r w:rsidRPr="005C4100">
        <w:rPr>
          <w:rFonts w:ascii="Calibri" w:hAnsi="Calibri"/>
        </w:rPr>
        <w:t>Guidelines</w:t>
      </w:r>
      <w:proofErr w:type="gramEnd"/>
      <w:r w:rsidRPr="005C4100">
        <w:rPr>
          <w:rFonts w:ascii="Calibri" w:hAnsi="Calibri"/>
        </w:rPr>
        <w:t xml:space="preserve"> for glucocorticoid induced osteoporosis.</w:t>
      </w:r>
    </w:p>
    <w:p w14:paraId="74E5DD9B" w14:textId="45765E30" w:rsidR="00245DF0" w:rsidRPr="005C4100" w:rsidRDefault="00245DF0" w:rsidP="00245DF0">
      <w:pPr>
        <w:spacing w:after="0" w:line="240" w:lineRule="auto"/>
        <w:rPr>
          <w:rFonts w:ascii="Calibri" w:hAnsi="Calibri"/>
        </w:rPr>
      </w:pPr>
      <w:proofErr w:type="gramStart"/>
      <w:r w:rsidRPr="005C4100">
        <w:rPr>
          <w:rFonts w:ascii="Calibri" w:hAnsi="Calibri"/>
          <w:vertAlign w:val="superscript"/>
        </w:rPr>
        <w:t>d</w:t>
      </w:r>
      <w:proofErr w:type="gramEnd"/>
      <w:r w:rsidRPr="005C4100">
        <w:rPr>
          <w:rFonts w:ascii="Calibri" w:hAnsi="Calibri"/>
        </w:rPr>
        <w:t xml:space="preserve"> Guidelines for glucocorticoid induced osteoporosis.  Thresholds dependent on dose and duration of exposure</w:t>
      </w:r>
    </w:p>
    <w:p w14:paraId="2521CF71" w14:textId="69083FE3" w:rsidR="00AE3A66" w:rsidRPr="005C4100" w:rsidRDefault="00245DF0" w:rsidP="005959FA">
      <w:pPr>
        <w:spacing w:after="0" w:line="240" w:lineRule="auto"/>
        <w:rPr>
          <w:rFonts w:ascii="Calibri" w:hAnsi="Calibri"/>
        </w:rPr>
      </w:pPr>
      <w:proofErr w:type="gramStart"/>
      <w:r w:rsidRPr="005C4100">
        <w:rPr>
          <w:rFonts w:ascii="Calibri" w:hAnsi="Calibri"/>
          <w:vertAlign w:val="superscript"/>
        </w:rPr>
        <w:t>e</w:t>
      </w:r>
      <w:proofErr w:type="gramEnd"/>
      <w:r w:rsidR="00AE3A66" w:rsidRPr="005C4100">
        <w:rPr>
          <w:rFonts w:ascii="Calibri" w:hAnsi="Calibri"/>
        </w:rPr>
        <w:t xml:space="preserve"> Higher thresholds</w:t>
      </w:r>
      <w:r w:rsidR="00C6183A" w:rsidRPr="005C4100">
        <w:rPr>
          <w:rFonts w:ascii="Calibri" w:hAnsi="Calibri"/>
        </w:rPr>
        <w:t xml:space="preserve"> at age 75 years or more.</w:t>
      </w:r>
    </w:p>
    <w:p w14:paraId="543D7A5D" w14:textId="77777777" w:rsidR="00245DF0" w:rsidRPr="005C4100" w:rsidRDefault="00245DF0" w:rsidP="00245DF0">
      <w:pPr>
        <w:spacing w:after="0" w:line="240" w:lineRule="auto"/>
        <w:rPr>
          <w:rFonts w:ascii="Calibri" w:hAnsi="Calibri"/>
        </w:rPr>
      </w:pPr>
      <w:proofErr w:type="gramStart"/>
      <w:r w:rsidRPr="005C4100">
        <w:rPr>
          <w:rFonts w:ascii="Calibri" w:hAnsi="Calibri"/>
          <w:vertAlign w:val="superscript"/>
        </w:rPr>
        <w:t>f</w:t>
      </w:r>
      <w:proofErr w:type="gramEnd"/>
      <w:r w:rsidRPr="005C4100">
        <w:rPr>
          <w:rFonts w:ascii="Calibri" w:hAnsi="Calibri"/>
        </w:rPr>
        <w:t xml:space="preserve"> Hybrid model, also uses an age-dependent threshold at some ages (see </w:t>
      </w:r>
      <w:r w:rsidRPr="005C4100">
        <w:rPr>
          <w:rFonts w:ascii="Calibri" w:hAnsi="Calibri"/>
          <w:i/>
        </w:rPr>
        <w:t>Hybrid intervention thresholds using FRAX</w:t>
      </w:r>
      <w:r w:rsidRPr="005C4100">
        <w:rPr>
          <w:rFonts w:ascii="Calibri" w:hAnsi="Calibri"/>
        </w:rPr>
        <w:t>)</w:t>
      </w:r>
    </w:p>
    <w:p w14:paraId="1C1920E7" w14:textId="7C87C93E" w:rsidR="00245DF0" w:rsidRPr="005C4100" w:rsidRDefault="00245DF0" w:rsidP="00245DF0">
      <w:pPr>
        <w:spacing w:after="0" w:line="240" w:lineRule="auto"/>
        <w:rPr>
          <w:rFonts w:ascii="Calibri" w:hAnsi="Calibri"/>
        </w:rPr>
      </w:pPr>
      <w:proofErr w:type="gramStart"/>
      <w:r w:rsidRPr="005C4100">
        <w:rPr>
          <w:rFonts w:ascii="Calibri" w:hAnsi="Calibri"/>
          <w:vertAlign w:val="superscript"/>
        </w:rPr>
        <w:t>g</w:t>
      </w:r>
      <w:proofErr w:type="gramEnd"/>
      <w:r w:rsidRPr="005C4100">
        <w:rPr>
          <w:rFonts w:ascii="Calibri" w:hAnsi="Calibri"/>
        </w:rPr>
        <w:t xml:space="preserve"> 15 % =investigation threshold; 20-30 % = treatment threshold</w:t>
      </w:r>
    </w:p>
    <w:p w14:paraId="27CA911C" w14:textId="0040514E" w:rsidR="00245DF0" w:rsidRPr="005C4100" w:rsidRDefault="00245DF0" w:rsidP="00245DF0">
      <w:pPr>
        <w:spacing w:after="0" w:line="240" w:lineRule="auto"/>
        <w:rPr>
          <w:rFonts w:ascii="Calibri" w:hAnsi="Calibri"/>
        </w:rPr>
      </w:pPr>
      <w:proofErr w:type="gramStart"/>
      <w:r w:rsidRPr="005C4100">
        <w:rPr>
          <w:rFonts w:ascii="Calibri" w:hAnsi="Calibri"/>
          <w:vertAlign w:val="superscript"/>
        </w:rPr>
        <w:t>h</w:t>
      </w:r>
      <w:proofErr w:type="gramEnd"/>
      <w:r w:rsidRPr="005C4100">
        <w:rPr>
          <w:rFonts w:ascii="Calibri" w:hAnsi="Calibri"/>
        </w:rPr>
        <w:t xml:space="preserve"> Guideline for Parkinson disease</w:t>
      </w:r>
    </w:p>
    <w:p w14:paraId="1FF57D3B" w14:textId="3E7BC187" w:rsidR="00245DF0" w:rsidRPr="005C4100" w:rsidRDefault="00245DF0" w:rsidP="00245DF0">
      <w:pPr>
        <w:spacing w:after="0" w:line="240" w:lineRule="auto"/>
        <w:rPr>
          <w:rFonts w:ascii="Calibri" w:hAnsi="Calibri"/>
        </w:rPr>
      </w:pPr>
      <w:proofErr w:type="gramStart"/>
      <w:r w:rsidRPr="005C4100">
        <w:rPr>
          <w:rFonts w:ascii="Calibri" w:hAnsi="Calibri"/>
          <w:vertAlign w:val="superscript"/>
        </w:rPr>
        <w:t>i</w:t>
      </w:r>
      <w:proofErr w:type="gramEnd"/>
      <w:r w:rsidRPr="005C4100">
        <w:rPr>
          <w:rFonts w:ascii="Calibri" w:hAnsi="Calibri"/>
        </w:rPr>
        <w:t xml:space="preserve"> Endogenous </w:t>
      </w:r>
      <w:proofErr w:type="spellStart"/>
      <w:r w:rsidRPr="005C4100">
        <w:rPr>
          <w:rFonts w:ascii="Calibri" w:hAnsi="Calibri"/>
        </w:rPr>
        <w:t>hypercortisolism</w:t>
      </w:r>
      <w:proofErr w:type="spellEnd"/>
    </w:p>
    <w:p w14:paraId="4EAECFB2" w14:textId="2CBC279F" w:rsidR="00C168EA" w:rsidRPr="005C4100" w:rsidRDefault="00C168EA" w:rsidP="00C168EA">
      <w:pPr>
        <w:spacing w:after="0" w:line="240" w:lineRule="auto"/>
        <w:rPr>
          <w:rFonts w:ascii="Calibri" w:hAnsi="Calibri"/>
        </w:rPr>
      </w:pPr>
      <w:proofErr w:type="gramStart"/>
      <w:r w:rsidRPr="005C4100">
        <w:rPr>
          <w:rFonts w:ascii="Calibri" w:hAnsi="Calibri"/>
          <w:vertAlign w:val="superscript"/>
          <w:lang w:val="en-US"/>
        </w:rPr>
        <w:t>j</w:t>
      </w:r>
      <w:proofErr w:type="gramEnd"/>
      <w:r w:rsidRPr="005C4100">
        <w:rPr>
          <w:rFonts w:ascii="Calibri" w:hAnsi="Calibri"/>
        </w:rPr>
        <w:t xml:space="preserve"> Assessment threshold for subsequent testing with BMD</w:t>
      </w:r>
    </w:p>
    <w:p w14:paraId="16F5BFC1" w14:textId="4948BCE1" w:rsidR="00C168EA" w:rsidRPr="005C4100" w:rsidRDefault="00C168EA" w:rsidP="00C168EA">
      <w:pPr>
        <w:spacing w:after="0" w:line="240" w:lineRule="auto"/>
        <w:rPr>
          <w:rFonts w:ascii="Calibri" w:hAnsi="Calibri"/>
        </w:rPr>
      </w:pPr>
      <w:proofErr w:type="gramStart"/>
      <w:r w:rsidRPr="005C4100">
        <w:rPr>
          <w:rFonts w:ascii="Calibri" w:hAnsi="Calibri"/>
          <w:vertAlign w:val="superscript"/>
        </w:rPr>
        <w:t>k</w:t>
      </w:r>
      <w:proofErr w:type="gramEnd"/>
      <w:r w:rsidRPr="005C4100">
        <w:rPr>
          <w:rFonts w:ascii="Calibri" w:hAnsi="Calibri"/>
        </w:rPr>
        <w:t xml:space="preserve"> Intervention threshold set where treatment becomes cost-effective </w:t>
      </w:r>
    </w:p>
    <w:p w14:paraId="3DFA9F78" w14:textId="5D2F0B50" w:rsidR="00ED7673" w:rsidRPr="005C4100" w:rsidRDefault="00ED7673" w:rsidP="005959FA">
      <w:pPr>
        <w:spacing w:after="0" w:line="240" w:lineRule="auto"/>
        <w:rPr>
          <w:rFonts w:ascii="Calibri" w:hAnsi="Calibri"/>
        </w:rPr>
      </w:pPr>
    </w:p>
    <w:p w14:paraId="5D8F9A07" w14:textId="5AA56343" w:rsidR="006849D4" w:rsidRPr="00DB1D7C" w:rsidRDefault="00DA4B0C" w:rsidP="006849D4">
      <w:pPr>
        <w:spacing w:after="0" w:line="276" w:lineRule="auto"/>
        <w:rPr>
          <w:rFonts w:ascii="Calibri" w:hAnsi="Calibri"/>
          <w:sz w:val="24"/>
          <w:szCs w:val="24"/>
        </w:rPr>
      </w:pPr>
      <w:r w:rsidRPr="00DB1D7C">
        <w:rPr>
          <w:rFonts w:ascii="Calibri" w:hAnsi="Calibri"/>
          <w:sz w:val="24"/>
          <w:szCs w:val="24"/>
        </w:rPr>
        <w:t xml:space="preserve">More than one </w:t>
      </w:r>
      <w:r w:rsidR="009930CC" w:rsidRPr="005C4100">
        <w:rPr>
          <w:rFonts w:ascii="Calibri" w:hAnsi="Calibri"/>
          <w:sz w:val="24"/>
          <w:szCs w:val="24"/>
        </w:rPr>
        <w:t>half (</w:t>
      </w:r>
      <w:r w:rsidR="00B6060D" w:rsidRPr="005C4100">
        <w:rPr>
          <w:rFonts w:ascii="Calibri" w:hAnsi="Calibri"/>
          <w:sz w:val="24"/>
          <w:szCs w:val="24"/>
        </w:rPr>
        <w:t>3</w:t>
      </w:r>
      <w:r w:rsidR="005C4100" w:rsidRPr="005C4100">
        <w:rPr>
          <w:rFonts w:ascii="Calibri" w:hAnsi="Calibri"/>
          <w:sz w:val="24"/>
          <w:szCs w:val="24"/>
        </w:rPr>
        <w:t>9</w:t>
      </w:r>
      <w:r w:rsidR="00B6060D" w:rsidRPr="005C4100">
        <w:rPr>
          <w:rFonts w:ascii="Calibri" w:hAnsi="Calibri"/>
          <w:sz w:val="24"/>
          <w:szCs w:val="24"/>
        </w:rPr>
        <w:t xml:space="preserve">) </w:t>
      </w:r>
      <w:r w:rsidRPr="005C4100">
        <w:rPr>
          <w:rFonts w:ascii="Calibri" w:hAnsi="Calibri"/>
          <w:sz w:val="24"/>
          <w:szCs w:val="24"/>
        </w:rPr>
        <w:t xml:space="preserve">of </w:t>
      </w:r>
      <w:r w:rsidR="006431BD" w:rsidRPr="005C4100">
        <w:rPr>
          <w:rFonts w:ascii="Calibri" w:hAnsi="Calibri"/>
          <w:sz w:val="24"/>
          <w:szCs w:val="24"/>
        </w:rPr>
        <w:t xml:space="preserve">the </w:t>
      </w:r>
      <w:r w:rsidR="00B6060D" w:rsidRPr="005C4100">
        <w:rPr>
          <w:rFonts w:ascii="Calibri" w:hAnsi="Calibri"/>
          <w:sz w:val="24"/>
          <w:szCs w:val="24"/>
        </w:rPr>
        <w:t>5</w:t>
      </w:r>
      <w:r w:rsidR="005C4100" w:rsidRPr="005C4100">
        <w:rPr>
          <w:rFonts w:ascii="Calibri" w:hAnsi="Calibri"/>
          <w:sz w:val="24"/>
          <w:szCs w:val="24"/>
        </w:rPr>
        <w:t>8</w:t>
      </w:r>
      <w:r w:rsidR="006431BD" w:rsidRPr="005C4100">
        <w:rPr>
          <w:rFonts w:ascii="Calibri" w:hAnsi="Calibri"/>
          <w:sz w:val="24"/>
          <w:szCs w:val="24"/>
        </w:rPr>
        <w:t xml:space="preserve"> </w:t>
      </w:r>
      <w:r w:rsidRPr="005C4100">
        <w:rPr>
          <w:rFonts w:ascii="Calibri" w:hAnsi="Calibri"/>
          <w:sz w:val="24"/>
          <w:szCs w:val="24"/>
        </w:rPr>
        <w:t>publication</w:t>
      </w:r>
      <w:r w:rsidR="006431BD" w:rsidRPr="005C4100">
        <w:rPr>
          <w:rFonts w:ascii="Calibri" w:hAnsi="Calibri"/>
          <w:sz w:val="24"/>
          <w:szCs w:val="24"/>
        </w:rPr>
        <w:t>s</w:t>
      </w:r>
      <w:r w:rsidRPr="00DB1D7C">
        <w:rPr>
          <w:rFonts w:ascii="Calibri" w:hAnsi="Calibri"/>
          <w:sz w:val="24"/>
          <w:szCs w:val="24"/>
        </w:rPr>
        <w:t xml:space="preserve"> reviewed utilize a threshold probability of 20</w:t>
      </w:r>
      <w:r w:rsidR="00DC5574">
        <w:rPr>
          <w:rFonts w:ascii="Calibri" w:hAnsi="Calibri"/>
          <w:sz w:val="24"/>
          <w:szCs w:val="24"/>
        </w:rPr>
        <w:t xml:space="preserve"> </w:t>
      </w:r>
      <w:r w:rsidRPr="00DB1D7C">
        <w:rPr>
          <w:rFonts w:ascii="Calibri" w:hAnsi="Calibri"/>
          <w:sz w:val="24"/>
          <w:szCs w:val="24"/>
        </w:rPr>
        <w:t xml:space="preserve">% for a major osteoporotic fracture, many of which </w:t>
      </w:r>
      <w:r w:rsidR="006431BD" w:rsidRPr="00DB1D7C">
        <w:rPr>
          <w:rFonts w:ascii="Calibri" w:hAnsi="Calibri"/>
          <w:sz w:val="24"/>
          <w:szCs w:val="24"/>
        </w:rPr>
        <w:t xml:space="preserve">also </w:t>
      </w:r>
      <w:r w:rsidRPr="00DB1D7C">
        <w:rPr>
          <w:rFonts w:ascii="Calibri" w:hAnsi="Calibri"/>
          <w:sz w:val="24"/>
          <w:szCs w:val="24"/>
        </w:rPr>
        <w:t>mention a hip fracture probability of 3</w:t>
      </w:r>
      <w:r w:rsidR="00DC5574">
        <w:rPr>
          <w:rFonts w:ascii="Calibri" w:hAnsi="Calibri"/>
          <w:sz w:val="24"/>
          <w:szCs w:val="24"/>
        </w:rPr>
        <w:t xml:space="preserve"> </w:t>
      </w:r>
      <w:r w:rsidRPr="00DB1D7C">
        <w:rPr>
          <w:rFonts w:ascii="Calibri" w:hAnsi="Calibri"/>
          <w:sz w:val="24"/>
          <w:szCs w:val="24"/>
        </w:rPr>
        <w:t xml:space="preserve">% as an alternative intervention threshold. </w:t>
      </w:r>
      <w:r w:rsidR="006431BD" w:rsidRPr="00DB1D7C">
        <w:rPr>
          <w:rFonts w:ascii="Calibri" w:hAnsi="Calibri"/>
          <w:sz w:val="24"/>
          <w:szCs w:val="24"/>
        </w:rPr>
        <w:t xml:space="preserve"> </w:t>
      </w:r>
      <w:r w:rsidR="003B5F85" w:rsidRPr="00DB1D7C">
        <w:rPr>
          <w:rFonts w:ascii="Calibri" w:hAnsi="Calibri"/>
          <w:sz w:val="24"/>
          <w:szCs w:val="24"/>
        </w:rPr>
        <w:t xml:space="preserve">This is understandable in those guidelines arising from the US (see below) but in </w:t>
      </w:r>
      <w:r w:rsidR="005C4100">
        <w:rPr>
          <w:rFonts w:ascii="Calibri" w:hAnsi="Calibri"/>
          <w:sz w:val="24"/>
          <w:szCs w:val="24"/>
        </w:rPr>
        <w:t>2</w:t>
      </w:r>
      <w:r w:rsidR="00EA6C1D">
        <w:rPr>
          <w:rFonts w:ascii="Calibri" w:hAnsi="Calibri"/>
          <w:sz w:val="24"/>
          <w:szCs w:val="24"/>
        </w:rPr>
        <w:t>5</w:t>
      </w:r>
      <w:r w:rsidR="005C4100">
        <w:rPr>
          <w:rFonts w:ascii="Calibri" w:hAnsi="Calibri"/>
          <w:sz w:val="24"/>
          <w:szCs w:val="24"/>
        </w:rPr>
        <w:t xml:space="preserve"> </w:t>
      </w:r>
      <w:r w:rsidR="003B5F85" w:rsidRPr="00DB1D7C">
        <w:rPr>
          <w:rFonts w:ascii="Calibri" w:hAnsi="Calibri"/>
          <w:sz w:val="24"/>
          <w:szCs w:val="24"/>
        </w:rPr>
        <w:t>other countries, in</w:t>
      </w:r>
      <w:r w:rsidRPr="00DB1D7C">
        <w:rPr>
          <w:rFonts w:ascii="Calibri" w:hAnsi="Calibri"/>
          <w:sz w:val="24"/>
          <w:szCs w:val="24"/>
        </w:rPr>
        <w:t xml:space="preserve"> nearly all instances, no rationale is provided other than the fact that this was the threshold used by the National </w:t>
      </w:r>
      <w:r w:rsidR="00E244EE" w:rsidRPr="00DB1D7C">
        <w:rPr>
          <w:rFonts w:ascii="Calibri" w:hAnsi="Calibri"/>
          <w:sz w:val="24"/>
          <w:szCs w:val="24"/>
        </w:rPr>
        <w:t>Osteoporosis</w:t>
      </w:r>
      <w:r w:rsidRPr="00DB1D7C">
        <w:rPr>
          <w:rFonts w:ascii="Calibri" w:hAnsi="Calibri"/>
          <w:sz w:val="24"/>
          <w:szCs w:val="24"/>
        </w:rPr>
        <w:t xml:space="preserve"> Foundation of the US.</w:t>
      </w:r>
    </w:p>
    <w:p w14:paraId="186D0E89" w14:textId="77777777" w:rsidR="006849D4" w:rsidRPr="00DB1D7C" w:rsidRDefault="006849D4" w:rsidP="006849D4">
      <w:pPr>
        <w:spacing w:after="0" w:line="276" w:lineRule="auto"/>
        <w:rPr>
          <w:rFonts w:ascii="Calibri" w:hAnsi="Calibri"/>
          <w:sz w:val="24"/>
          <w:szCs w:val="24"/>
        </w:rPr>
      </w:pPr>
    </w:p>
    <w:p w14:paraId="7D3B9BDB" w14:textId="78F81688" w:rsidR="008E1A65" w:rsidRPr="00EC1828" w:rsidRDefault="006431BD" w:rsidP="006849D4">
      <w:pPr>
        <w:spacing w:line="276" w:lineRule="auto"/>
        <w:rPr>
          <w:rFonts w:ascii="Calibri" w:hAnsi="Calibri"/>
          <w:sz w:val="24"/>
          <w:szCs w:val="24"/>
        </w:rPr>
      </w:pPr>
      <w:r w:rsidRPr="005C4100">
        <w:rPr>
          <w:rFonts w:ascii="Calibri" w:hAnsi="Calibri"/>
          <w:sz w:val="24"/>
          <w:szCs w:val="24"/>
        </w:rPr>
        <w:t xml:space="preserve">The minority of papers that </w:t>
      </w:r>
      <w:r w:rsidR="00213E89" w:rsidRPr="005C4100">
        <w:rPr>
          <w:rFonts w:ascii="Calibri" w:hAnsi="Calibri"/>
          <w:sz w:val="24"/>
          <w:szCs w:val="24"/>
        </w:rPr>
        <w:t>provide some logic for the manner by which thresholds were set are those from</w:t>
      </w:r>
      <w:r w:rsidR="00394620" w:rsidRPr="005C4100">
        <w:rPr>
          <w:rFonts w:ascii="Calibri" w:hAnsi="Calibri"/>
          <w:sz w:val="24"/>
          <w:szCs w:val="24"/>
        </w:rPr>
        <w:t xml:space="preserve"> the US,</w:t>
      </w:r>
      <w:r w:rsidR="00213E89" w:rsidRPr="005C4100">
        <w:rPr>
          <w:rFonts w:ascii="Calibri" w:hAnsi="Calibri"/>
          <w:sz w:val="24"/>
          <w:szCs w:val="24"/>
        </w:rPr>
        <w:t xml:space="preserve"> </w:t>
      </w:r>
      <w:r w:rsidR="007A3B42" w:rsidRPr="005C4100">
        <w:rPr>
          <w:rFonts w:ascii="Calibri" w:hAnsi="Calibri"/>
          <w:sz w:val="24"/>
          <w:szCs w:val="24"/>
        </w:rPr>
        <w:t>Japan, Poland, Hong Kong</w:t>
      </w:r>
      <w:r w:rsidR="00A72438" w:rsidRPr="005C4100">
        <w:rPr>
          <w:rFonts w:ascii="Calibri" w:hAnsi="Calibri"/>
          <w:sz w:val="24"/>
          <w:szCs w:val="24"/>
        </w:rPr>
        <w:t xml:space="preserve"> and </w:t>
      </w:r>
      <w:r w:rsidR="00255B16" w:rsidRPr="005C4100">
        <w:rPr>
          <w:rFonts w:ascii="Calibri" w:hAnsi="Calibri"/>
          <w:sz w:val="24"/>
          <w:szCs w:val="24"/>
        </w:rPr>
        <w:t>Switzerland</w:t>
      </w:r>
      <w:r w:rsidR="00213E89" w:rsidRPr="005C4100">
        <w:rPr>
          <w:rFonts w:ascii="Calibri" w:hAnsi="Calibri"/>
          <w:sz w:val="24"/>
          <w:szCs w:val="24"/>
        </w:rPr>
        <w:t>, which are</w:t>
      </w:r>
      <w:r w:rsidR="00255B16" w:rsidRPr="005C4100">
        <w:rPr>
          <w:rFonts w:ascii="Calibri" w:hAnsi="Calibri"/>
          <w:sz w:val="24"/>
          <w:szCs w:val="24"/>
        </w:rPr>
        <w:t xml:space="preserve"> each</w:t>
      </w:r>
      <w:r w:rsidR="00213E89" w:rsidRPr="005C4100">
        <w:rPr>
          <w:rFonts w:ascii="Calibri" w:hAnsi="Calibri"/>
          <w:sz w:val="24"/>
          <w:szCs w:val="24"/>
        </w:rPr>
        <w:t xml:space="preserve"> briefly reviewed.  </w:t>
      </w:r>
      <w:r w:rsidR="00A72438" w:rsidRPr="005C4100">
        <w:rPr>
          <w:rFonts w:ascii="Calibri" w:hAnsi="Calibri"/>
          <w:sz w:val="24"/>
          <w:szCs w:val="24"/>
        </w:rPr>
        <w:t>Although the SIGN guidance in Scotland gave no rationale for the chosen threshold</w:t>
      </w:r>
      <w:r w:rsidR="00185C8C" w:rsidRPr="005C4100">
        <w:rPr>
          <w:sz w:val="24"/>
          <w:szCs w:val="24"/>
        </w:rPr>
        <w:t xml:space="preserve"> </w:t>
      </w:r>
      <w:r w:rsidR="008546A7" w:rsidRPr="005C4100">
        <w:rPr>
          <w:rFonts w:ascii="Calibri" w:hAnsi="Calibri"/>
          <w:sz w:val="24"/>
          <w:szCs w:val="24"/>
        </w:rPr>
        <w:t>[32]</w:t>
      </w:r>
      <w:r w:rsidR="00A72438" w:rsidRPr="005C4100">
        <w:rPr>
          <w:rFonts w:ascii="Calibri" w:hAnsi="Calibri"/>
          <w:sz w:val="24"/>
          <w:szCs w:val="24"/>
        </w:rPr>
        <w:t xml:space="preserve">, this is also included because of its similarity </w:t>
      </w:r>
      <w:r w:rsidR="00185C8C" w:rsidRPr="005C4100">
        <w:rPr>
          <w:rFonts w:ascii="Calibri" w:hAnsi="Calibri"/>
          <w:sz w:val="24"/>
          <w:szCs w:val="24"/>
        </w:rPr>
        <w:t>to that of the US Preventive Services Task Force</w:t>
      </w:r>
      <w:r w:rsidR="00185C8C" w:rsidRPr="005C4100">
        <w:rPr>
          <w:sz w:val="24"/>
          <w:szCs w:val="24"/>
        </w:rPr>
        <w:t>]</w:t>
      </w:r>
      <w:r w:rsidR="00DF05BE" w:rsidRPr="005C4100">
        <w:rPr>
          <w:rFonts w:ascii="Calibri" w:hAnsi="Calibri"/>
        </w:rPr>
        <w:t xml:space="preserve"> [112]</w:t>
      </w:r>
      <w:r w:rsidR="00B6060D" w:rsidRPr="005C4100">
        <w:rPr>
          <w:sz w:val="24"/>
          <w:szCs w:val="24"/>
        </w:rPr>
        <w:t xml:space="preserve"> and because its impact has been assessed </w:t>
      </w:r>
      <w:r w:rsidR="003E244A" w:rsidRPr="005C4100">
        <w:rPr>
          <w:sz w:val="24"/>
          <w:szCs w:val="24"/>
        </w:rPr>
        <w:t>[13]</w:t>
      </w:r>
      <w:r w:rsidR="00185C8C" w:rsidRPr="005C4100">
        <w:rPr>
          <w:sz w:val="24"/>
          <w:szCs w:val="24"/>
        </w:rPr>
        <w:t>.</w:t>
      </w:r>
      <w:r w:rsidR="0093590F" w:rsidRPr="005C4100">
        <w:rPr>
          <w:sz w:val="24"/>
          <w:szCs w:val="24"/>
        </w:rPr>
        <w:t xml:space="preserve">  </w:t>
      </w:r>
      <w:r w:rsidR="00B468D0" w:rsidRPr="005C4100">
        <w:rPr>
          <w:sz w:val="24"/>
          <w:szCs w:val="24"/>
        </w:rPr>
        <w:t>Additionally</w:t>
      </w:r>
      <w:r w:rsidR="0093590F" w:rsidRPr="005C4100">
        <w:rPr>
          <w:sz w:val="24"/>
          <w:szCs w:val="24"/>
        </w:rPr>
        <w:t xml:space="preserve">, the Taiwanese guidelines are reviewed as this is the sole guideline developed that uses FRAX as the exclusive gateway </w:t>
      </w:r>
      <w:r w:rsidR="00B468D0" w:rsidRPr="005C4100">
        <w:rPr>
          <w:sz w:val="24"/>
          <w:szCs w:val="24"/>
        </w:rPr>
        <w:t>t</w:t>
      </w:r>
      <w:r w:rsidR="0093590F" w:rsidRPr="005C4100">
        <w:rPr>
          <w:sz w:val="24"/>
          <w:szCs w:val="24"/>
        </w:rPr>
        <w:t xml:space="preserve">o </w:t>
      </w:r>
      <w:r w:rsidR="00B468D0" w:rsidRPr="005C4100">
        <w:rPr>
          <w:sz w:val="24"/>
          <w:szCs w:val="24"/>
        </w:rPr>
        <w:t>treatment.</w:t>
      </w:r>
    </w:p>
    <w:p w14:paraId="3E893683" w14:textId="77777777" w:rsidR="0053666B" w:rsidRPr="00DB1D7C" w:rsidRDefault="0053666B" w:rsidP="00394620">
      <w:pPr>
        <w:autoSpaceDE w:val="0"/>
        <w:autoSpaceDN w:val="0"/>
        <w:adjustRightInd w:val="0"/>
        <w:spacing w:after="0" w:line="240" w:lineRule="auto"/>
        <w:rPr>
          <w:rFonts w:cs="MyriadPro-Regular"/>
          <w:i/>
          <w:sz w:val="24"/>
          <w:szCs w:val="24"/>
        </w:rPr>
      </w:pPr>
    </w:p>
    <w:p w14:paraId="057F75E9" w14:textId="3A72B703" w:rsidR="00394620" w:rsidRPr="00DB1D7C" w:rsidRDefault="006431BD" w:rsidP="006849D4">
      <w:pPr>
        <w:autoSpaceDE w:val="0"/>
        <w:autoSpaceDN w:val="0"/>
        <w:adjustRightInd w:val="0"/>
        <w:spacing w:after="0" w:line="276" w:lineRule="auto"/>
        <w:rPr>
          <w:rFonts w:cs="MyriadPro-Regular"/>
          <w:i/>
          <w:sz w:val="24"/>
          <w:szCs w:val="24"/>
        </w:rPr>
      </w:pPr>
      <w:r w:rsidRPr="00DB1D7C">
        <w:rPr>
          <w:rFonts w:cs="MyriadPro-Regular"/>
          <w:i/>
          <w:sz w:val="24"/>
          <w:szCs w:val="24"/>
        </w:rPr>
        <w:t>National Osteoporosis Foundation</w:t>
      </w:r>
      <w:r w:rsidR="009D64AF" w:rsidRPr="00DB1D7C">
        <w:rPr>
          <w:rFonts w:cs="MyriadPro-Regular"/>
          <w:i/>
          <w:sz w:val="24"/>
          <w:szCs w:val="24"/>
        </w:rPr>
        <w:t xml:space="preserve"> (NOF)</w:t>
      </w:r>
      <w:r w:rsidRPr="00DB1D7C">
        <w:rPr>
          <w:rFonts w:cs="MyriadPro-Regular"/>
          <w:i/>
          <w:sz w:val="24"/>
          <w:szCs w:val="24"/>
        </w:rPr>
        <w:t xml:space="preserve">, US </w:t>
      </w:r>
    </w:p>
    <w:p w14:paraId="61276CA7" w14:textId="45DC4B93" w:rsidR="009D64AF" w:rsidRPr="00DB1D7C" w:rsidRDefault="006431BD" w:rsidP="003B5F85">
      <w:pPr>
        <w:autoSpaceDE w:val="0"/>
        <w:autoSpaceDN w:val="0"/>
        <w:adjustRightInd w:val="0"/>
        <w:spacing w:after="0" w:line="276" w:lineRule="auto"/>
        <w:rPr>
          <w:sz w:val="24"/>
          <w:szCs w:val="24"/>
        </w:rPr>
      </w:pPr>
      <w:r w:rsidRPr="00DB1D7C">
        <w:rPr>
          <w:rFonts w:cs="MyriadPro-Regular"/>
          <w:i/>
          <w:sz w:val="24"/>
          <w:szCs w:val="24"/>
        </w:rPr>
        <w:t xml:space="preserve"> </w:t>
      </w:r>
      <w:r w:rsidR="00394620" w:rsidRPr="00DB1D7C">
        <w:rPr>
          <w:rFonts w:cs="MyriadPro-Regular"/>
          <w:i/>
          <w:sz w:val="24"/>
          <w:szCs w:val="24"/>
        </w:rPr>
        <w:br/>
      </w:r>
      <w:r w:rsidR="00394620" w:rsidRPr="005C4100">
        <w:rPr>
          <w:sz w:val="24"/>
          <w:szCs w:val="24"/>
        </w:rPr>
        <w:t>Apart from recommending treatment in individuals with a prior hip or vertebral fracture, the primary gateway for patient assessment</w:t>
      </w:r>
      <w:r w:rsidR="009D64AF" w:rsidRPr="005C4100">
        <w:rPr>
          <w:sz w:val="24"/>
          <w:szCs w:val="24"/>
        </w:rPr>
        <w:t xml:space="preserve"> under the NOF guidance is the assessment of BMD </w:t>
      </w:r>
      <w:r w:rsidR="00DF05BE" w:rsidRPr="005C4100">
        <w:rPr>
          <w:rFonts w:ascii="Calibri" w:hAnsi="Calibri"/>
        </w:rPr>
        <w:t>[111]</w:t>
      </w:r>
      <w:r w:rsidR="009D64AF" w:rsidRPr="005C4100">
        <w:rPr>
          <w:sz w:val="24"/>
          <w:szCs w:val="24"/>
        </w:rPr>
        <w:t>.  Treatment is recommended for those with BMD defined osteoporosis</w:t>
      </w:r>
      <w:r w:rsidR="009D64AF" w:rsidRPr="005C4100">
        <w:t xml:space="preserve"> </w:t>
      </w:r>
      <w:r w:rsidR="009D64AF" w:rsidRPr="005C4100">
        <w:rPr>
          <w:sz w:val="24"/>
          <w:szCs w:val="24"/>
        </w:rPr>
        <w:t xml:space="preserve">at the femoral neck, total hip, or lumbar spine by DXA.  FRAX is reserved for men and women with low bone mass (T-score between −1.0 and −2.5, osteopenia) at the femoral neck, total hip, or lumbar spine. </w:t>
      </w:r>
      <w:r w:rsidR="001A7BE8" w:rsidRPr="005C4100">
        <w:rPr>
          <w:sz w:val="24"/>
          <w:szCs w:val="24"/>
        </w:rPr>
        <w:t xml:space="preserve">For </w:t>
      </w:r>
      <w:proofErr w:type="spellStart"/>
      <w:r w:rsidR="001A7BE8" w:rsidRPr="005C4100">
        <w:rPr>
          <w:sz w:val="24"/>
          <w:szCs w:val="24"/>
        </w:rPr>
        <w:t>osteopenic</w:t>
      </w:r>
      <w:proofErr w:type="spellEnd"/>
      <w:r w:rsidR="001A7BE8" w:rsidRPr="005C4100">
        <w:rPr>
          <w:sz w:val="24"/>
          <w:szCs w:val="24"/>
        </w:rPr>
        <w:t xml:space="preserve"> subjects, a fixed intervention threshold is recommended for all ages and for both sexes set at 20 % for a major osteoporotic fractures and 3 % for hip fracture</w:t>
      </w:r>
      <w:r w:rsidR="00C317F7" w:rsidRPr="005C4100">
        <w:rPr>
          <w:sz w:val="24"/>
          <w:szCs w:val="24"/>
        </w:rPr>
        <w:t xml:space="preserve"> </w:t>
      </w:r>
      <w:r w:rsidR="001A7BE8" w:rsidRPr="005C4100">
        <w:rPr>
          <w:sz w:val="24"/>
          <w:szCs w:val="24"/>
        </w:rPr>
        <w:t xml:space="preserve">probability </w:t>
      </w:r>
      <w:r w:rsidR="00BE3917" w:rsidRPr="005C4100">
        <w:rPr>
          <w:rFonts w:ascii="Calibri" w:hAnsi="Calibri"/>
          <w:sz w:val="24"/>
          <w:szCs w:val="24"/>
        </w:rPr>
        <w:t>[30]</w:t>
      </w:r>
      <w:r w:rsidR="001A7BE8" w:rsidRPr="005C4100">
        <w:rPr>
          <w:sz w:val="24"/>
          <w:szCs w:val="24"/>
        </w:rPr>
        <w:t xml:space="preserve">.  The intervention thresholds were based on an economic analysis </w:t>
      </w:r>
      <w:r w:rsidR="005743B0" w:rsidRPr="005C4100">
        <w:rPr>
          <w:sz w:val="24"/>
          <w:szCs w:val="24"/>
        </w:rPr>
        <w:t>[124</w:t>
      </w:r>
      <w:r w:rsidR="005D7C60">
        <w:rPr>
          <w:sz w:val="24"/>
          <w:szCs w:val="24"/>
        </w:rPr>
        <w:t>]</w:t>
      </w:r>
      <w:r w:rsidR="001A7BE8" w:rsidRPr="005C4100">
        <w:rPr>
          <w:sz w:val="24"/>
          <w:szCs w:val="24"/>
        </w:rPr>
        <w:t xml:space="preserve"> (see</w:t>
      </w:r>
      <w:r w:rsidR="001E72FE" w:rsidRPr="005C4100">
        <w:rPr>
          <w:sz w:val="24"/>
          <w:szCs w:val="24"/>
        </w:rPr>
        <w:t xml:space="preserve"> </w:t>
      </w:r>
      <w:r w:rsidR="001E72FE" w:rsidRPr="005C4100">
        <w:rPr>
          <w:i/>
          <w:sz w:val="24"/>
          <w:szCs w:val="24"/>
        </w:rPr>
        <w:t>Health economic approach</w:t>
      </w:r>
      <w:r w:rsidR="001E72FE" w:rsidRPr="001E72FE">
        <w:rPr>
          <w:i/>
          <w:sz w:val="24"/>
          <w:szCs w:val="24"/>
        </w:rPr>
        <w:t xml:space="preserve"> to intervention thresholds with FRAX</w:t>
      </w:r>
      <w:r w:rsidR="001A7BE8" w:rsidRPr="001E72FE">
        <w:rPr>
          <w:sz w:val="24"/>
          <w:szCs w:val="24"/>
        </w:rPr>
        <w:t>).</w:t>
      </w:r>
    </w:p>
    <w:p w14:paraId="120B4846" w14:textId="77777777" w:rsidR="009D64AF" w:rsidRPr="00DB1D7C" w:rsidRDefault="009D64AF" w:rsidP="003B5F85">
      <w:pPr>
        <w:autoSpaceDE w:val="0"/>
        <w:autoSpaceDN w:val="0"/>
        <w:adjustRightInd w:val="0"/>
        <w:spacing w:after="0" w:line="276" w:lineRule="auto"/>
        <w:rPr>
          <w:sz w:val="24"/>
          <w:szCs w:val="24"/>
        </w:rPr>
      </w:pPr>
    </w:p>
    <w:p w14:paraId="0A2FD820" w14:textId="6BC28F84" w:rsidR="00EC1828" w:rsidRDefault="00EC1828" w:rsidP="003B5F85">
      <w:pPr>
        <w:spacing w:line="276" w:lineRule="auto"/>
        <w:rPr>
          <w:rFonts w:ascii="Calibri" w:hAnsi="Calibri"/>
          <w:sz w:val="24"/>
          <w:szCs w:val="24"/>
        </w:rPr>
      </w:pPr>
      <w:r w:rsidRPr="00EC1828">
        <w:rPr>
          <w:rFonts w:ascii="Calibri" w:hAnsi="Calibri"/>
          <w:sz w:val="24"/>
          <w:szCs w:val="24"/>
        </w:rPr>
        <w:t xml:space="preserve">The impact of the introduction of FRAX to the NOF guidelines has been assessed in women from the population-based Framingham </w:t>
      </w:r>
      <w:r w:rsidRPr="005C4100">
        <w:rPr>
          <w:rFonts w:ascii="Calibri" w:hAnsi="Calibri"/>
          <w:sz w:val="24"/>
          <w:szCs w:val="24"/>
        </w:rPr>
        <w:t xml:space="preserve">study </w:t>
      </w:r>
      <w:r w:rsidR="005743B0" w:rsidRPr="005C4100">
        <w:rPr>
          <w:rFonts w:ascii="Calibri" w:hAnsi="Calibri"/>
          <w:sz w:val="24"/>
          <w:szCs w:val="24"/>
        </w:rPr>
        <w:t>[125]</w:t>
      </w:r>
      <w:r w:rsidRPr="005C4100">
        <w:rPr>
          <w:rFonts w:ascii="Calibri" w:hAnsi="Calibri"/>
          <w:sz w:val="24"/>
          <w:szCs w:val="24"/>
        </w:rPr>
        <w:t xml:space="preserve">.  At all ages, the proportion of women </w:t>
      </w:r>
      <w:r w:rsidRPr="005C4100">
        <w:rPr>
          <w:rFonts w:ascii="Calibri" w:hAnsi="Calibri"/>
          <w:sz w:val="24"/>
          <w:szCs w:val="24"/>
        </w:rPr>
        <w:lastRenderedPageBreak/>
        <w:t>meeting treatment criteria was slightly less when the 2008</w:t>
      </w:r>
      <w:r w:rsidRPr="00EC1828">
        <w:rPr>
          <w:rFonts w:ascii="Calibri" w:hAnsi="Calibri"/>
          <w:sz w:val="24"/>
          <w:szCs w:val="24"/>
        </w:rPr>
        <w:t xml:space="preserve"> guidelines, including FRAX as above, were applied (41.1</w:t>
      </w:r>
      <w:r>
        <w:rPr>
          <w:rFonts w:ascii="Calibri" w:hAnsi="Calibri"/>
          <w:sz w:val="24"/>
          <w:szCs w:val="24"/>
        </w:rPr>
        <w:t xml:space="preserve"> </w:t>
      </w:r>
      <w:r w:rsidRPr="00EC1828">
        <w:rPr>
          <w:rFonts w:ascii="Calibri" w:hAnsi="Calibri"/>
          <w:sz w:val="24"/>
          <w:szCs w:val="24"/>
        </w:rPr>
        <w:t>%) compared with the 2003 guidelines (47.8</w:t>
      </w:r>
      <w:r>
        <w:rPr>
          <w:rFonts w:ascii="Calibri" w:hAnsi="Calibri"/>
          <w:sz w:val="24"/>
          <w:szCs w:val="24"/>
        </w:rPr>
        <w:t xml:space="preserve"> </w:t>
      </w:r>
      <w:r w:rsidRPr="00EC1828">
        <w:rPr>
          <w:rFonts w:ascii="Calibri" w:hAnsi="Calibri"/>
          <w:sz w:val="24"/>
          <w:szCs w:val="24"/>
        </w:rPr>
        <w:t>%).  However, the impact was age-dependent. The proportion of women under the age 65 years meeting treatment criteria was markedly less when applying 2008 Guidelines (8.3</w:t>
      </w:r>
      <w:r>
        <w:rPr>
          <w:rFonts w:ascii="Calibri" w:hAnsi="Calibri"/>
          <w:sz w:val="24"/>
          <w:szCs w:val="24"/>
        </w:rPr>
        <w:t xml:space="preserve"> </w:t>
      </w:r>
      <w:r w:rsidRPr="00EC1828">
        <w:rPr>
          <w:rFonts w:ascii="Calibri" w:hAnsi="Calibri"/>
          <w:sz w:val="24"/>
          <w:szCs w:val="24"/>
        </w:rPr>
        <w:t>% vs. 23.1</w:t>
      </w:r>
      <w:r>
        <w:rPr>
          <w:rFonts w:ascii="Calibri" w:hAnsi="Calibri"/>
          <w:sz w:val="24"/>
          <w:szCs w:val="24"/>
        </w:rPr>
        <w:t xml:space="preserve"> </w:t>
      </w:r>
      <w:r w:rsidRPr="00EC1828">
        <w:rPr>
          <w:rFonts w:ascii="Calibri" w:hAnsi="Calibri"/>
          <w:sz w:val="24"/>
          <w:szCs w:val="24"/>
        </w:rPr>
        <w:t>%  in 200</w:t>
      </w:r>
      <w:r w:rsidR="00F16EDA">
        <w:rPr>
          <w:rFonts w:ascii="Calibri" w:hAnsi="Calibri"/>
          <w:sz w:val="24"/>
          <w:szCs w:val="24"/>
        </w:rPr>
        <w:t xml:space="preserve"> (USPSTF</w:t>
      </w:r>
      <w:r w:rsidRPr="00EC1828">
        <w:rPr>
          <w:rFonts w:ascii="Calibri" w:hAnsi="Calibri"/>
          <w:sz w:val="24"/>
          <w:szCs w:val="24"/>
        </w:rPr>
        <w:t>8 and 2003, respectively), whereas the proportion of women  at or over age 75 years increased slightly (86.0</w:t>
      </w:r>
      <w:r>
        <w:rPr>
          <w:rFonts w:ascii="Calibri" w:hAnsi="Calibri"/>
          <w:sz w:val="24"/>
          <w:szCs w:val="24"/>
        </w:rPr>
        <w:t xml:space="preserve"> </w:t>
      </w:r>
      <w:r w:rsidRPr="00EC1828">
        <w:rPr>
          <w:rFonts w:ascii="Calibri" w:hAnsi="Calibri"/>
          <w:sz w:val="24"/>
          <w:szCs w:val="24"/>
        </w:rPr>
        <w:t>% vs. 78.3</w:t>
      </w:r>
      <w:r>
        <w:rPr>
          <w:rFonts w:ascii="Calibri" w:hAnsi="Calibri"/>
          <w:sz w:val="24"/>
          <w:szCs w:val="24"/>
        </w:rPr>
        <w:t xml:space="preserve"> </w:t>
      </w:r>
      <w:r w:rsidRPr="00EC1828">
        <w:rPr>
          <w:rFonts w:ascii="Calibri" w:hAnsi="Calibri"/>
          <w:sz w:val="24"/>
          <w:szCs w:val="24"/>
        </w:rPr>
        <w:t xml:space="preserve">%). </w:t>
      </w:r>
    </w:p>
    <w:p w14:paraId="2BDB6AAC" w14:textId="113142B0" w:rsidR="00F05009" w:rsidRPr="00DB1D7C" w:rsidRDefault="006431BD" w:rsidP="003B5F85">
      <w:pPr>
        <w:spacing w:line="276" w:lineRule="auto"/>
        <w:rPr>
          <w:rFonts w:ascii="Calibri" w:hAnsi="Calibri"/>
          <w:sz w:val="24"/>
          <w:szCs w:val="24"/>
        </w:rPr>
      </w:pPr>
      <w:r w:rsidRPr="00DB1D7C">
        <w:rPr>
          <w:rFonts w:ascii="Calibri" w:hAnsi="Calibri"/>
          <w:sz w:val="24"/>
          <w:szCs w:val="24"/>
        </w:rPr>
        <w:t xml:space="preserve">An analysis of the National Health and Nutrition </w:t>
      </w:r>
      <w:r w:rsidRPr="005C4100">
        <w:rPr>
          <w:rFonts w:ascii="Calibri" w:hAnsi="Calibri"/>
          <w:sz w:val="24"/>
          <w:szCs w:val="24"/>
        </w:rPr>
        <w:t xml:space="preserve">Examination Survey </w:t>
      </w:r>
      <w:r w:rsidR="005C4100" w:rsidRPr="005C4100">
        <w:rPr>
          <w:rFonts w:ascii="Calibri" w:hAnsi="Calibri"/>
          <w:sz w:val="24"/>
          <w:szCs w:val="24"/>
        </w:rPr>
        <w:t>III [</w:t>
      </w:r>
      <w:r w:rsidR="005743B0" w:rsidRPr="005C4100">
        <w:rPr>
          <w:rFonts w:ascii="Calibri" w:hAnsi="Calibri"/>
          <w:sz w:val="24"/>
          <w:szCs w:val="24"/>
        </w:rPr>
        <w:t xml:space="preserve">126] </w:t>
      </w:r>
      <w:r w:rsidRPr="005C4100">
        <w:rPr>
          <w:rFonts w:ascii="Calibri" w:hAnsi="Calibri"/>
          <w:sz w:val="24"/>
          <w:szCs w:val="24"/>
        </w:rPr>
        <w:t xml:space="preserve">estimated a higher proportion of the women eligible for treatment under the 2003 guidance than in the Framingham study (53% vs. 48%, respectively) but overall the 2008 guidance decreased the </w:t>
      </w:r>
      <w:r w:rsidR="005C4100" w:rsidRPr="005C4100">
        <w:rPr>
          <w:rFonts w:ascii="Calibri" w:hAnsi="Calibri"/>
          <w:sz w:val="24"/>
          <w:szCs w:val="24"/>
        </w:rPr>
        <w:t>percentage</w:t>
      </w:r>
      <w:r w:rsidRPr="005C4100">
        <w:rPr>
          <w:rFonts w:ascii="Calibri" w:hAnsi="Calibri"/>
          <w:sz w:val="24"/>
          <w:szCs w:val="24"/>
        </w:rPr>
        <w:t xml:space="preserve"> of eligible women to 41%.</w:t>
      </w:r>
      <w:r w:rsidR="001A7BE8" w:rsidRPr="005C4100">
        <w:rPr>
          <w:rFonts w:ascii="Calibri" w:hAnsi="Calibri"/>
          <w:sz w:val="24"/>
          <w:szCs w:val="24"/>
        </w:rPr>
        <w:t xml:space="preserve"> </w:t>
      </w:r>
      <w:r w:rsidR="001716DD" w:rsidRPr="005C4100">
        <w:rPr>
          <w:rFonts w:ascii="Calibri" w:hAnsi="Calibri"/>
          <w:sz w:val="24"/>
          <w:szCs w:val="24"/>
        </w:rPr>
        <w:t>Also</w:t>
      </w:r>
      <w:r w:rsidRPr="005C4100">
        <w:rPr>
          <w:rFonts w:ascii="Calibri" w:hAnsi="Calibri"/>
          <w:sz w:val="24"/>
          <w:szCs w:val="24"/>
        </w:rPr>
        <w:t xml:space="preserve">, the guideline revision directed intervention more to the elderly at high risk and less to younger women with osteopenia but at low risk. </w:t>
      </w:r>
      <w:r w:rsidR="009831DE" w:rsidRPr="005C4100">
        <w:rPr>
          <w:rFonts w:ascii="Calibri" w:hAnsi="Calibri"/>
          <w:sz w:val="24"/>
          <w:szCs w:val="24"/>
        </w:rPr>
        <w:t xml:space="preserve">Overall, approximately 20 million men and women in the US would be eligible for treatment </w:t>
      </w:r>
      <w:r w:rsidR="00D04784" w:rsidRPr="005C4100">
        <w:rPr>
          <w:rFonts w:ascii="Calibri" w:hAnsi="Calibri"/>
          <w:sz w:val="24"/>
          <w:szCs w:val="24"/>
        </w:rPr>
        <w:t>[126]</w:t>
      </w:r>
      <w:r w:rsidR="009831DE" w:rsidRPr="005C4100">
        <w:rPr>
          <w:rFonts w:ascii="Calibri" w:hAnsi="Calibri"/>
          <w:sz w:val="24"/>
          <w:szCs w:val="24"/>
        </w:rPr>
        <w:t>.</w:t>
      </w:r>
    </w:p>
    <w:p w14:paraId="1B8DE06B" w14:textId="1B980F5E" w:rsidR="006431BD" w:rsidRPr="00DB1D7C" w:rsidRDefault="006431BD" w:rsidP="003B5F85">
      <w:pPr>
        <w:spacing w:line="276" w:lineRule="auto"/>
        <w:rPr>
          <w:rFonts w:ascii="Calibri" w:hAnsi="Calibri"/>
          <w:sz w:val="24"/>
          <w:szCs w:val="24"/>
        </w:rPr>
      </w:pPr>
      <w:r w:rsidRPr="00DB1D7C">
        <w:rPr>
          <w:rFonts w:ascii="Calibri" w:hAnsi="Calibri"/>
          <w:sz w:val="24"/>
          <w:szCs w:val="24"/>
        </w:rPr>
        <w:t xml:space="preserve"> </w:t>
      </w:r>
    </w:p>
    <w:p w14:paraId="08969F14" w14:textId="041E42F1" w:rsidR="006849D4" w:rsidRPr="00DB1D7C" w:rsidRDefault="006849D4" w:rsidP="006849D4">
      <w:pPr>
        <w:autoSpaceDE w:val="0"/>
        <w:autoSpaceDN w:val="0"/>
        <w:adjustRightInd w:val="0"/>
        <w:spacing w:after="0" w:line="240" w:lineRule="auto"/>
        <w:rPr>
          <w:rFonts w:cs="MyriadPro-Regular"/>
          <w:i/>
          <w:sz w:val="24"/>
          <w:szCs w:val="24"/>
        </w:rPr>
      </w:pPr>
      <w:r w:rsidRPr="00DB1D7C">
        <w:rPr>
          <w:rFonts w:cs="MyriadPro-Regular"/>
          <w:i/>
          <w:sz w:val="24"/>
          <w:szCs w:val="24"/>
        </w:rPr>
        <w:t>The US Preventive Services Task Force</w:t>
      </w:r>
      <w:r w:rsidR="00F16EDA">
        <w:rPr>
          <w:rFonts w:cs="MyriadPro-Regular"/>
          <w:i/>
          <w:sz w:val="24"/>
          <w:szCs w:val="24"/>
        </w:rPr>
        <w:t xml:space="preserve"> </w:t>
      </w:r>
    </w:p>
    <w:p w14:paraId="745EE9A8" w14:textId="7B29AB1E" w:rsidR="006849D4" w:rsidRPr="00DB1D7C" w:rsidRDefault="006849D4" w:rsidP="006849D4">
      <w:pPr>
        <w:autoSpaceDE w:val="0"/>
        <w:autoSpaceDN w:val="0"/>
        <w:adjustRightInd w:val="0"/>
        <w:spacing w:after="0" w:line="240" w:lineRule="auto"/>
        <w:rPr>
          <w:rFonts w:cs="MyriadPro-Regular"/>
          <w:i/>
          <w:sz w:val="24"/>
          <w:szCs w:val="24"/>
        </w:rPr>
      </w:pPr>
    </w:p>
    <w:p w14:paraId="60E27317" w14:textId="38C8EA3F" w:rsidR="00A8217E" w:rsidRPr="00A8217E" w:rsidRDefault="00C317F7" w:rsidP="00A8217E">
      <w:pPr>
        <w:spacing w:line="276" w:lineRule="auto"/>
        <w:rPr>
          <w:sz w:val="24"/>
          <w:szCs w:val="24"/>
        </w:rPr>
      </w:pPr>
      <w:r w:rsidRPr="00DB1D7C">
        <w:rPr>
          <w:sz w:val="24"/>
          <w:szCs w:val="24"/>
        </w:rPr>
        <w:t xml:space="preserve">Like the NOF, </w:t>
      </w:r>
      <w:r w:rsidR="004253AD" w:rsidRPr="00DB1D7C">
        <w:rPr>
          <w:sz w:val="24"/>
          <w:szCs w:val="24"/>
        </w:rPr>
        <w:t>t</w:t>
      </w:r>
      <w:r w:rsidR="006849D4" w:rsidRPr="00DB1D7C">
        <w:rPr>
          <w:sz w:val="24"/>
          <w:szCs w:val="24"/>
        </w:rPr>
        <w:t xml:space="preserve">he US Preventive Services Task Force </w:t>
      </w:r>
      <w:r w:rsidR="00F16EDA" w:rsidRPr="00F16EDA">
        <w:rPr>
          <w:sz w:val="24"/>
          <w:szCs w:val="24"/>
        </w:rPr>
        <w:t>(USPSTF) recommends</w:t>
      </w:r>
      <w:r w:rsidR="006849D4" w:rsidRPr="00DB1D7C">
        <w:rPr>
          <w:sz w:val="24"/>
          <w:szCs w:val="24"/>
        </w:rPr>
        <w:t xml:space="preserve"> </w:t>
      </w:r>
      <w:r w:rsidRPr="00DB1D7C">
        <w:rPr>
          <w:sz w:val="24"/>
          <w:szCs w:val="24"/>
        </w:rPr>
        <w:t xml:space="preserve">BMD </w:t>
      </w:r>
      <w:r w:rsidR="006849D4" w:rsidRPr="00DB1D7C">
        <w:rPr>
          <w:sz w:val="24"/>
          <w:szCs w:val="24"/>
        </w:rPr>
        <w:t xml:space="preserve">testing </w:t>
      </w:r>
      <w:r w:rsidRPr="00DB1D7C">
        <w:rPr>
          <w:sz w:val="24"/>
          <w:szCs w:val="24"/>
        </w:rPr>
        <w:t>in</w:t>
      </w:r>
      <w:r w:rsidR="006849D4" w:rsidRPr="00DB1D7C">
        <w:rPr>
          <w:sz w:val="24"/>
          <w:szCs w:val="24"/>
        </w:rPr>
        <w:t xml:space="preserve"> all women age 65 years </w:t>
      </w:r>
      <w:r w:rsidR="006A28CD">
        <w:rPr>
          <w:sz w:val="24"/>
          <w:szCs w:val="24"/>
        </w:rPr>
        <w:t>or</w:t>
      </w:r>
      <w:r w:rsidR="006849D4" w:rsidRPr="00DB1D7C">
        <w:rPr>
          <w:sz w:val="24"/>
          <w:szCs w:val="24"/>
        </w:rPr>
        <w:t xml:space="preserve"> older</w:t>
      </w:r>
      <w:r w:rsidRPr="00DB1D7C">
        <w:rPr>
          <w:sz w:val="24"/>
          <w:szCs w:val="24"/>
        </w:rPr>
        <w:t>.  For younger women age 50-65</w:t>
      </w:r>
      <w:r w:rsidR="004253AD" w:rsidRPr="00DB1D7C">
        <w:rPr>
          <w:sz w:val="24"/>
          <w:szCs w:val="24"/>
        </w:rPr>
        <w:t xml:space="preserve"> years</w:t>
      </w:r>
      <w:r w:rsidRPr="00DB1D7C">
        <w:rPr>
          <w:sz w:val="24"/>
          <w:szCs w:val="24"/>
        </w:rPr>
        <w:t>, FRAX is recommended as a screening tool</w:t>
      </w:r>
      <w:r w:rsidR="004253AD" w:rsidRPr="00DB1D7C">
        <w:rPr>
          <w:sz w:val="24"/>
          <w:szCs w:val="24"/>
        </w:rPr>
        <w:t xml:space="preserve"> for BMD testing.</w:t>
      </w:r>
      <w:r w:rsidRPr="00DB1D7C">
        <w:rPr>
          <w:sz w:val="24"/>
          <w:szCs w:val="24"/>
        </w:rPr>
        <w:t xml:space="preserve"> </w:t>
      </w:r>
      <w:r w:rsidR="006849D4" w:rsidRPr="00DB1D7C">
        <w:rPr>
          <w:sz w:val="24"/>
          <w:szCs w:val="24"/>
        </w:rPr>
        <w:t xml:space="preserve"> </w:t>
      </w:r>
      <w:r w:rsidR="004253AD" w:rsidRPr="00DB1D7C">
        <w:rPr>
          <w:sz w:val="24"/>
          <w:szCs w:val="24"/>
        </w:rPr>
        <w:t xml:space="preserve">A BMD test is recommended </w:t>
      </w:r>
      <w:r w:rsidR="00037DB4" w:rsidRPr="00DB1D7C">
        <w:rPr>
          <w:sz w:val="24"/>
          <w:szCs w:val="24"/>
        </w:rPr>
        <w:t>in</w:t>
      </w:r>
      <w:r w:rsidR="006849D4" w:rsidRPr="00DB1D7C">
        <w:rPr>
          <w:sz w:val="24"/>
          <w:szCs w:val="24"/>
        </w:rPr>
        <w:t xml:space="preserve"> younger women whose fracture </w:t>
      </w:r>
      <w:r w:rsidR="004253AD" w:rsidRPr="00DB1D7C">
        <w:rPr>
          <w:sz w:val="24"/>
          <w:szCs w:val="24"/>
        </w:rPr>
        <w:t>probability</w:t>
      </w:r>
      <w:r w:rsidR="006849D4" w:rsidRPr="00DB1D7C">
        <w:rPr>
          <w:sz w:val="24"/>
          <w:szCs w:val="24"/>
        </w:rPr>
        <w:t xml:space="preserve"> is equal to or greater than that of a 65-year-old white woman who has no additional risk </w:t>
      </w:r>
      <w:r w:rsidR="006849D4" w:rsidRPr="005C4100">
        <w:rPr>
          <w:sz w:val="24"/>
          <w:szCs w:val="24"/>
        </w:rPr>
        <w:t xml:space="preserve">factors </w:t>
      </w:r>
      <w:r w:rsidR="00DF05BE" w:rsidRPr="005C4100">
        <w:rPr>
          <w:rFonts w:ascii="Calibri" w:hAnsi="Calibri"/>
        </w:rPr>
        <w:t>[112]</w:t>
      </w:r>
      <w:r w:rsidR="006849D4" w:rsidRPr="005C4100">
        <w:rPr>
          <w:sz w:val="24"/>
          <w:szCs w:val="24"/>
        </w:rPr>
        <w:t xml:space="preserve">. </w:t>
      </w:r>
      <w:r w:rsidR="004253AD" w:rsidRPr="005C4100">
        <w:rPr>
          <w:sz w:val="24"/>
          <w:szCs w:val="24"/>
        </w:rPr>
        <w:t xml:space="preserve"> With</w:t>
      </w:r>
      <w:r w:rsidR="006849D4" w:rsidRPr="005C4100">
        <w:rPr>
          <w:sz w:val="24"/>
          <w:szCs w:val="24"/>
        </w:rPr>
        <w:t xml:space="preserve"> the U.S. FRAX</w:t>
      </w:r>
      <w:r w:rsidR="006849D4" w:rsidRPr="00DB1D7C">
        <w:rPr>
          <w:sz w:val="24"/>
          <w:szCs w:val="24"/>
        </w:rPr>
        <w:t xml:space="preserve"> tool, a 65-year-old white woman </w:t>
      </w:r>
      <w:r w:rsidR="00EC1828" w:rsidRPr="00EC1828">
        <w:rPr>
          <w:sz w:val="24"/>
          <w:szCs w:val="24"/>
        </w:rPr>
        <w:t>of average BMI (25</w:t>
      </w:r>
      <w:r w:rsidR="00990CE2">
        <w:rPr>
          <w:sz w:val="24"/>
          <w:szCs w:val="24"/>
        </w:rPr>
        <w:t xml:space="preserve"> </w:t>
      </w:r>
      <w:r w:rsidR="00EC1828" w:rsidRPr="00EC1828">
        <w:rPr>
          <w:sz w:val="24"/>
          <w:szCs w:val="24"/>
        </w:rPr>
        <w:t>kg/m</w:t>
      </w:r>
      <w:r w:rsidR="00EC1828" w:rsidRPr="00EC1828">
        <w:rPr>
          <w:sz w:val="24"/>
          <w:szCs w:val="24"/>
          <w:vertAlign w:val="superscript"/>
        </w:rPr>
        <w:t>2</w:t>
      </w:r>
      <w:r w:rsidR="00EC1828" w:rsidRPr="00EC1828">
        <w:rPr>
          <w:sz w:val="24"/>
          <w:szCs w:val="24"/>
        </w:rPr>
        <w:t xml:space="preserve">) </w:t>
      </w:r>
      <w:r w:rsidR="006849D4" w:rsidRPr="00DB1D7C">
        <w:rPr>
          <w:sz w:val="24"/>
          <w:szCs w:val="24"/>
        </w:rPr>
        <w:t>with no other risk factors has a 9.3</w:t>
      </w:r>
      <w:r w:rsidR="00DC5574">
        <w:rPr>
          <w:sz w:val="24"/>
          <w:szCs w:val="24"/>
        </w:rPr>
        <w:t xml:space="preserve"> </w:t>
      </w:r>
      <w:r w:rsidR="006849D4" w:rsidRPr="00DB1D7C">
        <w:rPr>
          <w:sz w:val="24"/>
          <w:szCs w:val="24"/>
        </w:rPr>
        <w:t xml:space="preserve">% 10-year </w:t>
      </w:r>
      <w:r w:rsidR="00F16EDA">
        <w:rPr>
          <w:sz w:val="24"/>
          <w:szCs w:val="24"/>
        </w:rPr>
        <w:t>probability</w:t>
      </w:r>
      <w:r w:rsidR="006849D4" w:rsidRPr="00DB1D7C">
        <w:rPr>
          <w:sz w:val="24"/>
          <w:szCs w:val="24"/>
        </w:rPr>
        <w:t xml:space="preserve"> for </w:t>
      </w:r>
      <w:r w:rsidR="004253AD" w:rsidRPr="00DB1D7C">
        <w:rPr>
          <w:sz w:val="24"/>
          <w:szCs w:val="24"/>
        </w:rPr>
        <w:t>a major</w:t>
      </w:r>
      <w:r w:rsidR="006849D4" w:rsidRPr="00DB1D7C">
        <w:rPr>
          <w:sz w:val="24"/>
          <w:szCs w:val="24"/>
        </w:rPr>
        <w:t xml:space="preserve"> osteoporotic fracture</w:t>
      </w:r>
      <w:r w:rsidR="00AA0A0F">
        <w:rPr>
          <w:sz w:val="24"/>
          <w:szCs w:val="24"/>
        </w:rPr>
        <w:t xml:space="preserve">.  </w:t>
      </w:r>
      <w:r w:rsidR="00A8217E" w:rsidRPr="00A8217E">
        <w:rPr>
          <w:sz w:val="24"/>
          <w:szCs w:val="24"/>
        </w:rPr>
        <w:t xml:space="preserve"> In women age 50-65 years</w:t>
      </w:r>
      <w:r w:rsidR="00A8217E" w:rsidRPr="00A8217E" w:rsidDel="00C84D9C">
        <w:rPr>
          <w:sz w:val="24"/>
          <w:szCs w:val="24"/>
        </w:rPr>
        <w:t xml:space="preserve"> </w:t>
      </w:r>
      <w:r w:rsidR="00A8217E" w:rsidRPr="00A8217E">
        <w:rPr>
          <w:sz w:val="24"/>
          <w:szCs w:val="24"/>
        </w:rPr>
        <w:t xml:space="preserve">who exceed this threshold, a BMD test is indicated and treatment recommended in those in whom BMD is in the range for osteoporosis. </w:t>
      </w:r>
    </w:p>
    <w:p w14:paraId="6A662433" w14:textId="615DAF16" w:rsidR="00A8217E" w:rsidRPr="00A8217E" w:rsidRDefault="00A8217E" w:rsidP="00A8217E">
      <w:pPr>
        <w:spacing w:line="276" w:lineRule="auto"/>
        <w:rPr>
          <w:sz w:val="24"/>
          <w:szCs w:val="24"/>
        </w:rPr>
      </w:pPr>
      <w:r w:rsidRPr="00A8217E">
        <w:rPr>
          <w:sz w:val="24"/>
          <w:szCs w:val="24"/>
        </w:rPr>
        <w:t xml:space="preserve">The </w:t>
      </w:r>
      <w:r w:rsidRPr="002117A8">
        <w:rPr>
          <w:sz w:val="24"/>
          <w:szCs w:val="24"/>
        </w:rPr>
        <w:t xml:space="preserve">probability threshold of 9.3 % used by the USPSTF appears logical, but is inappropriate in the sense that “The objective of screening is to identify postmenopausal women with T-scores of -2.5 SD or lower” </w:t>
      </w:r>
      <w:r w:rsidR="00D04784" w:rsidRPr="002117A8">
        <w:rPr>
          <w:sz w:val="24"/>
          <w:szCs w:val="24"/>
        </w:rPr>
        <w:t>[127]</w:t>
      </w:r>
      <w:r w:rsidRPr="002117A8">
        <w:rPr>
          <w:sz w:val="24"/>
          <w:szCs w:val="24"/>
        </w:rPr>
        <w:t xml:space="preserve">.  In such a case it is more appropriate to use tools that detect osteoporosis rather than a tool to assess fracture risk </w:t>
      </w:r>
      <w:r w:rsidR="00D04784" w:rsidRPr="002117A8">
        <w:rPr>
          <w:sz w:val="24"/>
          <w:szCs w:val="24"/>
        </w:rPr>
        <w:t>[128]</w:t>
      </w:r>
      <w:r w:rsidRPr="002117A8">
        <w:rPr>
          <w:sz w:val="24"/>
          <w:szCs w:val="24"/>
        </w:rPr>
        <w:t xml:space="preserve">.  Appropriate tools include the Osteoporosis Self-Assessment Tool (OST) and Simple Calculated Osteoporosis Risk Estimation Tool (SCORE) </w:t>
      </w:r>
      <w:r w:rsidR="00D04784" w:rsidRPr="002117A8">
        <w:rPr>
          <w:sz w:val="24"/>
          <w:szCs w:val="24"/>
        </w:rPr>
        <w:t>[129</w:t>
      </w:r>
      <w:r w:rsidR="002117A8" w:rsidRPr="002117A8">
        <w:rPr>
          <w:sz w:val="24"/>
          <w:szCs w:val="24"/>
        </w:rPr>
        <w:t xml:space="preserve">, </w:t>
      </w:r>
      <w:r w:rsidR="00D04784" w:rsidRPr="002117A8">
        <w:rPr>
          <w:sz w:val="24"/>
          <w:szCs w:val="24"/>
        </w:rPr>
        <w:t>130]</w:t>
      </w:r>
      <w:r w:rsidRPr="002117A8">
        <w:rPr>
          <w:sz w:val="24"/>
          <w:szCs w:val="24"/>
        </w:rPr>
        <w:t xml:space="preserve">.  OST is calculated from weight and age, whereas SCORE uses 6 clinical risk factors (race, rheumatoid arthritis, history of non-traumatic fracture, age, prior oestrogen therapy, and weight).  As might be expected, Crandall et al </w:t>
      </w:r>
      <w:r w:rsidR="00D04784" w:rsidRPr="002117A8">
        <w:rPr>
          <w:sz w:val="24"/>
          <w:szCs w:val="24"/>
        </w:rPr>
        <w:t>[127]</w:t>
      </w:r>
      <w:r w:rsidR="002117A8" w:rsidRPr="002117A8">
        <w:rPr>
          <w:sz w:val="24"/>
          <w:szCs w:val="24"/>
        </w:rPr>
        <w:t xml:space="preserve"> </w:t>
      </w:r>
      <w:r w:rsidRPr="002117A8">
        <w:rPr>
          <w:sz w:val="24"/>
          <w:szCs w:val="24"/>
        </w:rPr>
        <w:t xml:space="preserve">showed that the FRAX based (USPSTF) strategy had a somewhat higher specificity but much lower sensitivity than SCORE or OST for the identification of individuals with a femoral neck T-score of ≤-2.5 SD (Table 4).  The low sensitivity with the FRAX cut-off means that two thirds of women with a BMD in the range of osteoporosis would be missed. Similar findings have been reported in an independent cohort </w:t>
      </w:r>
      <w:r w:rsidR="007935FD" w:rsidRPr="002117A8">
        <w:rPr>
          <w:sz w:val="24"/>
          <w:szCs w:val="24"/>
        </w:rPr>
        <w:t>[131]</w:t>
      </w:r>
      <w:r w:rsidRPr="002117A8">
        <w:rPr>
          <w:sz w:val="24"/>
          <w:szCs w:val="24"/>
        </w:rPr>
        <w:t xml:space="preserve">. </w:t>
      </w:r>
    </w:p>
    <w:p w14:paraId="3F686200" w14:textId="530423E9" w:rsidR="006849D4" w:rsidRPr="00DB1D7C" w:rsidRDefault="006849D4" w:rsidP="00A8217E">
      <w:pPr>
        <w:spacing w:line="276" w:lineRule="auto"/>
      </w:pPr>
    </w:p>
    <w:p w14:paraId="22846049" w14:textId="19524D92" w:rsidR="006849D4" w:rsidRPr="00DB1D7C" w:rsidRDefault="006849D4" w:rsidP="006849D4">
      <w:r w:rsidRPr="002117A8">
        <w:rPr>
          <w:b/>
        </w:rPr>
        <w:lastRenderedPageBreak/>
        <w:t xml:space="preserve">Table </w:t>
      </w:r>
      <w:r w:rsidR="000305D7" w:rsidRPr="002117A8">
        <w:rPr>
          <w:b/>
        </w:rPr>
        <w:t>4</w:t>
      </w:r>
      <w:r w:rsidRPr="002117A8">
        <w:t xml:space="preserve">.  Sensitivity, specificity </w:t>
      </w:r>
      <w:r w:rsidR="00B2410D" w:rsidRPr="002117A8">
        <w:t xml:space="preserve">(%) </w:t>
      </w:r>
      <w:r w:rsidRPr="002117A8">
        <w:t xml:space="preserve">and area under the receiver operating characteristic curve (AUC) using three assessment tools for the identification of individuals with femoral neck T-score ≤-2.5 SD  (extracted from </w:t>
      </w:r>
      <w:r w:rsidR="00D04784" w:rsidRPr="002117A8">
        <w:rPr>
          <w:sz w:val="24"/>
          <w:szCs w:val="24"/>
        </w:rPr>
        <w:t>[127]</w:t>
      </w:r>
      <w:r w:rsidR="002117A8" w:rsidRPr="002117A8">
        <w:rPr>
          <w:sz w:val="24"/>
          <w:szCs w:val="24"/>
        </w:rPr>
        <w:t>)</w:t>
      </w:r>
      <w:r w:rsidRPr="002117A8">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1786"/>
        <w:gridCol w:w="1785"/>
        <w:gridCol w:w="1785"/>
        <w:gridCol w:w="1785"/>
      </w:tblGrid>
      <w:tr w:rsidR="006849D4" w:rsidRPr="00DB1D7C" w14:paraId="1DB289D2" w14:textId="77777777" w:rsidTr="006C688F">
        <w:tc>
          <w:tcPr>
            <w:tcW w:w="1875" w:type="dxa"/>
            <w:tcBorders>
              <w:top w:val="single" w:sz="4" w:space="0" w:color="auto"/>
              <w:bottom w:val="single" w:sz="4" w:space="0" w:color="auto"/>
            </w:tcBorders>
            <w:tcMar>
              <w:top w:w="28" w:type="dxa"/>
              <w:bottom w:w="28" w:type="dxa"/>
            </w:tcMar>
          </w:tcPr>
          <w:p w14:paraId="4B6E9288" w14:textId="77777777" w:rsidR="006849D4" w:rsidRPr="00DB1D7C" w:rsidRDefault="006849D4" w:rsidP="006C688F">
            <w:r w:rsidRPr="00DB1D7C">
              <w:t>Tool</w:t>
            </w:r>
          </w:p>
        </w:tc>
        <w:tc>
          <w:tcPr>
            <w:tcW w:w="1786" w:type="dxa"/>
            <w:tcBorders>
              <w:top w:val="single" w:sz="4" w:space="0" w:color="auto"/>
              <w:bottom w:val="single" w:sz="4" w:space="0" w:color="auto"/>
            </w:tcBorders>
            <w:tcMar>
              <w:top w:w="28" w:type="dxa"/>
              <w:bottom w:w="28" w:type="dxa"/>
            </w:tcMar>
          </w:tcPr>
          <w:p w14:paraId="6BF84638" w14:textId="77777777" w:rsidR="006849D4" w:rsidRPr="00DB1D7C" w:rsidRDefault="006849D4" w:rsidP="006C688F">
            <w:r w:rsidRPr="00DB1D7C">
              <w:t>Cut off</w:t>
            </w:r>
          </w:p>
        </w:tc>
        <w:tc>
          <w:tcPr>
            <w:tcW w:w="1785" w:type="dxa"/>
            <w:tcBorders>
              <w:top w:val="single" w:sz="4" w:space="0" w:color="auto"/>
              <w:bottom w:val="single" w:sz="4" w:space="0" w:color="auto"/>
            </w:tcBorders>
            <w:tcMar>
              <w:top w:w="28" w:type="dxa"/>
              <w:bottom w:w="28" w:type="dxa"/>
            </w:tcMar>
          </w:tcPr>
          <w:p w14:paraId="2EAAB1E1" w14:textId="77777777" w:rsidR="006849D4" w:rsidRPr="00DB1D7C" w:rsidRDefault="006849D4" w:rsidP="006C688F">
            <w:r w:rsidRPr="00DB1D7C">
              <w:t>Sensitivity</w:t>
            </w:r>
          </w:p>
        </w:tc>
        <w:tc>
          <w:tcPr>
            <w:tcW w:w="1785" w:type="dxa"/>
            <w:tcBorders>
              <w:top w:val="single" w:sz="4" w:space="0" w:color="auto"/>
              <w:bottom w:val="single" w:sz="4" w:space="0" w:color="auto"/>
            </w:tcBorders>
            <w:tcMar>
              <w:top w:w="28" w:type="dxa"/>
              <w:bottom w:w="28" w:type="dxa"/>
            </w:tcMar>
          </w:tcPr>
          <w:p w14:paraId="6576CEFE" w14:textId="77777777" w:rsidR="006849D4" w:rsidRPr="00DB1D7C" w:rsidRDefault="006849D4" w:rsidP="006C688F">
            <w:r w:rsidRPr="00DB1D7C">
              <w:t>Specificity</w:t>
            </w:r>
          </w:p>
        </w:tc>
        <w:tc>
          <w:tcPr>
            <w:tcW w:w="1785" w:type="dxa"/>
            <w:tcBorders>
              <w:top w:val="single" w:sz="4" w:space="0" w:color="auto"/>
              <w:bottom w:val="single" w:sz="4" w:space="0" w:color="auto"/>
            </w:tcBorders>
            <w:tcMar>
              <w:top w:w="28" w:type="dxa"/>
              <w:bottom w:w="28" w:type="dxa"/>
            </w:tcMar>
          </w:tcPr>
          <w:p w14:paraId="19EFC057" w14:textId="77777777" w:rsidR="006849D4" w:rsidRPr="00DB1D7C" w:rsidRDefault="006849D4" w:rsidP="006C688F">
            <w:r w:rsidRPr="00DB1D7C">
              <w:t>AUC</w:t>
            </w:r>
          </w:p>
        </w:tc>
      </w:tr>
      <w:tr w:rsidR="006849D4" w:rsidRPr="00DB1D7C" w14:paraId="0B92E98F" w14:textId="77777777" w:rsidTr="006C688F">
        <w:tc>
          <w:tcPr>
            <w:tcW w:w="1875" w:type="dxa"/>
            <w:tcBorders>
              <w:top w:val="single" w:sz="4" w:space="0" w:color="auto"/>
            </w:tcBorders>
            <w:tcMar>
              <w:top w:w="28" w:type="dxa"/>
              <w:bottom w:w="28" w:type="dxa"/>
            </w:tcMar>
          </w:tcPr>
          <w:p w14:paraId="655E0A50" w14:textId="77777777" w:rsidR="006849D4" w:rsidRPr="00DB1D7C" w:rsidRDefault="006849D4" w:rsidP="006C688F">
            <w:r w:rsidRPr="00DB1D7C">
              <w:t>FRAX</w:t>
            </w:r>
          </w:p>
        </w:tc>
        <w:tc>
          <w:tcPr>
            <w:tcW w:w="1786" w:type="dxa"/>
            <w:tcBorders>
              <w:top w:val="single" w:sz="4" w:space="0" w:color="auto"/>
            </w:tcBorders>
            <w:tcMar>
              <w:top w:w="28" w:type="dxa"/>
              <w:bottom w:w="28" w:type="dxa"/>
            </w:tcMar>
          </w:tcPr>
          <w:p w14:paraId="63BE94C6" w14:textId="54FC7FF1" w:rsidR="006849D4" w:rsidRPr="00DB1D7C" w:rsidRDefault="006849D4" w:rsidP="006C688F">
            <w:r w:rsidRPr="00DB1D7C">
              <w:t>9.4</w:t>
            </w:r>
            <w:r w:rsidR="00DC5574">
              <w:t xml:space="preserve"> </w:t>
            </w:r>
            <w:r w:rsidRPr="00DB1D7C">
              <w:t>%</w:t>
            </w:r>
          </w:p>
        </w:tc>
        <w:tc>
          <w:tcPr>
            <w:tcW w:w="1785" w:type="dxa"/>
            <w:tcBorders>
              <w:top w:val="single" w:sz="4" w:space="0" w:color="auto"/>
            </w:tcBorders>
            <w:tcMar>
              <w:top w:w="28" w:type="dxa"/>
              <w:bottom w:w="28" w:type="dxa"/>
            </w:tcMar>
          </w:tcPr>
          <w:p w14:paraId="215E577C" w14:textId="77777777" w:rsidR="006849D4" w:rsidRPr="00DB1D7C" w:rsidRDefault="006849D4" w:rsidP="006C688F">
            <w:r w:rsidRPr="00DB1D7C">
              <w:t>33.3</w:t>
            </w:r>
          </w:p>
        </w:tc>
        <w:tc>
          <w:tcPr>
            <w:tcW w:w="1785" w:type="dxa"/>
            <w:tcBorders>
              <w:top w:val="single" w:sz="4" w:space="0" w:color="auto"/>
            </w:tcBorders>
            <w:tcMar>
              <w:top w:w="28" w:type="dxa"/>
              <w:bottom w:w="28" w:type="dxa"/>
            </w:tcMar>
          </w:tcPr>
          <w:p w14:paraId="3B4EE492" w14:textId="77777777" w:rsidR="006849D4" w:rsidRPr="00DB1D7C" w:rsidRDefault="006849D4" w:rsidP="006C688F">
            <w:r w:rsidRPr="00DB1D7C">
              <w:t>86.4</w:t>
            </w:r>
          </w:p>
        </w:tc>
        <w:tc>
          <w:tcPr>
            <w:tcW w:w="1785" w:type="dxa"/>
            <w:tcBorders>
              <w:top w:val="single" w:sz="4" w:space="0" w:color="auto"/>
            </w:tcBorders>
            <w:tcMar>
              <w:top w:w="28" w:type="dxa"/>
              <w:bottom w:w="28" w:type="dxa"/>
            </w:tcMar>
          </w:tcPr>
          <w:p w14:paraId="5CA39B8A" w14:textId="77777777" w:rsidR="006849D4" w:rsidRPr="00DB1D7C" w:rsidRDefault="006849D4" w:rsidP="006C688F">
            <w:r w:rsidRPr="00DB1D7C">
              <w:t>0.60</w:t>
            </w:r>
          </w:p>
        </w:tc>
      </w:tr>
      <w:tr w:rsidR="006849D4" w:rsidRPr="00DB1D7C" w14:paraId="734B7CDD" w14:textId="77777777" w:rsidTr="006C688F">
        <w:tc>
          <w:tcPr>
            <w:tcW w:w="1875" w:type="dxa"/>
            <w:tcMar>
              <w:top w:w="28" w:type="dxa"/>
              <w:bottom w:w="28" w:type="dxa"/>
            </w:tcMar>
          </w:tcPr>
          <w:p w14:paraId="1E16C00F" w14:textId="77777777" w:rsidR="006849D4" w:rsidRPr="00DB1D7C" w:rsidRDefault="006849D4" w:rsidP="006C688F">
            <w:r w:rsidRPr="00DB1D7C">
              <w:t>SCORE</w:t>
            </w:r>
          </w:p>
        </w:tc>
        <w:tc>
          <w:tcPr>
            <w:tcW w:w="1786" w:type="dxa"/>
            <w:tcMar>
              <w:top w:w="28" w:type="dxa"/>
              <w:bottom w:w="28" w:type="dxa"/>
            </w:tcMar>
          </w:tcPr>
          <w:p w14:paraId="69D2C043" w14:textId="77777777" w:rsidR="006849D4" w:rsidRPr="00DB1D7C" w:rsidRDefault="006849D4" w:rsidP="006C688F">
            <w:r w:rsidRPr="00DB1D7C">
              <w:t>&gt;7</w:t>
            </w:r>
          </w:p>
        </w:tc>
        <w:tc>
          <w:tcPr>
            <w:tcW w:w="1785" w:type="dxa"/>
            <w:tcMar>
              <w:top w:w="28" w:type="dxa"/>
              <w:bottom w:w="28" w:type="dxa"/>
            </w:tcMar>
          </w:tcPr>
          <w:p w14:paraId="5526A8C0" w14:textId="77777777" w:rsidR="006849D4" w:rsidRPr="00DB1D7C" w:rsidRDefault="006849D4" w:rsidP="006C688F">
            <w:r w:rsidRPr="00DB1D7C">
              <w:t>74.1</w:t>
            </w:r>
          </w:p>
        </w:tc>
        <w:tc>
          <w:tcPr>
            <w:tcW w:w="1785" w:type="dxa"/>
            <w:tcMar>
              <w:top w:w="28" w:type="dxa"/>
              <w:bottom w:w="28" w:type="dxa"/>
            </w:tcMar>
          </w:tcPr>
          <w:p w14:paraId="4724A27E" w14:textId="77777777" w:rsidR="006849D4" w:rsidRPr="00DB1D7C" w:rsidRDefault="006849D4" w:rsidP="006C688F">
            <w:r w:rsidRPr="00DB1D7C">
              <w:t>70.8</w:t>
            </w:r>
          </w:p>
        </w:tc>
        <w:tc>
          <w:tcPr>
            <w:tcW w:w="1785" w:type="dxa"/>
            <w:tcMar>
              <w:top w:w="28" w:type="dxa"/>
              <w:bottom w:w="28" w:type="dxa"/>
            </w:tcMar>
          </w:tcPr>
          <w:p w14:paraId="637AA652" w14:textId="77777777" w:rsidR="006849D4" w:rsidRPr="00DB1D7C" w:rsidRDefault="006849D4" w:rsidP="006C688F">
            <w:r w:rsidRPr="00DB1D7C">
              <w:t>0.72</w:t>
            </w:r>
          </w:p>
        </w:tc>
      </w:tr>
      <w:tr w:rsidR="006849D4" w:rsidRPr="00DB1D7C" w14:paraId="2D518823" w14:textId="77777777" w:rsidTr="006C688F">
        <w:tc>
          <w:tcPr>
            <w:tcW w:w="1875" w:type="dxa"/>
            <w:tcMar>
              <w:top w:w="28" w:type="dxa"/>
              <w:bottom w:w="28" w:type="dxa"/>
            </w:tcMar>
          </w:tcPr>
          <w:p w14:paraId="32022BC3" w14:textId="77777777" w:rsidR="006849D4" w:rsidRPr="00DB1D7C" w:rsidRDefault="006849D4" w:rsidP="006C688F">
            <w:r w:rsidRPr="00DB1D7C">
              <w:t>OST</w:t>
            </w:r>
          </w:p>
        </w:tc>
        <w:tc>
          <w:tcPr>
            <w:tcW w:w="1786" w:type="dxa"/>
            <w:tcMar>
              <w:top w:w="28" w:type="dxa"/>
              <w:bottom w:w="28" w:type="dxa"/>
            </w:tcMar>
          </w:tcPr>
          <w:p w14:paraId="1855ACE3" w14:textId="77777777" w:rsidR="006849D4" w:rsidRPr="00DB1D7C" w:rsidRDefault="006849D4" w:rsidP="006C688F">
            <w:r w:rsidRPr="00DB1D7C">
              <w:t>&lt;2</w:t>
            </w:r>
          </w:p>
        </w:tc>
        <w:tc>
          <w:tcPr>
            <w:tcW w:w="1785" w:type="dxa"/>
            <w:tcMar>
              <w:top w:w="28" w:type="dxa"/>
              <w:bottom w:w="28" w:type="dxa"/>
            </w:tcMar>
          </w:tcPr>
          <w:p w14:paraId="29D63A29" w14:textId="77777777" w:rsidR="006849D4" w:rsidRPr="00DB1D7C" w:rsidRDefault="006849D4" w:rsidP="006C688F">
            <w:r w:rsidRPr="00DB1D7C">
              <w:t>79.3</w:t>
            </w:r>
          </w:p>
        </w:tc>
        <w:tc>
          <w:tcPr>
            <w:tcW w:w="1785" w:type="dxa"/>
            <w:tcMar>
              <w:top w:w="28" w:type="dxa"/>
              <w:bottom w:w="28" w:type="dxa"/>
            </w:tcMar>
          </w:tcPr>
          <w:p w14:paraId="1A820B7E" w14:textId="77777777" w:rsidR="006849D4" w:rsidRPr="00DB1D7C" w:rsidRDefault="006849D4" w:rsidP="006C688F">
            <w:r w:rsidRPr="00DB1D7C">
              <w:t>70.1</w:t>
            </w:r>
          </w:p>
        </w:tc>
        <w:tc>
          <w:tcPr>
            <w:tcW w:w="1785" w:type="dxa"/>
            <w:tcMar>
              <w:top w:w="28" w:type="dxa"/>
              <w:bottom w:w="28" w:type="dxa"/>
            </w:tcMar>
          </w:tcPr>
          <w:p w14:paraId="09FF9706" w14:textId="77777777" w:rsidR="006849D4" w:rsidRPr="00DB1D7C" w:rsidRDefault="006849D4" w:rsidP="006C688F">
            <w:r w:rsidRPr="00DB1D7C">
              <w:t>0.75</w:t>
            </w:r>
          </w:p>
        </w:tc>
      </w:tr>
    </w:tbl>
    <w:p w14:paraId="2BE08114" w14:textId="77777777" w:rsidR="006849D4" w:rsidRPr="00DB1D7C" w:rsidRDefault="006849D4" w:rsidP="006849D4"/>
    <w:p w14:paraId="5EC4B85A" w14:textId="7229AEA9" w:rsidR="006849D4" w:rsidRPr="00DB1D7C" w:rsidRDefault="006849D4" w:rsidP="00F05009">
      <w:pPr>
        <w:spacing w:line="276" w:lineRule="auto"/>
        <w:rPr>
          <w:sz w:val="24"/>
          <w:szCs w:val="24"/>
        </w:rPr>
      </w:pPr>
      <w:r w:rsidRPr="00DB1D7C">
        <w:rPr>
          <w:sz w:val="24"/>
          <w:szCs w:val="24"/>
        </w:rPr>
        <w:t xml:space="preserve">Had the intention of screening been to identify women at high fracture risk, then a fracture risk assessment algorithm is the appropriate tool.  In this context FRAX outperforms OST or SCORE for fracture </w:t>
      </w:r>
      <w:r w:rsidRPr="002117A8">
        <w:rPr>
          <w:sz w:val="24"/>
          <w:szCs w:val="24"/>
        </w:rPr>
        <w:t xml:space="preserve">prediction </w:t>
      </w:r>
      <w:r w:rsidR="00755086" w:rsidRPr="002117A8">
        <w:rPr>
          <w:rFonts w:ascii="Calibri" w:hAnsi="Calibri"/>
          <w:sz w:val="24"/>
          <w:szCs w:val="24"/>
        </w:rPr>
        <w:t>[8]</w:t>
      </w:r>
      <w:r w:rsidRPr="002117A8">
        <w:rPr>
          <w:sz w:val="24"/>
          <w:szCs w:val="24"/>
        </w:rPr>
        <w:t>.</w:t>
      </w:r>
    </w:p>
    <w:p w14:paraId="3BE1379A" w14:textId="77777777" w:rsidR="006849D4" w:rsidRPr="00DB1D7C" w:rsidRDefault="006849D4" w:rsidP="006849D4">
      <w:pPr>
        <w:autoSpaceDE w:val="0"/>
        <w:autoSpaceDN w:val="0"/>
        <w:adjustRightInd w:val="0"/>
        <w:spacing w:after="0" w:line="240" w:lineRule="auto"/>
        <w:rPr>
          <w:rFonts w:cs="MyriadPro-Regular"/>
          <w:i/>
          <w:sz w:val="24"/>
          <w:szCs w:val="24"/>
        </w:rPr>
      </w:pPr>
    </w:p>
    <w:p w14:paraId="3242C11B" w14:textId="77777777" w:rsidR="00394620" w:rsidRPr="00DB1D7C" w:rsidRDefault="00394620" w:rsidP="007A3B42">
      <w:pPr>
        <w:spacing w:after="0" w:line="276" w:lineRule="auto"/>
        <w:rPr>
          <w:rFonts w:ascii="Calibri" w:hAnsi="Calibri"/>
          <w:i/>
          <w:sz w:val="24"/>
          <w:szCs w:val="24"/>
        </w:rPr>
      </w:pPr>
      <w:r w:rsidRPr="00DB1D7C">
        <w:rPr>
          <w:rFonts w:ascii="Calibri" w:hAnsi="Calibri"/>
          <w:i/>
          <w:sz w:val="24"/>
          <w:szCs w:val="24"/>
        </w:rPr>
        <w:t>American College of Rheumatology</w:t>
      </w:r>
    </w:p>
    <w:p w14:paraId="45F6F157" w14:textId="056D11ED" w:rsidR="00394620" w:rsidRPr="00DB1D7C" w:rsidRDefault="00394620" w:rsidP="007A3B42">
      <w:pPr>
        <w:spacing w:line="276" w:lineRule="auto"/>
        <w:rPr>
          <w:rFonts w:ascii="Calibri" w:hAnsi="Calibri"/>
          <w:sz w:val="24"/>
          <w:szCs w:val="24"/>
        </w:rPr>
      </w:pPr>
      <w:r w:rsidRPr="00DB1D7C">
        <w:rPr>
          <w:rFonts w:ascii="Calibri" w:hAnsi="Calibri"/>
          <w:sz w:val="24"/>
          <w:szCs w:val="24"/>
        </w:rPr>
        <w:t xml:space="preserve">The most recent (2010) </w:t>
      </w:r>
      <w:r w:rsidRPr="002117A8">
        <w:rPr>
          <w:rFonts w:ascii="Calibri" w:hAnsi="Calibri"/>
          <w:sz w:val="24"/>
          <w:szCs w:val="24"/>
        </w:rPr>
        <w:t xml:space="preserve">recommendations from the American College of Rheumatology (ACR) </w:t>
      </w:r>
      <w:r w:rsidR="00F05009" w:rsidRPr="002117A8">
        <w:rPr>
          <w:rFonts w:ascii="Calibri" w:hAnsi="Calibri"/>
          <w:sz w:val="24"/>
          <w:szCs w:val="24"/>
        </w:rPr>
        <w:t xml:space="preserve">provide guidance for patients exposed to glucocorticoids </w:t>
      </w:r>
      <w:r w:rsidR="00DF05BE" w:rsidRPr="002117A8">
        <w:rPr>
          <w:rFonts w:ascii="Calibri" w:hAnsi="Calibri"/>
        </w:rPr>
        <w:t>[113]</w:t>
      </w:r>
      <w:r w:rsidR="00F05009" w:rsidRPr="002117A8">
        <w:rPr>
          <w:rFonts w:ascii="Calibri" w:hAnsi="Calibri"/>
          <w:sz w:val="24"/>
          <w:szCs w:val="24"/>
        </w:rPr>
        <w:t xml:space="preserve">.  Recommendations </w:t>
      </w:r>
      <w:r w:rsidRPr="002117A8">
        <w:rPr>
          <w:rFonts w:ascii="Calibri" w:hAnsi="Calibri"/>
          <w:sz w:val="24"/>
          <w:szCs w:val="24"/>
        </w:rPr>
        <w:t xml:space="preserve">are stratified by glucocorticoid dose and fracture risk based on FRAX calculations. They recommend that low- and medium-risk patients (FRAX &lt;10 and 10–20 % probability of a major fracture, respectively) should be treated if their glucocorticoid dose is greater than or equal to 7.5 mg/day. High-risk patients (FRAX &gt;20 %) should be treated if they receive glucocorticoids at any dose for &gt;1 month or if they are on </w:t>
      </w:r>
      <w:r w:rsidRPr="002117A8">
        <w:rPr>
          <w:rFonts w:ascii="Calibri" w:hAnsi="Calibri"/>
          <w:sz w:val="24"/>
          <w:szCs w:val="24"/>
          <w:u w:val="single"/>
        </w:rPr>
        <w:t>&gt;</w:t>
      </w:r>
      <w:r w:rsidRPr="002117A8">
        <w:rPr>
          <w:rFonts w:ascii="Calibri" w:hAnsi="Calibri"/>
          <w:sz w:val="24"/>
          <w:szCs w:val="24"/>
        </w:rPr>
        <w:t xml:space="preserve">5 mg/day prednisolone equivalent even for &lt;1 month </w:t>
      </w:r>
      <w:r w:rsidR="00DF05BE" w:rsidRPr="002117A8">
        <w:rPr>
          <w:rFonts w:ascii="Calibri" w:hAnsi="Calibri"/>
        </w:rPr>
        <w:t>[113]</w:t>
      </w:r>
      <w:r w:rsidRPr="002117A8">
        <w:rPr>
          <w:rFonts w:ascii="Calibri" w:hAnsi="Calibri"/>
          <w:sz w:val="24"/>
          <w:szCs w:val="24"/>
        </w:rPr>
        <w:t xml:space="preserve">. </w:t>
      </w:r>
      <w:r w:rsidR="00F05009" w:rsidRPr="002117A8">
        <w:rPr>
          <w:rFonts w:ascii="Calibri" w:hAnsi="Calibri"/>
          <w:sz w:val="24"/>
          <w:szCs w:val="24"/>
        </w:rPr>
        <w:t xml:space="preserve"> </w:t>
      </w:r>
      <w:r w:rsidRPr="002117A8">
        <w:rPr>
          <w:rFonts w:ascii="Calibri" w:hAnsi="Calibri"/>
          <w:sz w:val="24"/>
          <w:szCs w:val="24"/>
        </w:rPr>
        <w:t>The 10 % threshold is lower than the generally accepted 20 % threshold for postmenopausal osteoporosis in use in North America</w:t>
      </w:r>
      <w:r w:rsidR="00F05009" w:rsidRPr="002117A8">
        <w:rPr>
          <w:rFonts w:ascii="Calibri" w:hAnsi="Calibri"/>
          <w:sz w:val="24"/>
          <w:szCs w:val="24"/>
        </w:rPr>
        <w:t xml:space="preserve"> </w:t>
      </w:r>
      <w:r w:rsidR="007935FD" w:rsidRPr="002117A8">
        <w:rPr>
          <w:rFonts w:ascii="Calibri" w:hAnsi="Calibri"/>
          <w:sz w:val="24"/>
          <w:szCs w:val="24"/>
        </w:rPr>
        <w:t>[132]</w:t>
      </w:r>
      <w:r w:rsidRPr="002117A8">
        <w:rPr>
          <w:rFonts w:ascii="Calibri" w:hAnsi="Calibri"/>
          <w:sz w:val="24"/>
          <w:szCs w:val="24"/>
        </w:rPr>
        <w:t>.</w:t>
      </w:r>
      <w:r w:rsidR="003943E1" w:rsidRPr="002117A8">
        <w:rPr>
          <w:rFonts w:ascii="Calibri" w:hAnsi="Calibri"/>
          <w:sz w:val="24"/>
          <w:szCs w:val="24"/>
        </w:rPr>
        <w:t xml:space="preserve"> The rationale for the two thresholds is the established exposure-dependent association of glucocorticoids and fracture risk</w:t>
      </w:r>
      <w:r w:rsidR="00A8217E" w:rsidRPr="002117A8">
        <w:rPr>
          <w:rFonts w:ascii="Calibri" w:hAnsi="Calibri"/>
          <w:sz w:val="24"/>
          <w:szCs w:val="24"/>
        </w:rPr>
        <w:t xml:space="preserve"> </w:t>
      </w:r>
      <w:r w:rsidR="007935FD" w:rsidRPr="002117A8">
        <w:rPr>
          <w:rFonts w:ascii="Calibri" w:hAnsi="Calibri"/>
          <w:sz w:val="24"/>
          <w:szCs w:val="24"/>
        </w:rPr>
        <w:t>[133]</w:t>
      </w:r>
      <w:r w:rsidR="00B50A32" w:rsidRPr="002117A8">
        <w:rPr>
          <w:rFonts w:ascii="Calibri" w:hAnsi="Calibri"/>
          <w:sz w:val="24"/>
          <w:szCs w:val="24"/>
        </w:rPr>
        <w:t>. The 20</w:t>
      </w:r>
      <w:r w:rsidR="00DC5574" w:rsidRPr="002117A8">
        <w:rPr>
          <w:rFonts w:ascii="Calibri" w:hAnsi="Calibri"/>
          <w:sz w:val="24"/>
          <w:szCs w:val="24"/>
        </w:rPr>
        <w:t xml:space="preserve"> </w:t>
      </w:r>
      <w:r w:rsidR="00B50A32" w:rsidRPr="002117A8">
        <w:rPr>
          <w:rFonts w:ascii="Calibri" w:hAnsi="Calibri"/>
          <w:sz w:val="24"/>
          <w:szCs w:val="24"/>
        </w:rPr>
        <w:t>% threshold was chosen to match that of the National Osteoporosis Foundation</w:t>
      </w:r>
      <w:r w:rsidR="003943E1" w:rsidRPr="002117A8">
        <w:rPr>
          <w:rFonts w:ascii="Calibri" w:hAnsi="Calibri"/>
          <w:sz w:val="24"/>
          <w:szCs w:val="24"/>
        </w:rPr>
        <w:t xml:space="preserve"> though there are no details provided</w:t>
      </w:r>
      <w:r w:rsidR="00B50A32" w:rsidRPr="002117A8">
        <w:rPr>
          <w:rFonts w:ascii="Calibri" w:hAnsi="Calibri"/>
          <w:sz w:val="24"/>
          <w:szCs w:val="24"/>
        </w:rPr>
        <w:t xml:space="preserve"> on how the 10</w:t>
      </w:r>
      <w:r w:rsidR="00DC5574" w:rsidRPr="002117A8">
        <w:rPr>
          <w:rFonts w:ascii="Calibri" w:hAnsi="Calibri"/>
          <w:sz w:val="24"/>
          <w:szCs w:val="24"/>
        </w:rPr>
        <w:t xml:space="preserve"> </w:t>
      </w:r>
      <w:r w:rsidR="00B50A32" w:rsidRPr="002117A8">
        <w:rPr>
          <w:rFonts w:ascii="Calibri" w:hAnsi="Calibri"/>
          <w:sz w:val="24"/>
          <w:szCs w:val="24"/>
        </w:rPr>
        <w:t>% threshold was derived.</w:t>
      </w:r>
      <w:r w:rsidR="0047408A" w:rsidRPr="002117A8">
        <w:rPr>
          <w:rFonts w:ascii="Calibri" w:hAnsi="Calibri"/>
          <w:sz w:val="24"/>
          <w:szCs w:val="24"/>
        </w:rPr>
        <w:t xml:space="preserve"> The same thresholds have been adopted in Finland </w:t>
      </w:r>
      <w:r w:rsidR="007935FD" w:rsidRPr="002117A8">
        <w:rPr>
          <w:rFonts w:ascii="Calibri" w:hAnsi="Calibri"/>
          <w:sz w:val="24"/>
          <w:szCs w:val="24"/>
        </w:rPr>
        <w:t>[78]</w:t>
      </w:r>
      <w:r w:rsidR="00430B53" w:rsidRPr="002117A8">
        <w:rPr>
          <w:rFonts w:ascii="Calibri" w:hAnsi="Calibri"/>
          <w:sz w:val="24"/>
          <w:szCs w:val="24"/>
        </w:rPr>
        <w:t>.</w:t>
      </w:r>
      <w:r w:rsidR="0047408A" w:rsidRPr="002117A8">
        <w:rPr>
          <w:rFonts w:ascii="Calibri" w:hAnsi="Calibri"/>
          <w:sz w:val="24"/>
          <w:szCs w:val="24"/>
        </w:rPr>
        <w:t xml:space="preserve"> </w:t>
      </w:r>
    </w:p>
    <w:p w14:paraId="15C4CD0C" w14:textId="77777777" w:rsidR="00B50A32" w:rsidRPr="00DB1D7C" w:rsidRDefault="00B50A32" w:rsidP="007A3B42">
      <w:pPr>
        <w:spacing w:line="276" w:lineRule="auto"/>
        <w:rPr>
          <w:rFonts w:ascii="Calibri" w:hAnsi="Calibri"/>
          <w:sz w:val="24"/>
          <w:szCs w:val="24"/>
        </w:rPr>
      </w:pPr>
    </w:p>
    <w:p w14:paraId="5E541028" w14:textId="6FBBA017" w:rsidR="004E7329" w:rsidRPr="00DB1D7C" w:rsidRDefault="004E7329" w:rsidP="007A3B42">
      <w:pPr>
        <w:autoSpaceDE w:val="0"/>
        <w:autoSpaceDN w:val="0"/>
        <w:adjustRightInd w:val="0"/>
        <w:spacing w:after="0" w:line="276" w:lineRule="auto"/>
        <w:rPr>
          <w:rFonts w:cs="MyriadPro-Regular"/>
          <w:i/>
          <w:sz w:val="24"/>
          <w:szCs w:val="24"/>
        </w:rPr>
      </w:pPr>
      <w:r w:rsidRPr="00DB1D7C">
        <w:rPr>
          <w:rFonts w:cs="MyriadPro-Regular"/>
          <w:i/>
          <w:sz w:val="24"/>
          <w:szCs w:val="24"/>
        </w:rPr>
        <w:t xml:space="preserve">Japanese </w:t>
      </w:r>
      <w:r w:rsidR="00F62524" w:rsidRPr="00DB1D7C">
        <w:rPr>
          <w:rFonts w:cs="MyriadPro-Regular"/>
          <w:i/>
          <w:sz w:val="24"/>
          <w:szCs w:val="24"/>
        </w:rPr>
        <w:t>National Guidelines</w:t>
      </w:r>
    </w:p>
    <w:p w14:paraId="59FCC631" w14:textId="77777777" w:rsidR="004E7329" w:rsidRPr="00DB1D7C" w:rsidRDefault="004E7329" w:rsidP="007A3B42">
      <w:pPr>
        <w:autoSpaceDE w:val="0"/>
        <w:autoSpaceDN w:val="0"/>
        <w:adjustRightInd w:val="0"/>
        <w:spacing w:after="0" w:line="276" w:lineRule="auto"/>
        <w:rPr>
          <w:rFonts w:cs="MyriadPro-Regular"/>
          <w:i/>
          <w:sz w:val="24"/>
          <w:szCs w:val="24"/>
        </w:rPr>
      </w:pPr>
      <w:r w:rsidRPr="00DB1D7C">
        <w:rPr>
          <w:rFonts w:cs="MyriadPro-Regular"/>
          <w:i/>
          <w:sz w:val="24"/>
          <w:szCs w:val="24"/>
        </w:rPr>
        <w:t xml:space="preserve">   </w:t>
      </w:r>
    </w:p>
    <w:p w14:paraId="202E030B" w14:textId="210EE1F5" w:rsidR="001954A6" w:rsidRPr="00DB1D7C" w:rsidRDefault="001954A6" w:rsidP="007A3B42">
      <w:pPr>
        <w:autoSpaceDE w:val="0"/>
        <w:autoSpaceDN w:val="0"/>
        <w:adjustRightInd w:val="0"/>
        <w:spacing w:after="0" w:line="276" w:lineRule="auto"/>
        <w:rPr>
          <w:rFonts w:cs="MyriadPro-Regular"/>
          <w:sz w:val="24"/>
          <w:szCs w:val="24"/>
        </w:rPr>
      </w:pPr>
      <w:r w:rsidRPr="00DB1D7C">
        <w:rPr>
          <w:rFonts w:cs="MyriadPro-Regular"/>
          <w:sz w:val="24"/>
          <w:szCs w:val="24"/>
        </w:rPr>
        <w:t>In 2012, the Japan Osteoporosis Society, Japanese Society for Bone and Mineral Research (JSBMR) and Japan Osteoporosis Foundation updated the guidance of the JSBMR issued ten years previously</w:t>
      </w:r>
      <w:r w:rsidRPr="002117A8">
        <w:rPr>
          <w:rFonts w:cs="MyriadPro-Regular"/>
          <w:sz w:val="24"/>
          <w:szCs w:val="24"/>
        </w:rPr>
        <w:t xml:space="preserve">, </w:t>
      </w:r>
      <w:r w:rsidR="008546A7" w:rsidRPr="002117A8">
        <w:rPr>
          <w:rFonts w:ascii="Calibri" w:hAnsi="Calibri"/>
          <w:sz w:val="24"/>
          <w:szCs w:val="24"/>
        </w:rPr>
        <w:t>[31]</w:t>
      </w:r>
      <w:r w:rsidRPr="002117A8">
        <w:rPr>
          <w:rFonts w:cs="MyriadPro-Regular"/>
          <w:sz w:val="24"/>
          <w:szCs w:val="24"/>
        </w:rPr>
        <w:t>.  As is the case for most assessment guidelines,</w:t>
      </w:r>
      <w:r w:rsidRPr="002117A8">
        <w:rPr>
          <w:sz w:val="24"/>
          <w:szCs w:val="24"/>
        </w:rPr>
        <w:t xml:space="preserve"> </w:t>
      </w:r>
      <w:r w:rsidRPr="002117A8">
        <w:rPr>
          <w:rFonts w:cs="MyriadPro-Regular"/>
          <w:sz w:val="24"/>
          <w:szCs w:val="24"/>
        </w:rPr>
        <w:t>treatment is offered to individuals with a prior vertebral or hip fracture.  In common with the NOF guidelines, testing with BMD</w:t>
      </w:r>
      <w:r w:rsidR="00990278" w:rsidRPr="002117A8">
        <w:rPr>
          <w:rFonts w:cs="MyriadPro-Regular"/>
          <w:sz w:val="24"/>
          <w:szCs w:val="24"/>
        </w:rPr>
        <w:t xml:space="preserve"> provides the gateway thereafter in the assessment algorithm</w:t>
      </w:r>
      <w:r w:rsidR="00A22BC3" w:rsidRPr="002117A8">
        <w:rPr>
          <w:rFonts w:cs="MyriadPro-Regular"/>
          <w:sz w:val="24"/>
          <w:szCs w:val="24"/>
        </w:rPr>
        <w:t xml:space="preserve"> (Figure </w:t>
      </w:r>
      <w:r w:rsidR="00CC3103" w:rsidRPr="002117A8">
        <w:rPr>
          <w:rFonts w:cs="MyriadPro-Regular"/>
          <w:sz w:val="24"/>
          <w:szCs w:val="24"/>
        </w:rPr>
        <w:t>2</w:t>
      </w:r>
      <w:r w:rsidR="00A22BC3" w:rsidRPr="002117A8">
        <w:rPr>
          <w:rFonts w:cs="MyriadPro-Regular"/>
          <w:sz w:val="24"/>
          <w:szCs w:val="24"/>
        </w:rPr>
        <w:t>)</w:t>
      </w:r>
      <w:r w:rsidR="00990278" w:rsidRPr="002117A8">
        <w:rPr>
          <w:rFonts w:cs="MyriadPro-Regular"/>
          <w:sz w:val="24"/>
          <w:szCs w:val="24"/>
        </w:rPr>
        <w:t>.  The BMD thresholds used are unique to Japan;</w:t>
      </w:r>
      <w:r w:rsidR="00990278" w:rsidRPr="002117A8">
        <w:rPr>
          <w:sz w:val="24"/>
          <w:szCs w:val="24"/>
        </w:rPr>
        <w:t xml:space="preserve"> </w:t>
      </w:r>
      <w:r w:rsidR="00990278" w:rsidRPr="002117A8">
        <w:rPr>
          <w:rFonts w:cs="MyriadPro-Regular"/>
          <w:sz w:val="24"/>
          <w:szCs w:val="24"/>
        </w:rPr>
        <w:t>intervention is based on BMD expressed as a % of young adult mean values (YAM).  These diagnostic (and intervention) thresholds were derived by maximising sensitivity and specificity for fracture detection</w:t>
      </w:r>
      <w:r w:rsidR="00A22BC3" w:rsidRPr="002117A8">
        <w:rPr>
          <w:sz w:val="24"/>
          <w:szCs w:val="24"/>
        </w:rPr>
        <w:t xml:space="preserve"> with </w:t>
      </w:r>
      <w:r w:rsidR="00A22BC3" w:rsidRPr="002117A8">
        <w:rPr>
          <w:rFonts w:cs="MyriadPro-Regular"/>
          <w:sz w:val="24"/>
          <w:szCs w:val="24"/>
        </w:rPr>
        <w:t xml:space="preserve">several technologies at several skeletal sites </w:t>
      </w:r>
      <w:r w:rsidR="007935FD" w:rsidRPr="002117A8">
        <w:rPr>
          <w:rFonts w:cs="MyriadPro-Regular"/>
          <w:sz w:val="24"/>
          <w:szCs w:val="24"/>
        </w:rPr>
        <w:t>[134]</w:t>
      </w:r>
      <w:r w:rsidR="00990278" w:rsidRPr="002117A8">
        <w:rPr>
          <w:rFonts w:cs="MyriadPro-Regular"/>
          <w:sz w:val="24"/>
          <w:szCs w:val="24"/>
        </w:rPr>
        <w:t xml:space="preserve">. </w:t>
      </w:r>
      <w:r w:rsidR="00A22BC3" w:rsidRPr="002117A8">
        <w:rPr>
          <w:rFonts w:cs="MyriadPro-Regular"/>
          <w:sz w:val="24"/>
          <w:szCs w:val="24"/>
        </w:rPr>
        <w:t xml:space="preserve"> </w:t>
      </w:r>
      <w:r w:rsidR="00990278" w:rsidRPr="002117A8">
        <w:rPr>
          <w:rFonts w:cs="MyriadPro-Regular"/>
          <w:sz w:val="24"/>
          <w:szCs w:val="24"/>
        </w:rPr>
        <w:t>Intervention thresholds using YAM were set at 70</w:t>
      </w:r>
      <w:r w:rsidR="00DC5574" w:rsidRPr="002117A8">
        <w:rPr>
          <w:rFonts w:cs="MyriadPro-Regular"/>
          <w:sz w:val="24"/>
          <w:szCs w:val="24"/>
        </w:rPr>
        <w:t xml:space="preserve"> </w:t>
      </w:r>
      <w:r w:rsidR="00990278" w:rsidRPr="002117A8">
        <w:rPr>
          <w:rFonts w:cs="MyriadPro-Regular"/>
          <w:sz w:val="24"/>
          <w:szCs w:val="24"/>
        </w:rPr>
        <w:t>% and 80</w:t>
      </w:r>
      <w:r w:rsidR="00DC5574" w:rsidRPr="002117A8">
        <w:rPr>
          <w:rFonts w:cs="MyriadPro-Regular"/>
          <w:sz w:val="24"/>
          <w:szCs w:val="24"/>
        </w:rPr>
        <w:t xml:space="preserve"> </w:t>
      </w:r>
      <w:r w:rsidR="00990278" w:rsidRPr="002117A8">
        <w:rPr>
          <w:rFonts w:cs="MyriadPro-Regular"/>
          <w:sz w:val="24"/>
          <w:szCs w:val="24"/>
        </w:rPr>
        <w:t>%</w:t>
      </w:r>
      <w:r w:rsidR="00A22BC3" w:rsidRPr="002117A8">
        <w:rPr>
          <w:rFonts w:cs="MyriadPro-Regular"/>
          <w:sz w:val="24"/>
          <w:szCs w:val="24"/>
        </w:rPr>
        <w:t>.</w:t>
      </w:r>
      <w:r w:rsidR="00990278" w:rsidRPr="002117A8">
        <w:rPr>
          <w:rFonts w:cs="MyriadPro-Regular"/>
          <w:sz w:val="24"/>
          <w:szCs w:val="24"/>
        </w:rPr>
        <w:t xml:space="preserve"> </w:t>
      </w:r>
      <w:r w:rsidR="00A22BC3" w:rsidRPr="002117A8">
        <w:rPr>
          <w:rFonts w:cs="MyriadPro-Regular"/>
          <w:sz w:val="24"/>
          <w:szCs w:val="24"/>
        </w:rPr>
        <w:t xml:space="preserve"> </w:t>
      </w:r>
      <w:r w:rsidR="00990278" w:rsidRPr="002117A8">
        <w:rPr>
          <w:rFonts w:cs="MyriadPro-Regular"/>
          <w:sz w:val="24"/>
          <w:szCs w:val="24"/>
        </w:rPr>
        <w:t>For BMD at the femoral neck with DXA,</w:t>
      </w:r>
      <w:r w:rsidR="00990278" w:rsidRPr="00DB1D7C">
        <w:rPr>
          <w:rFonts w:cs="MyriadPro-Regular"/>
          <w:sz w:val="24"/>
          <w:szCs w:val="24"/>
        </w:rPr>
        <w:t xml:space="preserve"> a YAM of 70</w:t>
      </w:r>
      <w:r w:rsidR="00DC5574">
        <w:rPr>
          <w:rFonts w:cs="MyriadPro-Regular"/>
          <w:sz w:val="24"/>
          <w:szCs w:val="24"/>
        </w:rPr>
        <w:t xml:space="preserve"> </w:t>
      </w:r>
      <w:r w:rsidR="00990278" w:rsidRPr="00DB1D7C">
        <w:rPr>
          <w:rFonts w:cs="MyriadPro-Regular"/>
          <w:sz w:val="24"/>
          <w:szCs w:val="24"/>
        </w:rPr>
        <w:t>% and 80</w:t>
      </w:r>
      <w:r w:rsidR="00DC5574">
        <w:rPr>
          <w:rFonts w:cs="MyriadPro-Regular"/>
          <w:sz w:val="24"/>
          <w:szCs w:val="24"/>
        </w:rPr>
        <w:t xml:space="preserve"> </w:t>
      </w:r>
      <w:r w:rsidR="00990278" w:rsidRPr="00DB1D7C">
        <w:rPr>
          <w:rFonts w:cs="MyriadPro-Regular"/>
          <w:sz w:val="24"/>
          <w:szCs w:val="24"/>
        </w:rPr>
        <w:t xml:space="preserve">% </w:t>
      </w:r>
      <w:r w:rsidR="00A22BC3" w:rsidRPr="00DB1D7C">
        <w:rPr>
          <w:rFonts w:cs="MyriadPro-Regular"/>
          <w:sz w:val="24"/>
          <w:szCs w:val="24"/>
        </w:rPr>
        <w:t xml:space="preserve">are </w:t>
      </w:r>
      <w:r w:rsidR="00A22BC3" w:rsidRPr="00DB1D7C">
        <w:rPr>
          <w:rFonts w:cs="MyriadPro-Regular"/>
          <w:sz w:val="24"/>
          <w:szCs w:val="24"/>
        </w:rPr>
        <w:lastRenderedPageBreak/>
        <w:t>equivalent</w:t>
      </w:r>
      <w:r w:rsidR="00990278" w:rsidRPr="00DB1D7C">
        <w:rPr>
          <w:rFonts w:cs="MyriadPro-Regular"/>
          <w:sz w:val="24"/>
          <w:szCs w:val="24"/>
        </w:rPr>
        <w:t xml:space="preserve"> to a T-score of −2.7 SD and −1.8 SD, respectively, using the NHANES III reference for BMD at the femoral neck in Caucasian women aged 20–29 years (the international T-score referent used in FRAX).</w:t>
      </w:r>
    </w:p>
    <w:p w14:paraId="0E43B132" w14:textId="77777777" w:rsidR="001954A6" w:rsidRPr="00DB1D7C" w:rsidRDefault="001954A6" w:rsidP="007A3B42">
      <w:pPr>
        <w:autoSpaceDE w:val="0"/>
        <w:autoSpaceDN w:val="0"/>
        <w:adjustRightInd w:val="0"/>
        <w:spacing w:after="0" w:line="276" w:lineRule="auto"/>
        <w:rPr>
          <w:rFonts w:cs="MyriadPro-Regular"/>
          <w:sz w:val="24"/>
          <w:szCs w:val="24"/>
        </w:rPr>
      </w:pPr>
    </w:p>
    <w:p w14:paraId="2962C137" w14:textId="52E86BB1" w:rsidR="00F62524" w:rsidRPr="00DB1D7C" w:rsidRDefault="004E7329" w:rsidP="007A3B42">
      <w:pPr>
        <w:autoSpaceDE w:val="0"/>
        <w:autoSpaceDN w:val="0"/>
        <w:adjustRightInd w:val="0"/>
        <w:spacing w:after="0" w:line="276" w:lineRule="auto"/>
        <w:rPr>
          <w:rFonts w:cs="MyriadPro-Regular"/>
          <w:sz w:val="24"/>
          <w:szCs w:val="24"/>
        </w:rPr>
      </w:pPr>
      <w:r w:rsidRPr="00DB1D7C">
        <w:rPr>
          <w:rFonts w:cs="MyriadPro-Regular"/>
          <w:sz w:val="24"/>
          <w:szCs w:val="24"/>
        </w:rPr>
        <w:t xml:space="preserve">After the FRAX tool became available, </w:t>
      </w:r>
      <w:r w:rsidR="00A22BC3" w:rsidRPr="002117A8">
        <w:rPr>
          <w:rFonts w:cs="MyriadPro-Regular"/>
          <w:sz w:val="24"/>
          <w:szCs w:val="24"/>
        </w:rPr>
        <w:t>p</w:t>
      </w:r>
      <w:r w:rsidRPr="002117A8">
        <w:rPr>
          <w:rFonts w:cs="MyriadPro-Regular"/>
          <w:sz w:val="24"/>
          <w:szCs w:val="24"/>
        </w:rPr>
        <w:t xml:space="preserve">robabilities of </w:t>
      </w:r>
      <w:r w:rsidR="00FE2135" w:rsidRPr="002117A8">
        <w:rPr>
          <w:rFonts w:cs="MyriadPro-Regular"/>
          <w:sz w:val="24"/>
          <w:szCs w:val="24"/>
        </w:rPr>
        <w:t xml:space="preserve">a major osteoporotic fracture </w:t>
      </w:r>
      <w:r w:rsidRPr="002117A8">
        <w:rPr>
          <w:rFonts w:cs="MyriadPro-Regular"/>
          <w:sz w:val="24"/>
          <w:szCs w:val="24"/>
        </w:rPr>
        <w:t xml:space="preserve">were calculated that were equivalent to the existing intervention thresholds based on YAM </w:t>
      </w:r>
      <w:r w:rsidR="007935FD" w:rsidRPr="002117A8">
        <w:rPr>
          <w:rFonts w:cs="MyriadPro-Regular"/>
          <w:sz w:val="24"/>
          <w:szCs w:val="24"/>
        </w:rPr>
        <w:t>[135]</w:t>
      </w:r>
      <w:r w:rsidRPr="002117A8">
        <w:rPr>
          <w:rFonts w:cs="MyriadPro-Regular"/>
          <w:sz w:val="24"/>
          <w:szCs w:val="24"/>
        </w:rPr>
        <w:t xml:space="preserve">. </w:t>
      </w:r>
      <w:r w:rsidR="00A22BC3" w:rsidRPr="002117A8">
        <w:rPr>
          <w:rFonts w:cs="MyriadPro-Regular"/>
          <w:sz w:val="24"/>
          <w:szCs w:val="24"/>
        </w:rPr>
        <w:t xml:space="preserve"> </w:t>
      </w:r>
      <w:r w:rsidR="00FE2135" w:rsidRPr="002117A8">
        <w:rPr>
          <w:rFonts w:cs="MyriadPro-Regular"/>
          <w:sz w:val="24"/>
          <w:szCs w:val="24"/>
        </w:rPr>
        <w:t xml:space="preserve">Thresholds of equivalence varied with age, ranging from 5 % at an age of 50 years to more than 20 % at the age of 80 years.    </w:t>
      </w:r>
      <w:r w:rsidR="00A22BC3" w:rsidRPr="002117A8">
        <w:rPr>
          <w:rFonts w:cs="MyriadPro-Regular"/>
          <w:sz w:val="24"/>
          <w:szCs w:val="24"/>
        </w:rPr>
        <w:t xml:space="preserve">Although equivalent probabilities were age-dependent, the guideline revision recommended a fixed intervention threshold of </w:t>
      </w:r>
      <w:r w:rsidR="00FE2135" w:rsidRPr="002117A8">
        <w:rPr>
          <w:rFonts w:cs="MyriadPro-Regular"/>
          <w:sz w:val="24"/>
          <w:szCs w:val="24"/>
        </w:rPr>
        <w:t>15 %</w:t>
      </w:r>
      <w:r w:rsidR="00A22BC3" w:rsidRPr="002117A8">
        <w:rPr>
          <w:rFonts w:cs="MyriadPro-Regular"/>
          <w:sz w:val="24"/>
          <w:szCs w:val="24"/>
        </w:rPr>
        <w:t xml:space="preserve"> </w:t>
      </w:r>
      <w:r w:rsidR="00F62524" w:rsidRPr="002117A8">
        <w:rPr>
          <w:rFonts w:cs="MyriadPro-Regular"/>
          <w:sz w:val="24"/>
          <w:szCs w:val="24"/>
        </w:rPr>
        <w:t xml:space="preserve">for major osteoporotic fracture </w:t>
      </w:r>
      <w:r w:rsidR="00FE2135" w:rsidRPr="002117A8">
        <w:rPr>
          <w:rFonts w:cs="MyriadPro-Regular"/>
          <w:sz w:val="24"/>
          <w:szCs w:val="24"/>
        </w:rPr>
        <w:t>for men and women with no fracture history and a YAM between 80 and 70</w:t>
      </w:r>
      <w:r w:rsidR="00DC5574" w:rsidRPr="002117A8">
        <w:rPr>
          <w:rFonts w:cs="MyriadPro-Regular"/>
          <w:sz w:val="24"/>
          <w:szCs w:val="24"/>
        </w:rPr>
        <w:t xml:space="preserve"> </w:t>
      </w:r>
      <w:r w:rsidR="00FE2135" w:rsidRPr="002117A8">
        <w:rPr>
          <w:rFonts w:cs="MyriadPro-Regular"/>
          <w:sz w:val="24"/>
          <w:szCs w:val="24"/>
        </w:rPr>
        <w:t>% (the Japanese equivalent to osteopenia)</w:t>
      </w:r>
      <w:r w:rsidRPr="002117A8">
        <w:rPr>
          <w:rFonts w:cs="MyriadPro-Regular"/>
          <w:sz w:val="24"/>
          <w:szCs w:val="24"/>
        </w:rPr>
        <w:t xml:space="preserve"> </w:t>
      </w:r>
      <w:r w:rsidR="008546A7" w:rsidRPr="002117A8">
        <w:rPr>
          <w:rFonts w:ascii="Calibri" w:hAnsi="Calibri"/>
          <w:sz w:val="24"/>
          <w:szCs w:val="24"/>
        </w:rPr>
        <w:t>[31]</w:t>
      </w:r>
      <w:r w:rsidR="00F62524" w:rsidRPr="002117A8">
        <w:rPr>
          <w:rFonts w:cs="MyriadPro-Regular"/>
          <w:sz w:val="24"/>
          <w:szCs w:val="24"/>
        </w:rPr>
        <w:t xml:space="preserve">. </w:t>
      </w:r>
      <w:r w:rsidRPr="002117A8">
        <w:rPr>
          <w:rFonts w:cs="MyriadPro-Regular"/>
          <w:sz w:val="24"/>
          <w:szCs w:val="24"/>
        </w:rPr>
        <w:t xml:space="preserve"> </w:t>
      </w:r>
    </w:p>
    <w:p w14:paraId="4C9B350B" w14:textId="77777777" w:rsidR="004E7329" w:rsidRPr="00DB1D7C" w:rsidRDefault="004E7329" w:rsidP="007A3B42">
      <w:pPr>
        <w:autoSpaceDE w:val="0"/>
        <w:autoSpaceDN w:val="0"/>
        <w:adjustRightInd w:val="0"/>
        <w:spacing w:after="0" w:line="276" w:lineRule="auto"/>
        <w:rPr>
          <w:rFonts w:cs="MyriadPro-Regular"/>
          <w:sz w:val="24"/>
          <w:szCs w:val="24"/>
        </w:rPr>
      </w:pPr>
    </w:p>
    <w:p w14:paraId="794ECD92" w14:textId="77777777" w:rsidR="004E7329" w:rsidRPr="00DB1D7C" w:rsidRDefault="004E7329" w:rsidP="004E7329">
      <w:pPr>
        <w:autoSpaceDE w:val="0"/>
        <w:autoSpaceDN w:val="0"/>
        <w:adjustRightInd w:val="0"/>
        <w:spacing w:after="0" w:line="240" w:lineRule="auto"/>
        <w:jc w:val="center"/>
        <w:rPr>
          <w:rFonts w:cs="MyriadPro-Regular"/>
          <w:sz w:val="24"/>
          <w:szCs w:val="24"/>
        </w:rPr>
      </w:pPr>
      <w:r w:rsidRPr="00DB1D7C">
        <w:rPr>
          <w:rFonts w:cs="MyriadPro-Regular"/>
          <w:noProof/>
          <w:sz w:val="24"/>
          <w:szCs w:val="24"/>
          <w:lang w:eastAsia="en-GB"/>
        </w:rPr>
        <w:drawing>
          <wp:inline distT="0" distB="0" distL="0" distR="0" wp14:anchorId="1389063C" wp14:editId="3EDCC5C5">
            <wp:extent cx="4571999" cy="292417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14722"/>
                    <a:stretch/>
                  </pic:blipFill>
                  <pic:spPr bwMode="auto">
                    <a:xfrm>
                      <a:off x="0" y="0"/>
                      <a:ext cx="4572638" cy="2924583"/>
                    </a:xfrm>
                    <a:prstGeom prst="rect">
                      <a:avLst/>
                    </a:prstGeom>
                    <a:ln>
                      <a:noFill/>
                    </a:ln>
                    <a:extLst>
                      <a:ext uri="{53640926-AAD7-44D8-BBD7-CCE9431645EC}">
                        <a14:shadowObscured xmlns:a14="http://schemas.microsoft.com/office/drawing/2010/main"/>
                      </a:ext>
                    </a:extLst>
                  </pic:spPr>
                </pic:pic>
              </a:graphicData>
            </a:graphic>
          </wp:inline>
        </w:drawing>
      </w:r>
    </w:p>
    <w:p w14:paraId="5F314D6D" w14:textId="40C22DA2" w:rsidR="004E7329" w:rsidRPr="00DB1D7C" w:rsidRDefault="004E7329" w:rsidP="004E7329">
      <w:pPr>
        <w:jc w:val="center"/>
        <w:rPr>
          <w:rFonts w:ascii="Calibri" w:hAnsi="Calibri"/>
          <w:sz w:val="24"/>
          <w:szCs w:val="24"/>
        </w:rPr>
      </w:pPr>
      <w:r w:rsidRPr="002117A8">
        <w:rPr>
          <w:rFonts w:ascii="Calibri" w:hAnsi="Calibri"/>
          <w:b/>
          <w:sz w:val="24"/>
          <w:szCs w:val="24"/>
        </w:rPr>
        <w:t xml:space="preserve">Figure </w:t>
      </w:r>
      <w:r w:rsidR="00CC3103" w:rsidRPr="002117A8">
        <w:rPr>
          <w:rFonts w:ascii="Calibri" w:hAnsi="Calibri"/>
          <w:b/>
          <w:sz w:val="24"/>
          <w:szCs w:val="24"/>
        </w:rPr>
        <w:t>2</w:t>
      </w:r>
      <w:r w:rsidRPr="002117A8">
        <w:rPr>
          <w:rFonts w:ascii="Calibri" w:hAnsi="Calibri"/>
          <w:b/>
          <w:sz w:val="24"/>
          <w:szCs w:val="24"/>
        </w:rPr>
        <w:t xml:space="preserve">. </w:t>
      </w:r>
      <w:r w:rsidRPr="002117A8">
        <w:rPr>
          <w:rFonts w:ascii="Calibri" w:hAnsi="Calibri"/>
          <w:sz w:val="24"/>
          <w:szCs w:val="24"/>
        </w:rPr>
        <w:t xml:space="preserve"> Flow</w:t>
      </w:r>
      <w:r w:rsidRPr="00DB1D7C">
        <w:rPr>
          <w:rFonts w:ascii="Calibri" w:hAnsi="Calibri"/>
          <w:sz w:val="24"/>
          <w:szCs w:val="24"/>
        </w:rPr>
        <w:t xml:space="preserve"> chart for the assessment of osteoporosis in Japan.</w:t>
      </w:r>
    </w:p>
    <w:p w14:paraId="7DDA87E7" w14:textId="77777777" w:rsidR="00F62524" w:rsidRPr="00DB1D7C" w:rsidRDefault="00F62524" w:rsidP="008E1A65">
      <w:pPr>
        <w:rPr>
          <w:rFonts w:ascii="Calibri" w:hAnsi="Calibri"/>
          <w:i/>
          <w:sz w:val="24"/>
          <w:szCs w:val="24"/>
        </w:rPr>
      </w:pPr>
    </w:p>
    <w:p w14:paraId="40673DBA" w14:textId="1CCD2A5F" w:rsidR="008E1A65" w:rsidRPr="00DB1D7C" w:rsidRDefault="00E841CB" w:rsidP="007A3B42">
      <w:pPr>
        <w:spacing w:line="276" w:lineRule="auto"/>
        <w:rPr>
          <w:rFonts w:ascii="Calibri" w:hAnsi="Calibri"/>
          <w:i/>
          <w:sz w:val="24"/>
          <w:szCs w:val="24"/>
        </w:rPr>
      </w:pPr>
      <w:r w:rsidRPr="00DB1D7C">
        <w:rPr>
          <w:rFonts w:ascii="Calibri" w:hAnsi="Calibri"/>
          <w:i/>
          <w:sz w:val="24"/>
          <w:szCs w:val="24"/>
        </w:rPr>
        <w:t>Poland</w:t>
      </w:r>
      <w:r w:rsidR="008E1A65" w:rsidRPr="00DB1D7C">
        <w:rPr>
          <w:rFonts w:ascii="Calibri" w:hAnsi="Calibri"/>
          <w:i/>
          <w:sz w:val="24"/>
          <w:szCs w:val="24"/>
        </w:rPr>
        <w:tab/>
      </w:r>
      <w:r w:rsidR="008E1A65" w:rsidRPr="00DB1D7C">
        <w:rPr>
          <w:rFonts w:ascii="Calibri" w:hAnsi="Calibri"/>
          <w:i/>
          <w:sz w:val="24"/>
          <w:szCs w:val="24"/>
        </w:rPr>
        <w:tab/>
      </w:r>
      <w:r w:rsidR="008E1A65" w:rsidRPr="00DB1D7C">
        <w:rPr>
          <w:rFonts w:ascii="Calibri" w:hAnsi="Calibri"/>
          <w:i/>
          <w:sz w:val="24"/>
          <w:szCs w:val="24"/>
        </w:rPr>
        <w:tab/>
      </w:r>
      <w:r w:rsidR="008E1A65" w:rsidRPr="00DB1D7C">
        <w:rPr>
          <w:rFonts w:ascii="Calibri" w:hAnsi="Calibri"/>
          <w:i/>
          <w:sz w:val="24"/>
          <w:szCs w:val="24"/>
        </w:rPr>
        <w:tab/>
      </w:r>
    </w:p>
    <w:p w14:paraId="773DA7BD" w14:textId="2A74DEAE" w:rsidR="008A3B98" w:rsidRDefault="003105F3" w:rsidP="008A3B98">
      <w:pPr>
        <w:spacing w:line="276" w:lineRule="auto"/>
      </w:pPr>
      <w:r w:rsidRPr="003105F3">
        <w:rPr>
          <w:rFonts w:ascii="Calibri" w:hAnsi="Calibri"/>
          <w:sz w:val="24"/>
          <w:szCs w:val="24"/>
        </w:rPr>
        <w:t xml:space="preserve">A study </w:t>
      </w:r>
      <w:r>
        <w:rPr>
          <w:rFonts w:ascii="Calibri" w:hAnsi="Calibri"/>
          <w:sz w:val="24"/>
          <w:szCs w:val="24"/>
        </w:rPr>
        <w:t>of a convenience sample of 1,608 wo</w:t>
      </w:r>
      <w:r w:rsidR="008A3B98">
        <w:rPr>
          <w:rFonts w:ascii="Calibri" w:hAnsi="Calibri"/>
          <w:sz w:val="24"/>
          <w:szCs w:val="24"/>
        </w:rPr>
        <w:t>m</w:t>
      </w:r>
      <w:r>
        <w:rPr>
          <w:rFonts w:ascii="Calibri" w:hAnsi="Calibri"/>
          <w:sz w:val="24"/>
          <w:szCs w:val="24"/>
        </w:rPr>
        <w:t xml:space="preserve">en </w:t>
      </w:r>
      <w:r w:rsidR="008A3B98">
        <w:rPr>
          <w:rFonts w:ascii="Calibri" w:hAnsi="Calibri"/>
          <w:sz w:val="24"/>
          <w:szCs w:val="24"/>
        </w:rPr>
        <w:t xml:space="preserve">age 40-89 years </w:t>
      </w:r>
      <w:r w:rsidR="008A3B98" w:rsidRPr="008A3B98">
        <w:rPr>
          <w:rFonts w:ascii="Calibri" w:hAnsi="Calibri"/>
          <w:sz w:val="24"/>
          <w:szCs w:val="24"/>
        </w:rPr>
        <w:t>in the region of Bialystok,</w:t>
      </w:r>
      <w:r w:rsidR="008A3B98">
        <w:rPr>
          <w:rFonts w:ascii="Calibri" w:hAnsi="Calibri"/>
          <w:sz w:val="24"/>
          <w:szCs w:val="24"/>
        </w:rPr>
        <w:t xml:space="preserve"> Poland </w:t>
      </w:r>
      <w:r w:rsidRPr="003105F3">
        <w:rPr>
          <w:rFonts w:ascii="Calibri" w:hAnsi="Calibri"/>
          <w:sz w:val="24"/>
          <w:szCs w:val="24"/>
        </w:rPr>
        <w:t xml:space="preserve">recommended an intervention threshold </w:t>
      </w:r>
      <w:r w:rsidR="008A3B98">
        <w:rPr>
          <w:rFonts w:ascii="Calibri" w:hAnsi="Calibri"/>
          <w:sz w:val="24"/>
          <w:szCs w:val="24"/>
        </w:rPr>
        <w:t>set</w:t>
      </w:r>
      <w:r w:rsidRPr="003105F3">
        <w:rPr>
          <w:rFonts w:ascii="Calibri" w:hAnsi="Calibri"/>
          <w:sz w:val="24"/>
          <w:szCs w:val="24"/>
        </w:rPr>
        <w:t xml:space="preserve"> a</w:t>
      </w:r>
      <w:r w:rsidR="00686D56">
        <w:rPr>
          <w:rFonts w:ascii="Calibri" w:hAnsi="Calibri"/>
          <w:sz w:val="24"/>
          <w:szCs w:val="24"/>
        </w:rPr>
        <w:t>t</w:t>
      </w:r>
      <w:r w:rsidRPr="003105F3">
        <w:rPr>
          <w:rFonts w:ascii="Calibri" w:hAnsi="Calibri"/>
          <w:sz w:val="24"/>
          <w:szCs w:val="24"/>
        </w:rPr>
        <w:t xml:space="preserve"> 18</w:t>
      </w:r>
      <w:r w:rsidR="00DC5574">
        <w:rPr>
          <w:rFonts w:ascii="Calibri" w:hAnsi="Calibri"/>
          <w:sz w:val="24"/>
          <w:szCs w:val="24"/>
        </w:rPr>
        <w:t xml:space="preserve"> </w:t>
      </w:r>
      <w:r w:rsidRPr="003105F3">
        <w:rPr>
          <w:rFonts w:ascii="Calibri" w:hAnsi="Calibri"/>
          <w:sz w:val="24"/>
          <w:szCs w:val="24"/>
        </w:rPr>
        <w:t>% probability of a major osteoporotic fracture or a 9</w:t>
      </w:r>
      <w:r w:rsidR="00DC5574">
        <w:rPr>
          <w:rFonts w:ascii="Calibri" w:hAnsi="Calibri"/>
          <w:sz w:val="24"/>
          <w:szCs w:val="24"/>
        </w:rPr>
        <w:t xml:space="preserve"> </w:t>
      </w:r>
      <w:r w:rsidRPr="003105F3">
        <w:rPr>
          <w:rFonts w:ascii="Calibri" w:hAnsi="Calibri"/>
          <w:sz w:val="24"/>
          <w:szCs w:val="24"/>
        </w:rPr>
        <w:t xml:space="preserve">% probability of a hip </w:t>
      </w:r>
      <w:r w:rsidRPr="002117A8">
        <w:rPr>
          <w:sz w:val="24"/>
          <w:szCs w:val="24"/>
        </w:rPr>
        <w:t>fracture</w:t>
      </w:r>
      <w:r w:rsidR="008A3B98" w:rsidRPr="002117A8">
        <w:rPr>
          <w:sz w:val="24"/>
          <w:szCs w:val="24"/>
        </w:rPr>
        <w:t xml:space="preserve"> </w:t>
      </w:r>
      <w:r w:rsidR="00C2079F" w:rsidRPr="002117A8">
        <w:rPr>
          <w:sz w:val="24"/>
          <w:szCs w:val="24"/>
        </w:rPr>
        <w:t>[91]</w:t>
      </w:r>
      <w:r w:rsidR="008A3B98" w:rsidRPr="002117A8">
        <w:rPr>
          <w:sz w:val="24"/>
          <w:szCs w:val="24"/>
        </w:rPr>
        <w:t xml:space="preserve">. </w:t>
      </w:r>
      <w:r w:rsidRPr="002117A8">
        <w:rPr>
          <w:rFonts w:cs="ZapfCalligrPL-Roman"/>
          <w:sz w:val="24"/>
          <w:szCs w:val="24"/>
        </w:rPr>
        <w:t xml:space="preserve"> </w:t>
      </w:r>
      <w:r w:rsidR="008A3B98" w:rsidRPr="002117A8">
        <w:rPr>
          <w:rFonts w:cs="ZapfCalligrPL-Roman"/>
          <w:sz w:val="24"/>
          <w:szCs w:val="24"/>
        </w:rPr>
        <w:t>These</w:t>
      </w:r>
      <w:r w:rsidR="008A3B98" w:rsidRPr="008A3B98">
        <w:rPr>
          <w:rFonts w:cs="ZapfCalligrPL-Roman"/>
          <w:sz w:val="24"/>
          <w:szCs w:val="24"/>
        </w:rPr>
        <w:t xml:space="preserve"> values approximated the mean fracture probabilities in women with a prior fragility fracture.</w:t>
      </w:r>
    </w:p>
    <w:p w14:paraId="417CE488" w14:textId="608F78F9" w:rsidR="00F06E31" w:rsidRPr="00DB1D7C" w:rsidRDefault="006A7CC6" w:rsidP="007A3B42">
      <w:pPr>
        <w:spacing w:line="276" w:lineRule="auto"/>
        <w:rPr>
          <w:rFonts w:ascii="Calibri" w:hAnsi="Calibri"/>
          <w:sz w:val="24"/>
          <w:szCs w:val="24"/>
        </w:rPr>
      </w:pPr>
      <w:r w:rsidRPr="00DB1D7C">
        <w:rPr>
          <w:rFonts w:ascii="Calibri" w:hAnsi="Calibri"/>
          <w:sz w:val="24"/>
          <w:szCs w:val="24"/>
        </w:rPr>
        <w:t>A</w:t>
      </w:r>
      <w:r w:rsidR="008A3B98">
        <w:rPr>
          <w:rFonts w:ascii="Calibri" w:hAnsi="Calibri"/>
          <w:sz w:val="24"/>
          <w:szCs w:val="24"/>
        </w:rPr>
        <w:t xml:space="preserve"> subsequent</w:t>
      </w:r>
      <w:r w:rsidRPr="00DB1D7C">
        <w:rPr>
          <w:rFonts w:ascii="Calibri" w:hAnsi="Calibri"/>
          <w:sz w:val="24"/>
          <w:szCs w:val="24"/>
        </w:rPr>
        <w:t xml:space="preserve"> approach to the development of FRAX-based intervention thresholds in Poland was, as in Japan, to determine the fracture probabilities that were equivalent to intervention threshold</w:t>
      </w:r>
      <w:r w:rsidR="00341424" w:rsidRPr="00DB1D7C">
        <w:rPr>
          <w:rFonts w:ascii="Calibri" w:hAnsi="Calibri"/>
          <w:sz w:val="24"/>
          <w:szCs w:val="24"/>
        </w:rPr>
        <w:t>s</w:t>
      </w:r>
      <w:r w:rsidRPr="00DB1D7C">
        <w:rPr>
          <w:rFonts w:ascii="Calibri" w:hAnsi="Calibri"/>
          <w:sz w:val="24"/>
          <w:szCs w:val="24"/>
        </w:rPr>
        <w:t xml:space="preserve"> </w:t>
      </w:r>
      <w:r w:rsidR="00341424" w:rsidRPr="00DB1D7C">
        <w:rPr>
          <w:rFonts w:ascii="Calibri" w:hAnsi="Calibri"/>
          <w:sz w:val="24"/>
          <w:szCs w:val="24"/>
        </w:rPr>
        <w:t xml:space="preserve">that </w:t>
      </w:r>
      <w:r w:rsidRPr="00DB1D7C">
        <w:rPr>
          <w:rFonts w:ascii="Calibri" w:hAnsi="Calibri"/>
          <w:sz w:val="24"/>
          <w:szCs w:val="24"/>
        </w:rPr>
        <w:t>pre-exist</w:t>
      </w:r>
      <w:r w:rsidR="00341424" w:rsidRPr="00DB1D7C">
        <w:rPr>
          <w:rFonts w:ascii="Calibri" w:hAnsi="Calibri"/>
          <w:sz w:val="24"/>
          <w:szCs w:val="24"/>
        </w:rPr>
        <w:t>ed</w:t>
      </w:r>
      <w:r w:rsidRPr="00DB1D7C">
        <w:rPr>
          <w:rFonts w:ascii="Calibri" w:hAnsi="Calibri"/>
          <w:sz w:val="24"/>
          <w:szCs w:val="24"/>
        </w:rPr>
        <w:t xml:space="preserve"> the development of FRAX.  At that time, intervention was recommended in individuals with a BMD T-score of </w:t>
      </w:r>
      <w:r w:rsidRPr="00DB1D7C">
        <w:rPr>
          <w:rFonts w:ascii="Calibri" w:hAnsi="Calibri"/>
          <w:sz w:val="24"/>
          <w:szCs w:val="24"/>
          <w:u w:val="single"/>
        </w:rPr>
        <w:t>&lt;</w:t>
      </w:r>
      <w:r w:rsidRPr="00DB1D7C">
        <w:rPr>
          <w:rFonts w:ascii="Calibri" w:hAnsi="Calibri"/>
          <w:sz w:val="24"/>
          <w:szCs w:val="24"/>
        </w:rPr>
        <w:t xml:space="preserve"> -2.5 SD or a prior fragility fracture.  </w:t>
      </w:r>
      <w:proofErr w:type="spellStart"/>
      <w:r w:rsidR="00E841CB" w:rsidRPr="002117A8">
        <w:rPr>
          <w:rFonts w:ascii="Calibri" w:hAnsi="Calibri"/>
          <w:sz w:val="24"/>
          <w:szCs w:val="24"/>
        </w:rPr>
        <w:t>Badurski</w:t>
      </w:r>
      <w:proofErr w:type="spellEnd"/>
      <w:r w:rsidR="00E841CB" w:rsidRPr="002117A8">
        <w:rPr>
          <w:rFonts w:ascii="Calibri" w:hAnsi="Calibri"/>
          <w:sz w:val="24"/>
          <w:szCs w:val="24"/>
        </w:rPr>
        <w:t xml:space="preserve"> </w:t>
      </w:r>
      <w:r w:rsidR="00C2079F" w:rsidRPr="002117A8">
        <w:rPr>
          <w:rFonts w:ascii="Calibri" w:hAnsi="Calibri"/>
          <w:sz w:val="24"/>
          <w:szCs w:val="24"/>
        </w:rPr>
        <w:t>[89]</w:t>
      </w:r>
      <w:r w:rsidR="00E841CB" w:rsidRPr="002117A8">
        <w:rPr>
          <w:rFonts w:ascii="Calibri" w:hAnsi="Calibri"/>
          <w:sz w:val="24"/>
          <w:szCs w:val="24"/>
        </w:rPr>
        <w:t xml:space="preserve"> explored</w:t>
      </w:r>
      <w:r w:rsidR="00E841CB" w:rsidRPr="00DB1D7C">
        <w:rPr>
          <w:rFonts w:ascii="Calibri" w:hAnsi="Calibri"/>
          <w:sz w:val="24"/>
          <w:szCs w:val="24"/>
        </w:rPr>
        <w:t xml:space="preserve"> FRAX-based intervention thresholds</w:t>
      </w:r>
      <w:r w:rsidR="006A28CD">
        <w:rPr>
          <w:rFonts w:ascii="Calibri" w:hAnsi="Calibri"/>
          <w:sz w:val="24"/>
          <w:szCs w:val="24"/>
        </w:rPr>
        <w:t xml:space="preserve"> </w:t>
      </w:r>
      <w:r w:rsidR="00E841CB" w:rsidRPr="00DB1D7C">
        <w:rPr>
          <w:rFonts w:ascii="Calibri" w:hAnsi="Calibri"/>
          <w:sz w:val="24"/>
          <w:szCs w:val="24"/>
        </w:rPr>
        <w:t>in 1608 postmeno</w:t>
      </w:r>
      <w:r w:rsidR="00E841CB" w:rsidRPr="00DB1D7C">
        <w:rPr>
          <w:rFonts w:ascii="Calibri" w:hAnsi="Calibri"/>
          <w:sz w:val="24"/>
          <w:szCs w:val="24"/>
        </w:rPr>
        <w:softHyphen/>
        <w:t xml:space="preserve">pausal women from </w:t>
      </w:r>
      <w:proofErr w:type="spellStart"/>
      <w:r w:rsidR="00E841CB" w:rsidRPr="00DB1D7C">
        <w:rPr>
          <w:rFonts w:ascii="Calibri" w:hAnsi="Calibri"/>
          <w:sz w:val="24"/>
          <w:szCs w:val="24"/>
        </w:rPr>
        <w:t>Białystok</w:t>
      </w:r>
      <w:proofErr w:type="spellEnd"/>
      <w:r w:rsidR="00F06E31" w:rsidRPr="00DB1D7C">
        <w:rPr>
          <w:rFonts w:ascii="Calibri" w:hAnsi="Calibri"/>
          <w:sz w:val="24"/>
          <w:szCs w:val="24"/>
        </w:rPr>
        <w:t>, Poland</w:t>
      </w:r>
      <w:r w:rsidR="00E841CB" w:rsidRPr="00DB1D7C">
        <w:rPr>
          <w:rFonts w:ascii="Calibri" w:hAnsi="Calibri"/>
          <w:sz w:val="24"/>
          <w:szCs w:val="24"/>
        </w:rPr>
        <w:t xml:space="preserve"> using the </w:t>
      </w:r>
      <w:r w:rsidR="00F06E31" w:rsidRPr="00DB1D7C">
        <w:rPr>
          <w:rFonts w:ascii="Calibri" w:hAnsi="Calibri"/>
          <w:sz w:val="24"/>
          <w:szCs w:val="24"/>
        </w:rPr>
        <w:t>UK FRAX</w:t>
      </w:r>
      <w:r w:rsidR="00E841CB" w:rsidRPr="00DB1D7C">
        <w:rPr>
          <w:rFonts w:ascii="Calibri" w:hAnsi="Calibri"/>
          <w:sz w:val="24"/>
          <w:szCs w:val="24"/>
        </w:rPr>
        <w:t xml:space="preserve"> model that were equivalent</w:t>
      </w:r>
      <w:r w:rsidR="00F06E31" w:rsidRPr="00DB1D7C">
        <w:rPr>
          <w:rFonts w:ascii="Calibri" w:hAnsi="Calibri"/>
          <w:sz w:val="24"/>
          <w:szCs w:val="24"/>
        </w:rPr>
        <w:t xml:space="preserve"> to a T-score of -2.5 SD and a prior fragility fracture.  The mean 10</w:t>
      </w:r>
      <w:r w:rsidR="00F06E31" w:rsidRPr="00DB1D7C">
        <w:rPr>
          <w:rFonts w:ascii="Calibri" w:hAnsi="Calibri"/>
          <w:sz w:val="24"/>
          <w:szCs w:val="24"/>
        </w:rPr>
        <w:noBreakHyphen/>
        <w:t xml:space="preserve">year </w:t>
      </w:r>
      <w:r w:rsidR="00F06E31" w:rsidRPr="00DB1D7C">
        <w:rPr>
          <w:rFonts w:ascii="Calibri" w:hAnsi="Calibri"/>
          <w:sz w:val="24"/>
          <w:szCs w:val="24"/>
        </w:rPr>
        <w:lastRenderedPageBreak/>
        <w:t>probability of a major osteoporotic fracture was 11.6</w:t>
      </w:r>
      <w:r w:rsidR="00DC5574">
        <w:rPr>
          <w:rFonts w:ascii="Calibri" w:hAnsi="Calibri"/>
          <w:sz w:val="24"/>
          <w:szCs w:val="24"/>
        </w:rPr>
        <w:t xml:space="preserve"> </w:t>
      </w:r>
      <w:r w:rsidR="00F06E31" w:rsidRPr="00DB1D7C">
        <w:rPr>
          <w:rFonts w:ascii="Calibri" w:hAnsi="Calibri"/>
          <w:sz w:val="24"/>
          <w:szCs w:val="24"/>
        </w:rPr>
        <w:t xml:space="preserve">% with BMD included in the FRAX model in women with a T-score of -2.5 </w:t>
      </w:r>
      <w:r w:rsidR="00CC2A55">
        <w:rPr>
          <w:rFonts w:ascii="Calibri" w:hAnsi="Calibri"/>
          <w:sz w:val="24"/>
          <w:szCs w:val="24"/>
        </w:rPr>
        <w:t xml:space="preserve">SD </w:t>
      </w:r>
      <w:r w:rsidR="00F06E31" w:rsidRPr="00DB1D7C">
        <w:rPr>
          <w:rFonts w:ascii="Calibri" w:hAnsi="Calibri"/>
          <w:sz w:val="24"/>
          <w:szCs w:val="24"/>
        </w:rPr>
        <w:t>or less. In women with a prior fragility fracture, the</w:t>
      </w:r>
      <w:r w:rsidR="00341424" w:rsidRPr="00DB1D7C">
        <w:rPr>
          <w:rFonts w:ascii="Calibri" w:hAnsi="Calibri"/>
          <w:sz w:val="24"/>
          <w:szCs w:val="24"/>
        </w:rPr>
        <w:t xml:space="preserve"> mean</w:t>
      </w:r>
      <w:r w:rsidR="00F06E31" w:rsidRPr="00DB1D7C">
        <w:rPr>
          <w:rFonts w:ascii="Calibri" w:hAnsi="Calibri"/>
          <w:sz w:val="24"/>
          <w:szCs w:val="24"/>
        </w:rPr>
        <w:t xml:space="preserve"> probabilit</w:t>
      </w:r>
      <w:r w:rsidR="00341424" w:rsidRPr="00DB1D7C">
        <w:rPr>
          <w:rFonts w:ascii="Calibri" w:hAnsi="Calibri"/>
          <w:sz w:val="24"/>
          <w:szCs w:val="24"/>
        </w:rPr>
        <w:t>y</w:t>
      </w:r>
      <w:r w:rsidR="00F06E31" w:rsidRPr="00DB1D7C">
        <w:rPr>
          <w:rFonts w:ascii="Calibri" w:hAnsi="Calibri"/>
          <w:sz w:val="24"/>
          <w:szCs w:val="24"/>
        </w:rPr>
        <w:t xml:space="preserve"> was 17.4</w:t>
      </w:r>
      <w:r w:rsidR="00DC5574">
        <w:rPr>
          <w:rFonts w:ascii="Calibri" w:hAnsi="Calibri"/>
          <w:sz w:val="24"/>
          <w:szCs w:val="24"/>
        </w:rPr>
        <w:t xml:space="preserve"> </w:t>
      </w:r>
      <w:r w:rsidR="00F06E31" w:rsidRPr="00DB1D7C">
        <w:rPr>
          <w:rFonts w:ascii="Calibri" w:hAnsi="Calibri"/>
          <w:sz w:val="24"/>
          <w:szCs w:val="24"/>
        </w:rPr>
        <w:t>%.</w:t>
      </w:r>
      <w:r w:rsidR="008A3B98">
        <w:rPr>
          <w:rFonts w:ascii="Calibri" w:hAnsi="Calibri"/>
          <w:sz w:val="24"/>
          <w:szCs w:val="24"/>
        </w:rPr>
        <w:t xml:space="preserve">  Note that these thresholds were based on the UK version of FRAX and subsequently, a Polish-specific model became available </w:t>
      </w:r>
      <w:r w:rsidR="006003BE">
        <w:rPr>
          <w:rFonts w:ascii="Calibri" w:hAnsi="Calibri"/>
          <w:sz w:val="24"/>
          <w:szCs w:val="24"/>
        </w:rPr>
        <w:t>(June 2011).</w:t>
      </w:r>
    </w:p>
    <w:p w14:paraId="4B8E3B43" w14:textId="37D73C5E" w:rsidR="003105F3" w:rsidRDefault="00341424" w:rsidP="007A3B42">
      <w:pPr>
        <w:spacing w:line="276" w:lineRule="auto"/>
        <w:rPr>
          <w:rFonts w:ascii="Calibri" w:hAnsi="Calibri"/>
          <w:sz w:val="24"/>
          <w:szCs w:val="24"/>
        </w:rPr>
      </w:pPr>
      <w:r w:rsidRPr="00DB1D7C">
        <w:rPr>
          <w:rFonts w:ascii="Calibri" w:hAnsi="Calibri"/>
          <w:sz w:val="24"/>
          <w:szCs w:val="24"/>
        </w:rPr>
        <w:t>The</w:t>
      </w:r>
      <w:r w:rsidR="000A0AE1" w:rsidRPr="00DB1D7C">
        <w:rPr>
          <w:rFonts w:ascii="Calibri" w:hAnsi="Calibri"/>
          <w:sz w:val="24"/>
          <w:szCs w:val="24"/>
        </w:rPr>
        <w:t xml:space="preserve"> authors concluded that age specific intervention thresholds were</w:t>
      </w:r>
      <w:r w:rsidR="000A0AE1" w:rsidRPr="00DB1D7C">
        <w:t xml:space="preserve"> </w:t>
      </w:r>
      <w:r w:rsidR="000A0AE1" w:rsidRPr="00DB1D7C">
        <w:rPr>
          <w:rFonts w:ascii="Calibri" w:hAnsi="Calibri"/>
          <w:sz w:val="24"/>
          <w:szCs w:val="24"/>
        </w:rPr>
        <w:t>more clinically appropriate than a fixed probability threshold for all ages (</w:t>
      </w:r>
      <w:r w:rsidR="007A3B42" w:rsidRPr="00DB1D7C">
        <w:rPr>
          <w:rFonts w:ascii="Calibri" w:hAnsi="Calibri"/>
          <w:sz w:val="24"/>
          <w:szCs w:val="24"/>
        </w:rPr>
        <w:t>see</w:t>
      </w:r>
      <w:r w:rsidR="000A0AE1" w:rsidRPr="00DB1D7C">
        <w:rPr>
          <w:rFonts w:ascii="Calibri" w:hAnsi="Calibri"/>
          <w:sz w:val="24"/>
          <w:szCs w:val="24"/>
        </w:rPr>
        <w:t xml:space="preserve"> </w:t>
      </w:r>
      <w:r w:rsidR="00792485" w:rsidRPr="00DF5C68">
        <w:rPr>
          <w:rFonts w:ascii="Calibri" w:hAnsi="Calibri"/>
          <w:i/>
          <w:sz w:val="24"/>
          <w:szCs w:val="24"/>
        </w:rPr>
        <w:t xml:space="preserve">Age-dependent thresholds in other </w:t>
      </w:r>
      <w:r w:rsidR="00792485" w:rsidRPr="00792485">
        <w:rPr>
          <w:rFonts w:ascii="Calibri" w:hAnsi="Calibri"/>
          <w:i/>
          <w:sz w:val="24"/>
          <w:szCs w:val="24"/>
        </w:rPr>
        <w:t>countries</w:t>
      </w:r>
      <w:r w:rsidR="00792485" w:rsidRPr="00792485">
        <w:rPr>
          <w:rFonts w:ascii="Calibri" w:hAnsi="Calibri"/>
          <w:sz w:val="24"/>
          <w:szCs w:val="24"/>
        </w:rPr>
        <w:t xml:space="preserve"> </w:t>
      </w:r>
      <w:r w:rsidR="000A0AE1" w:rsidRPr="00792485">
        <w:rPr>
          <w:rFonts w:ascii="Calibri" w:hAnsi="Calibri"/>
          <w:sz w:val="24"/>
          <w:szCs w:val="24"/>
        </w:rPr>
        <w:t>below)</w:t>
      </w:r>
      <w:r w:rsidR="00F06E31" w:rsidRPr="00792485">
        <w:rPr>
          <w:rFonts w:ascii="Calibri" w:hAnsi="Calibri"/>
          <w:sz w:val="24"/>
          <w:szCs w:val="24"/>
        </w:rPr>
        <w:t>.</w:t>
      </w:r>
      <w:r w:rsidR="00E841CB" w:rsidRPr="00792485">
        <w:rPr>
          <w:rFonts w:ascii="Calibri" w:hAnsi="Calibri"/>
          <w:sz w:val="24"/>
          <w:szCs w:val="24"/>
        </w:rPr>
        <w:t xml:space="preserve"> </w:t>
      </w:r>
      <w:r w:rsidR="00414F92" w:rsidRPr="00792485">
        <w:rPr>
          <w:rFonts w:ascii="Calibri" w:hAnsi="Calibri"/>
          <w:sz w:val="24"/>
          <w:szCs w:val="24"/>
        </w:rPr>
        <w:t>Notwithstanding</w:t>
      </w:r>
      <w:r w:rsidR="00414F92" w:rsidRPr="00DB1D7C">
        <w:rPr>
          <w:rFonts w:ascii="Calibri" w:hAnsi="Calibri"/>
          <w:sz w:val="24"/>
          <w:szCs w:val="24"/>
        </w:rPr>
        <w:t xml:space="preserve">, Polish guidelines subsequently recommended </w:t>
      </w:r>
      <w:r w:rsidR="000576DA" w:rsidRPr="00DB1D7C">
        <w:rPr>
          <w:rFonts w:ascii="Calibri" w:hAnsi="Calibri"/>
          <w:sz w:val="24"/>
          <w:szCs w:val="24"/>
        </w:rPr>
        <w:t xml:space="preserve">(expert opinion) </w:t>
      </w:r>
      <w:r w:rsidR="00414F92" w:rsidRPr="00DB1D7C">
        <w:rPr>
          <w:rFonts w:ascii="Calibri" w:hAnsi="Calibri"/>
          <w:sz w:val="24"/>
          <w:szCs w:val="24"/>
        </w:rPr>
        <w:t>a fixed intervention threshold of 10</w:t>
      </w:r>
      <w:r w:rsidR="00DC5574">
        <w:rPr>
          <w:rFonts w:ascii="Calibri" w:hAnsi="Calibri"/>
          <w:sz w:val="24"/>
          <w:szCs w:val="24"/>
        </w:rPr>
        <w:t xml:space="preserve"> </w:t>
      </w:r>
      <w:r w:rsidR="00414F92" w:rsidRPr="00DB1D7C">
        <w:rPr>
          <w:rFonts w:ascii="Calibri" w:hAnsi="Calibri"/>
          <w:sz w:val="24"/>
          <w:szCs w:val="24"/>
        </w:rPr>
        <w:t>% for a major osteoporotic fracture</w:t>
      </w:r>
      <w:r w:rsidR="000576DA" w:rsidRPr="00DB1D7C">
        <w:rPr>
          <w:rFonts w:ascii="Calibri" w:hAnsi="Calibri"/>
          <w:sz w:val="24"/>
          <w:szCs w:val="24"/>
        </w:rPr>
        <w:t xml:space="preserve"> </w:t>
      </w:r>
      <w:r w:rsidR="007935FD" w:rsidRPr="002117A8">
        <w:rPr>
          <w:rFonts w:ascii="Calibri" w:hAnsi="Calibri"/>
          <w:sz w:val="24"/>
          <w:szCs w:val="24"/>
        </w:rPr>
        <w:t>[92]</w:t>
      </w:r>
      <w:r w:rsidR="000576DA" w:rsidRPr="002117A8">
        <w:rPr>
          <w:rFonts w:ascii="Calibri" w:hAnsi="Calibri"/>
          <w:sz w:val="24"/>
          <w:szCs w:val="24"/>
        </w:rPr>
        <w:t>.</w:t>
      </w:r>
    </w:p>
    <w:p w14:paraId="12D7AD9F" w14:textId="7C035EE6" w:rsidR="00341424" w:rsidRPr="00DB1D7C" w:rsidRDefault="008E1A65" w:rsidP="007A3B42">
      <w:pPr>
        <w:spacing w:line="276" w:lineRule="auto"/>
        <w:rPr>
          <w:rFonts w:ascii="Calibri" w:hAnsi="Calibri"/>
          <w:b/>
          <w:sz w:val="24"/>
          <w:szCs w:val="24"/>
        </w:rPr>
      </w:pPr>
      <w:r w:rsidRPr="00DB1D7C">
        <w:rPr>
          <w:rFonts w:ascii="Calibri" w:hAnsi="Calibri"/>
          <w:b/>
          <w:sz w:val="24"/>
          <w:szCs w:val="24"/>
        </w:rPr>
        <w:tab/>
      </w:r>
      <w:r w:rsidRPr="00DB1D7C">
        <w:rPr>
          <w:rFonts w:ascii="Calibri" w:hAnsi="Calibri"/>
          <w:b/>
          <w:sz w:val="24"/>
          <w:szCs w:val="24"/>
        </w:rPr>
        <w:tab/>
      </w:r>
    </w:p>
    <w:p w14:paraId="6871B44F" w14:textId="77777777" w:rsidR="002929F4" w:rsidRPr="00DB1D7C" w:rsidRDefault="002929F4" w:rsidP="007A3B42">
      <w:pPr>
        <w:autoSpaceDE w:val="0"/>
        <w:autoSpaceDN w:val="0"/>
        <w:adjustRightInd w:val="0"/>
        <w:spacing w:after="0" w:line="276" w:lineRule="auto"/>
        <w:rPr>
          <w:rFonts w:cs="MyriadPro-Regular"/>
          <w:i/>
          <w:sz w:val="24"/>
          <w:szCs w:val="24"/>
        </w:rPr>
      </w:pPr>
      <w:r w:rsidRPr="00DB1D7C">
        <w:rPr>
          <w:rFonts w:cs="MyriadPro-Regular"/>
          <w:i/>
          <w:sz w:val="24"/>
          <w:szCs w:val="24"/>
        </w:rPr>
        <w:t>Hong Kong</w:t>
      </w:r>
    </w:p>
    <w:p w14:paraId="6D1F289E" w14:textId="77777777" w:rsidR="002929F4" w:rsidRPr="00DB1D7C" w:rsidRDefault="002929F4" w:rsidP="007A3B42">
      <w:pPr>
        <w:autoSpaceDE w:val="0"/>
        <w:autoSpaceDN w:val="0"/>
        <w:adjustRightInd w:val="0"/>
        <w:spacing w:after="0" w:line="276" w:lineRule="auto"/>
        <w:rPr>
          <w:rFonts w:cs="MyriadPro-Regular"/>
          <w:i/>
          <w:sz w:val="24"/>
          <w:szCs w:val="24"/>
        </w:rPr>
      </w:pPr>
    </w:p>
    <w:p w14:paraId="5F662125" w14:textId="362B0EF8" w:rsidR="002929F4" w:rsidRPr="00DB1D7C" w:rsidRDefault="002929F4" w:rsidP="007A3B42">
      <w:pPr>
        <w:spacing w:line="276" w:lineRule="auto"/>
        <w:rPr>
          <w:sz w:val="24"/>
          <w:szCs w:val="24"/>
        </w:rPr>
      </w:pPr>
      <w:r w:rsidRPr="00DB1D7C">
        <w:rPr>
          <w:sz w:val="24"/>
          <w:szCs w:val="24"/>
        </w:rPr>
        <w:t>Fixed FRAX thresholds were explored in a convenience sample of</w:t>
      </w:r>
      <w:r w:rsidRPr="00DB1D7C">
        <w:rPr>
          <w:rFonts w:ascii="AdvTT3713a231" w:hAnsi="AdvTT3713a231" w:cs="AdvTT3713a231"/>
          <w:color w:val="131413"/>
          <w:sz w:val="24"/>
          <w:szCs w:val="24"/>
        </w:rPr>
        <w:t xml:space="preserve"> </w:t>
      </w:r>
      <w:r w:rsidRPr="00DB1D7C">
        <w:rPr>
          <w:sz w:val="24"/>
          <w:szCs w:val="24"/>
        </w:rPr>
        <w:t xml:space="preserve">2,266 postmenopausal Chinese women from Hong Kong followed for an average of 4.5 years to determine the incidence of new </w:t>
      </w:r>
      <w:r w:rsidRPr="002117A8">
        <w:rPr>
          <w:sz w:val="24"/>
          <w:szCs w:val="24"/>
        </w:rPr>
        <w:t xml:space="preserve">fractures </w:t>
      </w:r>
      <w:r w:rsidR="007935FD" w:rsidRPr="002117A8">
        <w:rPr>
          <w:sz w:val="24"/>
          <w:szCs w:val="24"/>
        </w:rPr>
        <w:t>[81]</w:t>
      </w:r>
      <w:r w:rsidRPr="002117A8">
        <w:rPr>
          <w:sz w:val="24"/>
          <w:szCs w:val="24"/>
        </w:rPr>
        <w:t>.  One</w:t>
      </w:r>
      <w:r w:rsidRPr="00DB1D7C">
        <w:rPr>
          <w:sz w:val="24"/>
          <w:szCs w:val="24"/>
        </w:rPr>
        <w:t xml:space="preserve"> hundred and six new major osteoporotic fractures were reported. The sensitivity and specificity of two FRAX-based strategies were explored.  The first was to determine the operating characteristics in women where the threshold probability was set to the age-specific fracture probability equal to that of a woman with a prior fracture.  The second was to determine the ‘optimal’ fixed FRAX threshold.   </w:t>
      </w:r>
    </w:p>
    <w:p w14:paraId="6C126A12" w14:textId="2CAF7885" w:rsidR="002929F4" w:rsidRDefault="002929F4" w:rsidP="007A3B42">
      <w:pPr>
        <w:spacing w:line="276" w:lineRule="auto"/>
        <w:rPr>
          <w:sz w:val="24"/>
          <w:szCs w:val="24"/>
        </w:rPr>
      </w:pPr>
      <w:r w:rsidRPr="00DB1D7C">
        <w:rPr>
          <w:sz w:val="24"/>
          <w:szCs w:val="24"/>
        </w:rPr>
        <w:t>Where the threshold probability was set to the age-specific fracture probability equal to that of a woman with a prior fracture (FRAX, with BMD), the sensitivity and specificity was 47</w:t>
      </w:r>
      <w:r w:rsidR="00DC5574">
        <w:rPr>
          <w:sz w:val="24"/>
          <w:szCs w:val="24"/>
        </w:rPr>
        <w:t xml:space="preserve"> </w:t>
      </w:r>
      <w:r w:rsidRPr="00DB1D7C">
        <w:rPr>
          <w:sz w:val="24"/>
          <w:szCs w:val="24"/>
        </w:rPr>
        <w:t>% and 83</w:t>
      </w:r>
      <w:r w:rsidR="00DC5574">
        <w:rPr>
          <w:sz w:val="24"/>
          <w:szCs w:val="24"/>
        </w:rPr>
        <w:t xml:space="preserve"> </w:t>
      </w:r>
      <w:r w:rsidRPr="00DB1D7C">
        <w:rPr>
          <w:sz w:val="24"/>
          <w:szCs w:val="24"/>
        </w:rPr>
        <w:t xml:space="preserve">%, respectively.  Unsurprisingly, the use of a fixed threshold across all ages yielded higher sensitivity. The optimal cut-off point for the 10-year probability of a major fracture </w:t>
      </w:r>
      <w:r w:rsidR="00792485">
        <w:rPr>
          <w:sz w:val="24"/>
          <w:szCs w:val="24"/>
        </w:rPr>
        <w:t>as</w:t>
      </w:r>
      <w:r w:rsidRPr="00DB1D7C">
        <w:rPr>
          <w:sz w:val="24"/>
          <w:szCs w:val="24"/>
        </w:rPr>
        <w:t xml:space="preserve"> 9.95 % was identified with a sensitivity </w:t>
      </w:r>
      <w:r w:rsidR="00686D56">
        <w:rPr>
          <w:sz w:val="24"/>
          <w:szCs w:val="24"/>
        </w:rPr>
        <w:t xml:space="preserve">of </w:t>
      </w:r>
      <w:r w:rsidRPr="00DB1D7C">
        <w:rPr>
          <w:sz w:val="24"/>
          <w:szCs w:val="24"/>
        </w:rPr>
        <w:t xml:space="preserve">62.3 %, a specificity of 73.5 %) and </w:t>
      </w:r>
      <w:r w:rsidR="00686D56">
        <w:rPr>
          <w:sz w:val="24"/>
          <w:szCs w:val="24"/>
        </w:rPr>
        <w:t xml:space="preserve">a </w:t>
      </w:r>
      <w:r w:rsidRPr="00DB1D7C">
        <w:rPr>
          <w:sz w:val="24"/>
          <w:szCs w:val="24"/>
        </w:rPr>
        <w:t>positive predictive value of 10.3 %.</w:t>
      </w:r>
      <w:r w:rsidR="007A3B42" w:rsidRPr="00DB1D7C">
        <w:rPr>
          <w:sz w:val="24"/>
          <w:szCs w:val="24"/>
        </w:rPr>
        <w:t xml:space="preserve"> The current guidance of </w:t>
      </w:r>
      <w:r w:rsidR="007154C8" w:rsidRPr="00DB1D7C">
        <w:rPr>
          <w:sz w:val="24"/>
          <w:szCs w:val="24"/>
        </w:rPr>
        <w:t>the Osteoporosis</w:t>
      </w:r>
      <w:r w:rsidR="007A3B42" w:rsidRPr="00DB1D7C">
        <w:rPr>
          <w:sz w:val="24"/>
          <w:szCs w:val="24"/>
        </w:rPr>
        <w:t xml:space="preserve"> Society of Hong Kong mentions the 20</w:t>
      </w:r>
      <w:r w:rsidR="00DC5574">
        <w:rPr>
          <w:sz w:val="24"/>
          <w:szCs w:val="24"/>
        </w:rPr>
        <w:t xml:space="preserve"> </w:t>
      </w:r>
      <w:r w:rsidR="007A3B42" w:rsidRPr="00DB1D7C">
        <w:rPr>
          <w:sz w:val="24"/>
          <w:szCs w:val="24"/>
        </w:rPr>
        <w:t xml:space="preserve">% fixed threshold of NOF but gives no practical guidance on the use of FRAX in Hong </w:t>
      </w:r>
      <w:r w:rsidR="007A3B42" w:rsidRPr="002117A8">
        <w:rPr>
          <w:sz w:val="24"/>
          <w:szCs w:val="24"/>
        </w:rPr>
        <w:t xml:space="preserve">Kong </w:t>
      </w:r>
      <w:r w:rsidR="007935FD" w:rsidRPr="002117A8">
        <w:rPr>
          <w:sz w:val="24"/>
          <w:szCs w:val="24"/>
        </w:rPr>
        <w:t>[45]</w:t>
      </w:r>
      <w:r w:rsidR="007A3B42" w:rsidRPr="002117A8">
        <w:rPr>
          <w:sz w:val="24"/>
          <w:szCs w:val="24"/>
        </w:rPr>
        <w:t>.</w:t>
      </w:r>
    </w:p>
    <w:p w14:paraId="373EFA1C" w14:textId="2831FFB6" w:rsidR="00D8050D" w:rsidRPr="00D8050D" w:rsidRDefault="00D8050D" w:rsidP="007A3B42">
      <w:pPr>
        <w:spacing w:line="276" w:lineRule="auto"/>
        <w:rPr>
          <w:i/>
          <w:sz w:val="24"/>
          <w:szCs w:val="24"/>
        </w:rPr>
      </w:pPr>
      <w:r w:rsidRPr="00D8050D">
        <w:rPr>
          <w:i/>
          <w:sz w:val="24"/>
          <w:szCs w:val="24"/>
        </w:rPr>
        <w:t>China</w:t>
      </w:r>
    </w:p>
    <w:p w14:paraId="212BBA7E" w14:textId="46509338" w:rsidR="00D8050D" w:rsidRPr="00D8050D" w:rsidRDefault="00D8050D" w:rsidP="00355B8F">
      <w:pPr>
        <w:spacing w:line="276" w:lineRule="auto"/>
        <w:rPr>
          <w:rFonts w:cs="MyriadPro-Regular"/>
          <w:sz w:val="24"/>
          <w:szCs w:val="24"/>
        </w:rPr>
      </w:pPr>
      <w:r>
        <w:rPr>
          <w:rFonts w:cs="MyriadPro-Regular"/>
          <w:sz w:val="24"/>
          <w:szCs w:val="24"/>
        </w:rPr>
        <w:t xml:space="preserve">In China, </w:t>
      </w:r>
      <w:r w:rsidRPr="00D8050D">
        <w:rPr>
          <w:rFonts w:cs="MyriadPro-Regular"/>
          <w:sz w:val="24"/>
          <w:szCs w:val="24"/>
        </w:rPr>
        <w:t xml:space="preserve">intervention thresholds </w:t>
      </w:r>
      <w:r>
        <w:rPr>
          <w:rFonts w:cs="MyriadPro-Regular"/>
          <w:sz w:val="24"/>
          <w:szCs w:val="24"/>
        </w:rPr>
        <w:t>were set at 4 % for</w:t>
      </w:r>
      <w:r w:rsidRPr="00D8050D">
        <w:rPr>
          <w:rFonts w:cs="MyriadPro-Regular"/>
          <w:sz w:val="24"/>
          <w:szCs w:val="24"/>
        </w:rPr>
        <w:t xml:space="preserve"> the</w:t>
      </w:r>
      <w:r>
        <w:rPr>
          <w:rFonts w:cs="MyriadPro-Regular"/>
          <w:sz w:val="24"/>
          <w:szCs w:val="24"/>
        </w:rPr>
        <w:t xml:space="preserve"> </w:t>
      </w:r>
      <w:r w:rsidRPr="00D8050D">
        <w:rPr>
          <w:rFonts w:cs="MyriadPro-Regular"/>
          <w:sz w:val="24"/>
          <w:szCs w:val="24"/>
        </w:rPr>
        <w:t xml:space="preserve">10-year probability of major osteoporotic fracture and </w:t>
      </w:r>
      <w:r>
        <w:rPr>
          <w:rFonts w:cs="MyriadPro-Regular"/>
          <w:sz w:val="24"/>
          <w:szCs w:val="24"/>
        </w:rPr>
        <w:t xml:space="preserve">1.3 % for </w:t>
      </w:r>
      <w:r w:rsidRPr="00D8050D">
        <w:rPr>
          <w:rFonts w:cs="MyriadPro-Regular"/>
          <w:sz w:val="24"/>
          <w:szCs w:val="24"/>
        </w:rPr>
        <w:t>hip</w:t>
      </w:r>
      <w:r>
        <w:rPr>
          <w:rFonts w:cs="MyriadPro-Regular"/>
          <w:sz w:val="24"/>
          <w:szCs w:val="24"/>
        </w:rPr>
        <w:t xml:space="preserve"> </w:t>
      </w:r>
      <w:r w:rsidRPr="00D8050D">
        <w:rPr>
          <w:rFonts w:cs="MyriadPro-Regular"/>
          <w:sz w:val="24"/>
          <w:szCs w:val="24"/>
        </w:rPr>
        <w:t>fracture</w:t>
      </w:r>
      <w:r>
        <w:rPr>
          <w:rFonts w:cs="MyriadPro-Regular"/>
          <w:sz w:val="24"/>
          <w:szCs w:val="24"/>
        </w:rPr>
        <w:t xml:space="preserve">. In a series of postmenopausal women, 37.5 % were found to have osteoporosis </w:t>
      </w:r>
      <w:r w:rsidRPr="00D8050D">
        <w:rPr>
          <w:rFonts w:cs="MyriadPro-Regular"/>
          <w:sz w:val="24"/>
          <w:szCs w:val="24"/>
        </w:rPr>
        <w:t xml:space="preserve">calculated with BMD. </w:t>
      </w:r>
      <w:r>
        <w:rPr>
          <w:rFonts w:cs="MyriadPro-Regular"/>
          <w:sz w:val="24"/>
          <w:szCs w:val="24"/>
        </w:rPr>
        <w:t xml:space="preserve">The FRAX-based </w:t>
      </w:r>
      <w:r w:rsidR="007935FD">
        <w:rPr>
          <w:rFonts w:cs="MyriadPro-Regular"/>
          <w:sz w:val="24"/>
          <w:szCs w:val="24"/>
        </w:rPr>
        <w:t>thresholds</w:t>
      </w:r>
      <w:r>
        <w:rPr>
          <w:rFonts w:cs="MyriadPro-Regular"/>
          <w:sz w:val="24"/>
          <w:szCs w:val="24"/>
        </w:rPr>
        <w:t xml:space="preserve"> were set at the 62.5 (100-37.5) percentile of the FRAX distributio</w:t>
      </w:r>
      <w:r w:rsidRPr="00D8050D">
        <w:rPr>
          <w:rFonts w:cs="MyriadPro-Regular"/>
          <w:sz w:val="24"/>
          <w:szCs w:val="24"/>
        </w:rPr>
        <w:t xml:space="preserve">n </w:t>
      </w:r>
      <w:r>
        <w:rPr>
          <w:rFonts w:cs="MyriadPro-Regular"/>
          <w:sz w:val="24"/>
          <w:szCs w:val="24"/>
        </w:rPr>
        <w:t xml:space="preserve">i.e. to match the prevalence of </w:t>
      </w:r>
      <w:r w:rsidRPr="002117A8">
        <w:rPr>
          <w:rFonts w:cs="MyriadPro-Regular"/>
          <w:sz w:val="24"/>
          <w:szCs w:val="24"/>
        </w:rPr>
        <w:t xml:space="preserve">osteoporosis </w:t>
      </w:r>
      <w:r w:rsidR="000C74A2" w:rsidRPr="002117A8">
        <w:rPr>
          <w:rFonts w:cs="MyriadPro-Regular"/>
          <w:sz w:val="24"/>
          <w:szCs w:val="24"/>
        </w:rPr>
        <w:t>[75]</w:t>
      </w:r>
      <w:r w:rsidR="00355B8F" w:rsidRPr="002117A8">
        <w:rPr>
          <w:rFonts w:cs="MyriadPro-Regular"/>
          <w:sz w:val="24"/>
          <w:szCs w:val="24"/>
        </w:rPr>
        <w:t xml:space="preserve">. </w:t>
      </w:r>
    </w:p>
    <w:p w14:paraId="56A473E0" w14:textId="77777777" w:rsidR="007A3B42" w:rsidRPr="00DB1D7C" w:rsidRDefault="007A3B42" w:rsidP="00CC717D">
      <w:pPr>
        <w:autoSpaceDE w:val="0"/>
        <w:autoSpaceDN w:val="0"/>
        <w:adjustRightInd w:val="0"/>
        <w:spacing w:after="0" w:line="276" w:lineRule="auto"/>
        <w:rPr>
          <w:rFonts w:cs="MyriadPro-Regular"/>
          <w:i/>
          <w:sz w:val="24"/>
          <w:szCs w:val="24"/>
        </w:rPr>
      </w:pPr>
      <w:r w:rsidRPr="00DB1D7C">
        <w:rPr>
          <w:rFonts w:cs="MyriadPro-Regular"/>
          <w:i/>
          <w:sz w:val="24"/>
          <w:szCs w:val="24"/>
        </w:rPr>
        <w:t>Switzerland</w:t>
      </w:r>
    </w:p>
    <w:p w14:paraId="1DCD6327" w14:textId="77777777" w:rsidR="007A3B42" w:rsidRPr="00DB1D7C" w:rsidRDefault="007A3B42" w:rsidP="00CC717D">
      <w:pPr>
        <w:autoSpaceDE w:val="0"/>
        <w:autoSpaceDN w:val="0"/>
        <w:adjustRightInd w:val="0"/>
        <w:spacing w:after="0" w:line="276" w:lineRule="auto"/>
        <w:rPr>
          <w:rFonts w:cs="MyriadPro-Regular"/>
          <w:i/>
          <w:sz w:val="24"/>
          <w:szCs w:val="24"/>
        </w:rPr>
      </w:pPr>
    </w:p>
    <w:p w14:paraId="7DFE3F40" w14:textId="27E4C346" w:rsidR="007A3B42" w:rsidRPr="00DB1D7C" w:rsidRDefault="007A3B42" w:rsidP="00CC717D">
      <w:pPr>
        <w:spacing w:line="276" w:lineRule="auto"/>
        <w:rPr>
          <w:sz w:val="24"/>
          <w:szCs w:val="24"/>
        </w:rPr>
      </w:pPr>
      <w:r w:rsidRPr="00DB1D7C">
        <w:rPr>
          <w:sz w:val="24"/>
          <w:szCs w:val="24"/>
        </w:rPr>
        <w:t xml:space="preserve">In Switzerland, </w:t>
      </w:r>
      <w:r w:rsidR="00792485">
        <w:rPr>
          <w:sz w:val="24"/>
          <w:szCs w:val="24"/>
        </w:rPr>
        <w:t xml:space="preserve">a </w:t>
      </w:r>
      <w:r w:rsidRPr="00DB1D7C">
        <w:rPr>
          <w:sz w:val="24"/>
          <w:szCs w:val="24"/>
        </w:rPr>
        <w:t xml:space="preserve">FRAX intervention threshold of 15% probability of a major osteoporotic fractures was set, based on a cost-utility analysis. The age-dependent variations around these mean values were judged to be </w:t>
      </w:r>
      <w:r w:rsidRPr="002117A8">
        <w:rPr>
          <w:sz w:val="24"/>
          <w:szCs w:val="24"/>
        </w:rPr>
        <w:t xml:space="preserve">modest </w:t>
      </w:r>
      <w:r w:rsidR="000C74A2" w:rsidRPr="002117A8">
        <w:rPr>
          <w:sz w:val="24"/>
          <w:szCs w:val="24"/>
        </w:rPr>
        <w:t>[105]</w:t>
      </w:r>
      <w:r w:rsidRPr="002117A8">
        <w:rPr>
          <w:sz w:val="24"/>
          <w:szCs w:val="24"/>
        </w:rPr>
        <w:t>.   Treatment</w:t>
      </w:r>
      <w:r w:rsidRPr="00DB1D7C">
        <w:rPr>
          <w:sz w:val="24"/>
          <w:szCs w:val="24"/>
        </w:rPr>
        <w:t xml:space="preserve"> was recommended in men </w:t>
      </w:r>
      <w:r w:rsidRPr="00DB1D7C">
        <w:rPr>
          <w:sz w:val="24"/>
          <w:szCs w:val="24"/>
        </w:rPr>
        <w:lastRenderedPageBreak/>
        <w:t xml:space="preserve">age 55 years or above and women age 60 years or above with prior fractures.  In those without a prior fracture, treatment was recommended where the probability of major osteoporotic fracture was 15% or above.  The same paper explored the NOGG approach in order to compare the results with the economic analysis </w:t>
      </w:r>
      <w:r w:rsidRPr="00430B53">
        <w:rPr>
          <w:sz w:val="24"/>
          <w:szCs w:val="24"/>
        </w:rPr>
        <w:t xml:space="preserve">(see </w:t>
      </w:r>
      <w:r w:rsidR="00430B53" w:rsidRPr="00430B53">
        <w:rPr>
          <w:i/>
          <w:sz w:val="24"/>
          <w:szCs w:val="24"/>
        </w:rPr>
        <w:t>Health economic approach to intervention thresholds with FRAX</w:t>
      </w:r>
      <w:r w:rsidRPr="00DB1D7C">
        <w:rPr>
          <w:sz w:val="24"/>
          <w:szCs w:val="24"/>
        </w:rPr>
        <w:t xml:space="preserve">). </w:t>
      </w:r>
    </w:p>
    <w:p w14:paraId="0B74D63C" w14:textId="77777777" w:rsidR="002130D0" w:rsidRPr="00DB1D7C" w:rsidRDefault="002130D0" w:rsidP="005D01CB">
      <w:pPr>
        <w:spacing w:line="276" w:lineRule="auto"/>
        <w:rPr>
          <w:i/>
          <w:sz w:val="24"/>
          <w:szCs w:val="24"/>
        </w:rPr>
      </w:pPr>
      <w:r w:rsidRPr="00DB1D7C">
        <w:rPr>
          <w:i/>
          <w:sz w:val="24"/>
          <w:szCs w:val="24"/>
        </w:rPr>
        <w:t xml:space="preserve">Scottish Intercollegiate Guidelines Network (SIGN) </w:t>
      </w:r>
    </w:p>
    <w:p w14:paraId="0A2B6966" w14:textId="1772EE20" w:rsidR="003C2563" w:rsidRPr="002117A8" w:rsidRDefault="003C2563" w:rsidP="005D01CB">
      <w:pPr>
        <w:spacing w:line="276" w:lineRule="auto"/>
        <w:rPr>
          <w:rFonts w:cs="MyriadPro-Regular"/>
          <w:sz w:val="24"/>
          <w:szCs w:val="24"/>
        </w:rPr>
      </w:pPr>
      <w:r w:rsidRPr="002117A8">
        <w:rPr>
          <w:sz w:val="24"/>
          <w:szCs w:val="24"/>
        </w:rPr>
        <w:t xml:space="preserve">The </w:t>
      </w:r>
      <w:r w:rsidRPr="002117A8">
        <w:rPr>
          <w:rFonts w:cs="MyriadPro-Bold"/>
          <w:bCs/>
          <w:sz w:val="24"/>
          <w:szCs w:val="24"/>
        </w:rPr>
        <w:t>Scottish Intercollegiate Guidelines Network (SIGN)</w:t>
      </w:r>
      <w:r w:rsidRPr="002117A8">
        <w:rPr>
          <w:rFonts w:cs="MyriadPro-Regular"/>
          <w:sz w:val="24"/>
          <w:szCs w:val="24"/>
        </w:rPr>
        <w:t xml:space="preserve"> issued guidance on the management of osteoporosis and the prevention of fragility fractures </w:t>
      </w:r>
      <w:r w:rsidR="008546A7" w:rsidRPr="002117A8">
        <w:rPr>
          <w:rFonts w:ascii="Calibri" w:hAnsi="Calibri"/>
          <w:sz w:val="24"/>
          <w:szCs w:val="24"/>
        </w:rPr>
        <w:t>[32]</w:t>
      </w:r>
      <w:r w:rsidRPr="002117A8">
        <w:rPr>
          <w:rFonts w:cs="MyriadPro-Regular"/>
          <w:sz w:val="24"/>
          <w:szCs w:val="24"/>
        </w:rPr>
        <w:t xml:space="preserve">.  These represent a departure from </w:t>
      </w:r>
      <w:r w:rsidR="00CC717D" w:rsidRPr="002117A8">
        <w:rPr>
          <w:rFonts w:cs="MyriadPro-Regular"/>
          <w:sz w:val="24"/>
          <w:szCs w:val="24"/>
        </w:rPr>
        <w:t xml:space="preserve">their </w:t>
      </w:r>
      <w:r w:rsidRPr="002117A8">
        <w:rPr>
          <w:rFonts w:cs="MyriadPro-Regular"/>
          <w:sz w:val="24"/>
          <w:szCs w:val="24"/>
        </w:rPr>
        <w:t xml:space="preserve">earlier guidelines </w:t>
      </w:r>
      <w:r w:rsidR="00CC717D" w:rsidRPr="002117A8">
        <w:rPr>
          <w:rFonts w:cs="MyriadPro-Regular"/>
          <w:sz w:val="24"/>
          <w:szCs w:val="24"/>
        </w:rPr>
        <w:t>following the endorsement</w:t>
      </w:r>
      <w:r w:rsidRPr="002117A8">
        <w:rPr>
          <w:rFonts w:cs="MyriadPro-Regular"/>
          <w:sz w:val="24"/>
          <w:szCs w:val="24"/>
        </w:rPr>
        <w:t xml:space="preserve"> of risk assessment algorithms by National Institute for Health and Care Excellence (NICE) in the UK</w:t>
      </w:r>
      <w:r w:rsidR="002117A8" w:rsidRPr="002117A8">
        <w:rPr>
          <w:rFonts w:cs="MyriadPro-Regular"/>
          <w:sz w:val="24"/>
          <w:szCs w:val="24"/>
        </w:rPr>
        <w:t xml:space="preserve"> </w:t>
      </w:r>
      <w:r w:rsidR="00315672" w:rsidRPr="002117A8">
        <w:rPr>
          <w:rFonts w:ascii="Calibri" w:hAnsi="Calibri"/>
          <w:sz w:val="24"/>
          <w:szCs w:val="24"/>
        </w:rPr>
        <w:t>[11</w:t>
      </w:r>
      <w:r w:rsidR="00BB3A77">
        <w:rPr>
          <w:rFonts w:ascii="Calibri" w:hAnsi="Calibri"/>
          <w:sz w:val="24"/>
          <w:szCs w:val="24"/>
        </w:rPr>
        <w:t>]</w:t>
      </w:r>
      <w:r w:rsidRPr="002117A8">
        <w:rPr>
          <w:rFonts w:cs="MyriadPro-Regular"/>
          <w:sz w:val="24"/>
          <w:szCs w:val="24"/>
        </w:rPr>
        <w:t>.</w:t>
      </w:r>
    </w:p>
    <w:p w14:paraId="61880834" w14:textId="439EB421" w:rsidR="00185C8C" w:rsidRPr="00DB1D7C" w:rsidRDefault="00185C8C" w:rsidP="005D01CB">
      <w:pPr>
        <w:spacing w:line="276" w:lineRule="auto"/>
        <w:rPr>
          <w:rFonts w:cs="MyriadPro-Regular"/>
          <w:sz w:val="24"/>
          <w:szCs w:val="24"/>
        </w:rPr>
      </w:pPr>
      <w:r w:rsidRPr="002117A8">
        <w:rPr>
          <w:rFonts w:cs="MyriadPro-Regular"/>
          <w:sz w:val="24"/>
          <w:szCs w:val="24"/>
        </w:rPr>
        <w:t>The SIGN guidance utilises a 10% fixed intervention threshold but gives no explanation for the choice.  However the threshold i</w:t>
      </w:r>
      <w:r w:rsidR="006A28CD" w:rsidRPr="002117A8">
        <w:rPr>
          <w:rFonts w:cs="MyriadPro-Regular"/>
          <w:sz w:val="24"/>
          <w:szCs w:val="24"/>
        </w:rPr>
        <w:t>s</w:t>
      </w:r>
      <w:r w:rsidRPr="002117A8">
        <w:rPr>
          <w:rFonts w:cs="MyriadPro-Regular"/>
          <w:sz w:val="24"/>
          <w:szCs w:val="24"/>
        </w:rPr>
        <w:t xml:space="preserve"> similar to that used in the USPTF </w:t>
      </w:r>
      <w:r w:rsidR="00373030" w:rsidRPr="002117A8">
        <w:rPr>
          <w:rFonts w:cs="MyriadPro-Regular"/>
          <w:sz w:val="24"/>
          <w:szCs w:val="24"/>
        </w:rPr>
        <w:t>guidance and</w:t>
      </w:r>
      <w:r w:rsidR="005D01CB" w:rsidRPr="002117A8">
        <w:rPr>
          <w:rFonts w:cs="MyriadPro-Regular"/>
          <w:sz w:val="24"/>
          <w:szCs w:val="24"/>
        </w:rPr>
        <w:t xml:space="preserve"> is deployed</w:t>
      </w:r>
      <w:r w:rsidRPr="002117A8">
        <w:rPr>
          <w:rFonts w:cs="MyriadPro-Regular"/>
          <w:sz w:val="24"/>
          <w:szCs w:val="24"/>
        </w:rPr>
        <w:t xml:space="preserve"> in much the same way </w:t>
      </w:r>
      <w:r w:rsidR="00DF05BE" w:rsidRPr="002117A8">
        <w:rPr>
          <w:rFonts w:ascii="Calibri" w:hAnsi="Calibri"/>
          <w:sz w:val="24"/>
          <w:szCs w:val="24"/>
        </w:rPr>
        <w:t>[112]</w:t>
      </w:r>
      <w:r w:rsidR="005D01CB" w:rsidRPr="002117A8">
        <w:rPr>
          <w:rFonts w:cs="MyriadPro-Regular"/>
          <w:sz w:val="24"/>
          <w:szCs w:val="24"/>
        </w:rPr>
        <w:t xml:space="preserve"> </w:t>
      </w:r>
      <w:r w:rsidRPr="002117A8">
        <w:rPr>
          <w:rFonts w:cs="MyriadPro-Regular"/>
          <w:sz w:val="24"/>
          <w:szCs w:val="24"/>
        </w:rPr>
        <w:t xml:space="preserve">(see </w:t>
      </w:r>
      <w:r w:rsidR="00430B53" w:rsidRPr="002117A8">
        <w:rPr>
          <w:rFonts w:cs="MyriadPro-Regular"/>
          <w:i/>
          <w:sz w:val="24"/>
          <w:szCs w:val="24"/>
        </w:rPr>
        <w:t>The US Preventive</w:t>
      </w:r>
      <w:r w:rsidR="00430B53" w:rsidRPr="00430B53">
        <w:rPr>
          <w:rFonts w:cs="MyriadPro-Regular"/>
          <w:i/>
          <w:sz w:val="24"/>
          <w:szCs w:val="24"/>
        </w:rPr>
        <w:t xml:space="preserve"> Services Task Force</w:t>
      </w:r>
      <w:r w:rsidR="00430B53">
        <w:rPr>
          <w:rFonts w:cs="MyriadPro-Regular"/>
          <w:i/>
          <w:sz w:val="24"/>
          <w:szCs w:val="24"/>
        </w:rPr>
        <w:t xml:space="preserve"> </w:t>
      </w:r>
      <w:r w:rsidRPr="00430B53">
        <w:rPr>
          <w:rFonts w:cs="MyriadPro-Regular"/>
          <w:sz w:val="24"/>
          <w:szCs w:val="24"/>
        </w:rPr>
        <w:t>above).</w:t>
      </w:r>
      <w:r w:rsidRPr="00DB1D7C">
        <w:rPr>
          <w:rFonts w:cs="MyriadPro-Regular"/>
          <w:sz w:val="24"/>
          <w:szCs w:val="24"/>
        </w:rPr>
        <w:t xml:space="preserve">  </w:t>
      </w:r>
    </w:p>
    <w:p w14:paraId="0A2B6967" w14:textId="1792D47B" w:rsidR="003C2563" w:rsidRPr="00DB1D7C" w:rsidRDefault="003C2563" w:rsidP="005D01CB">
      <w:pPr>
        <w:autoSpaceDE w:val="0"/>
        <w:autoSpaceDN w:val="0"/>
        <w:adjustRightInd w:val="0"/>
        <w:spacing w:after="0" w:line="276" w:lineRule="auto"/>
        <w:rPr>
          <w:rFonts w:cs="MyriadPro-Regular"/>
          <w:sz w:val="24"/>
          <w:szCs w:val="24"/>
        </w:rPr>
      </w:pPr>
      <w:r w:rsidRPr="00DB1D7C">
        <w:rPr>
          <w:rFonts w:cs="MyriadPro-Regular"/>
          <w:sz w:val="24"/>
          <w:szCs w:val="24"/>
        </w:rPr>
        <w:t xml:space="preserve">The assessment algorithm is </w:t>
      </w:r>
      <w:r w:rsidRPr="002117A8">
        <w:rPr>
          <w:rFonts w:cs="MyriadPro-Regular"/>
          <w:sz w:val="24"/>
          <w:szCs w:val="24"/>
        </w:rPr>
        <w:t xml:space="preserve">summarised in </w:t>
      </w:r>
      <w:r w:rsidR="00A118CD" w:rsidRPr="002117A8">
        <w:rPr>
          <w:rFonts w:cs="MyriadPro-Regular"/>
          <w:sz w:val="24"/>
          <w:szCs w:val="24"/>
        </w:rPr>
        <w:t>Figure</w:t>
      </w:r>
      <w:r w:rsidRPr="002117A8">
        <w:rPr>
          <w:rFonts w:cs="MyriadPro-Regular"/>
          <w:sz w:val="24"/>
          <w:szCs w:val="24"/>
        </w:rPr>
        <w:t xml:space="preserve"> </w:t>
      </w:r>
      <w:r w:rsidR="00ED7286" w:rsidRPr="002117A8">
        <w:rPr>
          <w:rFonts w:cs="MyriadPro-Regular"/>
          <w:sz w:val="24"/>
          <w:szCs w:val="24"/>
        </w:rPr>
        <w:t>3</w:t>
      </w:r>
      <w:r w:rsidRPr="002117A8">
        <w:rPr>
          <w:rFonts w:cs="MyriadPro-Regular"/>
          <w:sz w:val="24"/>
          <w:szCs w:val="24"/>
        </w:rPr>
        <w:t>.  In brief</w:t>
      </w:r>
      <w:r w:rsidRPr="00DB1D7C">
        <w:rPr>
          <w:rFonts w:cs="MyriadPro-Regular"/>
          <w:sz w:val="24"/>
          <w:szCs w:val="24"/>
        </w:rPr>
        <w:t>, there are different pathways for patients with a prior fragility fracture and those with other clinical risk factors for fracture.   Patients with a prior fragility fracture are assessed by DXA (at the spine or hip) and treatment considered in patients with a T-score diagnosis of osteoporosis.  There is an exception for a prior vertebral fracture (not defined) or prior hip fracture where BMD testing is left to the physician’s discretion.   In the case of men and women aged 50 years or more without a prior fracture, individuals are screened using other clinical risk factors.  In the presence of clinical risk factors, fracture risk is assessed either with QFracture® or FRAX® (but preferentially the former).  Where the cumulative 10-year incidence of major osteoporotic fracture (10-year probability in the case of FRAX) equals or exceeds 10</w:t>
      </w:r>
      <w:r w:rsidR="00DC5574">
        <w:rPr>
          <w:rFonts w:cs="MyriadPro-Regular"/>
          <w:sz w:val="24"/>
          <w:szCs w:val="24"/>
        </w:rPr>
        <w:t xml:space="preserve"> </w:t>
      </w:r>
      <w:r w:rsidRPr="00DB1D7C">
        <w:rPr>
          <w:rFonts w:cs="MyriadPro-Regular"/>
          <w:sz w:val="24"/>
          <w:szCs w:val="24"/>
        </w:rPr>
        <w:t>%, then a BMD test is recommended and treatment considered</w:t>
      </w:r>
      <w:r w:rsidRPr="00DB1D7C">
        <w:t xml:space="preserve"> </w:t>
      </w:r>
      <w:r w:rsidRPr="00DB1D7C">
        <w:rPr>
          <w:rFonts w:cs="MyriadPro-Regular"/>
          <w:sz w:val="24"/>
          <w:szCs w:val="24"/>
        </w:rPr>
        <w:t>in patients with a T-score diagnosis of osteoporosis.</w:t>
      </w:r>
      <w:r w:rsidR="00FA0088" w:rsidRPr="00DB1D7C">
        <w:rPr>
          <w:rFonts w:cs="MyriadPro-Regular"/>
          <w:sz w:val="24"/>
          <w:szCs w:val="24"/>
        </w:rPr>
        <w:t xml:space="preserve">  </w:t>
      </w:r>
    </w:p>
    <w:p w14:paraId="0A2B696A" w14:textId="77777777" w:rsidR="003C2563" w:rsidRPr="00DB1D7C" w:rsidRDefault="003C2563" w:rsidP="003C2563">
      <w:pPr>
        <w:autoSpaceDE w:val="0"/>
        <w:autoSpaceDN w:val="0"/>
        <w:adjustRightInd w:val="0"/>
        <w:spacing w:after="0" w:line="240" w:lineRule="auto"/>
        <w:rPr>
          <w:rFonts w:cs="MyriadPro-Regular"/>
          <w:sz w:val="24"/>
          <w:szCs w:val="24"/>
        </w:rPr>
      </w:pPr>
    </w:p>
    <w:p w14:paraId="0A2B696B" w14:textId="77777777" w:rsidR="003C2563" w:rsidRPr="00DB1D7C" w:rsidRDefault="003C2563" w:rsidP="003C2563">
      <w:pPr>
        <w:autoSpaceDE w:val="0"/>
        <w:autoSpaceDN w:val="0"/>
        <w:adjustRightInd w:val="0"/>
        <w:spacing w:after="0" w:line="240" w:lineRule="auto"/>
        <w:rPr>
          <w:rFonts w:cs="MyriadPro-Regular"/>
          <w:sz w:val="24"/>
          <w:szCs w:val="24"/>
        </w:rPr>
      </w:pPr>
    </w:p>
    <w:p w14:paraId="0A2B696C" w14:textId="77777777" w:rsidR="003C2563" w:rsidRPr="00DB1D7C" w:rsidRDefault="003C2563" w:rsidP="003C2563">
      <w:pPr>
        <w:jc w:val="center"/>
        <w:rPr>
          <w:rFonts w:ascii="Calibri" w:hAnsi="Calibri"/>
          <w:b/>
          <w:sz w:val="24"/>
          <w:szCs w:val="24"/>
        </w:rPr>
      </w:pPr>
      <w:r w:rsidRPr="00DB1D7C">
        <w:rPr>
          <w:rFonts w:cs="MyriadPro-Regular"/>
          <w:noProof/>
          <w:sz w:val="24"/>
          <w:szCs w:val="24"/>
          <w:lang w:eastAsia="en-GB"/>
        </w:rPr>
        <w:lastRenderedPageBreak/>
        <w:drawing>
          <wp:inline distT="0" distB="0" distL="0" distR="0" wp14:anchorId="0A2B699D" wp14:editId="0A2B699E">
            <wp:extent cx="4572638"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72638" cy="3429479"/>
                    </a:xfrm>
                    <a:prstGeom prst="rect">
                      <a:avLst/>
                    </a:prstGeom>
                  </pic:spPr>
                </pic:pic>
              </a:graphicData>
            </a:graphic>
          </wp:inline>
        </w:drawing>
      </w:r>
    </w:p>
    <w:p w14:paraId="0A2B696D" w14:textId="30FCAF97" w:rsidR="003C2563" w:rsidRPr="00DB1D7C" w:rsidRDefault="00A118CD" w:rsidP="003C2563">
      <w:pPr>
        <w:jc w:val="center"/>
        <w:rPr>
          <w:rFonts w:ascii="Calibri" w:hAnsi="Calibri"/>
          <w:b/>
          <w:sz w:val="24"/>
          <w:szCs w:val="24"/>
        </w:rPr>
      </w:pPr>
      <w:r w:rsidRPr="00DB1D7C">
        <w:rPr>
          <w:rFonts w:ascii="Calibri" w:hAnsi="Calibri"/>
          <w:b/>
          <w:sz w:val="24"/>
          <w:szCs w:val="24"/>
        </w:rPr>
        <w:t>Figure</w:t>
      </w:r>
      <w:r w:rsidR="003C2563" w:rsidRPr="00DB1D7C">
        <w:rPr>
          <w:rFonts w:ascii="Calibri" w:hAnsi="Calibri"/>
          <w:b/>
          <w:sz w:val="24"/>
          <w:szCs w:val="24"/>
        </w:rPr>
        <w:t xml:space="preserve"> </w:t>
      </w:r>
      <w:r w:rsidR="00CC3103" w:rsidRPr="00DB1D7C">
        <w:rPr>
          <w:rFonts w:ascii="Calibri" w:hAnsi="Calibri"/>
          <w:b/>
          <w:sz w:val="24"/>
          <w:szCs w:val="24"/>
        </w:rPr>
        <w:t>3</w:t>
      </w:r>
      <w:r w:rsidR="003C2563" w:rsidRPr="00DB1D7C">
        <w:rPr>
          <w:rFonts w:ascii="Calibri" w:hAnsi="Calibri"/>
          <w:b/>
          <w:sz w:val="24"/>
          <w:szCs w:val="24"/>
        </w:rPr>
        <w:t xml:space="preserve">.  </w:t>
      </w:r>
      <w:r w:rsidR="003C2563" w:rsidRPr="00DB1D7C">
        <w:rPr>
          <w:rFonts w:ascii="Calibri" w:hAnsi="Calibri"/>
          <w:sz w:val="24"/>
          <w:szCs w:val="24"/>
        </w:rPr>
        <w:t>Summary of assessment algorithm in the SIGN guidance</w:t>
      </w:r>
    </w:p>
    <w:p w14:paraId="0A2B696E" w14:textId="48E396F2" w:rsidR="00F773DE" w:rsidRPr="00DB1D7C" w:rsidRDefault="00F773DE" w:rsidP="005D01CB">
      <w:pPr>
        <w:autoSpaceDE w:val="0"/>
        <w:autoSpaceDN w:val="0"/>
        <w:adjustRightInd w:val="0"/>
        <w:spacing w:after="0" w:line="276" w:lineRule="auto"/>
        <w:rPr>
          <w:rFonts w:cs="MyriadPro-Regular"/>
          <w:sz w:val="24"/>
          <w:szCs w:val="24"/>
        </w:rPr>
      </w:pPr>
      <w:r w:rsidRPr="00DB1D7C">
        <w:rPr>
          <w:rFonts w:cs="MyriadPro-Regular"/>
          <w:sz w:val="24"/>
          <w:szCs w:val="24"/>
        </w:rPr>
        <w:t>Apart from individuals with a prior fracture where BMD is usually recommended, the FRAX threshold (10</w:t>
      </w:r>
      <w:r w:rsidR="00DC5574">
        <w:rPr>
          <w:rFonts w:cs="MyriadPro-Regular"/>
          <w:sz w:val="24"/>
          <w:szCs w:val="24"/>
        </w:rPr>
        <w:t xml:space="preserve"> </w:t>
      </w:r>
      <w:r w:rsidRPr="00DB1D7C">
        <w:rPr>
          <w:rFonts w:cs="MyriadPro-Regular"/>
          <w:sz w:val="24"/>
          <w:szCs w:val="24"/>
        </w:rPr>
        <w:t xml:space="preserve">% probability of a major fracture) is used to determine the eligibility of individuals to have a BMD test to detect the presence of absence of osteoporosis.  However, the FRAX assessment does not thereafter influence the interpretation of the BMD test. In other words, FRAX (and QFracture) </w:t>
      </w:r>
      <w:r w:rsidR="00686D56">
        <w:rPr>
          <w:rFonts w:cs="MyriadPro-Regular"/>
          <w:sz w:val="24"/>
          <w:szCs w:val="24"/>
        </w:rPr>
        <w:t>are</w:t>
      </w:r>
      <w:r w:rsidRPr="00DB1D7C">
        <w:rPr>
          <w:rFonts w:cs="MyriadPro-Regular"/>
          <w:sz w:val="24"/>
          <w:szCs w:val="24"/>
        </w:rPr>
        <w:t xml:space="preserve"> used as a screening tool</w:t>
      </w:r>
      <w:r w:rsidR="00686D56">
        <w:rPr>
          <w:rFonts w:cs="MyriadPro-Regular"/>
          <w:sz w:val="24"/>
          <w:szCs w:val="24"/>
        </w:rPr>
        <w:t>s</w:t>
      </w:r>
      <w:r w:rsidRPr="00DB1D7C">
        <w:rPr>
          <w:rFonts w:cs="MyriadPro-Regular"/>
          <w:sz w:val="24"/>
          <w:szCs w:val="24"/>
        </w:rPr>
        <w:t xml:space="preserve"> for the detection of densitometric osteoporosis.  Thus, the SIGN guidance firmly entrenches a T-score threshold of -2.5 SD as an intervention threshold, reminiscent of European and UK guidance nearly 20 years </w:t>
      </w:r>
      <w:r w:rsidRPr="002117A8">
        <w:rPr>
          <w:rFonts w:cs="MyriadPro-Regular"/>
          <w:sz w:val="24"/>
          <w:szCs w:val="24"/>
        </w:rPr>
        <w:t xml:space="preserve">ago </w:t>
      </w:r>
      <w:r w:rsidR="000C74A2" w:rsidRPr="002117A8">
        <w:rPr>
          <w:rFonts w:cs="MyriadPro-Regular"/>
          <w:sz w:val="24"/>
          <w:szCs w:val="24"/>
        </w:rPr>
        <w:t>[136</w:t>
      </w:r>
      <w:r w:rsidRPr="002117A8">
        <w:rPr>
          <w:rFonts w:cs="MyriadPro-Regular"/>
          <w:sz w:val="24"/>
          <w:szCs w:val="24"/>
        </w:rPr>
        <w:t xml:space="preserve">, </w:t>
      </w:r>
      <w:r w:rsidR="000C74A2" w:rsidRPr="002117A8">
        <w:rPr>
          <w:rFonts w:cs="MyriadPro-Regular"/>
          <w:sz w:val="24"/>
          <w:szCs w:val="24"/>
        </w:rPr>
        <w:t>137]</w:t>
      </w:r>
      <w:r w:rsidRPr="002117A8">
        <w:rPr>
          <w:rFonts w:cs="MyriadPro-Regular"/>
          <w:sz w:val="24"/>
          <w:szCs w:val="24"/>
        </w:rPr>
        <w:t>.</w:t>
      </w:r>
    </w:p>
    <w:p w14:paraId="2DC9C12D" w14:textId="77777777" w:rsidR="004253AD" w:rsidRPr="00DB1D7C" w:rsidRDefault="004253AD" w:rsidP="005D01CB">
      <w:pPr>
        <w:autoSpaceDE w:val="0"/>
        <w:autoSpaceDN w:val="0"/>
        <w:adjustRightInd w:val="0"/>
        <w:spacing w:after="0" w:line="276" w:lineRule="auto"/>
        <w:rPr>
          <w:rFonts w:cs="MyriadPro-Regular"/>
          <w:sz w:val="24"/>
          <w:szCs w:val="24"/>
        </w:rPr>
      </w:pPr>
    </w:p>
    <w:p w14:paraId="0A2B696F" w14:textId="77777777" w:rsidR="003638DB" w:rsidRPr="00DB1D7C" w:rsidRDefault="003638DB" w:rsidP="005D01CB">
      <w:pPr>
        <w:autoSpaceDE w:val="0"/>
        <w:autoSpaceDN w:val="0"/>
        <w:adjustRightInd w:val="0"/>
        <w:spacing w:after="0" w:line="276" w:lineRule="auto"/>
        <w:rPr>
          <w:rFonts w:cs="MyriadPro-Regular"/>
          <w:sz w:val="24"/>
          <w:szCs w:val="24"/>
        </w:rPr>
      </w:pPr>
    </w:p>
    <w:p w14:paraId="0A2B6974" w14:textId="5E229263" w:rsidR="003638DB" w:rsidRPr="00DB1D7C" w:rsidRDefault="003638DB" w:rsidP="005D01CB">
      <w:pPr>
        <w:autoSpaceDE w:val="0"/>
        <w:autoSpaceDN w:val="0"/>
        <w:adjustRightInd w:val="0"/>
        <w:spacing w:after="0" w:line="276" w:lineRule="auto"/>
        <w:rPr>
          <w:rFonts w:cs="MyriadPro-Regular"/>
          <w:sz w:val="24"/>
          <w:szCs w:val="24"/>
        </w:rPr>
      </w:pPr>
      <w:r w:rsidRPr="00DB1D7C">
        <w:rPr>
          <w:rFonts w:cs="MyriadPro-Regular"/>
          <w:sz w:val="24"/>
          <w:szCs w:val="24"/>
        </w:rPr>
        <w:t>The SIGN guidance does not distinguish the output from FRAX and QFracture.  In other words, the 10</w:t>
      </w:r>
      <w:r w:rsidR="00DC5574">
        <w:rPr>
          <w:rFonts w:cs="MyriadPro-Regular"/>
          <w:sz w:val="24"/>
          <w:szCs w:val="24"/>
        </w:rPr>
        <w:t xml:space="preserve"> </w:t>
      </w:r>
      <w:r w:rsidRPr="00DB1D7C">
        <w:rPr>
          <w:rFonts w:cs="MyriadPro-Regular"/>
          <w:sz w:val="24"/>
          <w:szCs w:val="24"/>
        </w:rPr>
        <w:t xml:space="preserve">% threshold is used irrespective of the assessment tool that is used.  Since the units of measurement differ (cumulative incidence for QFracture and probability for FRAX) together with the problems of </w:t>
      </w:r>
      <w:r w:rsidRPr="002117A8">
        <w:rPr>
          <w:rFonts w:cs="MyriadPro-Regular"/>
          <w:sz w:val="24"/>
          <w:szCs w:val="24"/>
        </w:rPr>
        <w:t xml:space="preserve">calibration </w:t>
      </w:r>
      <w:r w:rsidR="003E244A" w:rsidRPr="002117A8">
        <w:rPr>
          <w:sz w:val="24"/>
          <w:szCs w:val="24"/>
        </w:rPr>
        <w:t>[13]</w:t>
      </w:r>
      <w:r w:rsidRPr="002117A8">
        <w:rPr>
          <w:rFonts w:cs="MyriadPro-Regular"/>
          <w:sz w:val="24"/>
          <w:szCs w:val="24"/>
        </w:rPr>
        <w:t>, clinical</w:t>
      </w:r>
      <w:r w:rsidRPr="00DB1D7C">
        <w:rPr>
          <w:rFonts w:cs="MyriadPro-Regular"/>
          <w:sz w:val="24"/>
          <w:szCs w:val="24"/>
        </w:rPr>
        <w:t xml:space="preserve"> decisions will also differ.</w:t>
      </w:r>
    </w:p>
    <w:p w14:paraId="0E519471" w14:textId="44C9E188" w:rsidR="00213E89" w:rsidRPr="00DB1D7C" w:rsidRDefault="003638DB" w:rsidP="005D01CB">
      <w:pPr>
        <w:autoSpaceDE w:val="0"/>
        <w:autoSpaceDN w:val="0"/>
        <w:adjustRightInd w:val="0"/>
        <w:spacing w:after="0" w:line="276" w:lineRule="auto"/>
        <w:rPr>
          <w:rFonts w:cs="MyriadPro-Regular"/>
          <w:sz w:val="24"/>
          <w:szCs w:val="24"/>
        </w:rPr>
      </w:pPr>
      <w:r w:rsidRPr="00DB1D7C">
        <w:rPr>
          <w:rFonts w:cs="MyriadPro-Regular"/>
          <w:sz w:val="24"/>
          <w:szCs w:val="24"/>
        </w:rPr>
        <w:t>This makes an assessment of the impact of the guidelines problematic.</w:t>
      </w:r>
      <w:r w:rsidR="00CC2A55">
        <w:rPr>
          <w:rFonts w:cs="MyriadPro-Regular"/>
          <w:sz w:val="24"/>
          <w:szCs w:val="24"/>
        </w:rPr>
        <w:t xml:space="preserve"> Indeed, i</w:t>
      </w:r>
      <w:r w:rsidR="00FA0088" w:rsidRPr="00DB1D7C">
        <w:rPr>
          <w:rFonts w:cs="MyriadPro-Regular"/>
          <w:sz w:val="24"/>
          <w:szCs w:val="24"/>
        </w:rPr>
        <w:t>ndependent research indicated that the number of women eligible for testing</w:t>
      </w:r>
      <w:r w:rsidR="00255B16" w:rsidRPr="00DB1D7C">
        <w:rPr>
          <w:rFonts w:cs="MyriadPro-Regular"/>
          <w:sz w:val="24"/>
          <w:szCs w:val="24"/>
        </w:rPr>
        <w:t xml:space="preserve"> in Scotland</w:t>
      </w:r>
      <w:r w:rsidR="00FA0088" w:rsidRPr="00DB1D7C">
        <w:rPr>
          <w:rFonts w:cs="MyriadPro-Regular"/>
          <w:sz w:val="24"/>
          <w:szCs w:val="24"/>
        </w:rPr>
        <w:t xml:space="preserve"> </w:t>
      </w:r>
      <w:r w:rsidR="00CC717D" w:rsidRPr="00DB1D7C">
        <w:rPr>
          <w:rFonts w:cs="MyriadPro-Regular"/>
          <w:sz w:val="24"/>
          <w:szCs w:val="24"/>
        </w:rPr>
        <w:t>was</w:t>
      </w:r>
      <w:r w:rsidR="00FA0088" w:rsidRPr="00DB1D7C">
        <w:rPr>
          <w:rFonts w:cs="MyriadPro-Regular"/>
          <w:sz w:val="24"/>
          <w:szCs w:val="24"/>
        </w:rPr>
        <w:t xml:space="preserve"> 275,600 </w:t>
      </w:r>
      <w:r w:rsidR="00255B16" w:rsidRPr="00DB1D7C">
        <w:rPr>
          <w:rFonts w:cs="MyriadPro-Regular"/>
          <w:sz w:val="24"/>
          <w:szCs w:val="24"/>
        </w:rPr>
        <w:t>if FRAX were used as a screening tool bu</w:t>
      </w:r>
      <w:r w:rsidR="006A28CD">
        <w:rPr>
          <w:rFonts w:cs="MyriadPro-Regular"/>
          <w:sz w:val="24"/>
          <w:szCs w:val="24"/>
        </w:rPr>
        <w:t>t</w:t>
      </w:r>
      <w:r w:rsidR="00255B16" w:rsidRPr="00DB1D7C">
        <w:rPr>
          <w:rFonts w:cs="MyriadPro-Regular"/>
          <w:sz w:val="24"/>
          <w:szCs w:val="24"/>
        </w:rPr>
        <w:t xml:space="preserve"> only</w:t>
      </w:r>
      <w:r w:rsidR="00FA0088" w:rsidRPr="00DB1D7C">
        <w:rPr>
          <w:rFonts w:cs="MyriadPro-Regular"/>
          <w:sz w:val="24"/>
          <w:szCs w:val="24"/>
        </w:rPr>
        <w:t xml:space="preserve"> 26,500 </w:t>
      </w:r>
      <w:r w:rsidR="00255B16" w:rsidRPr="00DB1D7C">
        <w:rPr>
          <w:rFonts w:cs="MyriadPro-Regular"/>
          <w:sz w:val="24"/>
          <w:szCs w:val="24"/>
        </w:rPr>
        <w:t>with the use of</w:t>
      </w:r>
      <w:r w:rsidR="00FA0088" w:rsidRPr="00DB1D7C">
        <w:rPr>
          <w:rFonts w:cs="MyriadPro-Regular"/>
          <w:sz w:val="24"/>
          <w:szCs w:val="24"/>
        </w:rPr>
        <w:t xml:space="preserve"> QFracture (28</w:t>
      </w:r>
      <w:r w:rsidR="00DC5574">
        <w:rPr>
          <w:rFonts w:cs="MyriadPro-Regular"/>
          <w:sz w:val="24"/>
          <w:szCs w:val="24"/>
        </w:rPr>
        <w:t xml:space="preserve"> </w:t>
      </w:r>
      <w:r w:rsidR="00FA0088" w:rsidRPr="00DB1D7C">
        <w:rPr>
          <w:rFonts w:cs="MyriadPro-Regular"/>
          <w:sz w:val="24"/>
          <w:szCs w:val="24"/>
        </w:rPr>
        <w:t>% and 3</w:t>
      </w:r>
      <w:r w:rsidR="00DC5574">
        <w:rPr>
          <w:rFonts w:cs="MyriadPro-Regular"/>
          <w:sz w:val="24"/>
          <w:szCs w:val="24"/>
        </w:rPr>
        <w:t xml:space="preserve"> </w:t>
      </w:r>
      <w:r w:rsidR="00FA0088" w:rsidRPr="00DB1D7C">
        <w:rPr>
          <w:rFonts w:cs="MyriadPro-Regular"/>
          <w:sz w:val="24"/>
          <w:szCs w:val="24"/>
        </w:rPr>
        <w:t xml:space="preserve">% of the total population, respectively). </w:t>
      </w:r>
      <w:r w:rsidR="00255B16" w:rsidRPr="00DB1D7C">
        <w:rPr>
          <w:rFonts w:cs="MyriadPro-Regular"/>
          <w:sz w:val="24"/>
          <w:szCs w:val="24"/>
        </w:rPr>
        <w:t xml:space="preserve"> </w:t>
      </w:r>
      <w:r w:rsidR="00FA0088" w:rsidRPr="00DB1D7C">
        <w:rPr>
          <w:rFonts w:cs="MyriadPro-Regular"/>
          <w:sz w:val="24"/>
          <w:szCs w:val="24"/>
        </w:rPr>
        <w:t xml:space="preserve">The number of women eligible for treatment (i.e. with osteoporosis) </w:t>
      </w:r>
      <w:r w:rsidR="00255B16" w:rsidRPr="00DB1D7C">
        <w:rPr>
          <w:rFonts w:cs="MyriadPro-Regular"/>
          <w:sz w:val="24"/>
          <w:szCs w:val="24"/>
        </w:rPr>
        <w:t>was</w:t>
      </w:r>
      <w:r w:rsidR="00FA0088" w:rsidRPr="00DB1D7C">
        <w:rPr>
          <w:rFonts w:cs="MyriadPro-Regular"/>
          <w:sz w:val="24"/>
          <w:szCs w:val="24"/>
        </w:rPr>
        <w:t xml:space="preserve"> 81,700 with the use of FRAX and 12,300 with QFracture representing 8.2</w:t>
      </w:r>
      <w:r w:rsidR="00DC5574">
        <w:rPr>
          <w:rFonts w:cs="MyriadPro-Regular"/>
          <w:sz w:val="24"/>
          <w:szCs w:val="24"/>
        </w:rPr>
        <w:t xml:space="preserve"> </w:t>
      </w:r>
      <w:r w:rsidR="00FA0088" w:rsidRPr="00DB1D7C">
        <w:rPr>
          <w:rFonts w:cs="MyriadPro-Regular"/>
          <w:sz w:val="24"/>
          <w:szCs w:val="24"/>
        </w:rPr>
        <w:t>% and 1.2</w:t>
      </w:r>
      <w:r w:rsidR="00DC5574">
        <w:rPr>
          <w:rFonts w:cs="MyriadPro-Regular"/>
          <w:sz w:val="24"/>
          <w:szCs w:val="24"/>
        </w:rPr>
        <w:t xml:space="preserve"> </w:t>
      </w:r>
      <w:r w:rsidR="00FA0088" w:rsidRPr="00DB1D7C">
        <w:rPr>
          <w:rFonts w:cs="MyriadPro-Regular"/>
          <w:sz w:val="24"/>
          <w:szCs w:val="24"/>
        </w:rPr>
        <w:t xml:space="preserve">% of the total population, </w:t>
      </w:r>
      <w:r w:rsidR="00FA0088" w:rsidRPr="00E00133">
        <w:rPr>
          <w:rFonts w:cs="MyriadPro-Regular"/>
          <w:sz w:val="24"/>
          <w:szCs w:val="24"/>
        </w:rPr>
        <w:t xml:space="preserve">respectively </w:t>
      </w:r>
      <w:r w:rsidR="003E244A" w:rsidRPr="00E00133">
        <w:rPr>
          <w:sz w:val="24"/>
          <w:szCs w:val="24"/>
        </w:rPr>
        <w:t>[13]</w:t>
      </w:r>
      <w:r w:rsidR="00FA0088" w:rsidRPr="00E00133">
        <w:rPr>
          <w:rFonts w:cs="MyriadPro-Regular"/>
          <w:sz w:val="24"/>
          <w:szCs w:val="24"/>
        </w:rPr>
        <w:t xml:space="preserve">.  </w:t>
      </w:r>
    </w:p>
    <w:p w14:paraId="142F3D52" w14:textId="77777777" w:rsidR="005D01CB" w:rsidRPr="00DB1D7C" w:rsidRDefault="005D01CB" w:rsidP="005D01CB">
      <w:pPr>
        <w:autoSpaceDE w:val="0"/>
        <w:autoSpaceDN w:val="0"/>
        <w:adjustRightInd w:val="0"/>
        <w:spacing w:after="0" w:line="276" w:lineRule="auto"/>
        <w:rPr>
          <w:rFonts w:cs="MyriadPro-Regular"/>
          <w:sz w:val="24"/>
          <w:szCs w:val="24"/>
        </w:rPr>
      </w:pPr>
    </w:p>
    <w:p w14:paraId="6F750E6F" w14:textId="77777777" w:rsidR="005F7E6D" w:rsidRDefault="005F7E6D" w:rsidP="00B468D0">
      <w:pPr>
        <w:autoSpaceDE w:val="0"/>
        <w:autoSpaceDN w:val="0"/>
        <w:adjustRightInd w:val="0"/>
        <w:spacing w:after="0" w:line="276" w:lineRule="auto"/>
        <w:rPr>
          <w:rFonts w:cs="MyriadPro-Regular"/>
          <w:i/>
          <w:sz w:val="24"/>
          <w:szCs w:val="24"/>
        </w:rPr>
      </w:pPr>
    </w:p>
    <w:p w14:paraId="3E3FD491" w14:textId="77777777" w:rsidR="005F7E6D" w:rsidRDefault="005F7E6D" w:rsidP="00B468D0">
      <w:pPr>
        <w:autoSpaceDE w:val="0"/>
        <w:autoSpaceDN w:val="0"/>
        <w:adjustRightInd w:val="0"/>
        <w:spacing w:after="0" w:line="276" w:lineRule="auto"/>
        <w:rPr>
          <w:rFonts w:cs="MyriadPro-Regular"/>
          <w:i/>
          <w:sz w:val="24"/>
          <w:szCs w:val="24"/>
        </w:rPr>
      </w:pPr>
    </w:p>
    <w:p w14:paraId="4A61DB2B" w14:textId="241783F2" w:rsidR="00213E89" w:rsidRPr="00DB1D7C" w:rsidRDefault="00B468D0" w:rsidP="00B468D0">
      <w:pPr>
        <w:autoSpaceDE w:val="0"/>
        <w:autoSpaceDN w:val="0"/>
        <w:adjustRightInd w:val="0"/>
        <w:spacing w:after="0" w:line="276" w:lineRule="auto"/>
        <w:rPr>
          <w:rFonts w:cs="MyriadPro-Regular"/>
          <w:i/>
          <w:sz w:val="24"/>
          <w:szCs w:val="24"/>
        </w:rPr>
      </w:pPr>
      <w:r w:rsidRPr="00DB1D7C">
        <w:rPr>
          <w:rFonts w:cs="MyriadPro-Regular"/>
          <w:i/>
          <w:sz w:val="24"/>
          <w:szCs w:val="24"/>
        </w:rPr>
        <w:lastRenderedPageBreak/>
        <w:t>Taiwan</w:t>
      </w:r>
    </w:p>
    <w:p w14:paraId="329051CE" w14:textId="391A149B" w:rsidR="00B468D0" w:rsidRPr="00DB1D7C" w:rsidRDefault="00B468D0" w:rsidP="00B468D0">
      <w:pPr>
        <w:spacing w:line="276" w:lineRule="auto"/>
        <w:rPr>
          <w:sz w:val="24"/>
          <w:szCs w:val="24"/>
        </w:rPr>
      </w:pPr>
      <w:r w:rsidRPr="00DB1D7C">
        <w:rPr>
          <w:sz w:val="24"/>
          <w:szCs w:val="24"/>
        </w:rPr>
        <w:t xml:space="preserve">The most purist application of the fixed threshold is seen in the guidelines from Taiwan </w:t>
      </w:r>
      <w:r w:rsidR="00335280" w:rsidRPr="00E00133">
        <w:rPr>
          <w:sz w:val="24"/>
          <w:szCs w:val="24"/>
        </w:rPr>
        <w:t>[138]</w:t>
      </w:r>
      <w:r w:rsidRPr="00E00133">
        <w:rPr>
          <w:sz w:val="24"/>
          <w:szCs w:val="24"/>
        </w:rPr>
        <w:t>.   The Taiwanese</w:t>
      </w:r>
      <w:r w:rsidRPr="00DB1D7C">
        <w:rPr>
          <w:sz w:val="24"/>
          <w:szCs w:val="24"/>
        </w:rPr>
        <w:t xml:space="preserve"> guidelines adopt a 20</w:t>
      </w:r>
      <w:r w:rsidR="00DC5574">
        <w:rPr>
          <w:sz w:val="24"/>
          <w:szCs w:val="24"/>
        </w:rPr>
        <w:t xml:space="preserve"> </w:t>
      </w:r>
      <w:r w:rsidRPr="00DB1D7C">
        <w:rPr>
          <w:sz w:val="24"/>
          <w:szCs w:val="24"/>
        </w:rPr>
        <w:t>% threshold for a major osteoporotic fracture and a 3</w:t>
      </w:r>
      <w:r w:rsidR="00DC5574">
        <w:rPr>
          <w:sz w:val="24"/>
          <w:szCs w:val="24"/>
        </w:rPr>
        <w:t xml:space="preserve"> </w:t>
      </w:r>
      <w:r w:rsidRPr="00DB1D7C">
        <w:rPr>
          <w:sz w:val="24"/>
          <w:szCs w:val="24"/>
        </w:rPr>
        <w:t xml:space="preserve">% threshold for hip fracture probability as in the NOF guidelines but extend its application in that the FRAX thresholds are the sole gateway to treatment (Figure </w:t>
      </w:r>
      <w:r w:rsidR="00FA1DC5">
        <w:rPr>
          <w:sz w:val="24"/>
          <w:szCs w:val="24"/>
        </w:rPr>
        <w:t>4</w:t>
      </w:r>
      <w:r w:rsidRPr="00DB1D7C">
        <w:rPr>
          <w:sz w:val="24"/>
          <w:szCs w:val="24"/>
        </w:rPr>
        <w:t>).  Thus, the Taiwanese guidelines do not differentiate between those with osteoporosis or osteopenia, or on prior fracture status.</w:t>
      </w:r>
    </w:p>
    <w:p w14:paraId="79D98BA5" w14:textId="77777777" w:rsidR="00B468D0" w:rsidRPr="00DB1D7C" w:rsidRDefault="00B468D0" w:rsidP="00B468D0">
      <w:pPr>
        <w:rPr>
          <w:sz w:val="24"/>
          <w:szCs w:val="24"/>
        </w:rPr>
      </w:pPr>
    </w:p>
    <w:p w14:paraId="29CF28A9" w14:textId="77777777" w:rsidR="00B468D0" w:rsidRPr="00DB1D7C" w:rsidRDefault="00B468D0" w:rsidP="007333E7">
      <w:pPr>
        <w:jc w:val="center"/>
        <w:rPr>
          <w:b/>
        </w:rPr>
      </w:pPr>
      <w:r w:rsidRPr="00DB1D7C">
        <w:rPr>
          <w:b/>
          <w:noProof/>
          <w:lang w:eastAsia="en-GB"/>
        </w:rPr>
        <w:drawing>
          <wp:inline distT="0" distB="0" distL="0" distR="0" wp14:anchorId="45AC1E18" wp14:editId="770B60F2">
            <wp:extent cx="4572638" cy="34294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72638" cy="3429479"/>
                    </a:xfrm>
                    <a:prstGeom prst="rect">
                      <a:avLst/>
                    </a:prstGeom>
                  </pic:spPr>
                </pic:pic>
              </a:graphicData>
            </a:graphic>
          </wp:inline>
        </w:drawing>
      </w:r>
    </w:p>
    <w:p w14:paraId="0B57AEA5" w14:textId="60721BD5" w:rsidR="00B468D0" w:rsidRPr="00E00133" w:rsidRDefault="00B468D0" w:rsidP="007333E7">
      <w:pPr>
        <w:tabs>
          <w:tab w:val="left" w:pos="7938"/>
        </w:tabs>
        <w:ind w:left="1134" w:right="1088"/>
      </w:pPr>
      <w:r w:rsidRPr="00DB1D7C">
        <w:rPr>
          <w:b/>
        </w:rPr>
        <w:t xml:space="preserve">Figure </w:t>
      </w:r>
      <w:r w:rsidR="00FA1DC5">
        <w:rPr>
          <w:b/>
        </w:rPr>
        <w:t xml:space="preserve">4 </w:t>
      </w:r>
      <w:r w:rsidRPr="00DB1D7C">
        <w:t xml:space="preserve">Algorithm for the assessment of fracture risk in men and postmenopausal women from </w:t>
      </w:r>
      <w:r w:rsidRPr="00E00133">
        <w:t xml:space="preserve">Taiwan </w:t>
      </w:r>
      <w:r w:rsidR="00335280" w:rsidRPr="00E00133">
        <w:t>[138]</w:t>
      </w:r>
      <w:r w:rsidRPr="00E00133">
        <w:t>.</w:t>
      </w:r>
    </w:p>
    <w:p w14:paraId="3DD39BDA" w14:textId="77777777" w:rsidR="00B468D0" w:rsidRPr="00DB1D7C" w:rsidRDefault="00B468D0" w:rsidP="00B468D0">
      <w:pPr>
        <w:spacing w:after="0"/>
        <w:ind w:left="709"/>
      </w:pPr>
      <w:r w:rsidRPr="00DB1D7C">
        <w:t>CRFs, clinical risk factors. MOF, major osteoporotic fracture.</w:t>
      </w:r>
    </w:p>
    <w:p w14:paraId="7A0EBE9A" w14:textId="77777777" w:rsidR="00B468D0" w:rsidRPr="00DB1D7C" w:rsidRDefault="00B468D0" w:rsidP="00B468D0">
      <w:pPr>
        <w:spacing w:after="0"/>
        <w:ind w:left="709"/>
      </w:pPr>
      <w:proofErr w:type="gramStart"/>
      <w:r w:rsidRPr="00DB1D7C">
        <w:rPr>
          <w:vertAlign w:val="superscript"/>
        </w:rPr>
        <w:t>a</w:t>
      </w:r>
      <w:proofErr w:type="gramEnd"/>
      <w:r w:rsidRPr="00DB1D7C">
        <w:t xml:space="preserve"> Prior fragility from the age of 50 years</w:t>
      </w:r>
    </w:p>
    <w:p w14:paraId="22B313EE" w14:textId="77777777" w:rsidR="00B468D0" w:rsidRPr="00DB1D7C" w:rsidRDefault="00B468D0" w:rsidP="00B468D0">
      <w:pPr>
        <w:spacing w:after="0"/>
        <w:ind w:left="709"/>
      </w:pPr>
      <w:proofErr w:type="gramStart"/>
      <w:r w:rsidRPr="00DB1D7C">
        <w:rPr>
          <w:vertAlign w:val="superscript"/>
        </w:rPr>
        <w:t>b</w:t>
      </w:r>
      <w:proofErr w:type="gramEnd"/>
      <w:r w:rsidRPr="00DB1D7C">
        <w:t xml:space="preserve"> Postmenopausal women age 50-65 years</w:t>
      </w:r>
    </w:p>
    <w:p w14:paraId="4B106036" w14:textId="46A5B76E" w:rsidR="00B468D0" w:rsidRPr="00DB1D7C" w:rsidRDefault="00B468D0" w:rsidP="00B468D0">
      <w:pPr>
        <w:spacing w:after="0"/>
        <w:ind w:left="709"/>
      </w:pPr>
      <w:proofErr w:type="gramStart"/>
      <w:r w:rsidRPr="00DB1D7C">
        <w:rPr>
          <w:vertAlign w:val="superscript"/>
        </w:rPr>
        <w:t>c</w:t>
      </w:r>
      <w:r w:rsidRPr="00DB1D7C">
        <w:t xml:space="preserve">  Low</w:t>
      </w:r>
      <w:proofErr w:type="gramEnd"/>
      <w:r w:rsidRPr="00DB1D7C">
        <w:t xml:space="preserve"> FRAX risk; probability of MOF or hip fracture &lt;10</w:t>
      </w:r>
      <w:r w:rsidR="00DC5574">
        <w:t xml:space="preserve"> </w:t>
      </w:r>
      <w:r w:rsidRPr="00DB1D7C">
        <w:t>% and &lt;1.5</w:t>
      </w:r>
      <w:r w:rsidR="00DC5574">
        <w:t xml:space="preserve"> </w:t>
      </w:r>
      <w:r w:rsidRPr="00DB1D7C">
        <w:t xml:space="preserve">%, respectively </w:t>
      </w:r>
    </w:p>
    <w:p w14:paraId="4E47CDC9" w14:textId="254143D3" w:rsidR="00B468D0" w:rsidRPr="00DB1D7C" w:rsidRDefault="00B468D0" w:rsidP="00B468D0">
      <w:pPr>
        <w:spacing w:after="0"/>
        <w:ind w:left="709"/>
      </w:pPr>
      <w:proofErr w:type="gramStart"/>
      <w:r w:rsidRPr="00DB1D7C">
        <w:rPr>
          <w:vertAlign w:val="superscript"/>
        </w:rPr>
        <w:t>d</w:t>
      </w:r>
      <w:proofErr w:type="gramEnd"/>
      <w:r w:rsidRPr="00DB1D7C">
        <w:t xml:space="preserve"> Moderate FRAX risk; hip fracture probability </w:t>
      </w:r>
      <w:r w:rsidRPr="00DB1D7C">
        <w:rPr>
          <w:u w:val="single"/>
        </w:rPr>
        <w:t>&gt;</w:t>
      </w:r>
      <w:r w:rsidRPr="00DB1D7C">
        <w:t>1.5</w:t>
      </w:r>
      <w:r w:rsidR="00DC5574">
        <w:t xml:space="preserve"> </w:t>
      </w:r>
      <w:r w:rsidRPr="00DB1D7C">
        <w:t>% and &lt;3</w:t>
      </w:r>
      <w:r w:rsidR="00DC5574">
        <w:t xml:space="preserve"> </w:t>
      </w:r>
      <w:r w:rsidRPr="00DB1D7C">
        <w:t>% or MOF probability &gt;10</w:t>
      </w:r>
      <w:r w:rsidR="00DC5574">
        <w:t xml:space="preserve"> </w:t>
      </w:r>
      <w:r w:rsidRPr="00DB1D7C">
        <w:t>% and &lt;20</w:t>
      </w:r>
      <w:r w:rsidR="00DC5574">
        <w:t xml:space="preserve"> </w:t>
      </w:r>
      <w:r w:rsidRPr="00DB1D7C">
        <w:t>%</w:t>
      </w:r>
    </w:p>
    <w:p w14:paraId="33AE6D84" w14:textId="19ECEDA7" w:rsidR="00B468D0" w:rsidRPr="00DB1D7C" w:rsidRDefault="00B468D0" w:rsidP="00B468D0">
      <w:pPr>
        <w:ind w:left="709"/>
      </w:pPr>
      <w:proofErr w:type="gramStart"/>
      <w:r w:rsidRPr="00DB1D7C">
        <w:rPr>
          <w:vertAlign w:val="superscript"/>
        </w:rPr>
        <w:t>e</w:t>
      </w:r>
      <w:proofErr w:type="gramEnd"/>
      <w:r w:rsidRPr="00DB1D7C">
        <w:t xml:space="preserve"> High FRAX risk; hip fracture probability </w:t>
      </w:r>
      <w:r w:rsidRPr="00DB1D7C">
        <w:rPr>
          <w:u w:val="single"/>
        </w:rPr>
        <w:t>&gt;</w:t>
      </w:r>
      <w:r w:rsidRPr="00DB1D7C">
        <w:t>3</w:t>
      </w:r>
      <w:r w:rsidR="00DC5574">
        <w:t xml:space="preserve"> </w:t>
      </w:r>
      <w:r w:rsidRPr="00DB1D7C">
        <w:t xml:space="preserve">% or MOF probability </w:t>
      </w:r>
      <w:r w:rsidRPr="00DB1D7C">
        <w:rPr>
          <w:u w:val="single"/>
        </w:rPr>
        <w:t>&gt;</w:t>
      </w:r>
      <w:r w:rsidRPr="00DB1D7C">
        <w:t>20</w:t>
      </w:r>
      <w:r w:rsidR="00DC5574">
        <w:t xml:space="preserve"> </w:t>
      </w:r>
      <w:r w:rsidRPr="00DB1D7C">
        <w:t>%</w:t>
      </w:r>
    </w:p>
    <w:p w14:paraId="5B9BFEFE" w14:textId="79F43C39" w:rsidR="00B468D0" w:rsidRPr="00DB1D7C" w:rsidRDefault="00B468D0" w:rsidP="00B468D0">
      <w:pPr>
        <w:spacing w:line="276" w:lineRule="auto"/>
        <w:rPr>
          <w:sz w:val="24"/>
          <w:szCs w:val="24"/>
        </w:rPr>
      </w:pPr>
      <w:r w:rsidRPr="00DB1D7C">
        <w:rPr>
          <w:sz w:val="24"/>
          <w:szCs w:val="24"/>
        </w:rPr>
        <w:t xml:space="preserve">To our knowledge, this is the only guideline that does not give ‘preferential’ treatment to individuals with a prior fragility fracture.  The use of a fixed threshold in this way is likely to outperform the age-dependent algorithms.  A small comparative study applied to a Hong Kong cohort compared the Taiwan guidelines to the Hong Kong equivalent of the NOGG </w:t>
      </w:r>
      <w:r w:rsidRPr="00E00133">
        <w:rPr>
          <w:sz w:val="24"/>
          <w:szCs w:val="24"/>
        </w:rPr>
        <w:t xml:space="preserve">guidance </w:t>
      </w:r>
      <w:r w:rsidR="00335280" w:rsidRPr="00E00133">
        <w:rPr>
          <w:sz w:val="24"/>
          <w:szCs w:val="24"/>
        </w:rPr>
        <w:t>[81]</w:t>
      </w:r>
      <w:r w:rsidRPr="00E00133">
        <w:rPr>
          <w:sz w:val="24"/>
          <w:szCs w:val="24"/>
        </w:rPr>
        <w:t>.   A</w:t>
      </w:r>
      <w:r w:rsidRPr="00DB1D7C">
        <w:rPr>
          <w:sz w:val="24"/>
          <w:szCs w:val="24"/>
        </w:rPr>
        <w:t xml:space="preserve"> total of 2266 women (mean age 61 years) were followed for 4.5 years (range 1-14.6).  More women were selected under the Taiwan guideline than by NOGG (25.4</w:t>
      </w:r>
      <w:r w:rsidR="00DC5574">
        <w:rPr>
          <w:sz w:val="24"/>
          <w:szCs w:val="24"/>
        </w:rPr>
        <w:t xml:space="preserve"> </w:t>
      </w:r>
      <w:r w:rsidRPr="00DB1D7C">
        <w:rPr>
          <w:sz w:val="24"/>
          <w:szCs w:val="24"/>
        </w:rPr>
        <w:t>% vs 15.5</w:t>
      </w:r>
      <w:r w:rsidR="00DC5574">
        <w:rPr>
          <w:sz w:val="24"/>
          <w:szCs w:val="24"/>
        </w:rPr>
        <w:t xml:space="preserve"> </w:t>
      </w:r>
      <w:r w:rsidRPr="00DB1D7C">
        <w:rPr>
          <w:sz w:val="24"/>
          <w:szCs w:val="24"/>
        </w:rPr>
        <w:t xml:space="preserve">%, respectively) but the crude incidence in women eligible for treatment was </w:t>
      </w:r>
      <w:r w:rsidRPr="00DB1D7C">
        <w:rPr>
          <w:sz w:val="24"/>
          <w:szCs w:val="24"/>
        </w:rPr>
        <w:lastRenderedPageBreak/>
        <w:t>similar (10.9 vs. 10.3</w:t>
      </w:r>
      <w:r w:rsidR="00DC5574">
        <w:rPr>
          <w:sz w:val="24"/>
          <w:szCs w:val="24"/>
        </w:rPr>
        <w:t xml:space="preserve"> </w:t>
      </w:r>
      <w:r w:rsidRPr="00DB1D7C">
        <w:rPr>
          <w:sz w:val="24"/>
          <w:szCs w:val="24"/>
        </w:rPr>
        <w:t>%).  This suggests a higher sensitivity in the Taiwanese guidelines.  The study suffers from the low number of fractures recorded; during the follow-up period</w:t>
      </w:r>
      <w:r w:rsidR="00CC2A55">
        <w:rPr>
          <w:sz w:val="24"/>
          <w:szCs w:val="24"/>
        </w:rPr>
        <w:t>;</w:t>
      </w:r>
      <w:r w:rsidRPr="00DB1D7C">
        <w:rPr>
          <w:sz w:val="24"/>
          <w:szCs w:val="24"/>
        </w:rPr>
        <w:t xml:space="preserve"> 106 (4.7</w:t>
      </w:r>
      <w:r w:rsidR="00DC5574">
        <w:rPr>
          <w:sz w:val="24"/>
          <w:szCs w:val="24"/>
        </w:rPr>
        <w:t xml:space="preserve"> </w:t>
      </w:r>
      <w:r w:rsidRPr="00DB1D7C">
        <w:rPr>
          <w:sz w:val="24"/>
          <w:szCs w:val="24"/>
        </w:rPr>
        <w:t>%) women sustained a new fracture at the proximal humerus, hip, clinical spine or forearm.  Additionally, the categorisation of women was incorrectly applied to those triaged using the Taiwan guidelines</w:t>
      </w:r>
      <w:r w:rsidR="00792485">
        <w:rPr>
          <w:sz w:val="24"/>
          <w:szCs w:val="24"/>
        </w:rPr>
        <w:t xml:space="preserve"> in that individuals with prior fracture were allocated to treatment</w:t>
      </w:r>
      <w:r w:rsidRPr="00DB1D7C">
        <w:rPr>
          <w:sz w:val="24"/>
          <w:szCs w:val="24"/>
        </w:rPr>
        <w:t>.</w:t>
      </w:r>
    </w:p>
    <w:p w14:paraId="0A2B697B" w14:textId="77777777" w:rsidR="003C2563" w:rsidRPr="00DB1D7C" w:rsidRDefault="003C2563" w:rsidP="007C6CEB">
      <w:pPr>
        <w:spacing w:line="276" w:lineRule="auto"/>
        <w:rPr>
          <w:rFonts w:ascii="Calibri" w:hAnsi="Calibri"/>
          <w:b/>
          <w:sz w:val="24"/>
          <w:szCs w:val="24"/>
        </w:rPr>
      </w:pPr>
      <w:r w:rsidRPr="00DB1D7C">
        <w:rPr>
          <w:rFonts w:ascii="Calibri" w:hAnsi="Calibri"/>
          <w:b/>
          <w:sz w:val="24"/>
          <w:szCs w:val="24"/>
        </w:rPr>
        <w:t>Age dependent intervention thresholds using FRAX</w:t>
      </w:r>
    </w:p>
    <w:p w14:paraId="1252FEA2" w14:textId="1923B3FE" w:rsidR="00196A6D" w:rsidRPr="00DB1D7C" w:rsidRDefault="00196A6D" w:rsidP="007C6CEB">
      <w:pPr>
        <w:spacing w:after="120" w:line="276" w:lineRule="auto"/>
        <w:rPr>
          <w:rFonts w:ascii="Calibri" w:hAnsi="Calibri"/>
          <w:i/>
          <w:sz w:val="24"/>
          <w:szCs w:val="24"/>
        </w:rPr>
      </w:pPr>
      <w:r w:rsidRPr="00DB1D7C">
        <w:rPr>
          <w:rFonts w:ascii="Calibri" w:hAnsi="Calibri"/>
          <w:i/>
          <w:sz w:val="24"/>
          <w:szCs w:val="24"/>
        </w:rPr>
        <w:t>Principles of derivation</w:t>
      </w:r>
    </w:p>
    <w:p w14:paraId="2876F3A7" w14:textId="56998478" w:rsidR="007F26AE" w:rsidRDefault="00F32B35" w:rsidP="007C6CEB">
      <w:pPr>
        <w:spacing w:after="120" w:line="276" w:lineRule="auto"/>
        <w:rPr>
          <w:rFonts w:ascii="Calibri" w:hAnsi="Calibri"/>
          <w:sz w:val="24"/>
          <w:szCs w:val="24"/>
        </w:rPr>
      </w:pPr>
      <w:r w:rsidRPr="00DB1D7C">
        <w:rPr>
          <w:rFonts w:ascii="Calibri" w:hAnsi="Calibri"/>
          <w:sz w:val="24"/>
          <w:szCs w:val="24"/>
        </w:rPr>
        <w:t xml:space="preserve">The launch of FRAX in April 2008 was shortly followed by the National Osteoporosis Guideline Group (NOGG) thresholds, with an easy-to-use link via the FRAX UK calculator </w:t>
      </w:r>
      <w:r w:rsidR="00E00133" w:rsidRPr="00E00133">
        <w:rPr>
          <w:rFonts w:ascii="Calibri" w:hAnsi="Calibri"/>
          <w:sz w:val="24"/>
          <w:szCs w:val="24"/>
        </w:rPr>
        <w:t>website [</w:t>
      </w:r>
      <w:r w:rsidR="00335280" w:rsidRPr="00E00133">
        <w:rPr>
          <w:rFonts w:ascii="Calibri" w:hAnsi="Calibri"/>
          <w:sz w:val="24"/>
          <w:szCs w:val="24"/>
        </w:rPr>
        <w:t>139]</w:t>
      </w:r>
      <w:r w:rsidRPr="00E00133">
        <w:rPr>
          <w:rFonts w:ascii="Calibri" w:hAnsi="Calibri"/>
          <w:sz w:val="24"/>
          <w:szCs w:val="24"/>
        </w:rPr>
        <w:t xml:space="preserve">.  Briefly, the NOGG guidance </w:t>
      </w:r>
      <w:r w:rsidR="00BA4460" w:rsidRPr="00E00133">
        <w:rPr>
          <w:rFonts w:ascii="Calibri" w:hAnsi="Calibri"/>
          <w:sz w:val="24"/>
          <w:szCs w:val="24"/>
        </w:rPr>
        <w:t>‘</w:t>
      </w:r>
      <w:r w:rsidRPr="00E00133">
        <w:rPr>
          <w:rFonts w:ascii="Calibri" w:hAnsi="Calibri"/>
          <w:sz w:val="24"/>
          <w:szCs w:val="24"/>
        </w:rPr>
        <w:t>translated</w:t>
      </w:r>
      <w:r w:rsidR="00BA4460" w:rsidRPr="00E00133">
        <w:rPr>
          <w:rFonts w:ascii="Calibri" w:hAnsi="Calibri"/>
          <w:sz w:val="24"/>
          <w:szCs w:val="24"/>
        </w:rPr>
        <w:t>’</w:t>
      </w:r>
      <w:r w:rsidRPr="00E00133">
        <w:rPr>
          <w:rFonts w:ascii="Calibri" w:hAnsi="Calibri"/>
          <w:sz w:val="24"/>
          <w:szCs w:val="24"/>
        </w:rPr>
        <w:t xml:space="preserve"> the preceding Royal College of Physicians guideline</w:t>
      </w:r>
      <w:r w:rsidR="008B5E39" w:rsidRPr="00E00133">
        <w:rPr>
          <w:rFonts w:ascii="Calibri" w:hAnsi="Calibri"/>
          <w:sz w:val="24"/>
          <w:szCs w:val="24"/>
        </w:rPr>
        <w:t xml:space="preserve"> </w:t>
      </w:r>
      <w:r w:rsidR="00335280" w:rsidRPr="00E00133">
        <w:rPr>
          <w:rFonts w:ascii="Calibri" w:hAnsi="Calibri"/>
          <w:sz w:val="24"/>
          <w:szCs w:val="24"/>
        </w:rPr>
        <w:t>[137]</w:t>
      </w:r>
      <w:r w:rsidRPr="00E00133">
        <w:rPr>
          <w:rFonts w:ascii="Calibri" w:hAnsi="Calibri"/>
          <w:sz w:val="24"/>
          <w:szCs w:val="24"/>
        </w:rPr>
        <w:t xml:space="preserve"> which indicated that women with a prior fragility fracture may be considered for intervention without the necessity for a BMD test for the purpose of making the treatment decision.</w:t>
      </w:r>
      <w:r w:rsidR="00BA4460" w:rsidRPr="00E00133">
        <w:rPr>
          <w:rFonts w:ascii="Calibri" w:hAnsi="Calibri"/>
          <w:sz w:val="24"/>
          <w:szCs w:val="24"/>
        </w:rPr>
        <w:t xml:space="preserve">  The translational logic used is that if a woman with a prior fragility fracture is eligible for treatment, then a woman with the same fracture probability but</w:t>
      </w:r>
      <w:r w:rsidR="006A28CD" w:rsidRPr="00E00133">
        <w:rPr>
          <w:rFonts w:ascii="Calibri" w:hAnsi="Calibri"/>
          <w:sz w:val="24"/>
          <w:szCs w:val="24"/>
        </w:rPr>
        <w:t>,</w:t>
      </w:r>
      <w:r w:rsidR="00BA4460" w:rsidRPr="00E00133">
        <w:rPr>
          <w:rFonts w:ascii="Calibri" w:hAnsi="Calibri"/>
          <w:sz w:val="24"/>
          <w:szCs w:val="24"/>
        </w:rPr>
        <w:t xml:space="preserve"> in the absence of a previous fracture, should also be eligible. </w:t>
      </w:r>
      <w:r w:rsidR="00196A6D" w:rsidRPr="00E00133">
        <w:rPr>
          <w:rFonts w:ascii="Calibri" w:hAnsi="Calibri"/>
          <w:sz w:val="24"/>
          <w:szCs w:val="24"/>
        </w:rPr>
        <w:t>For this reason, the intervention threshold in women without a prior fracture</w:t>
      </w:r>
      <w:r w:rsidR="00BA4460" w:rsidRPr="00E00133">
        <w:rPr>
          <w:rFonts w:ascii="Calibri" w:hAnsi="Calibri"/>
          <w:sz w:val="24"/>
          <w:szCs w:val="24"/>
        </w:rPr>
        <w:t xml:space="preserve"> at any given age</w:t>
      </w:r>
      <w:r w:rsidR="00196A6D" w:rsidRPr="00E00133">
        <w:rPr>
          <w:rFonts w:ascii="Calibri" w:hAnsi="Calibri"/>
          <w:sz w:val="24"/>
          <w:szCs w:val="24"/>
        </w:rPr>
        <w:t xml:space="preserve"> can be set at the age-specific fracture probability equivalent to women with a prior fragility fracture </w:t>
      </w:r>
      <w:r w:rsidR="00ED427E" w:rsidRPr="00E00133">
        <w:rPr>
          <w:rFonts w:ascii="Calibri" w:hAnsi="Calibri"/>
          <w:sz w:val="24"/>
          <w:szCs w:val="24"/>
        </w:rPr>
        <w:t>[140]</w:t>
      </w:r>
      <w:r w:rsidR="00196A6D" w:rsidRPr="00E00133">
        <w:rPr>
          <w:rFonts w:ascii="Calibri" w:hAnsi="Calibri"/>
          <w:sz w:val="24"/>
          <w:szCs w:val="24"/>
        </w:rPr>
        <w:t xml:space="preserve"> and</w:t>
      </w:r>
      <w:r w:rsidR="00BA4460" w:rsidRPr="00DB1D7C">
        <w:rPr>
          <w:rFonts w:ascii="Calibri" w:hAnsi="Calibri"/>
          <w:sz w:val="24"/>
          <w:szCs w:val="24"/>
        </w:rPr>
        <w:t>,</w:t>
      </w:r>
      <w:r w:rsidR="00196A6D" w:rsidRPr="00DB1D7C">
        <w:rPr>
          <w:rFonts w:ascii="Calibri" w:hAnsi="Calibri"/>
          <w:sz w:val="24"/>
          <w:szCs w:val="24"/>
        </w:rPr>
        <w:t xml:space="preserve"> therefore</w:t>
      </w:r>
      <w:r w:rsidR="00BA4460" w:rsidRPr="00DB1D7C">
        <w:rPr>
          <w:rFonts w:ascii="Calibri" w:hAnsi="Calibri"/>
          <w:sz w:val="24"/>
          <w:szCs w:val="24"/>
        </w:rPr>
        <w:t>,</w:t>
      </w:r>
      <w:r w:rsidR="00196A6D" w:rsidRPr="00DB1D7C">
        <w:rPr>
          <w:rFonts w:ascii="Calibri" w:hAnsi="Calibri"/>
          <w:sz w:val="24"/>
          <w:szCs w:val="24"/>
        </w:rPr>
        <w:t xml:space="preserve"> rises with </w:t>
      </w:r>
      <w:r w:rsidR="00196A6D" w:rsidRPr="00FA1DC5">
        <w:rPr>
          <w:rFonts w:ascii="Calibri" w:hAnsi="Calibri"/>
          <w:sz w:val="24"/>
          <w:szCs w:val="24"/>
        </w:rPr>
        <w:t>age</w:t>
      </w:r>
      <w:r w:rsidR="00CC4F64" w:rsidRPr="00FA1DC5">
        <w:rPr>
          <w:rFonts w:ascii="Calibri" w:hAnsi="Calibri"/>
          <w:sz w:val="24"/>
          <w:szCs w:val="24"/>
        </w:rPr>
        <w:t xml:space="preserve"> (Figure </w:t>
      </w:r>
      <w:r w:rsidR="00FA1DC5" w:rsidRPr="00FA1DC5">
        <w:rPr>
          <w:rFonts w:ascii="Calibri" w:hAnsi="Calibri"/>
          <w:sz w:val="24"/>
          <w:szCs w:val="24"/>
        </w:rPr>
        <w:t>5</w:t>
      </w:r>
      <w:r w:rsidR="00CC4F64" w:rsidRPr="00FA1DC5">
        <w:rPr>
          <w:rFonts w:ascii="Calibri" w:hAnsi="Calibri"/>
          <w:sz w:val="24"/>
          <w:szCs w:val="24"/>
        </w:rPr>
        <w:t>)</w:t>
      </w:r>
      <w:r w:rsidR="00BA4460" w:rsidRPr="00FA1DC5">
        <w:rPr>
          <w:rFonts w:ascii="Calibri" w:hAnsi="Calibri"/>
          <w:sz w:val="24"/>
          <w:szCs w:val="24"/>
        </w:rPr>
        <w:t xml:space="preserve">. </w:t>
      </w:r>
      <w:r w:rsidR="00196A6D" w:rsidRPr="00FA1DC5">
        <w:rPr>
          <w:rFonts w:ascii="Calibri" w:hAnsi="Calibri"/>
          <w:sz w:val="24"/>
          <w:szCs w:val="24"/>
        </w:rPr>
        <w:t xml:space="preserve"> In</w:t>
      </w:r>
      <w:r w:rsidR="00196A6D" w:rsidRPr="00DB1D7C">
        <w:rPr>
          <w:rFonts w:ascii="Calibri" w:hAnsi="Calibri"/>
          <w:sz w:val="24"/>
          <w:szCs w:val="24"/>
        </w:rPr>
        <w:t xml:space="preserve"> other words, the intervention threshold is set at the</w:t>
      </w:r>
      <w:r w:rsidR="00BA4460" w:rsidRPr="00DB1D7C">
        <w:rPr>
          <w:rFonts w:ascii="Calibri" w:hAnsi="Calibri"/>
          <w:sz w:val="24"/>
          <w:szCs w:val="24"/>
        </w:rPr>
        <w:t xml:space="preserve"> age-dependent</w:t>
      </w:r>
      <w:r w:rsidR="00196A6D" w:rsidRPr="00DB1D7C">
        <w:rPr>
          <w:rFonts w:ascii="Calibri" w:hAnsi="Calibri"/>
          <w:sz w:val="24"/>
          <w:szCs w:val="24"/>
        </w:rPr>
        <w:t xml:space="preserve"> ‘fracture threshold’.</w:t>
      </w:r>
    </w:p>
    <w:p w14:paraId="615BB1B5" w14:textId="48E73177" w:rsidR="001E72FE" w:rsidRPr="00DB1D7C" w:rsidRDefault="001E72FE" w:rsidP="001E72FE">
      <w:pPr>
        <w:spacing w:after="120" w:line="276" w:lineRule="auto"/>
        <w:jc w:val="center"/>
        <w:rPr>
          <w:rFonts w:ascii="Calibri" w:hAnsi="Calibri"/>
          <w:sz w:val="24"/>
          <w:szCs w:val="24"/>
        </w:rPr>
      </w:pPr>
      <w:r w:rsidRPr="001E72FE">
        <w:rPr>
          <w:rFonts w:ascii="Calibri" w:hAnsi="Calibri"/>
          <w:noProof/>
          <w:sz w:val="24"/>
          <w:szCs w:val="24"/>
          <w:lang w:eastAsia="en-GB"/>
        </w:rPr>
        <w:drawing>
          <wp:inline distT="0" distB="0" distL="0" distR="0" wp14:anchorId="68617134" wp14:editId="7D40C2F6">
            <wp:extent cx="4572638" cy="34294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72638" cy="3429479"/>
                    </a:xfrm>
                    <a:prstGeom prst="rect">
                      <a:avLst/>
                    </a:prstGeom>
                  </pic:spPr>
                </pic:pic>
              </a:graphicData>
            </a:graphic>
          </wp:inline>
        </w:drawing>
      </w:r>
    </w:p>
    <w:p w14:paraId="1E07C7E8" w14:textId="548AEEAB" w:rsidR="00CC4F64" w:rsidRPr="00DB1D7C" w:rsidRDefault="00CC4F64" w:rsidP="00EE126B">
      <w:pPr>
        <w:spacing w:after="120" w:line="276" w:lineRule="auto"/>
        <w:ind w:left="1134" w:right="662"/>
        <w:rPr>
          <w:rFonts w:ascii="Calibri" w:hAnsi="Calibri"/>
        </w:rPr>
      </w:pPr>
      <w:r w:rsidRPr="007333E7">
        <w:rPr>
          <w:rFonts w:ascii="Calibri" w:hAnsi="Calibri"/>
          <w:b/>
        </w:rPr>
        <w:t xml:space="preserve">Figure </w:t>
      </w:r>
      <w:r w:rsidR="00FA1DC5" w:rsidRPr="007333E7">
        <w:rPr>
          <w:rFonts w:ascii="Calibri" w:hAnsi="Calibri"/>
          <w:b/>
        </w:rPr>
        <w:t>5</w:t>
      </w:r>
      <w:r w:rsidRPr="007333E7">
        <w:rPr>
          <w:rFonts w:ascii="Calibri" w:hAnsi="Calibri"/>
        </w:rPr>
        <w:t>. The</w:t>
      </w:r>
      <w:r w:rsidRPr="00DB1D7C">
        <w:rPr>
          <w:rFonts w:ascii="Calibri" w:hAnsi="Calibri"/>
        </w:rPr>
        <w:t xml:space="preserve"> 10-year probability (%) of a major osteoporotic fracture by age in women with a prior fracture and no other clinical risk factors in the five major EU countries (weighted average of Spain, France, Germany, Italy and UK) as </w:t>
      </w:r>
      <w:r w:rsidRPr="00DB1D7C">
        <w:rPr>
          <w:rFonts w:ascii="Calibri" w:hAnsi="Calibri"/>
        </w:rPr>
        <w:lastRenderedPageBreak/>
        <w:t>determined with FRAX (version 3.5). Body</w:t>
      </w:r>
      <w:r w:rsidR="00EE126B" w:rsidRPr="00DB1D7C">
        <w:rPr>
          <w:rFonts w:ascii="Calibri" w:hAnsi="Calibri"/>
        </w:rPr>
        <w:t xml:space="preserve"> </w:t>
      </w:r>
      <w:r w:rsidRPr="00DB1D7C">
        <w:rPr>
          <w:rFonts w:ascii="Calibri" w:hAnsi="Calibri"/>
        </w:rPr>
        <w:t>mass index was set to 24 kg/m</w:t>
      </w:r>
      <w:r w:rsidRPr="00DB1D7C">
        <w:rPr>
          <w:rFonts w:ascii="Calibri" w:hAnsi="Calibri"/>
          <w:vertAlign w:val="superscript"/>
        </w:rPr>
        <w:t>2</w:t>
      </w:r>
      <w:r w:rsidR="00EE126B" w:rsidRPr="00DB1D7C">
        <w:rPr>
          <w:rFonts w:ascii="Calibri" w:hAnsi="Calibri"/>
        </w:rPr>
        <w:t xml:space="preserve"> </w:t>
      </w:r>
      <w:r w:rsidRPr="00DB1D7C">
        <w:rPr>
          <w:rFonts w:ascii="Calibri" w:hAnsi="Calibri"/>
        </w:rPr>
        <w:t>without BMD</w:t>
      </w:r>
      <w:r w:rsidR="00EE126B" w:rsidRPr="00DB1D7C">
        <w:rPr>
          <w:rFonts w:ascii="Calibri" w:hAnsi="Calibri"/>
        </w:rPr>
        <w:t xml:space="preserve">. </w:t>
      </w:r>
      <w:r w:rsidR="00686D56">
        <w:rPr>
          <w:rFonts w:ascii="Calibri" w:hAnsi="Calibri"/>
        </w:rPr>
        <w:t>T</w:t>
      </w:r>
      <w:r w:rsidR="00EE126B" w:rsidRPr="00DB1D7C">
        <w:rPr>
          <w:rFonts w:ascii="Calibri" w:hAnsi="Calibri"/>
        </w:rPr>
        <w:t>he line dividing the red and green zones represents the age-</w:t>
      </w:r>
      <w:r w:rsidR="00EE126B" w:rsidRPr="00E00133">
        <w:rPr>
          <w:rFonts w:ascii="Calibri" w:hAnsi="Calibri"/>
        </w:rPr>
        <w:t>dependent intervention threshold</w:t>
      </w:r>
      <w:r w:rsidRPr="00E00133">
        <w:rPr>
          <w:rFonts w:ascii="Calibri" w:hAnsi="Calibri"/>
        </w:rPr>
        <w:t xml:space="preserve"> </w:t>
      </w:r>
      <w:r w:rsidR="00EE126B" w:rsidRPr="00E00133">
        <w:rPr>
          <w:rFonts w:ascii="Calibri" w:hAnsi="Calibri"/>
        </w:rPr>
        <w:t xml:space="preserve">or ‘fracture threshold’. (Extracted from </w:t>
      </w:r>
      <w:r w:rsidR="00BE3917" w:rsidRPr="00E00133">
        <w:rPr>
          <w:rFonts w:ascii="Calibri" w:hAnsi="Calibri"/>
          <w:sz w:val="24"/>
          <w:szCs w:val="24"/>
        </w:rPr>
        <w:t>[28]</w:t>
      </w:r>
      <w:r w:rsidR="00E00133">
        <w:rPr>
          <w:rFonts w:ascii="Calibri" w:hAnsi="Calibri"/>
          <w:sz w:val="24"/>
          <w:szCs w:val="24"/>
        </w:rPr>
        <w:t xml:space="preserve"> </w:t>
      </w:r>
      <w:r w:rsidR="00EE126B" w:rsidRPr="004B2258">
        <w:rPr>
          <w:rFonts w:ascii="Calibri" w:hAnsi="Calibri"/>
        </w:rPr>
        <w:t xml:space="preserve">with </w:t>
      </w:r>
      <w:r w:rsidR="00F84734" w:rsidRPr="004B2258">
        <w:rPr>
          <w:rFonts w:ascii="Calibri" w:hAnsi="Calibri"/>
        </w:rPr>
        <w:t>kind</w:t>
      </w:r>
      <w:r w:rsidR="00F84734" w:rsidRPr="00DB1D7C">
        <w:rPr>
          <w:rFonts w:ascii="Calibri" w:hAnsi="Calibri"/>
        </w:rPr>
        <w:t xml:space="preserve"> permission from Springer Science and Business Media.</w:t>
      </w:r>
    </w:p>
    <w:p w14:paraId="77AABE22" w14:textId="77777777" w:rsidR="00EE126B" w:rsidRPr="00DB1D7C" w:rsidRDefault="00EE126B" w:rsidP="00D6676F">
      <w:pPr>
        <w:spacing w:after="120"/>
        <w:rPr>
          <w:rFonts w:ascii="Calibri" w:hAnsi="Calibri"/>
          <w:i/>
        </w:rPr>
      </w:pPr>
    </w:p>
    <w:p w14:paraId="6D177D7C" w14:textId="1D7FF092" w:rsidR="00390D58" w:rsidRPr="00DB1D7C" w:rsidRDefault="007405C8" w:rsidP="00F84734">
      <w:pPr>
        <w:spacing w:after="120" w:line="276" w:lineRule="auto"/>
        <w:rPr>
          <w:rFonts w:ascii="Calibri" w:hAnsi="Calibri"/>
          <w:i/>
          <w:sz w:val="24"/>
          <w:szCs w:val="24"/>
        </w:rPr>
      </w:pPr>
      <w:r w:rsidRPr="00DB1D7C">
        <w:rPr>
          <w:rFonts w:ascii="Calibri" w:hAnsi="Calibri"/>
          <w:i/>
          <w:sz w:val="24"/>
          <w:szCs w:val="24"/>
        </w:rPr>
        <w:t>Management algorithm</w:t>
      </w:r>
    </w:p>
    <w:p w14:paraId="4694CB51" w14:textId="56298444" w:rsidR="000A243A" w:rsidRPr="00DB1D7C" w:rsidRDefault="000A243A" w:rsidP="00F84734">
      <w:pPr>
        <w:spacing w:line="276" w:lineRule="auto"/>
        <w:rPr>
          <w:rFonts w:ascii="Calibri" w:hAnsi="Calibri"/>
          <w:sz w:val="24"/>
          <w:szCs w:val="24"/>
        </w:rPr>
      </w:pPr>
      <w:r w:rsidRPr="00DB1D7C">
        <w:rPr>
          <w:rFonts w:ascii="Calibri" w:hAnsi="Calibri"/>
          <w:sz w:val="24"/>
          <w:szCs w:val="24"/>
        </w:rPr>
        <w:t xml:space="preserve">A general approach to risk assessment is </w:t>
      </w:r>
      <w:r w:rsidRPr="00FA1DC5">
        <w:rPr>
          <w:rFonts w:ascii="Calibri" w:hAnsi="Calibri"/>
          <w:sz w:val="24"/>
          <w:szCs w:val="24"/>
        </w:rPr>
        <w:t xml:space="preserve">shown in </w:t>
      </w:r>
      <w:r w:rsidR="00A118CD" w:rsidRPr="00D00018">
        <w:rPr>
          <w:rFonts w:ascii="Calibri" w:hAnsi="Calibri"/>
          <w:sz w:val="24"/>
          <w:szCs w:val="24"/>
        </w:rPr>
        <w:t>Figure</w:t>
      </w:r>
      <w:r w:rsidRPr="00D00018">
        <w:rPr>
          <w:rFonts w:ascii="Calibri" w:hAnsi="Calibri"/>
          <w:sz w:val="24"/>
          <w:szCs w:val="24"/>
        </w:rPr>
        <w:t xml:space="preserve"> </w:t>
      </w:r>
      <w:r w:rsidR="00FA1DC5" w:rsidRPr="00D00018">
        <w:rPr>
          <w:rFonts w:ascii="Calibri" w:hAnsi="Calibri"/>
          <w:sz w:val="24"/>
          <w:szCs w:val="24"/>
        </w:rPr>
        <w:t>6</w:t>
      </w:r>
      <w:r w:rsidR="004B2258" w:rsidRPr="00D00018">
        <w:rPr>
          <w:rFonts w:ascii="Calibri" w:hAnsi="Calibri"/>
          <w:sz w:val="24"/>
          <w:szCs w:val="24"/>
        </w:rPr>
        <w:t xml:space="preserve"> </w:t>
      </w:r>
      <w:r w:rsidR="0030753F" w:rsidRPr="00D00018">
        <w:rPr>
          <w:rFonts w:ascii="Calibri" w:hAnsi="Calibri"/>
          <w:sz w:val="24"/>
          <w:szCs w:val="24"/>
        </w:rPr>
        <w:t>[140]</w:t>
      </w:r>
      <w:r w:rsidRPr="00D00018">
        <w:rPr>
          <w:rFonts w:ascii="Calibri" w:hAnsi="Calibri"/>
          <w:sz w:val="24"/>
          <w:szCs w:val="24"/>
        </w:rPr>
        <w:t>. The</w:t>
      </w:r>
      <w:r w:rsidRPr="00DB1D7C">
        <w:rPr>
          <w:rFonts w:ascii="Calibri" w:hAnsi="Calibri"/>
          <w:sz w:val="24"/>
          <w:szCs w:val="24"/>
        </w:rPr>
        <w:t xml:space="preserve"> process begins with the assessment of fracture probability and the categorization of fracture risk on the basis of age, sex, BMI and the clinical risk factors.  On this information alone, some patients at high risk may be considered for treatment without recourse to BMD testing.</w:t>
      </w:r>
      <w:r w:rsidRPr="00DB1D7C">
        <w:rPr>
          <w:rFonts w:ascii="AdvTT3713a231" w:hAnsi="AdvTT3713a231" w:cs="AdvTT3713a231"/>
          <w:color w:val="131413"/>
          <w:sz w:val="24"/>
          <w:szCs w:val="24"/>
        </w:rPr>
        <w:t xml:space="preserve"> </w:t>
      </w:r>
      <w:r w:rsidRPr="00DB1D7C">
        <w:rPr>
          <w:rFonts w:ascii="Calibri" w:hAnsi="Calibri"/>
          <w:sz w:val="24"/>
          <w:szCs w:val="24"/>
        </w:rPr>
        <w:t>For example, many guidelines recommend treatment in the absence of information on BMD in women with a previous fragility fracture (a prior vertebral or hip fracture in some countries).</w:t>
      </w:r>
    </w:p>
    <w:p w14:paraId="4A2C8C40" w14:textId="77864748" w:rsidR="007C6CEB" w:rsidRPr="00DB1D7C" w:rsidRDefault="007C6CEB" w:rsidP="000A243A">
      <w:pPr>
        <w:jc w:val="center"/>
        <w:rPr>
          <w:rFonts w:ascii="Calibri" w:hAnsi="Calibri"/>
          <w:sz w:val="32"/>
          <w:szCs w:val="32"/>
        </w:rPr>
      </w:pPr>
    </w:p>
    <w:p w14:paraId="6C4D0454" w14:textId="7796B696" w:rsidR="00EE126B" w:rsidRPr="00DB1D7C" w:rsidRDefault="00EE126B" w:rsidP="00EE126B">
      <w:pPr>
        <w:jc w:val="center"/>
        <w:rPr>
          <w:rFonts w:ascii="Calibri" w:hAnsi="Calibri"/>
          <w:b/>
          <w:sz w:val="24"/>
          <w:szCs w:val="24"/>
          <w:highlight w:val="cyan"/>
        </w:rPr>
      </w:pPr>
      <w:r w:rsidRPr="00DB1D7C">
        <w:rPr>
          <w:rFonts w:ascii="Calibri" w:hAnsi="Calibri"/>
          <w:b/>
          <w:noProof/>
          <w:sz w:val="24"/>
          <w:szCs w:val="24"/>
          <w:lang w:eastAsia="en-GB"/>
        </w:rPr>
        <w:drawing>
          <wp:inline distT="0" distB="0" distL="0" distR="0" wp14:anchorId="6BE7982B" wp14:editId="2EC5973E">
            <wp:extent cx="4572638" cy="342947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572638" cy="3429479"/>
                    </a:xfrm>
                    <a:prstGeom prst="rect">
                      <a:avLst/>
                    </a:prstGeom>
                  </pic:spPr>
                </pic:pic>
              </a:graphicData>
            </a:graphic>
          </wp:inline>
        </w:drawing>
      </w:r>
    </w:p>
    <w:p w14:paraId="62DE4933" w14:textId="320DE93A" w:rsidR="000A243A" w:rsidRPr="00DB1D7C" w:rsidRDefault="00A118CD" w:rsidP="00F84734">
      <w:pPr>
        <w:ind w:left="709" w:right="946"/>
        <w:rPr>
          <w:rFonts w:ascii="Calibri" w:hAnsi="Calibri"/>
        </w:rPr>
      </w:pPr>
      <w:r w:rsidRPr="00FA1DC5">
        <w:rPr>
          <w:rFonts w:ascii="Calibri" w:hAnsi="Calibri"/>
          <w:b/>
        </w:rPr>
        <w:t>Figure</w:t>
      </w:r>
      <w:r w:rsidR="000A243A" w:rsidRPr="00FA1DC5">
        <w:rPr>
          <w:rFonts w:ascii="Calibri" w:hAnsi="Calibri"/>
          <w:b/>
        </w:rPr>
        <w:t xml:space="preserve"> </w:t>
      </w:r>
      <w:r w:rsidR="00FA1DC5" w:rsidRPr="00FA1DC5">
        <w:rPr>
          <w:rFonts w:ascii="Calibri" w:hAnsi="Calibri"/>
          <w:b/>
        </w:rPr>
        <w:t>6</w:t>
      </w:r>
      <w:r w:rsidR="000A243A" w:rsidRPr="00FA1DC5">
        <w:rPr>
          <w:rFonts w:ascii="Calibri" w:hAnsi="Calibri"/>
        </w:rPr>
        <w:t xml:space="preserve"> Management</w:t>
      </w:r>
      <w:r w:rsidR="000A243A" w:rsidRPr="00DB1D7C">
        <w:rPr>
          <w:rFonts w:ascii="Calibri" w:hAnsi="Calibri"/>
        </w:rPr>
        <w:t xml:space="preserve"> algorithm for the assessment of individuals at risk of </w:t>
      </w:r>
      <w:r w:rsidR="000A243A" w:rsidRPr="00D00018">
        <w:rPr>
          <w:rFonts w:ascii="Calibri" w:hAnsi="Calibri"/>
        </w:rPr>
        <w:t xml:space="preserve">fracture </w:t>
      </w:r>
      <w:r w:rsidR="0030753F" w:rsidRPr="00D00018">
        <w:rPr>
          <w:rFonts w:ascii="Calibri" w:hAnsi="Calibri"/>
        </w:rPr>
        <w:t>[140]</w:t>
      </w:r>
      <w:r w:rsidR="00D00018" w:rsidRPr="00D00018">
        <w:rPr>
          <w:rFonts w:ascii="Calibri" w:hAnsi="Calibri"/>
        </w:rPr>
        <w:t>,</w:t>
      </w:r>
      <w:r w:rsidR="0030753F" w:rsidRPr="00D00018">
        <w:rPr>
          <w:rFonts w:ascii="Calibri" w:hAnsi="Calibri"/>
        </w:rPr>
        <w:t xml:space="preserve"> </w:t>
      </w:r>
      <w:r w:rsidR="000A243A" w:rsidRPr="00D00018">
        <w:rPr>
          <w:rFonts w:ascii="Calibri" w:hAnsi="Calibri"/>
        </w:rPr>
        <w:t>with kind</w:t>
      </w:r>
      <w:r w:rsidR="000A243A" w:rsidRPr="00DB1D7C">
        <w:rPr>
          <w:rFonts w:ascii="Calibri" w:hAnsi="Calibri"/>
        </w:rPr>
        <w:t xml:space="preserve"> permission from Springer Science and Business Media.</w:t>
      </w:r>
    </w:p>
    <w:p w14:paraId="33A6910A" w14:textId="5AB93082" w:rsidR="000A243A" w:rsidRPr="00DB1D7C" w:rsidRDefault="007C6CEB" w:rsidP="000A243A">
      <w:pPr>
        <w:rPr>
          <w:rFonts w:ascii="Calibri" w:hAnsi="Calibri"/>
          <w:sz w:val="24"/>
          <w:szCs w:val="24"/>
        </w:rPr>
      </w:pPr>
      <w:r w:rsidRPr="00DB1D7C">
        <w:rPr>
          <w:rFonts w:ascii="Calibri" w:hAnsi="Calibri"/>
          <w:sz w:val="24"/>
          <w:szCs w:val="24"/>
        </w:rPr>
        <w:t xml:space="preserve">Conversely low risk individuals would not normally be eligible for further assessment. </w:t>
      </w:r>
      <w:r w:rsidR="000A243A" w:rsidRPr="00DB1D7C">
        <w:rPr>
          <w:rFonts w:ascii="Calibri" w:hAnsi="Calibri"/>
          <w:sz w:val="24"/>
          <w:szCs w:val="24"/>
        </w:rPr>
        <w:t xml:space="preserve">The intermediate </w:t>
      </w:r>
      <w:r w:rsidR="000A243A" w:rsidRPr="00FA1DC5">
        <w:rPr>
          <w:rFonts w:ascii="Calibri" w:hAnsi="Calibri"/>
          <w:sz w:val="24"/>
          <w:szCs w:val="24"/>
        </w:rPr>
        <w:t xml:space="preserve">category in </w:t>
      </w:r>
      <w:r w:rsidR="00A118CD" w:rsidRPr="00FA1DC5">
        <w:rPr>
          <w:rFonts w:ascii="Calibri" w:hAnsi="Calibri"/>
          <w:sz w:val="24"/>
          <w:szCs w:val="24"/>
        </w:rPr>
        <w:t>Figure</w:t>
      </w:r>
      <w:r w:rsidR="000A243A" w:rsidRPr="00FA1DC5">
        <w:rPr>
          <w:rFonts w:ascii="Calibri" w:hAnsi="Calibri"/>
          <w:sz w:val="24"/>
          <w:szCs w:val="24"/>
        </w:rPr>
        <w:t xml:space="preserve"> </w:t>
      </w:r>
      <w:r w:rsidR="00FA1DC5" w:rsidRPr="00FA1DC5">
        <w:rPr>
          <w:rFonts w:ascii="Calibri" w:hAnsi="Calibri"/>
          <w:sz w:val="24"/>
          <w:szCs w:val="24"/>
        </w:rPr>
        <w:t>6</w:t>
      </w:r>
      <w:r w:rsidR="000A243A" w:rsidRPr="00FA1DC5">
        <w:rPr>
          <w:rFonts w:ascii="Calibri" w:hAnsi="Calibri"/>
          <w:sz w:val="24"/>
          <w:szCs w:val="24"/>
        </w:rPr>
        <w:t xml:space="preserve"> will</w:t>
      </w:r>
      <w:r w:rsidR="000A243A" w:rsidRPr="00DB1D7C">
        <w:rPr>
          <w:rFonts w:ascii="Calibri" w:hAnsi="Calibri"/>
          <w:sz w:val="24"/>
          <w:szCs w:val="24"/>
        </w:rPr>
        <w:t xml:space="preserve"> vary in different countries. In countries that </w:t>
      </w:r>
      <w:r w:rsidRPr="00DB1D7C">
        <w:rPr>
          <w:rFonts w:ascii="Calibri" w:hAnsi="Calibri"/>
          <w:sz w:val="24"/>
          <w:szCs w:val="24"/>
        </w:rPr>
        <w:t xml:space="preserve">encourage screening (the US) or that </w:t>
      </w:r>
      <w:r w:rsidR="000A243A" w:rsidRPr="00DB1D7C">
        <w:rPr>
          <w:rFonts w:ascii="Calibri" w:hAnsi="Calibri"/>
          <w:sz w:val="24"/>
          <w:szCs w:val="24"/>
        </w:rPr>
        <w:t>provide reimbursement for DXA, this will be a large category, whereas in the many countries with limited or no access to densitometry, the size of the intermediate group will necessarily be small. In other countries (e.g. the UK), where provision for BMD testing is sub-</w:t>
      </w:r>
      <w:r w:rsidR="000A243A" w:rsidRPr="00D00018">
        <w:rPr>
          <w:rFonts w:ascii="Calibri" w:hAnsi="Calibri"/>
          <w:sz w:val="24"/>
          <w:szCs w:val="24"/>
        </w:rPr>
        <w:t xml:space="preserve">optimal </w:t>
      </w:r>
      <w:r w:rsidR="0030753F" w:rsidRPr="00D00018">
        <w:rPr>
          <w:rFonts w:ascii="Calibri" w:hAnsi="Calibri"/>
          <w:sz w:val="24"/>
          <w:szCs w:val="24"/>
        </w:rPr>
        <w:t>[16]</w:t>
      </w:r>
      <w:r w:rsidR="000A243A" w:rsidRPr="00D00018">
        <w:rPr>
          <w:rFonts w:ascii="Calibri" w:hAnsi="Calibri"/>
          <w:sz w:val="24"/>
          <w:szCs w:val="24"/>
        </w:rPr>
        <w:t>, the intermediate</w:t>
      </w:r>
      <w:r w:rsidR="000A243A" w:rsidRPr="00DB1D7C">
        <w:rPr>
          <w:rFonts w:ascii="Calibri" w:hAnsi="Calibri"/>
          <w:sz w:val="24"/>
          <w:szCs w:val="24"/>
        </w:rPr>
        <w:t xml:space="preserve"> category will lie between the two extremes.</w:t>
      </w:r>
    </w:p>
    <w:p w14:paraId="13637665" w14:textId="77777777" w:rsidR="008748D1" w:rsidRPr="00DB1D7C" w:rsidRDefault="008748D1" w:rsidP="00D6676F">
      <w:pPr>
        <w:spacing w:after="120"/>
        <w:rPr>
          <w:rFonts w:ascii="Calibri" w:hAnsi="Calibri"/>
          <w:i/>
        </w:rPr>
      </w:pPr>
    </w:p>
    <w:p w14:paraId="6ADFA7DA" w14:textId="0C710A9B" w:rsidR="002D72B2" w:rsidRPr="00DB1D7C" w:rsidRDefault="002D72B2" w:rsidP="00D6676F">
      <w:pPr>
        <w:spacing w:after="120"/>
        <w:rPr>
          <w:rFonts w:ascii="Calibri" w:hAnsi="Calibri"/>
          <w:i/>
          <w:sz w:val="24"/>
          <w:szCs w:val="24"/>
        </w:rPr>
      </w:pPr>
      <w:r w:rsidRPr="00DB1D7C">
        <w:rPr>
          <w:rFonts w:ascii="Calibri" w:hAnsi="Calibri"/>
          <w:i/>
          <w:sz w:val="24"/>
          <w:szCs w:val="24"/>
        </w:rPr>
        <w:t>National Osteoporosis Guideline Group (NOGG), UK</w:t>
      </w:r>
    </w:p>
    <w:p w14:paraId="4CDCE190" w14:textId="54BD05A3" w:rsidR="00BF1970" w:rsidRPr="00DB1D7C" w:rsidRDefault="00910E0D" w:rsidP="00F84734">
      <w:pPr>
        <w:spacing w:line="276" w:lineRule="auto"/>
        <w:rPr>
          <w:sz w:val="24"/>
          <w:szCs w:val="24"/>
        </w:rPr>
      </w:pPr>
      <w:r w:rsidRPr="00DB1D7C">
        <w:rPr>
          <w:bCs/>
          <w:sz w:val="24"/>
          <w:szCs w:val="24"/>
        </w:rPr>
        <w:t xml:space="preserve">NOGG developed </w:t>
      </w:r>
      <w:r w:rsidRPr="00D00018">
        <w:rPr>
          <w:bCs/>
          <w:sz w:val="24"/>
          <w:szCs w:val="24"/>
        </w:rPr>
        <w:t xml:space="preserve">age-dependent intervention thresholds for the UK shortly after the first release of FRAX in 2008 </w:t>
      </w:r>
      <w:r w:rsidR="0030753F" w:rsidRPr="00D00018">
        <w:rPr>
          <w:bCs/>
          <w:sz w:val="24"/>
          <w:szCs w:val="24"/>
        </w:rPr>
        <w:t xml:space="preserve">[141] </w:t>
      </w:r>
      <w:r w:rsidR="00593193" w:rsidRPr="00D00018">
        <w:rPr>
          <w:bCs/>
          <w:sz w:val="24"/>
          <w:szCs w:val="24"/>
        </w:rPr>
        <w:t xml:space="preserve">with an update in 2013 </w:t>
      </w:r>
      <w:r w:rsidR="00335280" w:rsidRPr="00D00018">
        <w:rPr>
          <w:rFonts w:ascii="Calibri" w:hAnsi="Calibri"/>
          <w:sz w:val="24"/>
          <w:szCs w:val="24"/>
        </w:rPr>
        <w:t>[139]</w:t>
      </w:r>
      <w:r w:rsidRPr="00D00018">
        <w:rPr>
          <w:bCs/>
          <w:sz w:val="24"/>
          <w:szCs w:val="24"/>
        </w:rPr>
        <w:t>.</w:t>
      </w:r>
      <w:r w:rsidR="004B2258" w:rsidRPr="00D00018">
        <w:rPr>
          <w:bCs/>
          <w:sz w:val="24"/>
          <w:szCs w:val="24"/>
        </w:rPr>
        <w:t xml:space="preserve"> </w:t>
      </w:r>
      <w:r w:rsidR="004B2258" w:rsidRPr="00D00018">
        <w:rPr>
          <w:sz w:val="24"/>
          <w:szCs w:val="24"/>
        </w:rPr>
        <w:t xml:space="preserve"> </w:t>
      </w:r>
      <w:r w:rsidR="00BF1970" w:rsidRPr="00D00018">
        <w:rPr>
          <w:sz w:val="24"/>
          <w:szCs w:val="24"/>
        </w:rPr>
        <w:t xml:space="preserve">The lower assessment threshold was set to exclude a requirement for BMD testing in women with no clinical risk factors, as given in the prevailing RCP and European guidelines </w:t>
      </w:r>
      <w:r w:rsidR="008777D2" w:rsidRPr="00D00018">
        <w:rPr>
          <w:sz w:val="24"/>
          <w:szCs w:val="24"/>
        </w:rPr>
        <w:t>[</w:t>
      </w:r>
      <w:r w:rsidR="00D00018" w:rsidRPr="00D00018">
        <w:rPr>
          <w:sz w:val="24"/>
          <w:szCs w:val="24"/>
        </w:rPr>
        <w:t xml:space="preserve">136, </w:t>
      </w:r>
      <w:r w:rsidR="008777D2" w:rsidRPr="00D00018">
        <w:rPr>
          <w:sz w:val="24"/>
          <w:szCs w:val="24"/>
        </w:rPr>
        <w:t>137]</w:t>
      </w:r>
      <w:r w:rsidR="00BF1970" w:rsidRPr="00D00018">
        <w:rPr>
          <w:sz w:val="24"/>
          <w:szCs w:val="24"/>
        </w:rPr>
        <w:t xml:space="preserve">. The upper threshold was chosen to minimise the probability that a patient characterised to be at high risk on the basis of clinical risk factors alone would be re-classified to be at low risk with additional information on BMD </w:t>
      </w:r>
      <w:r w:rsidR="008777D2" w:rsidRPr="00D00018">
        <w:rPr>
          <w:sz w:val="24"/>
          <w:szCs w:val="24"/>
        </w:rPr>
        <w:t>[142]</w:t>
      </w:r>
      <w:r w:rsidR="00BF1970" w:rsidRPr="00D00018">
        <w:rPr>
          <w:sz w:val="24"/>
          <w:szCs w:val="24"/>
        </w:rPr>
        <w:t>. The upper</w:t>
      </w:r>
      <w:r w:rsidR="00BF1970" w:rsidRPr="00DB1D7C">
        <w:rPr>
          <w:sz w:val="24"/>
          <w:szCs w:val="24"/>
        </w:rPr>
        <w:t xml:space="preserve"> assessment threshold was set at 1.2 times the intervention threshold.</w:t>
      </w:r>
    </w:p>
    <w:p w14:paraId="30934488" w14:textId="598F8ED6" w:rsidR="00260029" w:rsidRPr="00DB1D7C" w:rsidRDefault="00BF1970" w:rsidP="00BF1970">
      <w:pPr>
        <w:jc w:val="center"/>
        <w:rPr>
          <w:bCs/>
        </w:rPr>
      </w:pPr>
      <w:r w:rsidRPr="00DB1D7C">
        <w:rPr>
          <w:bCs/>
          <w:noProof/>
          <w:lang w:eastAsia="en-GB"/>
        </w:rPr>
        <w:drawing>
          <wp:inline distT="0" distB="0" distL="0" distR="0" wp14:anchorId="01FC810E" wp14:editId="68A11C96">
            <wp:extent cx="4571999" cy="2933700"/>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t="14445"/>
                    <a:stretch/>
                  </pic:blipFill>
                  <pic:spPr bwMode="auto">
                    <a:xfrm>
                      <a:off x="0" y="0"/>
                      <a:ext cx="4572638" cy="2934110"/>
                    </a:xfrm>
                    <a:prstGeom prst="rect">
                      <a:avLst/>
                    </a:prstGeom>
                    <a:ln>
                      <a:noFill/>
                    </a:ln>
                    <a:extLst>
                      <a:ext uri="{53640926-AAD7-44D8-BBD7-CCE9431645EC}">
                        <a14:shadowObscured xmlns:a14="http://schemas.microsoft.com/office/drawing/2010/main"/>
                      </a:ext>
                    </a:extLst>
                  </pic:spPr>
                </pic:pic>
              </a:graphicData>
            </a:graphic>
          </wp:inline>
        </w:drawing>
      </w:r>
    </w:p>
    <w:p w14:paraId="1CB8D8EB" w14:textId="728E33B3" w:rsidR="00260029" w:rsidRPr="00DB1D7C" w:rsidRDefault="00A118CD" w:rsidP="00BF1970">
      <w:pPr>
        <w:ind w:left="851" w:right="946"/>
        <w:rPr>
          <w:bCs/>
        </w:rPr>
      </w:pPr>
      <w:r w:rsidRPr="00FA1DC5">
        <w:rPr>
          <w:bCs/>
        </w:rPr>
        <w:t>Figure</w:t>
      </w:r>
      <w:r w:rsidR="00260029" w:rsidRPr="00FA1DC5">
        <w:rPr>
          <w:bCs/>
        </w:rPr>
        <w:t xml:space="preserve"> </w:t>
      </w:r>
      <w:r w:rsidR="00FA1DC5" w:rsidRPr="00FA1DC5">
        <w:rPr>
          <w:bCs/>
        </w:rPr>
        <w:t>7</w:t>
      </w:r>
      <w:r w:rsidR="00260029" w:rsidRPr="00FA1DC5">
        <w:rPr>
          <w:bCs/>
        </w:rPr>
        <w:t>. Assessment</w:t>
      </w:r>
      <w:r w:rsidR="00260029" w:rsidRPr="00DB1D7C">
        <w:rPr>
          <w:bCs/>
        </w:rPr>
        <w:t xml:space="preserve"> and treatment thresholds in the absence of a BMD test (left) and with a BMD test to compute fracture probability (right) for men and women. </w:t>
      </w:r>
      <w:r w:rsidR="00BF1970" w:rsidRPr="00DB1D7C">
        <w:rPr>
          <w:bCs/>
        </w:rPr>
        <w:t xml:space="preserve"> Redrawn </w:t>
      </w:r>
      <w:r w:rsidR="00BF1970" w:rsidRPr="00D00018">
        <w:rPr>
          <w:bCs/>
        </w:rPr>
        <w:t xml:space="preserve">from </w:t>
      </w:r>
      <w:r w:rsidR="0030753F" w:rsidRPr="00D00018">
        <w:rPr>
          <w:bCs/>
          <w:sz w:val="24"/>
          <w:szCs w:val="24"/>
        </w:rPr>
        <w:t>[141]</w:t>
      </w:r>
    </w:p>
    <w:p w14:paraId="1A5DE288" w14:textId="541A7888" w:rsidR="0068701F" w:rsidRPr="00DB1D7C" w:rsidRDefault="00910E0D" w:rsidP="00F84734">
      <w:pPr>
        <w:spacing w:line="276" w:lineRule="auto"/>
        <w:rPr>
          <w:bCs/>
          <w:sz w:val="24"/>
          <w:szCs w:val="24"/>
        </w:rPr>
      </w:pPr>
      <w:r w:rsidRPr="00DB1D7C">
        <w:rPr>
          <w:bCs/>
          <w:sz w:val="24"/>
          <w:szCs w:val="24"/>
        </w:rPr>
        <w:t>In keeping the majority of guidelines</w:t>
      </w:r>
      <w:r w:rsidR="00BF1970" w:rsidRPr="00DB1D7C">
        <w:rPr>
          <w:bCs/>
          <w:sz w:val="24"/>
          <w:szCs w:val="24"/>
        </w:rPr>
        <w:t xml:space="preserve"> </w:t>
      </w:r>
      <w:r w:rsidR="00072C83" w:rsidRPr="00DB1D7C">
        <w:rPr>
          <w:bCs/>
          <w:sz w:val="24"/>
          <w:szCs w:val="24"/>
        </w:rPr>
        <w:t>worldwide</w:t>
      </w:r>
      <w:r w:rsidRPr="00DB1D7C">
        <w:rPr>
          <w:bCs/>
          <w:sz w:val="24"/>
          <w:szCs w:val="24"/>
        </w:rPr>
        <w:t>,</w:t>
      </w:r>
      <w:r w:rsidRPr="00DB1D7C">
        <w:rPr>
          <w:sz w:val="24"/>
          <w:szCs w:val="24"/>
        </w:rPr>
        <w:t xml:space="preserve"> </w:t>
      </w:r>
      <w:r w:rsidRPr="00DB1D7C">
        <w:rPr>
          <w:bCs/>
          <w:sz w:val="24"/>
          <w:szCs w:val="24"/>
        </w:rPr>
        <w:t xml:space="preserve">individuals with a prior fragility fracture </w:t>
      </w:r>
      <w:r w:rsidR="00792485">
        <w:rPr>
          <w:bCs/>
          <w:sz w:val="24"/>
          <w:szCs w:val="24"/>
        </w:rPr>
        <w:t>can</w:t>
      </w:r>
      <w:r w:rsidRPr="00DB1D7C">
        <w:rPr>
          <w:bCs/>
          <w:sz w:val="24"/>
          <w:szCs w:val="24"/>
        </w:rPr>
        <w:t xml:space="preserve"> be considered for treatment without the need for further risk assessment although BMD measurement may be appropriate to monitor treatment. </w:t>
      </w:r>
    </w:p>
    <w:p w14:paraId="3AEDA732" w14:textId="0542B9ED" w:rsidR="00910E0D" w:rsidRPr="00DB1D7C" w:rsidRDefault="00910E0D" w:rsidP="00F84734">
      <w:pPr>
        <w:spacing w:line="276" w:lineRule="auto"/>
        <w:rPr>
          <w:sz w:val="24"/>
          <w:szCs w:val="24"/>
        </w:rPr>
      </w:pPr>
      <w:r w:rsidRPr="00DB1D7C">
        <w:rPr>
          <w:bCs/>
          <w:sz w:val="24"/>
          <w:szCs w:val="24"/>
        </w:rPr>
        <w:t>In those without prior fragility fracture but other clinical risk factors,</w:t>
      </w:r>
      <w:r w:rsidR="003231A6" w:rsidRPr="00DB1D7C">
        <w:rPr>
          <w:bCs/>
          <w:sz w:val="24"/>
          <w:szCs w:val="24"/>
        </w:rPr>
        <w:t xml:space="preserve"> </w:t>
      </w:r>
      <w:r w:rsidRPr="00DB1D7C">
        <w:rPr>
          <w:sz w:val="24"/>
          <w:szCs w:val="24"/>
        </w:rPr>
        <w:t>the 10</w:t>
      </w:r>
      <w:r w:rsidR="004B2258">
        <w:rPr>
          <w:sz w:val="24"/>
          <w:szCs w:val="24"/>
        </w:rPr>
        <w:t>-</w:t>
      </w:r>
      <w:r w:rsidRPr="00DB1D7C">
        <w:rPr>
          <w:sz w:val="24"/>
          <w:szCs w:val="24"/>
        </w:rPr>
        <w:t>year probability of a major osteoporotic fracture (clinical spine, hip, forearm or humerus</w:t>
      </w:r>
      <w:r w:rsidR="00F16EDA">
        <w:rPr>
          <w:sz w:val="24"/>
          <w:szCs w:val="24"/>
        </w:rPr>
        <w:t>)</w:t>
      </w:r>
      <w:r w:rsidR="003231A6" w:rsidRPr="00DB1D7C">
        <w:rPr>
          <w:sz w:val="24"/>
          <w:szCs w:val="24"/>
        </w:rPr>
        <w:t xml:space="preserve"> </w:t>
      </w:r>
      <w:r w:rsidRPr="00DB1D7C">
        <w:rPr>
          <w:sz w:val="24"/>
          <w:szCs w:val="24"/>
        </w:rPr>
        <w:t xml:space="preserve">is determined using FRAX.  Men and women with probabilities below the lower assessment threshold can be </w:t>
      </w:r>
      <w:r w:rsidRPr="00FA1DC5">
        <w:rPr>
          <w:sz w:val="24"/>
          <w:szCs w:val="24"/>
        </w:rPr>
        <w:t xml:space="preserve">reassured (Figure </w:t>
      </w:r>
      <w:r w:rsidR="00FA1DC5" w:rsidRPr="00FA1DC5">
        <w:rPr>
          <w:sz w:val="24"/>
          <w:szCs w:val="24"/>
        </w:rPr>
        <w:t>7</w:t>
      </w:r>
      <w:r w:rsidRPr="00FA1DC5">
        <w:rPr>
          <w:sz w:val="24"/>
          <w:szCs w:val="24"/>
        </w:rPr>
        <w:t>). Those</w:t>
      </w:r>
      <w:r w:rsidRPr="00DB1D7C">
        <w:rPr>
          <w:sz w:val="24"/>
          <w:szCs w:val="24"/>
        </w:rPr>
        <w:t xml:space="preserve"> with probabilities above the lower assessment threshold but below the upper assessment threshold can be considered for testing with BMD using DXA and their fracture probability reassessed. </w:t>
      </w:r>
      <w:r w:rsidR="000E213A" w:rsidRPr="00DB1D7C">
        <w:rPr>
          <w:sz w:val="24"/>
          <w:szCs w:val="24"/>
        </w:rPr>
        <w:t xml:space="preserve">NOGG also developed intervention thresholds based on hip fracture probability.  </w:t>
      </w:r>
      <w:r w:rsidRPr="00DB1D7C">
        <w:rPr>
          <w:sz w:val="24"/>
          <w:szCs w:val="24"/>
        </w:rPr>
        <w:t xml:space="preserve">Men and women with probabilities above the intervention threshold </w:t>
      </w:r>
      <w:r w:rsidR="000E213A" w:rsidRPr="00DB1D7C">
        <w:rPr>
          <w:sz w:val="24"/>
          <w:szCs w:val="24"/>
        </w:rPr>
        <w:t xml:space="preserve">for major osteoporotic fracture OR for hip fracture are deemed eligible for treatment.  Note that the same intervention threshold is applied to men as in </w:t>
      </w:r>
      <w:r w:rsidR="000E213A" w:rsidRPr="00DB1D7C">
        <w:rPr>
          <w:sz w:val="24"/>
          <w:szCs w:val="24"/>
        </w:rPr>
        <w:lastRenderedPageBreak/>
        <w:t xml:space="preserve">women, since the effectiveness Kanis 2011a] and cost-effectiveness of intervention in men are broadly similar to that in women for </w:t>
      </w:r>
      <w:r w:rsidR="000E213A" w:rsidRPr="00D00018">
        <w:rPr>
          <w:sz w:val="24"/>
          <w:szCs w:val="24"/>
        </w:rPr>
        <w:t>equivalent risk</w:t>
      </w:r>
      <w:r w:rsidR="005743B0" w:rsidRPr="00D00018">
        <w:rPr>
          <w:sz w:val="24"/>
          <w:szCs w:val="24"/>
        </w:rPr>
        <w:t xml:space="preserve"> [</w:t>
      </w:r>
      <w:r w:rsidR="00D00018" w:rsidRPr="00D00018">
        <w:rPr>
          <w:sz w:val="24"/>
          <w:szCs w:val="24"/>
        </w:rPr>
        <w:t>105,</w:t>
      </w:r>
      <w:r w:rsidR="005743B0" w:rsidRPr="00D00018">
        <w:rPr>
          <w:sz w:val="24"/>
          <w:szCs w:val="24"/>
        </w:rPr>
        <w:t>124</w:t>
      </w:r>
      <w:r w:rsidR="00D00018" w:rsidRPr="00D00018">
        <w:rPr>
          <w:sz w:val="24"/>
          <w:szCs w:val="24"/>
        </w:rPr>
        <w:t xml:space="preserve">, </w:t>
      </w:r>
      <w:r w:rsidR="008777D2" w:rsidRPr="00D00018">
        <w:rPr>
          <w:sz w:val="24"/>
          <w:szCs w:val="24"/>
        </w:rPr>
        <w:t>143</w:t>
      </w:r>
      <w:r w:rsidR="00D00018" w:rsidRPr="00D00018">
        <w:rPr>
          <w:sz w:val="24"/>
          <w:szCs w:val="24"/>
        </w:rPr>
        <w:t>]</w:t>
      </w:r>
      <w:r w:rsidR="000E213A" w:rsidRPr="00D00018">
        <w:rPr>
          <w:sz w:val="24"/>
          <w:szCs w:val="24"/>
        </w:rPr>
        <w:t>.</w:t>
      </w:r>
    </w:p>
    <w:p w14:paraId="4A732629" w14:textId="77777777" w:rsidR="000E213A" w:rsidRPr="00DB1D7C" w:rsidRDefault="000E213A" w:rsidP="00910E0D"/>
    <w:p w14:paraId="2C4EB69D" w14:textId="70B9A54F" w:rsidR="00910E0D" w:rsidRPr="00DB1D7C" w:rsidRDefault="00B93611" w:rsidP="00F84734">
      <w:pPr>
        <w:spacing w:line="276" w:lineRule="auto"/>
        <w:rPr>
          <w:sz w:val="24"/>
          <w:szCs w:val="24"/>
        </w:rPr>
      </w:pPr>
      <w:r w:rsidRPr="00DB1D7C">
        <w:rPr>
          <w:sz w:val="24"/>
          <w:szCs w:val="24"/>
        </w:rPr>
        <w:t>Without computer access, colour coded charts are available that give average fracture probabilities according to BMI and the number of clinical risk factors.  There is, however, a link from the FRAX web site to the NOGG web site (</w:t>
      </w:r>
      <w:hyperlink r:id="rId22" w:history="1">
        <w:r w:rsidRPr="00DB1D7C">
          <w:rPr>
            <w:rStyle w:val="Hyperlink"/>
            <w:sz w:val="24"/>
            <w:szCs w:val="24"/>
          </w:rPr>
          <w:t>www.shef.ac.uk/NOGG</w:t>
        </w:r>
      </w:hyperlink>
      <w:r w:rsidRPr="00DB1D7C">
        <w:rPr>
          <w:sz w:val="24"/>
          <w:szCs w:val="24"/>
        </w:rPr>
        <w:t xml:space="preserve"> ) and the probability of</w:t>
      </w:r>
      <w:r w:rsidR="00072C83" w:rsidRPr="00DB1D7C">
        <w:rPr>
          <w:sz w:val="24"/>
          <w:szCs w:val="24"/>
        </w:rPr>
        <w:t xml:space="preserve"> both hip fracture and major osteoporotic fracture can be automatically </w:t>
      </w:r>
      <w:r w:rsidR="00072C83" w:rsidRPr="00FA1DC5">
        <w:rPr>
          <w:sz w:val="24"/>
          <w:szCs w:val="24"/>
        </w:rPr>
        <w:t xml:space="preserve">displayed (Figure </w:t>
      </w:r>
      <w:r w:rsidR="00FA1DC5" w:rsidRPr="00FA1DC5">
        <w:rPr>
          <w:sz w:val="24"/>
          <w:szCs w:val="24"/>
        </w:rPr>
        <w:t>8</w:t>
      </w:r>
      <w:r w:rsidR="00072C83" w:rsidRPr="00FA1DC5">
        <w:rPr>
          <w:sz w:val="24"/>
          <w:szCs w:val="24"/>
        </w:rPr>
        <w:t>).</w:t>
      </w:r>
      <w:r w:rsidRPr="00DB1D7C">
        <w:rPr>
          <w:sz w:val="24"/>
          <w:szCs w:val="24"/>
        </w:rPr>
        <w:t xml:space="preserve"> </w:t>
      </w:r>
    </w:p>
    <w:p w14:paraId="0C0F4CC2" w14:textId="09BCA609" w:rsidR="00072C83" w:rsidRPr="00DB1D7C" w:rsidRDefault="00072C83" w:rsidP="00072C83">
      <w:pPr>
        <w:jc w:val="center"/>
      </w:pPr>
    </w:p>
    <w:p w14:paraId="653E26A6" w14:textId="4E41E6A3" w:rsidR="000E213A" w:rsidRPr="00DB1D7C" w:rsidRDefault="000E213A" w:rsidP="00072C83">
      <w:pPr>
        <w:ind w:left="567"/>
        <w:rPr>
          <w:b/>
          <w:highlight w:val="cyan"/>
        </w:rPr>
      </w:pPr>
      <w:r w:rsidRPr="00DB1D7C">
        <w:rPr>
          <w:b/>
          <w:noProof/>
          <w:lang w:eastAsia="en-GB"/>
        </w:rPr>
        <w:drawing>
          <wp:inline distT="0" distB="0" distL="0" distR="0" wp14:anchorId="5139EC0E" wp14:editId="3621C40E">
            <wp:extent cx="4572638" cy="342947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572638" cy="3429479"/>
                    </a:xfrm>
                    <a:prstGeom prst="rect">
                      <a:avLst/>
                    </a:prstGeom>
                  </pic:spPr>
                </pic:pic>
              </a:graphicData>
            </a:graphic>
          </wp:inline>
        </w:drawing>
      </w:r>
    </w:p>
    <w:p w14:paraId="24D452A4" w14:textId="5E23D310" w:rsidR="00072C83" w:rsidRPr="00DB1D7C" w:rsidRDefault="00072C83" w:rsidP="00072C83">
      <w:pPr>
        <w:ind w:left="567"/>
      </w:pPr>
      <w:r w:rsidRPr="00FA1DC5">
        <w:rPr>
          <w:b/>
        </w:rPr>
        <w:t xml:space="preserve">Figure </w:t>
      </w:r>
      <w:r w:rsidR="00FA1DC5" w:rsidRPr="00FA1DC5">
        <w:rPr>
          <w:b/>
        </w:rPr>
        <w:t>8</w:t>
      </w:r>
      <w:r w:rsidRPr="00FA1DC5">
        <w:t>.  NOGG</w:t>
      </w:r>
      <w:r w:rsidRPr="00DB1D7C">
        <w:t xml:space="preserve"> web page plotting the results of a FRAX measurement (Female age 75 years with a BMD T-score of -2.0 SD and a parental history of hip fracture)</w:t>
      </w:r>
      <w:r w:rsidR="000E213A" w:rsidRPr="00DB1D7C">
        <w:t xml:space="preserve">.  In the example, treatment is recommended since the hip fracture probability exceeds the intervention </w:t>
      </w:r>
      <w:r w:rsidR="00373030" w:rsidRPr="00DB1D7C">
        <w:t xml:space="preserve">threshold </w:t>
      </w:r>
      <w:r w:rsidR="00373030" w:rsidRPr="00DB1D7C">
        <w:rPr>
          <w:sz w:val="24"/>
          <w:szCs w:val="24"/>
        </w:rPr>
        <w:t>(</w:t>
      </w:r>
      <w:hyperlink r:id="rId24" w:history="1">
        <w:r w:rsidR="009A21E7" w:rsidRPr="00DB1D7C">
          <w:rPr>
            <w:rStyle w:val="Hyperlink"/>
            <w:sz w:val="24"/>
            <w:szCs w:val="24"/>
          </w:rPr>
          <w:t>www.shef.ac.uk/NOGG</w:t>
        </w:r>
      </w:hyperlink>
      <w:r w:rsidR="009A21E7" w:rsidRPr="00DB1D7C">
        <w:rPr>
          <w:sz w:val="24"/>
          <w:szCs w:val="24"/>
        </w:rPr>
        <w:t xml:space="preserve"> ).</w:t>
      </w:r>
    </w:p>
    <w:p w14:paraId="0087CBFF" w14:textId="2A6EFD6A" w:rsidR="00191A60" w:rsidRPr="00DB1D7C" w:rsidRDefault="000E213A" w:rsidP="00A04EBB">
      <w:pPr>
        <w:spacing w:line="276" w:lineRule="auto"/>
        <w:rPr>
          <w:i/>
          <w:sz w:val="24"/>
          <w:szCs w:val="24"/>
        </w:rPr>
      </w:pPr>
      <w:r w:rsidRPr="00DB1D7C">
        <w:rPr>
          <w:i/>
          <w:sz w:val="24"/>
          <w:szCs w:val="24"/>
        </w:rPr>
        <w:t>Uptake and i</w:t>
      </w:r>
      <w:r w:rsidR="00191A60" w:rsidRPr="00DB1D7C">
        <w:rPr>
          <w:i/>
          <w:sz w:val="24"/>
          <w:szCs w:val="24"/>
        </w:rPr>
        <w:t>mpact of NOGG</w:t>
      </w:r>
    </w:p>
    <w:p w14:paraId="15CB313F" w14:textId="6BE3696D" w:rsidR="009853C8" w:rsidRPr="00DB1D7C" w:rsidRDefault="000E213A" w:rsidP="00A04EBB">
      <w:pPr>
        <w:spacing w:line="276" w:lineRule="auto"/>
        <w:rPr>
          <w:sz w:val="24"/>
          <w:szCs w:val="24"/>
        </w:rPr>
      </w:pPr>
      <w:r w:rsidRPr="00DB1D7C">
        <w:rPr>
          <w:sz w:val="24"/>
          <w:szCs w:val="24"/>
        </w:rPr>
        <w:t>The linkage of FRAX</w:t>
      </w:r>
      <w:r w:rsidR="00975AD8" w:rsidRPr="00DB1D7C">
        <w:rPr>
          <w:sz w:val="24"/>
          <w:szCs w:val="24"/>
        </w:rPr>
        <w:t xml:space="preserve"> to the NOGG web site</w:t>
      </w:r>
      <w:r w:rsidR="001014D9" w:rsidRPr="00DB1D7C">
        <w:rPr>
          <w:sz w:val="24"/>
          <w:szCs w:val="24"/>
        </w:rPr>
        <w:t xml:space="preserve"> can</w:t>
      </w:r>
      <w:r w:rsidR="00975AD8" w:rsidRPr="00DB1D7C">
        <w:rPr>
          <w:sz w:val="24"/>
          <w:szCs w:val="24"/>
        </w:rPr>
        <w:t xml:space="preserve"> facilitate treatment decisions and appears to be well </w:t>
      </w:r>
      <w:r w:rsidR="00975AD8" w:rsidRPr="00D00018">
        <w:rPr>
          <w:sz w:val="24"/>
          <w:szCs w:val="24"/>
        </w:rPr>
        <w:t>used</w:t>
      </w:r>
      <w:r w:rsidR="009853C8" w:rsidRPr="00D00018">
        <w:rPr>
          <w:sz w:val="24"/>
          <w:szCs w:val="24"/>
        </w:rPr>
        <w:t xml:space="preserve"> </w:t>
      </w:r>
      <w:r w:rsidR="00372AFA" w:rsidRPr="00D00018">
        <w:rPr>
          <w:sz w:val="24"/>
          <w:szCs w:val="24"/>
        </w:rPr>
        <w:t>[109]</w:t>
      </w:r>
      <w:r w:rsidR="00975AD8" w:rsidRPr="00D00018">
        <w:rPr>
          <w:sz w:val="24"/>
          <w:szCs w:val="24"/>
        </w:rPr>
        <w:t xml:space="preserve">. </w:t>
      </w:r>
      <w:r w:rsidR="009853C8" w:rsidRPr="00D00018">
        <w:rPr>
          <w:sz w:val="24"/>
          <w:szCs w:val="24"/>
        </w:rPr>
        <w:t xml:space="preserve"> Between</w:t>
      </w:r>
      <w:r w:rsidR="009853C8" w:rsidRPr="00DB1D7C">
        <w:rPr>
          <w:sz w:val="24"/>
          <w:szCs w:val="24"/>
        </w:rPr>
        <w:t xml:space="preserve"> </w:t>
      </w:r>
      <w:r w:rsidR="00975AD8" w:rsidRPr="00DB1D7C">
        <w:rPr>
          <w:sz w:val="24"/>
          <w:szCs w:val="24"/>
        </w:rPr>
        <w:t>1st July 2013 and</w:t>
      </w:r>
      <w:r w:rsidR="009853C8" w:rsidRPr="00DB1D7C">
        <w:rPr>
          <w:sz w:val="24"/>
          <w:szCs w:val="24"/>
        </w:rPr>
        <w:t xml:space="preserve"> </w:t>
      </w:r>
      <w:r w:rsidR="00975AD8" w:rsidRPr="00DB1D7C">
        <w:rPr>
          <w:sz w:val="24"/>
          <w:szCs w:val="24"/>
        </w:rPr>
        <w:t xml:space="preserve">30th June 2014, </w:t>
      </w:r>
      <w:r w:rsidR="009853C8" w:rsidRPr="00DB1D7C">
        <w:rPr>
          <w:sz w:val="24"/>
          <w:szCs w:val="24"/>
        </w:rPr>
        <w:t>there were 348,964 sessions (a user interaction with the website) from UK-based users on the FRAX web site. Over the same time, 253,530 sessions were recorded on the NOGG website and the vast majority (82</w:t>
      </w:r>
      <w:r w:rsidR="00DC5574">
        <w:rPr>
          <w:sz w:val="24"/>
          <w:szCs w:val="24"/>
        </w:rPr>
        <w:t xml:space="preserve"> </w:t>
      </w:r>
      <w:r w:rsidR="009853C8" w:rsidRPr="00DB1D7C">
        <w:rPr>
          <w:sz w:val="24"/>
          <w:szCs w:val="24"/>
        </w:rPr>
        <w:t>%) arose from users in the UK</w:t>
      </w:r>
      <w:r w:rsidR="001014D9" w:rsidRPr="00DB1D7C">
        <w:rPr>
          <w:sz w:val="24"/>
          <w:szCs w:val="24"/>
        </w:rPr>
        <w:t>, of which a</w:t>
      </w:r>
      <w:r w:rsidR="009853C8" w:rsidRPr="00DB1D7C">
        <w:rPr>
          <w:sz w:val="24"/>
          <w:szCs w:val="24"/>
        </w:rPr>
        <w:t>lmost all (95.7</w:t>
      </w:r>
      <w:r w:rsidR="00DC5574">
        <w:rPr>
          <w:sz w:val="24"/>
          <w:szCs w:val="24"/>
        </w:rPr>
        <w:t xml:space="preserve"> </w:t>
      </w:r>
      <w:r w:rsidR="009853C8" w:rsidRPr="00DB1D7C">
        <w:rPr>
          <w:sz w:val="24"/>
          <w:szCs w:val="24"/>
        </w:rPr>
        <w:t xml:space="preserve">%) arose from calculations </w:t>
      </w:r>
      <w:r w:rsidR="005B47F9">
        <w:rPr>
          <w:sz w:val="24"/>
          <w:szCs w:val="24"/>
        </w:rPr>
        <w:t>passing</w:t>
      </w:r>
      <w:r w:rsidR="009853C8" w:rsidRPr="00DB1D7C">
        <w:rPr>
          <w:sz w:val="24"/>
          <w:szCs w:val="24"/>
        </w:rPr>
        <w:t xml:space="preserve"> from the FRAX </w:t>
      </w:r>
      <w:r w:rsidR="001014D9" w:rsidRPr="00DB1D7C">
        <w:rPr>
          <w:sz w:val="24"/>
          <w:szCs w:val="24"/>
        </w:rPr>
        <w:t>site to NOGG.</w:t>
      </w:r>
      <w:r w:rsidR="009853C8" w:rsidRPr="00DB1D7C">
        <w:rPr>
          <w:sz w:val="24"/>
          <w:szCs w:val="24"/>
        </w:rPr>
        <w:t xml:space="preserve"> </w:t>
      </w:r>
    </w:p>
    <w:p w14:paraId="0CC7A10C" w14:textId="3BD7BD08" w:rsidR="000C4174" w:rsidRPr="00DB1D7C" w:rsidRDefault="004B782D" w:rsidP="00A04EBB">
      <w:pPr>
        <w:spacing w:line="276" w:lineRule="auto"/>
        <w:rPr>
          <w:sz w:val="24"/>
          <w:szCs w:val="24"/>
        </w:rPr>
      </w:pPr>
      <w:r w:rsidRPr="00DB1D7C">
        <w:rPr>
          <w:sz w:val="24"/>
          <w:szCs w:val="24"/>
        </w:rPr>
        <w:t xml:space="preserve">The NOGG approach to </w:t>
      </w:r>
      <w:r w:rsidR="001014D9" w:rsidRPr="00D00018">
        <w:rPr>
          <w:sz w:val="24"/>
          <w:szCs w:val="24"/>
        </w:rPr>
        <w:t>assessment</w:t>
      </w:r>
      <w:r w:rsidRPr="00D00018">
        <w:rPr>
          <w:sz w:val="24"/>
          <w:szCs w:val="24"/>
        </w:rPr>
        <w:t xml:space="preserve"> has been </w:t>
      </w:r>
      <w:r w:rsidR="00586ECF" w:rsidRPr="00D00018">
        <w:rPr>
          <w:sz w:val="24"/>
          <w:szCs w:val="24"/>
        </w:rPr>
        <w:t>compared with</w:t>
      </w:r>
      <w:r w:rsidRPr="00D00018">
        <w:rPr>
          <w:sz w:val="24"/>
          <w:szCs w:val="24"/>
        </w:rPr>
        <w:t xml:space="preserve"> previous guidance issued by the Royal College of Physicians, Londo</w:t>
      </w:r>
      <w:r w:rsidR="001014D9" w:rsidRPr="00D00018">
        <w:rPr>
          <w:sz w:val="24"/>
          <w:szCs w:val="24"/>
        </w:rPr>
        <w:t>n</w:t>
      </w:r>
      <w:r w:rsidR="00586ECF" w:rsidRPr="00D00018">
        <w:rPr>
          <w:sz w:val="24"/>
          <w:szCs w:val="24"/>
        </w:rPr>
        <w:t xml:space="preserve"> (RCP)</w:t>
      </w:r>
      <w:r w:rsidRPr="00D00018">
        <w:rPr>
          <w:sz w:val="24"/>
          <w:szCs w:val="24"/>
        </w:rPr>
        <w:t xml:space="preserve"> </w:t>
      </w:r>
      <w:r w:rsidR="00FB2A9D" w:rsidRPr="00D00018">
        <w:rPr>
          <w:sz w:val="24"/>
          <w:szCs w:val="24"/>
        </w:rPr>
        <w:t>[144]</w:t>
      </w:r>
      <w:r w:rsidRPr="00D00018">
        <w:rPr>
          <w:sz w:val="24"/>
          <w:szCs w:val="24"/>
        </w:rPr>
        <w:t xml:space="preserve">.  Compared with the RCP strategy, </w:t>
      </w:r>
      <w:r w:rsidRPr="00D00018">
        <w:rPr>
          <w:sz w:val="24"/>
          <w:szCs w:val="24"/>
        </w:rPr>
        <w:lastRenderedPageBreak/>
        <w:t xml:space="preserve">NOGG identified slightly reduced numbers of women </w:t>
      </w:r>
      <w:r w:rsidR="00586ECF" w:rsidRPr="00D00018">
        <w:rPr>
          <w:sz w:val="24"/>
          <w:szCs w:val="24"/>
        </w:rPr>
        <w:t>above the respective intervention threshold</w:t>
      </w:r>
      <w:r w:rsidRPr="00D00018">
        <w:rPr>
          <w:sz w:val="24"/>
          <w:szCs w:val="24"/>
        </w:rPr>
        <w:t xml:space="preserve"> (average 34.6</w:t>
      </w:r>
      <w:r w:rsidR="00DC5574" w:rsidRPr="00D00018">
        <w:rPr>
          <w:sz w:val="24"/>
          <w:szCs w:val="24"/>
        </w:rPr>
        <w:t xml:space="preserve"> </w:t>
      </w:r>
      <w:r w:rsidRPr="00D00018">
        <w:rPr>
          <w:sz w:val="24"/>
          <w:szCs w:val="24"/>
        </w:rPr>
        <w:t>% vs. 35.7</w:t>
      </w:r>
      <w:r w:rsidR="00DC5574" w:rsidRPr="00D00018">
        <w:rPr>
          <w:sz w:val="24"/>
          <w:szCs w:val="24"/>
        </w:rPr>
        <w:t xml:space="preserve"> </w:t>
      </w:r>
      <w:r w:rsidRPr="00D00018">
        <w:rPr>
          <w:sz w:val="24"/>
          <w:szCs w:val="24"/>
        </w:rPr>
        <w:t>% across all ages)</w:t>
      </w:r>
      <w:r w:rsidR="00CB5B36" w:rsidRPr="00D00018">
        <w:rPr>
          <w:sz w:val="24"/>
          <w:szCs w:val="24"/>
        </w:rPr>
        <w:t>.</w:t>
      </w:r>
      <w:r w:rsidRPr="00D00018">
        <w:rPr>
          <w:sz w:val="24"/>
          <w:szCs w:val="24"/>
        </w:rPr>
        <w:t xml:space="preserve"> </w:t>
      </w:r>
      <w:r w:rsidR="00A04EBB" w:rsidRPr="00D00018">
        <w:rPr>
          <w:sz w:val="24"/>
          <w:szCs w:val="24"/>
        </w:rPr>
        <w:t>The proportion of women in the UK potentially eligible for treatment using NOGG r</w:t>
      </w:r>
      <w:r w:rsidR="005B47F9" w:rsidRPr="00D00018">
        <w:rPr>
          <w:sz w:val="24"/>
          <w:szCs w:val="24"/>
        </w:rPr>
        <w:t>i</w:t>
      </w:r>
      <w:r w:rsidR="00A04EBB" w:rsidRPr="00D00018">
        <w:rPr>
          <w:sz w:val="24"/>
          <w:szCs w:val="24"/>
        </w:rPr>
        <w:t>se</w:t>
      </w:r>
      <w:r w:rsidR="005B47F9" w:rsidRPr="00D00018">
        <w:rPr>
          <w:sz w:val="24"/>
          <w:szCs w:val="24"/>
        </w:rPr>
        <w:t>s</w:t>
      </w:r>
      <w:r w:rsidR="00A04EBB" w:rsidRPr="00D00018">
        <w:rPr>
          <w:sz w:val="24"/>
          <w:szCs w:val="24"/>
        </w:rPr>
        <w:t xml:space="preserve"> from 20</w:t>
      </w:r>
      <w:r w:rsidR="00DC5574" w:rsidRPr="00D00018">
        <w:rPr>
          <w:sz w:val="24"/>
          <w:szCs w:val="24"/>
        </w:rPr>
        <w:t xml:space="preserve"> </w:t>
      </w:r>
      <w:r w:rsidR="00A04EBB" w:rsidRPr="00D00018">
        <w:rPr>
          <w:sz w:val="24"/>
          <w:szCs w:val="24"/>
        </w:rPr>
        <w:t>% to 40</w:t>
      </w:r>
      <w:r w:rsidR="00DC5574" w:rsidRPr="00D00018">
        <w:rPr>
          <w:sz w:val="24"/>
          <w:szCs w:val="24"/>
        </w:rPr>
        <w:t xml:space="preserve"> </w:t>
      </w:r>
      <w:r w:rsidR="00A04EBB" w:rsidRPr="00D00018">
        <w:rPr>
          <w:sz w:val="24"/>
          <w:szCs w:val="24"/>
        </w:rPr>
        <w:t xml:space="preserve">% with age </w:t>
      </w:r>
      <w:r w:rsidR="0030753F" w:rsidRPr="00D00018">
        <w:rPr>
          <w:rFonts w:ascii="Calibri" w:hAnsi="Calibri"/>
          <w:sz w:val="24"/>
          <w:szCs w:val="24"/>
        </w:rPr>
        <w:t>[140]</w:t>
      </w:r>
      <w:r w:rsidR="00A04EBB" w:rsidRPr="00D00018">
        <w:rPr>
          <w:sz w:val="24"/>
          <w:szCs w:val="24"/>
        </w:rPr>
        <w:t xml:space="preserve">. </w:t>
      </w:r>
      <w:r w:rsidR="00CB5B36" w:rsidRPr="00D00018">
        <w:rPr>
          <w:sz w:val="24"/>
          <w:szCs w:val="24"/>
        </w:rPr>
        <w:t>At older ages (75+ years), NOGG recommended treatment in fewer patients without prior fracture but these were at higher risk than those identified by RCP.  For example, at age 80 years the expected incidence was 28.6</w:t>
      </w:r>
      <w:r w:rsidR="00DC5574" w:rsidRPr="00D00018">
        <w:rPr>
          <w:sz w:val="24"/>
          <w:szCs w:val="24"/>
        </w:rPr>
        <w:t xml:space="preserve"> </w:t>
      </w:r>
      <w:r w:rsidR="00CB5B36" w:rsidRPr="00D00018">
        <w:rPr>
          <w:sz w:val="24"/>
          <w:szCs w:val="24"/>
        </w:rPr>
        <w:t>% in those identified by RCP but was 40</w:t>
      </w:r>
      <w:r w:rsidR="00DC5574" w:rsidRPr="00D00018">
        <w:rPr>
          <w:sz w:val="24"/>
          <w:szCs w:val="24"/>
        </w:rPr>
        <w:t xml:space="preserve"> </w:t>
      </w:r>
      <w:r w:rsidR="00CB5B36" w:rsidRPr="00D00018">
        <w:rPr>
          <w:sz w:val="24"/>
          <w:szCs w:val="24"/>
        </w:rPr>
        <w:t xml:space="preserve">% in those identified by NOGG.   </w:t>
      </w:r>
      <w:r w:rsidR="000C4174" w:rsidRPr="00D00018">
        <w:rPr>
          <w:sz w:val="24"/>
          <w:szCs w:val="24"/>
        </w:rPr>
        <w:t>A further difference between the two strategies was that more efficient use was made of BMD measurements in younger women with no loss in sensitivity for hip fracture</w:t>
      </w:r>
      <w:r w:rsidR="009831DE" w:rsidRPr="00D00018">
        <w:rPr>
          <w:sz w:val="24"/>
          <w:szCs w:val="24"/>
        </w:rPr>
        <w:t xml:space="preserve"> (Table </w:t>
      </w:r>
      <w:r w:rsidR="000305D7" w:rsidRPr="00D00018">
        <w:rPr>
          <w:sz w:val="24"/>
          <w:szCs w:val="24"/>
        </w:rPr>
        <w:t>5</w:t>
      </w:r>
      <w:r w:rsidR="009831DE" w:rsidRPr="00D00018">
        <w:rPr>
          <w:sz w:val="24"/>
          <w:szCs w:val="24"/>
        </w:rPr>
        <w:t>)</w:t>
      </w:r>
      <w:r w:rsidR="000C4174" w:rsidRPr="00D00018">
        <w:rPr>
          <w:sz w:val="24"/>
          <w:szCs w:val="24"/>
        </w:rPr>
        <w:t xml:space="preserve">. For example, at the age of 55 years, nine BMD scans were required to identify a single case of future hip fracture in women in the RCP strategy, whereas only two BMD scans were required in the NOGG </w:t>
      </w:r>
      <w:r w:rsidR="00373030" w:rsidRPr="00D00018">
        <w:rPr>
          <w:sz w:val="24"/>
          <w:szCs w:val="24"/>
        </w:rPr>
        <w:t xml:space="preserve">approach. </w:t>
      </w:r>
      <w:r w:rsidR="009831DE" w:rsidRPr="00D00018">
        <w:rPr>
          <w:sz w:val="24"/>
          <w:szCs w:val="24"/>
        </w:rPr>
        <w:t>The lower number of BMD tests means that the acquisition costs for identifying a hip fracture case and the total costs (acquisition and treatment) per hip fracture averted were also lower</w:t>
      </w:r>
      <w:r w:rsidR="00F16EDA" w:rsidRPr="00D00018">
        <w:rPr>
          <w:sz w:val="24"/>
          <w:szCs w:val="24"/>
        </w:rPr>
        <w:t>.</w:t>
      </w:r>
      <w:r w:rsidR="009831DE" w:rsidRPr="00D00018">
        <w:rPr>
          <w:sz w:val="24"/>
          <w:szCs w:val="24"/>
        </w:rPr>
        <w:t xml:space="preserve"> </w:t>
      </w:r>
      <w:r w:rsidR="00A04EBB" w:rsidRPr="00D00018">
        <w:rPr>
          <w:sz w:val="24"/>
          <w:szCs w:val="24"/>
        </w:rPr>
        <w:t>The economic dividend is discussed below (see</w:t>
      </w:r>
      <w:r w:rsidR="004C2B7A" w:rsidRPr="00D00018">
        <w:t xml:space="preserve"> </w:t>
      </w:r>
      <w:r w:rsidR="004C2B7A" w:rsidRPr="00D00018">
        <w:rPr>
          <w:i/>
          <w:sz w:val="24"/>
          <w:szCs w:val="24"/>
        </w:rPr>
        <w:t>Health economic approach to intervention thresholds with FRAX; Table 8</w:t>
      </w:r>
      <w:r w:rsidR="00A04EBB" w:rsidRPr="00D00018">
        <w:rPr>
          <w:sz w:val="24"/>
          <w:szCs w:val="24"/>
        </w:rPr>
        <w:t>).</w:t>
      </w:r>
      <w:r w:rsidR="00FB0F7A" w:rsidRPr="00D00018">
        <w:rPr>
          <w:sz w:val="24"/>
          <w:szCs w:val="24"/>
        </w:rPr>
        <w:t xml:space="preserve">  A reduction in the use of BMD tests was also reported in a comparison between NOGG and the NOF guidance applied to a Spanish cohort </w:t>
      </w:r>
      <w:r w:rsidR="00FB2A9D" w:rsidRPr="00D00018">
        <w:rPr>
          <w:sz w:val="24"/>
          <w:szCs w:val="24"/>
        </w:rPr>
        <w:t>[145]</w:t>
      </w:r>
      <w:r w:rsidR="00FB0F7A" w:rsidRPr="00D00018">
        <w:rPr>
          <w:sz w:val="24"/>
          <w:szCs w:val="24"/>
        </w:rPr>
        <w:t>.</w:t>
      </w:r>
    </w:p>
    <w:p w14:paraId="388CDBCF" w14:textId="77777777" w:rsidR="009831DE" w:rsidRPr="00DB1D7C" w:rsidRDefault="009831DE" w:rsidP="00A04EBB">
      <w:pPr>
        <w:spacing w:line="276" w:lineRule="auto"/>
        <w:rPr>
          <w:sz w:val="24"/>
          <w:szCs w:val="24"/>
        </w:rPr>
      </w:pPr>
    </w:p>
    <w:p w14:paraId="6E83C361" w14:textId="5E7BB811" w:rsidR="009831DE" w:rsidRPr="00DB1D7C" w:rsidRDefault="009831DE" w:rsidP="005331D5">
      <w:pPr>
        <w:spacing w:line="240" w:lineRule="auto"/>
      </w:pPr>
      <w:r w:rsidRPr="002A1E50">
        <w:rPr>
          <w:b/>
          <w:bCs/>
        </w:rPr>
        <w:t xml:space="preserve">Table </w:t>
      </w:r>
      <w:r w:rsidR="000305D7" w:rsidRPr="002A1E50">
        <w:rPr>
          <w:b/>
          <w:bCs/>
        </w:rPr>
        <w:t>5</w:t>
      </w:r>
      <w:r w:rsidRPr="002A1E50">
        <w:rPr>
          <w:b/>
          <w:bCs/>
        </w:rPr>
        <w:t>.</w:t>
      </w:r>
      <w:r w:rsidRPr="002A1E50">
        <w:t xml:space="preserve">  Comparison</w:t>
      </w:r>
      <w:r w:rsidRPr="00DB1D7C">
        <w:t xml:space="preserve"> of the number of patients selected for treatment/1000 and hip fractures identified by the RCP and NOGG strategies in all women, by age.  The number selected is the number fulfilling requirements for treatment under the strategies.  Hip fracture is the expected numbers of hip fractures in those selected for treatment.  NNS is the number needed to scan to identify one hip fracture case. </w:t>
      </w:r>
      <w:r w:rsidRPr="00D00018">
        <w:t xml:space="preserve">From </w:t>
      </w:r>
      <w:r w:rsidR="00FB2A9D" w:rsidRPr="00D00018">
        <w:t>[144]</w:t>
      </w:r>
      <w:r w:rsidRPr="00D00018">
        <w:t>,</w:t>
      </w:r>
      <w:r w:rsidRPr="00D00018">
        <w:rPr>
          <w:rFonts w:cs="AdvTT5235d5a9"/>
          <w:bCs/>
          <w:color w:val="231F20"/>
        </w:rPr>
        <w:t xml:space="preserve"> with</w:t>
      </w:r>
      <w:r w:rsidRPr="00DB1D7C">
        <w:rPr>
          <w:rFonts w:cs="AdvTT5235d5a9"/>
          <w:bCs/>
          <w:color w:val="231F20"/>
        </w:rPr>
        <w:t xml:space="preserve"> kind permission from Springer </w:t>
      </w:r>
      <w:proofErr w:type="spellStart"/>
      <w:r w:rsidRPr="00DB1D7C">
        <w:rPr>
          <w:rFonts w:cs="AdvTT5235d5a9"/>
          <w:bCs/>
          <w:color w:val="231F20"/>
        </w:rPr>
        <w:t>Science+Business</w:t>
      </w:r>
      <w:proofErr w:type="spellEnd"/>
      <w:r w:rsidRPr="00DB1D7C">
        <w:rPr>
          <w:rFonts w:cs="AdvTT5235d5a9"/>
          <w:bCs/>
          <w:color w:val="231F20"/>
        </w:rPr>
        <w:t xml:space="preserve"> Media B.V</w:t>
      </w:r>
      <w:r w:rsidRPr="00DB1D7C">
        <w:t>.</w:t>
      </w:r>
    </w:p>
    <w:tbl>
      <w:tblPr>
        <w:tblW w:w="8142" w:type="dxa"/>
        <w:tblBorders>
          <w:top w:val="single" w:sz="4" w:space="0" w:color="auto"/>
          <w:bottom w:val="single" w:sz="4" w:space="0" w:color="auto"/>
        </w:tblBorders>
        <w:tblLayout w:type="fixed"/>
        <w:tblLook w:val="01E0" w:firstRow="1" w:lastRow="1" w:firstColumn="1" w:lastColumn="1" w:noHBand="0" w:noVBand="0"/>
      </w:tblPr>
      <w:tblGrid>
        <w:gridCol w:w="1044"/>
        <w:gridCol w:w="1170"/>
        <w:gridCol w:w="1014"/>
        <w:gridCol w:w="1014"/>
        <w:gridCol w:w="261"/>
        <w:gridCol w:w="1213"/>
        <w:gridCol w:w="1213"/>
        <w:gridCol w:w="1213"/>
      </w:tblGrid>
      <w:tr w:rsidR="009831DE" w:rsidRPr="00DB1D7C" w14:paraId="388AB403" w14:textId="77777777" w:rsidTr="008821DA">
        <w:trPr>
          <w:trHeight w:val="668"/>
        </w:trPr>
        <w:tc>
          <w:tcPr>
            <w:tcW w:w="1044" w:type="dxa"/>
            <w:tcBorders>
              <w:top w:val="single" w:sz="12" w:space="0" w:color="auto"/>
            </w:tcBorders>
          </w:tcPr>
          <w:p w14:paraId="4FEB3FEC" w14:textId="77777777" w:rsidR="009831DE" w:rsidRPr="00DB1D7C" w:rsidRDefault="009831DE" w:rsidP="009831DE">
            <w:pPr>
              <w:spacing w:before="120" w:after="120"/>
              <w:jc w:val="center"/>
              <w:rPr>
                <w:rFonts w:cs="Arial"/>
                <w:b/>
              </w:rPr>
            </w:pPr>
          </w:p>
        </w:tc>
        <w:tc>
          <w:tcPr>
            <w:tcW w:w="3198" w:type="dxa"/>
            <w:gridSpan w:val="3"/>
            <w:tcBorders>
              <w:top w:val="single" w:sz="12" w:space="0" w:color="auto"/>
              <w:bottom w:val="single" w:sz="12" w:space="0" w:color="auto"/>
            </w:tcBorders>
          </w:tcPr>
          <w:p w14:paraId="0F0018EE" w14:textId="77777777" w:rsidR="009831DE" w:rsidRPr="00DB1D7C" w:rsidRDefault="009831DE" w:rsidP="009831DE">
            <w:pPr>
              <w:spacing w:before="120" w:after="120"/>
              <w:jc w:val="center"/>
              <w:rPr>
                <w:rFonts w:cs="Arial"/>
                <w:b/>
              </w:rPr>
            </w:pPr>
            <w:r w:rsidRPr="00DB1D7C">
              <w:rPr>
                <w:rFonts w:cs="Arial"/>
                <w:b/>
              </w:rPr>
              <w:t>RCP</w:t>
            </w:r>
          </w:p>
        </w:tc>
        <w:tc>
          <w:tcPr>
            <w:tcW w:w="261" w:type="dxa"/>
            <w:tcBorders>
              <w:top w:val="single" w:sz="12" w:space="0" w:color="auto"/>
            </w:tcBorders>
          </w:tcPr>
          <w:p w14:paraId="11C90DEC" w14:textId="77777777" w:rsidR="009831DE" w:rsidRPr="00DB1D7C" w:rsidRDefault="009831DE" w:rsidP="009831DE">
            <w:pPr>
              <w:spacing w:before="120" w:after="120"/>
              <w:jc w:val="center"/>
              <w:rPr>
                <w:rFonts w:cs="Arial"/>
                <w:b/>
              </w:rPr>
            </w:pPr>
          </w:p>
        </w:tc>
        <w:tc>
          <w:tcPr>
            <w:tcW w:w="3639" w:type="dxa"/>
            <w:gridSpan w:val="3"/>
            <w:tcBorders>
              <w:top w:val="single" w:sz="12" w:space="0" w:color="auto"/>
              <w:bottom w:val="single" w:sz="12" w:space="0" w:color="auto"/>
            </w:tcBorders>
          </w:tcPr>
          <w:p w14:paraId="6927D7B2" w14:textId="77777777" w:rsidR="009831DE" w:rsidRPr="00DB1D7C" w:rsidRDefault="009831DE" w:rsidP="009831DE">
            <w:pPr>
              <w:spacing w:before="120" w:after="120"/>
              <w:jc w:val="center"/>
              <w:rPr>
                <w:rFonts w:cs="Arial"/>
                <w:b/>
              </w:rPr>
            </w:pPr>
            <w:r w:rsidRPr="00DB1D7C">
              <w:rPr>
                <w:rFonts w:cs="Arial"/>
                <w:b/>
              </w:rPr>
              <w:t>NOGG</w:t>
            </w:r>
          </w:p>
        </w:tc>
      </w:tr>
      <w:tr w:rsidR="009831DE" w:rsidRPr="00DB1D7C" w14:paraId="4C0FF567" w14:textId="77777777" w:rsidTr="008821DA">
        <w:trPr>
          <w:trHeight w:val="202"/>
        </w:trPr>
        <w:tc>
          <w:tcPr>
            <w:tcW w:w="1044" w:type="dxa"/>
            <w:tcBorders>
              <w:bottom w:val="single" w:sz="12" w:space="0" w:color="auto"/>
            </w:tcBorders>
          </w:tcPr>
          <w:p w14:paraId="3C28A398" w14:textId="77777777" w:rsidR="009831DE" w:rsidRPr="00DB1D7C" w:rsidRDefault="009831DE" w:rsidP="009831DE">
            <w:pPr>
              <w:spacing w:before="120" w:after="120"/>
              <w:jc w:val="center"/>
              <w:rPr>
                <w:rFonts w:cs="Arial"/>
              </w:rPr>
            </w:pPr>
            <w:r w:rsidRPr="00DB1D7C">
              <w:rPr>
                <w:rFonts w:cs="Arial"/>
              </w:rPr>
              <w:t>Age (y)</w:t>
            </w:r>
          </w:p>
        </w:tc>
        <w:tc>
          <w:tcPr>
            <w:tcW w:w="1170" w:type="dxa"/>
            <w:tcBorders>
              <w:top w:val="single" w:sz="12" w:space="0" w:color="auto"/>
              <w:bottom w:val="single" w:sz="12" w:space="0" w:color="auto"/>
            </w:tcBorders>
          </w:tcPr>
          <w:p w14:paraId="7E18C326" w14:textId="77777777" w:rsidR="009831DE" w:rsidRPr="00DB1D7C" w:rsidRDefault="009831DE" w:rsidP="009831DE">
            <w:pPr>
              <w:spacing w:before="120" w:after="120"/>
              <w:jc w:val="center"/>
              <w:rPr>
                <w:rFonts w:cs="Arial"/>
              </w:rPr>
            </w:pPr>
            <w:r w:rsidRPr="00DB1D7C">
              <w:rPr>
                <w:rFonts w:cs="Arial"/>
              </w:rPr>
              <w:t>N selected*</w:t>
            </w:r>
          </w:p>
        </w:tc>
        <w:tc>
          <w:tcPr>
            <w:tcW w:w="1014" w:type="dxa"/>
            <w:tcBorders>
              <w:top w:val="single" w:sz="12" w:space="0" w:color="auto"/>
              <w:bottom w:val="single" w:sz="12" w:space="0" w:color="auto"/>
            </w:tcBorders>
          </w:tcPr>
          <w:p w14:paraId="17038D35" w14:textId="77777777" w:rsidR="009831DE" w:rsidRPr="00DB1D7C" w:rsidRDefault="009831DE" w:rsidP="009831DE">
            <w:pPr>
              <w:spacing w:before="120" w:after="120"/>
              <w:jc w:val="center"/>
              <w:rPr>
                <w:rFonts w:cs="Arial"/>
              </w:rPr>
            </w:pPr>
            <w:r w:rsidRPr="00DB1D7C">
              <w:rPr>
                <w:rFonts w:cs="Arial"/>
              </w:rPr>
              <w:t>Hip fractures</w:t>
            </w:r>
          </w:p>
        </w:tc>
        <w:tc>
          <w:tcPr>
            <w:tcW w:w="1014" w:type="dxa"/>
            <w:tcBorders>
              <w:top w:val="single" w:sz="12" w:space="0" w:color="auto"/>
              <w:bottom w:val="single" w:sz="12" w:space="0" w:color="auto"/>
            </w:tcBorders>
          </w:tcPr>
          <w:p w14:paraId="7E4CDC3A" w14:textId="77777777" w:rsidR="009831DE" w:rsidRPr="00DB1D7C" w:rsidRDefault="009831DE" w:rsidP="009831DE">
            <w:pPr>
              <w:spacing w:before="120" w:after="120"/>
              <w:jc w:val="center"/>
              <w:rPr>
                <w:rFonts w:cs="Arial"/>
              </w:rPr>
            </w:pPr>
            <w:r w:rsidRPr="00DB1D7C">
              <w:rPr>
                <w:rFonts w:cs="Arial"/>
                <w:bCs/>
              </w:rPr>
              <w:t>NNS</w:t>
            </w:r>
          </w:p>
        </w:tc>
        <w:tc>
          <w:tcPr>
            <w:tcW w:w="261" w:type="dxa"/>
            <w:tcBorders>
              <w:bottom w:val="single" w:sz="12" w:space="0" w:color="auto"/>
            </w:tcBorders>
          </w:tcPr>
          <w:p w14:paraId="65A9A331" w14:textId="77777777" w:rsidR="009831DE" w:rsidRPr="00DB1D7C" w:rsidRDefault="009831DE" w:rsidP="009831DE">
            <w:pPr>
              <w:spacing w:before="120" w:after="120"/>
              <w:jc w:val="center"/>
              <w:rPr>
                <w:rFonts w:cs="Arial"/>
              </w:rPr>
            </w:pPr>
          </w:p>
        </w:tc>
        <w:tc>
          <w:tcPr>
            <w:tcW w:w="1213" w:type="dxa"/>
            <w:tcBorders>
              <w:top w:val="single" w:sz="12" w:space="0" w:color="auto"/>
              <w:bottom w:val="single" w:sz="12" w:space="0" w:color="auto"/>
            </w:tcBorders>
          </w:tcPr>
          <w:p w14:paraId="37E66E09" w14:textId="77777777" w:rsidR="009831DE" w:rsidRPr="00DB1D7C" w:rsidRDefault="009831DE" w:rsidP="009831DE">
            <w:pPr>
              <w:spacing w:before="120" w:after="120"/>
              <w:jc w:val="center"/>
              <w:rPr>
                <w:rFonts w:cs="Arial"/>
              </w:rPr>
            </w:pPr>
            <w:r w:rsidRPr="00DB1D7C">
              <w:rPr>
                <w:rFonts w:cs="Arial"/>
              </w:rPr>
              <w:t>N selected*</w:t>
            </w:r>
          </w:p>
        </w:tc>
        <w:tc>
          <w:tcPr>
            <w:tcW w:w="1213" w:type="dxa"/>
            <w:tcBorders>
              <w:top w:val="single" w:sz="12" w:space="0" w:color="auto"/>
              <w:bottom w:val="single" w:sz="12" w:space="0" w:color="auto"/>
            </w:tcBorders>
          </w:tcPr>
          <w:p w14:paraId="1E1823F1" w14:textId="77777777" w:rsidR="009831DE" w:rsidRPr="00DB1D7C" w:rsidRDefault="009831DE" w:rsidP="009831DE">
            <w:pPr>
              <w:spacing w:before="120" w:after="120"/>
              <w:jc w:val="center"/>
              <w:rPr>
                <w:rFonts w:cs="Arial"/>
              </w:rPr>
            </w:pPr>
            <w:r w:rsidRPr="00DB1D7C">
              <w:rPr>
                <w:rFonts w:cs="Arial"/>
              </w:rPr>
              <w:t>Hip fractures</w:t>
            </w:r>
          </w:p>
        </w:tc>
        <w:tc>
          <w:tcPr>
            <w:tcW w:w="1213" w:type="dxa"/>
            <w:tcBorders>
              <w:top w:val="single" w:sz="12" w:space="0" w:color="auto"/>
              <w:bottom w:val="single" w:sz="12" w:space="0" w:color="auto"/>
            </w:tcBorders>
          </w:tcPr>
          <w:p w14:paraId="1F2791C5" w14:textId="77777777" w:rsidR="009831DE" w:rsidRPr="00DB1D7C" w:rsidRDefault="009831DE" w:rsidP="009831DE">
            <w:pPr>
              <w:spacing w:before="120" w:after="120"/>
              <w:jc w:val="center"/>
              <w:rPr>
                <w:rFonts w:cs="Arial"/>
              </w:rPr>
            </w:pPr>
            <w:r w:rsidRPr="00DB1D7C">
              <w:rPr>
                <w:rFonts w:cs="Arial"/>
              </w:rPr>
              <w:t>NNS</w:t>
            </w:r>
          </w:p>
        </w:tc>
      </w:tr>
      <w:tr w:rsidR="009831DE" w:rsidRPr="00DB1D7C" w14:paraId="18361F70" w14:textId="77777777" w:rsidTr="008821DA">
        <w:trPr>
          <w:trHeight w:val="513"/>
        </w:trPr>
        <w:tc>
          <w:tcPr>
            <w:tcW w:w="1044" w:type="dxa"/>
            <w:tcBorders>
              <w:top w:val="single" w:sz="12" w:space="0" w:color="auto"/>
            </w:tcBorders>
          </w:tcPr>
          <w:p w14:paraId="1B464B29" w14:textId="77777777" w:rsidR="009831DE" w:rsidRPr="00DB1D7C" w:rsidRDefault="009831DE" w:rsidP="009831DE">
            <w:pPr>
              <w:spacing w:before="120" w:after="120"/>
              <w:jc w:val="center"/>
              <w:rPr>
                <w:rFonts w:cs="Arial"/>
              </w:rPr>
            </w:pPr>
            <w:r w:rsidRPr="00DB1D7C">
              <w:rPr>
                <w:rFonts w:cs="Arial"/>
              </w:rPr>
              <w:t>50</w:t>
            </w:r>
          </w:p>
        </w:tc>
        <w:tc>
          <w:tcPr>
            <w:tcW w:w="1170" w:type="dxa"/>
            <w:tcBorders>
              <w:top w:val="single" w:sz="12" w:space="0" w:color="auto"/>
            </w:tcBorders>
          </w:tcPr>
          <w:p w14:paraId="72BE1618" w14:textId="77777777" w:rsidR="009831DE" w:rsidRPr="00DB1D7C" w:rsidRDefault="009831DE" w:rsidP="009831DE">
            <w:pPr>
              <w:spacing w:before="120" w:after="120"/>
              <w:jc w:val="center"/>
              <w:rPr>
                <w:rFonts w:cs="Arial"/>
              </w:rPr>
            </w:pPr>
            <w:r w:rsidRPr="00DB1D7C">
              <w:rPr>
                <w:rFonts w:cs="Arial"/>
              </w:rPr>
              <w:t>218</w:t>
            </w:r>
          </w:p>
        </w:tc>
        <w:tc>
          <w:tcPr>
            <w:tcW w:w="1014" w:type="dxa"/>
            <w:tcBorders>
              <w:top w:val="single" w:sz="12" w:space="0" w:color="auto"/>
            </w:tcBorders>
          </w:tcPr>
          <w:p w14:paraId="01628B63" w14:textId="77777777" w:rsidR="009831DE" w:rsidRPr="00DB1D7C" w:rsidRDefault="009831DE" w:rsidP="009831DE">
            <w:pPr>
              <w:spacing w:before="120" w:after="120"/>
              <w:jc w:val="center"/>
              <w:rPr>
                <w:rFonts w:cs="Arial"/>
              </w:rPr>
            </w:pPr>
            <w:r w:rsidRPr="00DB1D7C">
              <w:rPr>
                <w:rFonts w:cs="Arial"/>
              </w:rPr>
              <w:t>17</w:t>
            </w:r>
          </w:p>
        </w:tc>
        <w:tc>
          <w:tcPr>
            <w:tcW w:w="1014" w:type="dxa"/>
            <w:tcBorders>
              <w:top w:val="single" w:sz="12" w:space="0" w:color="auto"/>
            </w:tcBorders>
            <w:vAlign w:val="bottom"/>
          </w:tcPr>
          <w:p w14:paraId="3C8A0166" w14:textId="77777777" w:rsidR="009831DE" w:rsidRPr="00DB1D7C" w:rsidRDefault="009831DE" w:rsidP="009831DE">
            <w:pPr>
              <w:spacing w:before="120" w:after="120"/>
              <w:jc w:val="center"/>
              <w:rPr>
                <w:rFonts w:cs="Arial"/>
              </w:rPr>
            </w:pPr>
            <w:r w:rsidRPr="00DB1D7C">
              <w:rPr>
                <w:rFonts w:cs="Arial"/>
              </w:rPr>
              <w:t>13.9</w:t>
            </w:r>
          </w:p>
        </w:tc>
        <w:tc>
          <w:tcPr>
            <w:tcW w:w="261" w:type="dxa"/>
            <w:tcBorders>
              <w:top w:val="single" w:sz="12" w:space="0" w:color="auto"/>
            </w:tcBorders>
          </w:tcPr>
          <w:p w14:paraId="156474E2" w14:textId="77777777" w:rsidR="009831DE" w:rsidRPr="00DB1D7C" w:rsidRDefault="009831DE" w:rsidP="009831DE">
            <w:pPr>
              <w:spacing w:before="120" w:after="120"/>
              <w:jc w:val="center"/>
              <w:rPr>
                <w:rFonts w:cs="Arial"/>
              </w:rPr>
            </w:pPr>
          </w:p>
        </w:tc>
        <w:tc>
          <w:tcPr>
            <w:tcW w:w="1213" w:type="dxa"/>
            <w:tcBorders>
              <w:top w:val="single" w:sz="12" w:space="0" w:color="auto"/>
            </w:tcBorders>
          </w:tcPr>
          <w:p w14:paraId="49E4C457" w14:textId="77777777" w:rsidR="009831DE" w:rsidRPr="00DB1D7C" w:rsidRDefault="009831DE" w:rsidP="009831DE">
            <w:pPr>
              <w:spacing w:before="120" w:after="120"/>
              <w:jc w:val="center"/>
              <w:rPr>
                <w:rFonts w:cs="Arial"/>
              </w:rPr>
            </w:pPr>
            <w:r w:rsidRPr="00DB1D7C">
              <w:rPr>
                <w:rFonts w:cs="Arial"/>
              </w:rPr>
              <w:t>230</w:t>
            </w:r>
          </w:p>
        </w:tc>
        <w:tc>
          <w:tcPr>
            <w:tcW w:w="1213" w:type="dxa"/>
            <w:tcBorders>
              <w:top w:val="single" w:sz="12" w:space="0" w:color="auto"/>
            </w:tcBorders>
          </w:tcPr>
          <w:p w14:paraId="684D06F5" w14:textId="77777777" w:rsidR="009831DE" w:rsidRPr="00DB1D7C" w:rsidRDefault="009831DE" w:rsidP="009831DE">
            <w:pPr>
              <w:spacing w:before="120" w:after="120"/>
              <w:jc w:val="center"/>
              <w:rPr>
                <w:rFonts w:cs="Arial"/>
              </w:rPr>
            </w:pPr>
            <w:r w:rsidRPr="00DB1D7C">
              <w:rPr>
                <w:rFonts w:cs="Arial"/>
              </w:rPr>
              <w:t>18</w:t>
            </w:r>
          </w:p>
        </w:tc>
        <w:tc>
          <w:tcPr>
            <w:tcW w:w="1213" w:type="dxa"/>
            <w:tcBorders>
              <w:top w:val="single" w:sz="12" w:space="0" w:color="auto"/>
            </w:tcBorders>
            <w:vAlign w:val="bottom"/>
          </w:tcPr>
          <w:p w14:paraId="6E10DE89" w14:textId="77777777" w:rsidR="009831DE" w:rsidRPr="00DB1D7C" w:rsidRDefault="009831DE" w:rsidP="009831DE">
            <w:pPr>
              <w:spacing w:before="120" w:after="120"/>
              <w:jc w:val="center"/>
              <w:rPr>
                <w:rFonts w:cs="Arial"/>
              </w:rPr>
            </w:pPr>
            <w:r w:rsidRPr="00DB1D7C">
              <w:rPr>
                <w:rFonts w:cs="Arial"/>
              </w:rPr>
              <w:t>3.5</w:t>
            </w:r>
          </w:p>
        </w:tc>
      </w:tr>
      <w:tr w:rsidR="009831DE" w:rsidRPr="00DB1D7C" w14:paraId="4583D3BC" w14:textId="77777777" w:rsidTr="008821DA">
        <w:trPr>
          <w:trHeight w:val="513"/>
        </w:trPr>
        <w:tc>
          <w:tcPr>
            <w:tcW w:w="1044" w:type="dxa"/>
          </w:tcPr>
          <w:p w14:paraId="6F60D44A" w14:textId="77777777" w:rsidR="009831DE" w:rsidRPr="00DB1D7C" w:rsidRDefault="009831DE" w:rsidP="009831DE">
            <w:pPr>
              <w:spacing w:before="120" w:after="120"/>
              <w:jc w:val="center"/>
              <w:rPr>
                <w:rFonts w:cs="Arial"/>
              </w:rPr>
            </w:pPr>
            <w:r w:rsidRPr="00DB1D7C">
              <w:rPr>
                <w:rFonts w:cs="Arial"/>
              </w:rPr>
              <w:t>55</w:t>
            </w:r>
          </w:p>
        </w:tc>
        <w:tc>
          <w:tcPr>
            <w:tcW w:w="1170" w:type="dxa"/>
          </w:tcPr>
          <w:p w14:paraId="70BD1B75" w14:textId="77777777" w:rsidR="009831DE" w:rsidRPr="00DB1D7C" w:rsidRDefault="009831DE" w:rsidP="009831DE">
            <w:pPr>
              <w:spacing w:before="120" w:after="120"/>
              <w:jc w:val="center"/>
              <w:rPr>
                <w:rFonts w:cs="Arial"/>
              </w:rPr>
            </w:pPr>
            <w:r w:rsidRPr="00DB1D7C">
              <w:rPr>
                <w:rFonts w:cs="Arial"/>
              </w:rPr>
              <w:t>254</w:t>
            </w:r>
          </w:p>
        </w:tc>
        <w:tc>
          <w:tcPr>
            <w:tcW w:w="1014" w:type="dxa"/>
          </w:tcPr>
          <w:p w14:paraId="21D34C05" w14:textId="77777777" w:rsidR="009831DE" w:rsidRPr="00DB1D7C" w:rsidRDefault="009831DE" w:rsidP="009831DE">
            <w:pPr>
              <w:spacing w:before="120" w:after="120"/>
              <w:jc w:val="center"/>
              <w:rPr>
                <w:rFonts w:cs="Arial"/>
              </w:rPr>
            </w:pPr>
            <w:r w:rsidRPr="00DB1D7C">
              <w:rPr>
                <w:rFonts w:cs="Arial"/>
              </w:rPr>
              <w:t>25</w:t>
            </w:r>
          </w:p>
        </w:tc>
        <w:tc>
          <w:tcPr>
            <w:tcW w:w="1014" w:type="dxa"/>
            <w:vAlign w:val="bottom"/>
          </w:tcPr>
          <w:p w14:paraId="421820AD" w14:textId="77777777" w:rsidR="009831DE" w:rsidRPr="00DB1D7C" w:rsidRDefault="009831DE" w:rsidP="009831DE">
            <w:pPr>
              <w:spacing w:before="120" w:after="120"/>
              <w:jc w:val="center"/>
              <w:rPr>
                <w:rFonts w:cs="Arial"/>
              </w:rPr>
            </w:pPr>
            <w:r w:rsidRPr="00DB1D7C">
              <w:rPr>
                <w:rFonts w:cs="Arial"/>
              </w:rPr>
              <w:t>8.7</w:t>
            </w:r>
          </w:p>
        </w:tc>
        <w:tc>
          <w:tcPr>
            <w:tcW w:w="261" w:type="dxa"/>
          </w:tcPr>
          <w:p w14:paraId="32AA63EA" w14:textId="77777777" w:rsidR="009831DE" w:rsidRPr="00DB1D7C" w:rsidRDefault="009831DE" w:rsidP="009831DE">
            <w:pPr>
              <w:spacing w:before="120" w:after="120"/>
              <w:jc w:val="center"/>
              <w:rPr>
                <w:rFonts w:cs="Arial"/>
              </w:rPr>
            </w:pPr>
          </w:p>
        </w:tc>
        <w:tc>
          <w:tcPr>
            <w:tcW w:w="1213" w:type="dxa"/>
          </w:tcPr>
          <w:p w14:paraId="4DC7E465" w14:textId="77777777" w:rsidR="009831DE" w:rsidRPr="00DB1D7C" w:rsidRDefault="009831DE" w:rsidP="009831DE">
            <w:pPr>
              <w:spacing w:before="120" w:after="120"/>
              <w:jc w:val="center"/>
              <w:rPr>
                <w:rFonts w:cs="Arial"/>
              </w:rPr>
            </w:pPr>
            <w:r w:rsidRPr="00DB1D7C">
              <w:rPr>
                <w:rFonts w:cs="Arial"/>
              </w:rPr>
              <w:t>252</w:t>
            </w:r>
          </w:p>
        </w:tc>
        <w:tc>
          <w:tcPr>
            <w:tcW w:w="1213" w:type="dxa"/>
          </w:tcPr>
          <w:p w14:paraId="0891CF1C" w14:textId="77777777" w:rsidR="009831DE" w:rsidRPr="00DB1D7C" w:rsidRDefault="009831DE" w:rsidP="009831DE">
            <w:pPr>
              <w:spacing w:before="120" w:after="120"/>
              <w:jc w:val="center"/>
              <w:rPr>
                <w:rFonts w:cs="Arial"/>
              </w:rPr>
            </w:pPr>
            <w:r w:rsidRPr="00DB1D7C">
              <w:rPr>
                <w:rFonts w:cs="Arial"/>
              </w:rPr>
              <w:t>25</w:t>
            </w:r>
          </w:p>
        </w:tc>
        <w:tc>
          <w:tcPr>
            <w:tcW w:w="1213" w:type="dxa"/>
            <w:vAlign w:val="bottom"/>
          </w:tcPr>
          <w:p w14:paraId="5CC32589" w14:textId="77777777" w:rsidR="009831DE" w:rsidRPr="00DB1D7C" w:rsidRDefault="009831DE" w:rsidP="009831DE">
            <w:pPr>
              <w:spacing w:before="120" w:after="120"/>
              <w:jc w:val="center"/>
              <w:rPr>
                <w:rFonts w:cs="Arial"/>
              </w:rPr>
            </w:pPr>
            <w:r w:rsidRPr="00DB1D7C">
              <w:rPr>
                <w:rFonts w:cs="Arial"/>
              </w:rPr>
              <w:t>1.9</w:t>
            </w:r>
          </w:p>
        </w:tc>
      </w:tr>
      <w:tr w:rsidR="009831DE" w:rsidRPr="00DB1D7C" w14:paraId="3C1DDD0F" w14:textId="77777777" w:rsidTr="008821DA">
        <w:trPr>
          <w:trHeight w:val="513"/>
        </w:trPr>
        <w:tc>
          <w:tcPr>
            <w:tcW w:w="1044" w:type="dxa"/>
          </w:tcPr>
          <w:p w14:paraId="6D5E9A67" w14:textId="77777777" w:rsidR="009831DE" w:rsidRPr="00DB1D7C" w:rsidRDefault="009831DE" w:rsidP="009831DE">
            <w:pPr>
              <w:spacing w:before="120" w:after="120"/>
              <w:jc w:val="center"/>
              <w:rPr>
                <w:rFonts w:cs="Arial"/>
              </w:rPr>
            </w:pPr>
            <w:r w:rsidRPr="00DB1D7C">
              <w:rPr>
                <w:rFonts w:cs="Arial"/>
              </w:rPr>
              <w:t>60</w:t>
            </w:r>
          </w:p>
        </w:tc>
        <w:tc>
          <w:tcPr>
            <w:tcW w:w="1170" w:type="dxa"/>
          </w:tcPr>
          <w:p w14:paraId="615649B7" w14:textId="77777777" w:rsidR="009831DE" w:rsidRPr="00DB1D7C" w:rsidRDefault="009831DE" w:rsidP="009831DE">
            <w:pPr>
              <w:spacing w:before="120" w:after="120"/>
              <w:jc w:val="center"/>
              <w:rPr>
                <w:rFonts w:cs="Arial"/>
              </w:rPr>
            </w:pPr>
            <w:r w:rsidRPr="00DB1D7C">
              <w:rPr>
                <w:rFonts w:cs="Arial"/>
              </w:rPr>
              <w:t>295</w:t>
            </w:r>
          </w:p>
        </w:tc>
        <w:tc>
          <w:tcPr>
            <w:tcW w:w="1014" w:type="dxa"/>
          </w:tcPr>
          <w:p w14:paraId="4656EBB0" w14:textId="77777777" w:rsidR="009831DE" w:rsidRPr="00DB1D7C" w:rsidRDefault="009831DE" w:rsidP="009831DE">
            <w:pPr>
              <w:spacing w:before="120" w:after="120"/>
              <w:jc w:val="center"/>
              <w:rPr>
                <w:rFonts w:cs="Arial"/>
              </w:rPr>
            </w:pPr>
            <w:r w:rsidRPr="00DB1D7C">
              <w:rPr>
                <w:rFonts w:cs="Arial"/>
              </w:rPr>
              <w:t>36</w:t>
            </w:r>
          </w:p>
        </w:tc>
        <w:tc>
          <w:tcPr>
            <w:tcW w:w="1014" w:type="dxa"/>
            <w:vAlign w:val="bottom"/>
          </w:tcPr>
          <w:p w14:paraId="0F9CA298" w14:textId="77777777" w:rsidR="009831DE" w:rsidRPr="00DB1D7C" w:rsidRDefault="009831DE" w:rsidP="009831DE">
            <w:pPr>
              <w:spacing w:before="120" w:after="120"/>
              <w:jc w:val="center"/>
              <w:rPr>
                <w:rFonts w:cs="Arial"/>
              </w:rPr>
            </w:pPr>
            <w:r w:rsidRPr="00DB1D7C">
              <w:rPr>
                <w:rFonts w:cs="Arial"/>
              </w:rPr>
              <w:t>5.4</w:t>
            </w:r>
          </w:p>
        </w:tc>
        <w:tc>
          <w:tcPr>
            <w:tcW w:w="261" w:type="dxa"/>
          </w:tcPr>
          <w:p w14:paraId="07166B07" w14:textId="77777777" w:rsidR="009831DE" w:rsidRPr="00DB1D7C" w:rsidRDefault="009831DE" w:rsidP="009831DE">
            <w:pPr>
              <w:spacing w:before="120" w:after="120"/>
              <w:jc w:val="center"/>
              <w:rPr>
                <w:rFonts w:cs="Arial"/>
              </w:rPr>
            </w:pPr>
          </w:p>
        </w:tc>
        <w:tc>
          <w:tcPr>
            <w:tcW w:w="1213" w:type="dxa"/>
          </w:tcPr>
          <w:p w14:paraId="02149BCD" w14:textId="77777777" w:rsidR="009831DE" w:rsidRPr="00DB1D7C" w:rsidRDefault="009831DE" w:rsidP="009831DE">
            <w:pPr>
              <w:spacing w:before="120" w:after="120"/>
              <w:jc w:val="center"/>
              <w:rPr>
                <w:rFonts w:cs="Arial"/>
              </w:rPr>
            </w:pPr>
            <w:r w:rsidRPr="00DB1D7C">
              <w:rPr>
                <w:rFonts w:cs="Arial"/>
              </w:rPr>
              <w:t>288</w:t>
            </w:r>
          </w:p>
        </w:tc>
        <w:tc>
          <w:tcPr>
            <w:tcW w:w="1213" w:type="dxa"/>
          </w:tcPr>
          <w:p w14:paraId="6BA9BA0C" w14:textId="77777777" w:rsidR="009831DE" w:rsidRPr="00DB1D7C" w:rsidRDefault="009831DE" w:rsidP="009831DE">
            <w:pPr>
              <w:spacing w:before="120" w:after="120"/>
              <w:jc w:val="center"/>
              <w:rPr>
                <w:rFonts w:cs="Arial"/>
              </w:rPr>
            </w:pPr>
            <w:r w:rsidRPr="00DB1D7C">
              <w:rPr>
                <w:rFonts w:cs="Arial"/>
              </w:rPr>
              <w:t>35</w:t>
            </w:r>
          </w:p>
        </w:tc>
        <w:tc>
          <w:tcPr>
            <w:tcW w:w="1213" w:type="dxa"/>
            <w:vAlign w:val="bottom"/>
          </w:tcPr>
          <w:p w14:paraId="69534F80" w14:textId="77777777" w:rsidR="009831DE" w:rsidRPr="00DB1D7C" w:rsidRDefault="009831DE" w:rsidP="009831DE">
            <w:pPr>
              <w:spacing w:before="120" w:after="120"/>
              <w:jc w:val="center"/>
              <w:rPr>
                <w:rFonts w:cs="Arial"/>
              </w:rPr>
            </w:pPr>
            <w:r w:rsidRPr="00DB1D7C">
              <w:rPr>
                <w:rFonts w:cs="Arial"/>
              </w:rPr>
              <w:t>1.7</w:t>
            </w:r>
          </w:p>
        </w:tc>
      </w:tr>
      <w:tr w:rsidR="009831DE" w:rsidRPr="00DB1D7C" w14:paraId="2538E418" w14:textId="77777777" w:rsidTr="008821DA">
        <w:trPr>
          <w:trHeight w:val="497"/>
        </w:trPr>
        <w:tc>
          <w:tcPr>
            <w:tcW w:w="1044" w:type="dxa"/>
          </w:tcPr>
          <w:p w14:paraId="60B65014" w14:textId="77777777" w:rsidR="009831DE" w:rsidRPr="00DB1D7C" w:rsidRDefault="009831DE" w:rsidP="009831DE">
            <w:pPr>
              <w:spacing w:before="120" w:after="120"/>
              <w:jc w:val="center"/>
              <w:rPr>
                <w:rFonts w:cs="Arial"/>
              </w:rPr>
            </w:pPr>
            <w:r w:rsidRPr="00DB1D7C">
              <w:rPr>
                <w:rFonts w:cs="Arial"/>
              </w:rPr>
              <w:t>65</w:t>
            </w:r>
          </w:p>
        </w:tc>
        <w:tc>
          <w:tcPr>
            <w:tcW w:w="1170" w:type="dxa"/>
          </w:tcPr>
          <w:p w14:paraId="4D2B01FB" w14:textId="77777777" w:rsidR="009831DE" w:rsidRPr="00DB1D7C" w:rsidRDefault="009831DE" w:rsidP="009831DE">
            <w:pPr>
              <w:spacing w:before="120" w:after="120"/>
              <w:jc w:val="center"/>
              <w:rPr>
                <w:rFonts w:cs="Arial"/>
              </w:rPr>
            </w:pPr>
            <w:r w:rsidRPr="00DB1D7C">
              <w:rPr>
                <w:rFonts w:cs="Arial"/>
              </w:rPr>
              <w:t>328</w:t>
            </w:r>
          </w:p>
        </w:tc>
        <w:tc>
          <w:tcPr>
            <w:tcW w:w="1014" w:type="dxa"/>
          </w:tcPr>
          <w:p w14:paraId="05F7D78C" w14:textId="77777777" w:rsidR="009831DE" w:rsidRPr="00DB1D7C" w:rsidRDefault="009831DE" w:rsidP="009831DE">
            <w:pPr>
              <w:spacing w:before="120" w:after="120"/>
              <w:jc w:val="center"/>
              <w:rPr>
                <w:rFonts w:cs="Arial"/>
              </w:rPr>
            </w:pPr>
            <w:r w:rsidRPr="00DB1D7C">
              <w:rPr>
                <w:rFonts w:cs="Arial"/>
              </w:rPr>
              <w:t>60</w:t>
            </w:r>
          </w:p>
        </w:tc>
        <w:tc>
          <w:tcPr>
            <w:tcW w:w="1014" w:type="dxa"/>
            <w:vAlign w:val="bottom"/>
          </w:tcPr>
          <w:p w14:paraId="1014D5C7" w14:textId="77777777" w:rsidR="009831DE" w:rsidRPr="00DB1D7C" w:rsidRDefault="009831DE" w:rsidP="009831DE">
            <w:pPr>
              <w:spacing w:before="120" w:after="120"/>
              <w:jc w:val="center"/>
              <w:rPr>
                <w:rFonts w:cs="Arial"/>
              </w:rPr>
            </w:pPr>
            <w:r w:rsidRPr="00DB1D7C">
              <w:rPr>
                <w:rFonts w:cs="Arial"/>
              </w:rPr>
              <w:t>3.0</w:t>
            </w:r>
          </w:p>
        </w:tc>
        <w:tc>
          <w:tcPr>
            <w:tcW w:w="261" w:type="dxa"/>
          </w:tcPr>
          <w:p w14:paraId="0A59E473" w14:textId="77777777" w:rsidR="009831DE" w:rsidRPr="00DB1D7C" w:rsidRDefault="009831DE" w:rsidP="009831DE">
            <w:pPr>
              <w:spacing w:before="120" w:after="120"/>
              <w:jc w:val="center"/>
              <w:rPr>
                <w:rFonts w:cs="Arial"/>
              </w:rPr>
            </w:pPr>
          </w:p>
        </w:tc>
        <w:tc>
          <w:tcPr>
            <w:tcW w:w="1213" w:type="dxa"/>
          </w:tcPr>
          <w:p w14:paraId="359DC940" w14:textId="77777777" w:rsidR="009831DE" w:rsidRPr="00DB1D7C" w:rsidRDefault="009831DE" w:rsidP="009831DE">
            <w:pPr>
              <w:spacing w:before="120" w:after="120"/>
              <w:jc w:val="center"/>
              <w:rPr>
                <w:rFonts w:cs="Arial"/>
              </w:rPr>
            </w:pPr>
            <w:r w:rsidRPr="00DB1D7C">
              <w:rPr>
                <w:rFonts w:cs="Arial"/>
              </w:rPr>
              <w:t>341</w:t>
            </w:r>
          </w:p>
        </w:tc>
        <w:tc>
          <w:tcPr>
            <w:tcW w:w="1213" w:type="dxa"/>
          </w:tcPr>
          <w:p w14:paraId="013E5BF1" w14:textId="77777777" w:rsidR="009831DE" w:rsidRPr="00DB1D7C" w:rsidRDefault="009831DE" w:rsidP="009831DE">
            <w:pPr>
              <w:spacing w:before="120" w:after="120"/>
              <w:jc w:val="center"/>
              <w:rPr>
                <w:rFonts w:cs="Arial"/>
              </w:rPr>
            </w:pPr>
            <w:r w:rsidRPr="00DB1D7C">
              <w:rPr>
                <w:rFonts w:cs="Arial"/>
              </w:rPr>
              <w:t>62</w:t>
            </w:r>
          </w:p>
        </w:tc>
        <w:tc>
          <w:tcPr>
            <w:tcW w:w="1213" w:type="dxa"/>
            <w:vAlign w:val="bottom"/>
          </w:tcPr>
          <w:p w14:paraId="5059EF29" w14:textId="77777777" w:rsidR="009831DE" w:rsidRPr="00DB1D7C" w:rsidRDefault="009831DE" w:rsidP="009831DE">
            <w:pPr>
              <w:spacing w:before="120" w:after="120"/>
              <w:jc w:val="center"/>
              <w:rPr>
                <w:rFonts w:cs="Arial"/>
              </w:rPr>
            </w:pPr>
            <w:r w:rsidRPr="00DB1D7C">
              <w:rPr>
                <w:rFonts w:cs="Arial"/>
              </w:rPr>
              <w:t>2.1</w:t>
            </w:r>
          </w:p>
        </w:tc>
      </w:tr>
      <w:tr w:rsidR="009831DE" w:rsidRPr="00DB1D7C" w14:paraId="24586505" w14:textId="77777777" w:rsidTr="008821DA">
        <w:trPr>
          <w:trHeight w:val="497"/>
        </w:trPr>
        <w:tc>
          <w:tcPr>
            <w:tcW w:w="1044" w:type="dxa"/>
          </w:tcPr>
          <w:p w14:paraId="129336C0" w14:textId="77777777" w:rsidR="009831DE" w:rsidRPr="00DB1D7C" w:rsidRDefault="009831DE" w:rsidP="009831DE">
            <w:pPr>
              <w:spacing w:before="120" w:after="120"/>
              <w:jc w:val="center"/>
              <w:rPr>
                <w:rFonts w:cs="Arial"/>
              </w:rPr>
            </w:pPr>
            <w:r w:rsidRPr="00DB1D7C">
              <w:rPr>
                <w:rFonts w:cs="Arial"/>
              </w:rPr>
              <w:t>70</w:t>
            </w:r>
          </w:p>
        </w:tc>
        <w:tc>
          <w:tcPr>
            <w:tcW w:w="1170" w:type="dxa"/>
          </w:tcPr>
          <w:p w14:paraId="34A828E9" w14:textId="77777777" w:rsidR="009831DE" w:rsidRPr="00DB1D7C" w:rsidRDefault="009831DE" w:rsidP="009831DE">
            <w:pPr>
              <w:spacing w:before="120" w:after="120"/>
              <w:jc w:val="center"/>
              <w:rPr>
                <w:rFonts w:cs="Arial"/>
              </w:rPr>
            </w:pPr>
            <w:r w:rsidRPr="00DB1D7C">
              <w:rPr>
                <w:rFonts w:cs="Arial"/>
              </w:rPr>
              <w:t>371</w:t>
            </w:r>
          </w:p>
        </w:tc>
        <w:tc>
          <w:tcPr>
            <w:tcW w:w="1014" w:type="dxa"/>
          </w:tcPr>
          <w:p w14:paraId="32363F39" w14:textId="77777777" w:rsidR="009831DE" w:rsidRPr="00DB1D7C" w:rsidRDefault="009831DE" w:rsidP="009831DE">
            <w:pPr>
              <w:spacing w:before="120" w:after="120"/>
              <w:jc w:val="center"/>
              <w:rPr>
                <w:rFonts w:cs="Arial"/>
              </w:rPr>
            </w:pPr>
            <w:r w:rsidRPr="00DB1D7C">
              <w:rPr>
                <w:rFonts w:cs="Arial"/>
              </w:rPr>
              <w:t>84</w:t>
            </w:r>
          </w:p>
        </w:tc>
        <w:tc>
          <w:tcPr>
            <w:tcW w:w="1014" w:type="dxa"/>
            <w:vAlign w:val="bottom"/>
          </w:tcPr>
          <w:p w14:paraId="6624399B" w14:textId="77777777" w:rsidR="009831DE" w:rsidRPr="00DB1D7C" w:rsidRDefault="009831DE" w:rsidP="009831DE">
            <w:pPr>
              <w:spacing w:before="120" w:after="120"/>
              <w:jc w:val="center"/>
              <w:rPr>
                <w:rFonts w:cs="Arial"/>
              </w:rPr>
            </w:pPr>
            <w:r w:rsidRPr="00DB1D7C">
              <w:rPr>
                <w:rFonts w:cs="Arial"/>
              </w:rPr>
              <w:t>2.0</w:t>
            </w:r>
          </w:p>
        </w:tc>
        <w:tc>
          <w:tcPr>
            <w:tcW w:w="261" w:type="dxa"/>
          </w:tcPr>
          <w:p w14:paraId="16C2EF97" w14:textId="77777777" w:rsidR="009831DE" w:rsidRPr="00DB1D7C" w:rsidRDefault="009831DE" w:rsidP="009831DE">
            <w:pPr>
              <w:spacing w:before="120" w:after="120"/>
              <w:jc w:val="center"/>
              <w:rPr>
                <w:rFonts w:cs="Arial"/>
              </w:rPr>
            </w:pPr>
          </w:p>
        </w:tc>
        <w:tc>
          <w:tcPr>
            <w:tcW w:w="1213" w:type="dxa"/>
          </w:tcPr>
          <w:p w14:paraId="4F6E2622" w14:textId="77777777" w:rsidR="009831DE" w:rsidRPr="00DB1D7C" w:rsidRDefault="009831DE" w:rsidP="009831DE">
            <w:pPr>
              <w:spacing w:before="120" w:after="120"/>
              <w:jc w:val="center"/>
              <w:rPr>
                <w:rFonts w:cs="Arial"/>
              </w:rPr>
            </w:pPr>
            <w:r w:rsidRPr="00DB1D7C">
              <w:rPr>
                <w:rFonts w:cs="Arial"/>
              </w:rPr>
              <w:t>365</w:t>
            </w:r>
          </w:p>
        </w:tc>
        <w:tc>
          <w:tcPr>
            <w:tcW w:w="1213" w:type="dxa"/>
          </w:tcPr>
          <w:p w14:paraId="4FB9BB9F" w14:textId="77777777" w:rsidR="009831DE" w:rsidRPr="00DB1D7C" w:rsidRDefault="009831DE" w:rsidP="009831DE">
            <w:pPr>
              <w:spacing w:before="120" w:after="120"/>
              <w:jc w:val="center"/>
              <w:rPr>
                <w:rFonts w:cs="Arial"/>
              </w:rPr>
            </w:pPr>
            <w:r w:rsidRPr="00DB1D7C">
              <w:rPr>
                <w:rFonts w:cs="Arial"/>
              </w:rPr>
              <w:t>83</w:t>
            </w:r>
          </w:p>
        </w:tc>
        <w:tc>
          <w:tcPr>
            <w:tcW w:w="1213" w:type="dxa"/>
            <w:vAlign w:val="bottom"/>
          </w:tcPr>
          <w:p w14:paraId="235F915D" w14:textId="77777777" w:rsidR="009831DE" w:rsidRPr="00DB1D7C" w:rsidRDefault="009831DE" w:rsidP="009831DE">
            <w:pPr>
              <w:spacing w:before="120" w:after="120"/>
              <w:jc w:val="center"/>
              <w:rPr>
                <w:rFonts w:cs="Arial"/>
              </w:rPr>
            </w:pPr>
            <w:r w:rsidRPr="00DB1D7C">
              <w:rPr>
                <w:rFonts w:cs="Arial"/>
              </w:rPr>
              <w:t>1.7</w:t>
            </w:r>
          </w:p>
        </w:tc>
      </w:tr>
      <w:tr w:rsidR="009831DE" w:rsidRPr="00DB1D7C" w14:paraId="33505D98" w14:textId="77777777" w:rsidTr="008821DA">
        <w:trPr>
          <w:trHeight w:val="513"/>
        </w:trPr>
        <w:tc>
          <w:tcPr>
            <w:tcW w:w="1044" w:type="dxa"/>
          </w:tcPr>
          <w:p w14:paraId="6E282830" w14:textId="77777777" w:rsidR="009831DE" w:rsidRPr="00DB1D7C" w:rsidRDefault="009831DE" w:rsidP="009831DE">
            <w:pPr>
              <w:spacing w:before="120" w:after="120"/>
              <w:jc w:val="center"/>
              <w:rPr>
                <w:rFonts w:cs="Arial"/>
              </w:rPr>
            </w:pPr>
            <w:r w:rsidRPr="00DB1D7C">
              <w:rPr>
                <w:rFonts w:cs="Arial"/>
              </w:rPr>
              <w:t>75</w:t>
            </w:r>
          </w:p>
        </w:tc>
        <w:tc>
          <w:tcPr>
            <w:tcW w:w="1170" w:type="dxa"/>
          </w:tcPr>
          <w:p w14:paraId="159A9C32" w14:textId="77777777" w:rsidR="009831DE" w:rsidRPr="00DB1D7C" w:rsidRDefault="009831DE" w:rsidP="009831DE">
            <w:pPr>
              <w:spacing w:before="120" w:after="120"/>
              <w:jc w:val="center"/>
              <w:rPr>
                <w:rFonts w:cs="Arial"/>
              </w:rPr>
            </w:pPr>
            <w:r w:rsidRPr="00DB1D7C">
              <w:rPr>
                <w:rFonts w:cs="Arial"/>
              </w:rPr>
              <w:t>422</w:t>
            </w:r>
          </w:p>
        </w:tc>
        <w:tc>
          <w:tcPr>
            <w:tcW w:w="1014" w:type="dxa"/>
          </w:tcPr>
          <w:p w14:paraId="6766ED39" w14:textId="77777777" w:rsidR="009831DE" w:rsidRPr="00DB1D7C" w:rsidRDefault="009831DE" w:rsidP="009831DE">
            <w:pPr>
              <w:spacing w:before="120" w:after="120"/>
              <w:jc w:val="center"/>
              <w:rPr>
                <w:rFonts w:cs="Arial"/>
              </w:rPr>
            </w:pPr>
            <w:r w:rsidRPr="00DB1D7C">
              <w:rPr>
                <w:rFonts w:cs="Arial"/>
              </w:rPr>
              <w:t>101</w:t>
            </w:r>
          </w:p>
        </w:tc>
        <w:tc>
          <w:tcPr>
            <w:tcW w:w="1014" w:type="dxa"/>
            <w:vAlign w:val="bottom"/>
          </w:tcPr>
          <w:p w14:paraId="72A79359" w14:textId="77777777" w:rsidR="009831DE" w:rsidRPr="00DB1D7C" w:rsidRDefault="009831DE" w:rsidP="009831DE">
            <w:pPr>
              <w:spacing w:before="120" w:after="120"/>
              <w:jc w:val="center"/>
              <w:rPr>
                <w:rFonts w:cs="Arial"/>
              </w:rPr>
            </w:pPr>
            <w:r w:rsidRPr="00DB1D7C">
              <w:rPr>
                <w:rFonts w:cs="Arial"/>
              </w:rPr>
              <w:t>1.5</w:t>
            </w:r>
          </w:p>
        </w:tc>
        <w:tc>
          <w:tcPr>
            <w:tcW w:w="261" w:type="dxa"/>
          </w:tcPr>
          <w:p w14:paraId="21CCAFE6" w14:textId="77777777" w:rsidR="009831DE" w:rsidRPr="00DB1D7C" w:rsidRDefault="009831DE" w:rsidP="009831DE">
            <w:pPr>
              <w:spacing w:before="120" w:after="120"/>
              <w:jc w:val="center"/>
              <w:rPr>
                <w:rFonts w:cs="Arial"/>
              </w:rPr>
            </w:pPr>
          </w:p>
        </w:tc>
        <w:tc>
          <w:tcPr>
            <w:tcW w:w="1213" w:type="dxa"/>
          </w:tcPr>
          <w:p w14:paraId="4484DA0E" w14:textId="77777777" w:rsidR="009831DE" w:rsidRPr="00DB1D7C" w:rsidRDefault="009831DE" w:rsidP="009831DE">
            <w:pPr>
              <w:spacing w:before="120" w:after="120"/>
              <w:jc w:val="center"/>
              <w:rPr>
                <w:rFonts w:cs="Arial"/>
              </w:rPr>
            </w:pPr>
            <w:r w:rsidRPr="00DB1D7C">
              <w:rPr>
                <w:rFonts w:cs="Arial"/>
              </w:rPr>
              <w:t>395</w:t>
            </w:r>
          </w:p>
        </w:tc>
        <w:tc>
          <w:tcPr>
            <w:tcW w:w="1213" w:type="dxa"/>
          </w:tcPr>
          <w:p w14:paraId="37AE1A36" w14:textId="77777777" w:rsidR="009831DE" w:rsidRPr="00DB1D7C" w:rsidRDefault="009831DE" w:rsidP="009831DE">
            <w:pPr>
              <w:spacing w:before="120" w:after="120"/>
              <w:jc w:val="center"/>
              <w:rPr>
                <w:rFonts w:cs="Arial"/>
              </w:rPr>
            </w:pPr>
            <w:r w:rsidRPr="00DB1D7C">
              <w:rPr>
                <w:rFonts w:cs="Arial"/>
              </w:rPr>
              <w:t>95</w:t>
            </w:r>
          </w:p>
        </w:tc>
        <w:tc>
          <w:tcPr>
            <w:tcW w:w="1213" w:type="dxa"/>
            <w:vAlign w:val="bottom"/>
          </w:tcPr>
          <w:p w14:paraId="2D305C44" w14:textId="77777777" w:rsidR="009831DE" w:rsidRPr="00DB1D7C" w:rsidRDefault="009831DE" w:rsidP="009831DE">
            <w:pPr>
              <w:spacing w:before="120" w:after="120"/>
              <w:jc w:val="center"/>
              <w:rPr>
                <w:rFonts w:cs="Arial"/>
              </w:rPr>
            </w:pPr>
            <w:r w:rsidRPr="00DB1D7C">
              <w:rPr>
                <w:rFonts w:cs="Arial"/>
              </w:rPr>
              <w:t>0.9</w:t>
            </w:r>
          </w:p>
        </w:tc>
      </w:tr>
      <w:tr w:rsidR="009831DE" w:rsidRPr="00DB1D7C" w14:paraId="511AC43C" w14:textId="77777777" w:rsidTr="008821DA">
        <w:trPr>
          <w:trHeight w:val="513"/>
        </w:trPr>
        <w:tc>
          <w:tcPr>
            <w:tcW w:w="1044" w:type="dxa"/>
          </w:tcPr>
          <w:p w14:paraId="2D234F3C" w14:textId="77777777" w:rsidR="009831DE" w:rsidRPr="00DB1D7C" w:rsidRDefault="009831DE" w:rsidP="009831DE">
            <w:pPr>
              <w:spacing w:before="120" w:after="120"/>
              <w:jc w:val="center"/>
              <w:rPr>
                <w:rFonts w:cs="Arial"/>
              </w:rPr>
            </w:pPr>
            <w:r w:rsidRPr="00DB1D7C">
              <w:rPr>
                <w:rFonts w:cs="Arial"/>
              </w:rPr>
              <w:t>80</w:t>
            </w:r>
          </w:p>
        </w:tc>
        <w:tc>
          <w:tcPr>
            <w:tcW w:w="1170" w:type="dxa"/>
          </w:tcPr>
          <w:p w14:paraId="3EA3816C" w14:textId="77777777" w:rsidR="009831DE" w:rsidRPr="00DB1D7C" w:rsidRDefault="009831DE" w:rsidP="009831DE">
            <w:pPr>
              <w:spacing w:before="120" w:after="120"/>
              <w:jc w:val="center"/>
              <w:rPr>
                <w:rFonts w:cs="Arial"/>
              </w:rPr>
            </w:pPr>
            <w:r w:rsidRPr="00DB1D7C">
              <w:rPr>
                <w:rFonts w:cs="Arial"/>
              </w:rPr>
              <w:t>468</w:t>
            </w:r>
          </w:p>
        </w:tc>
        <w:tc>
          <w:tcPr>
            <w:tcW w:w="1014" w:type="dxa"/>
          </w:tcPr>
          <w:p w14:paraId="21A8D0CC" w14:textId="77777777" w:rsidR="009831DE" w:rsidRPr="00DB1D7C" w:rsidRDefault="009831DE" w:rsidP="009831DE">
            <w:pPr>
              <w:spacing w:before="120" w:after="120"/>
              <w:jc w:val="center"/>
              <w:rPr>
                <w:rFonts w:cs="Arial"/>
              </w:rPr>
            </w:pPr>
            <w:r w:rsidRPr="00DB1D7C">
              <w:rPr>
                <w:rFonts w:cs="Arial"/>
              </w:rPr>
              <w:t>128</w:t>
            </w:r>
          </w:p>
        </w:tc>
        <w:tc>
          <w:tcPr>
            <w:tcW w:w="1014" w:type="dxa"/>
            <w:vAlign w:val="bottom"/>
          </w:tcPr>
          <w:p w14:paraId="645EDD4D" w14:textId="77777777" w:rsidR="009831DE" w:rsidRPr="00DB1D7C" w:rsidRDefault="009831DE" w:rsidP="009831DE">
            <w:pPr>
              <w:spacing w:before="120" w:after="120"/>
              <w:jc w:val="center"/>
              <w:rPr>
                <w:rFonts w:cs="Arial"/>
              </w:rPr>
            </w:pPr>
            <w:r w:rsidRPr="00DB1D7C">
              <w:rPr>
                <w:rFonts w:cs="Arial"/>
              </w:rPr>
              <w:t>1.0</w:t>
            </w:r>
          </w:p>
        </w:tc>
        <w:tc>
          <w:tcPr>
            <w:tcW w:w="261" w:type="dxa"/>
          </w:tcPr>
          <w:p w14:paraId="265CBFD8" w14:textId="77777777" w:rsidR="009831DE" w:rsidRPr="00DB1D7C" w:rsidRDefault="009831DE" w:rsidP="009831DE">
            <w:pPr>
              <w:spacing w:before="120" w:after="120"/>
              <w:jc w:val="center"/>
              <w:rPr>
                <w:rFonts w:cs="Arial"/>
              </w:rPr>
            </w:pPr>
          </w:p>
        </w:tc>
        <w:tc>
          <w:tcPr>
            <w:tcW w:w="1213" w:type="dxa"/>
          </w:tcPr>
          <w:p w14:paraId="4F389863" w14:textId="77777777" w:rsidR="009831DE" w:rsidRPr="00DB1D7C" w:rsidRDefault="009831DE" w:rsidP="009831DE">
            <w:pPr>
              <w:spacing w:before="120" w:after="120"/>
              <w:jc w:val="center"/>
              <w:rPr>
                <w:rFonts w:cs="Arial"/>
              </w:rPr>
            </w:pPr>
            <w:r w:rsidRPr="00DB1D7C">
              <w:rPr>
                <w:rFonts w:cs="Arial"/>
              </w:rPr>
              <w:t>434</w:t>
            </w:r>
          </w:p>
        </w:tc>
        <w:tc>
          <w:tcPr>
            <w:tcW w:w="1213" w:type="dxa"/>
          </w:tcPr>
          <w:p w14:paraId="493ADC6A" w14:textId="77777777" w:rsidR="009831DE" w:rsidRPr="00DB1D7C" w:rsidRDefault="009831DE" w:rsidP="009831DE">
            <w:pPr>
              <w:spacing w:before="120" w:after="120"/>
              <w:jc w:val="center"/>
              <w:rPr>
                <w:rFonts w:cs="Arial"/>
              </w:rPr>
            </w:pPr>
            <w:r w:rsidRPr="00DB1D7C">
              <w:rPr>
                <w:rFonts w:cs="Arial"/>
              </w:rPr>
              <w:t>120</w:t>
            </w:r>
          </w:p>
        </w:tc>
        <w:tc>
          <w:tcPr>
            <w:tcW w:w="1213" w:type="dxa"/>
            <w:vAlign w:val="bottom"/>
          </w:tcPr>
          <w:p w14:paraId="7226AF2A" w14:textId="77777777" w:rsidR="009831DE" w:rsidRPr="00DB1D7C" w:rsidRDefault="009831DE" w:rsidP="009831DE">
            <w:pPr>
              <w:spacing w:before="120" w:after="120"/>
              <w:jc w:val="center"/>
              <w:rPr>
                <w:rFonts w:cs="Arial"/>
              </w:rPr>
            </w:pPr>
            <w:r w:rsidRPr="00DB1D7C">
              <w:rPr>
                <w:rFonts w:cs="Arial"/>
              </w:rPr>
              <w:t>0.6</w:t>
            </w:r>
          </w:p>
        </w:tc>
      </w:tr>
      <w:tr w:rsidR="009831DE" w:rsidRPr="00DB1D7C" w14:paraId="7BC05BB2" w14:textId="77777777" w:rsidTr="008821DA">
        <w:trPr>
          <w:trHeight w:val="513"/>
        </w:trPr>
        <w:tc>
          <w:tcPr>
            <w:tcW w:w="1044" w:type="dxa"/>
            <w:tcBorders>
              <w:bottom w:val="single" w:sz="12" w:space="0" w:color="auto"/>
            </w:tcBorders>
          </w:tcPr>
          <w:p w14:paraId="0AE713E2" w14:textId="77777777" w:rsidR="009831DE" w:rsidRPr="00DB1D7C" w:rsidRDefault="009831DE" w:rsidP="009831DE">
            <w:pPr>
              <w:spacing w:before="120" w:after="120"/>
              <w:jc w:val="center"/>
              <w:rPr>
                <w:rFonts w:cs="Arial"/>
              </w:rPr>
            </w:pPr>
            <w:r w:rsidRPr="00DB1D7C">
              <w:rPr>
                <w:rFonts w:cs="Arial"/>
              </w:rPr>
              <w:t>85</w:t>
            </w:r>
          </w:p>
        </w:tc>
        <w:tc>
          <w:tcPr>
            <w:tcW w:w="1170" w:type="dxa"/>
            <w:tcBorders>
              <w:bottom w:val="single" w:sz="12" w:space="0" w:color="auto"/>
            </w:tcBorders>
          </w:tcPr>
          <w:p w14:paraId="5DF26FA9" w14:textId="77777777" w:rsidR="009831DE" w:rsidRPr="00DB1D7C" w:rsidRDefault="009831DE" w:rsidP="009831DE">
            <w:pPr>
              <w:spacing w:before="120" w:after="120"/>
              <w:jc w:val="center"/>
              <w:rPr>
                <w:rFonts w:cs="Arial"/>
              </w:rPr>
            </w:pPr>
            <w:r w:rsidRPr="00DB1D7C">
              <w:rPr>
                <w:rFonts w:cs="Arial"/>
              </w:rPr>
              <w:t>503</w:t>
            </w:r>
          </w:p>
        </w:tc>
        <w:tc>
          <w:tcPr>
            <w:tcW w:w="1014" w:type="dxa"/>
            <w:tcBorders>
              <w:bottom w:val="single" w:sz="12" w:space="0" w:color="auto"/>
            </w:tcBorders>
          </w:tcPr>
          <w:p w14:paraId="38B286D4" w14:textId="77777777" w:rsidR="009831DE" w:rsidRPr="00DB1D7C" w:rsidRDefault="009831DE" w:rsidP="009831DE">
            <w:pPr>
              <w:spacing w:before="120" w:after="120"/>
              <w:jc w:val="center"/>
              <w:rPr>
                <w:rFonts w:cs="Arial"/>
              </w:rPr>
            </w:pPr>
            <w:r w:rsidRPr="00DB1D7C">
              <w:rPr>
                <w:rFonts w:cs="Arial"/>
              </w:rPr>
              <w:t>142</w:t>
            </w:r>
          </w:p>
        </w:tc>
        <w:tc>
          <w:tcPr>
            <w:tcW w:w="1014" w:type="dxa"/>
            <w:tcBorders>
              <w:bottom w:val="single" w:sz="12" w:space="0" w:color="auto"/>
            </w:tcBorders>
            <w:vAlign w:val="bottom"/>
          </w:tcPr>
          <w:p w14:paraId="33EB4417" w14:textId="77777777" w:rsidR="009831DE" w:rsidRPr="00DB1D7C" w:rsidRDefault="009831DE" w:rsidP="009831DE">
            <w:pPr>
              <w:spacing w:before="120" w:after="120"/>
              <w:jc w:val="center"/>
              <w:rPr>
                <w:rFonts w:cs="Arial"/>
              </w:rPr>
            </w:pPr>
            <w:r w:rsidRPr="00DB1D7C">
              <w:rPr>
                <w:rFonts w:cs="Arial"/>
              </w:rPr>
              <w:t>0.8</w:t>
            </w:r>
          </w:p>
        </w:tc>
        <w:tc>
          <w:tcPr>
            <w:tcW w:w="261" w:type="dxa"/>
            <w:tcBorders>
              <w:bottom w:val="single" w:sz="12" w:space="0" w:color="auto"/>
            </w:tcBorders>
          </w:tcPr>
          <w:p w14:paraId="639FEE5C" w14:textId="77777777" w:rsidR="009831DE" w:rsidRPr="00DB1D7C" w:rsidRDefault="009831DE" w:rsidP="009831DE">
            <w:pPr>
              <w:spacing w:before="120" w:after="120"/>
              <w:jc w:val="center"/>
              <w:rPr>
                <w:rFonts w:cs="Arial"/>
              </w:rPr>
            </w:pPr>
          </w:p>
        </w:tc>
        <w:tc>
          <w:tcPr>
            <w:tcW w:w="1213" w:type="dxa"/>
            <w:tcBorders>
              <w:bottom w:val="single" w:sz="12" w:space="0" w:color="auto"/>
            </w:tcBorders>
          </w:tcPr>
          <w:p w14:paraId="09882E9E" w14:textId="77777777" w:rsidR="009831DE" w:rsidRPr="00DB1D7C" w:rsidRDefault="009831DE" w:rsidP="009831DE">
            <w:pPr>
              <w:spacing w:before="120" w:after="120"/>
              <w:jc w:val="center"/>
              <w:rPr>
                <w:rFonts w:cs="Arial"/>
              </w:rPr>
            </w:pPr>
            <w:r w:rsidRPr="00DB1D7C">
              <w:rPr>
                <w:rFonts w:cs="Arial"/>
              </w:rPr>
              <w:t>462</w:t>
            </w:r>
          </w:p>
        </w:tc>
        <w:tc>
          <w:tcPr>
            <w:tcW w:w="1213" w:type="dxa"/>
            <w:tcBorders>
              <w:bottom w:val="single" w:sz="12" w:space="0" w:color="auto"/>
            </w:tcBorders>
          </w:tcPr>
          <w:p w14:paraId="48712C27" w14:textId="77777777" w:rsidR="009831DE" w:rsidRPr="00DB1D7C" w:rsidRDefault="009831DE" w:rsidP="009831DE">
            <w:pPr>
              <w:spacing w:before="120" w:after="120"/>
              <w:jc w:val="center"/>
              <w:rPr>
                <w:rFonts w:cs="Arial"/>
              </w:rPr>
            </w:pPr>
            <w:r w:rsidRPr="00DB1D7C">
              <w:rPr>
                <w:rFonts w:cs="Arial"/>
              </w:rPr>
              <w:t>133</w:t>
            </w:r>
          </w:p>
        </w:tc>
        <w:tc>
          <w:tcPr>
            <w:tcW w:w="1213" w:type="dxa"/>
            <w:tcBorders>
              <w:bottom w:val="single" w:sz="12" w:space="0" w:color="auto"/>
            </w:tcBorders>
            <w:vAlign w:val="bottom"/>
          </w:tcPr>
          <w:p w14:paraId="38B7BC52" w14:textId="77777777" w:rsidR="009831DE" w:rsidRPr="00DB1D7C" w:rsidRDefault="009831DE" w:rsidP="009831DE">
            <w:pPr>
              <w:spacing w:before="120" w:after="120"/>
              <w:jc w:val="center"/>
              <w:rPr>
                <w:rFonts w:cs="Arial"/>
              </w:rPr>
            </w:pPr>
            <w:r w:rsidRPr="00DB1D7C">
              <w:rPr>
                <w:rFonts w:cs="Arial"/>
              </w:rPr>
              <w:t>0.4</w:t>
            </w:r>
          </w:p>
        </w:tc>
      </w:tr>
    </w:tbl>
    <w:p w14:paraId="1D8AA790" w14:textId="77777777" w:rsidR="009831DE" w:rsidRPr="00DB1D7C" w:rsidRDefault="009831DE" w:rsidP="009831DE">
      <w:pPr>
        <w:spacing w:line="360" w:lineRule="auto"/>
      </w:pPr>
      <w:r w:rsidRPr="00DB1D7C">
        <w:t xml:space="preserve"> * includes women identified for therapy on the basis of prior fracture alone</w:t>
      </w:r>
    </w:p>
    <w:p w14:paraId="405F2A9C" w14:textId="7896E869" w:rsidR="00191A60" w:rsidRPr="00DB1D7C" w:rsidRDefault="00E8559E" w:rsidP="00631276">
      <w:pPr>
        <w:spacing w:line="276" w:lineRule="auto"/>
        <w:rPr>
          <w:rFonts w:ascii="Calibri" w:hAnsi="Calibri"/>
          <w:i/>
          <w:sz w:val="24"/>
          <w:szCs w:val="24"/>
        </w:rPr>
      </w:pPr>
      <w:r w:rsidRPr="00DB1D7C">
        <w:rPr>
          <w:rFonts w:ascii="Calibri" w:hAnsi="Calibri"/>
          <w:i/>
          <w:sz w:val="24"/>
          <w:szCs w:val="24"/>
        </w:rPr>
        <w:lastRenderedPageBreak/>
        <w:t>Age-dependent thresholds in o</w:t>
      </w:r>
      <w:r w:rsidR="008A342C" w:rsidRPr="00DB1D7C">
        <w:rPr>
          <w:rFonts w:ascii="Calibri" w:hAnsi="Calibri"/>
          <w:i/>
          <w:sz w:val="24"/>
          <w:szCs w:val="24"/>
        </w:rPr>
        <w:t>ther countries</w:t>
      </w:r>
    </w:p>
    <w:p w14:paraId="269BB2F8" w14:textId="492B3DF2" w:rsidR="0068701F" w:rsidRPr="00DB1D7C" w:rsidRDefault="0057794A" w:rsidP="00631276">
      <w:pPr>
        <w:spacing w:after="120" w:line="276" w:lineRule="auto"/>
        <w:rPr>
          <w:rFonts w:ascii="Calibri" w:hAnsi="Calibri"/>
          <w:sz w:val="24"/>
          <w:szCs w:val="24"/>
        </w:rPr>
      </w:pPr>
      <w:r w:rsidRPr="00DB1D7C">
        <w:rPr>
          <w:rFonts w:ascii="Calibri" w:hAnsi="Calibri"/>
          <w:sz w:val="24"/>
          <w:szCs w:val="24"/>
        </w:rPr>
        <w:t>The age-dependent</w:t>
      </w:r>
      <w:r w:rsidR="00D6676F" w:rsidRPr="00DB1D7C">
        <w:rPr>
          <w:rFonts w:ascii="Calibri" w:hAnsi="Calibri"/>
          <w:sz w:val="24"/>
          <w:szCs w:val="24"/>
        </w:rPr>
        <w:t xml:space="preserve"> approach to intervention threshold adopted by NOGG </w:t>
      </w:r>
      <w:r w:rsidR="00E8559E" w:rsidRPr="00DB1D7C">
        <w:rPr>
          <w:rFonts w:ascii="Calibri" w:hAnsi="Calibri"/>
          <w:sz w:val="24"/>
          <w:szCs w:val="24"/>
        </w:rPr>
        <w:t xml:space="preserve">has been explored or adopted in several countries </w:t>
      </w:r>
      <w:r w:rsidR="00390D58" w:rsidRPr="00DB1D7C">
        <w:rPr>
          <w:rFonts w:ascii="Calibri" w:hAnsi="Calibri"/>
          <w:sz w:val="24"/>
          <w:szCs w:val="24"/>
        </w:rPr>
        <w:t>and in European guidance fo</w:t>
      </w:r>
      <w:r w:rsidR="00496DB1" w:rsidRPr="00DB1D7C">
        <w:rPr>
          <w:rFonts w:ascii="Calibri" w:hAnsi="Calibri"/>
          <w:sz w:val="24"/>
          <w:szCs w:val="24"/>
        </w:rPr>
        <w:t>r</w:t>
      </w:r>
      <w:r w:rsidR="00390D58" w:rsidRPr="00DB1D7C">
        <w:rPr>
          <w:rFonts w:ascii="Calibri" w:hAnsi="Calibri"/>
          <w:sz w:val="24"/>
          <w:szCs w:val="24"/>
        </w:rPr>
        <w:t xml:space="preserve"> postmenopausal osteoporosis</w:t>
      </w:r>
      <w:r w:rsidR="009F2007" w:rsidRPr="00DB1D7C">
        <w:rPr>
          <w:rFonts w:ascii="Calibri" w:hAnsi="Calibri"/>
          <w:sz w:val="24"/>
          <w:szCs w:val="24"/>
        </w:rPr>
        <w:t xml:space="preserve"> </w:t>
      </w:r>
      <w:r w:rsidR="00390D58" w:rsidRPr="00DB1D7C">
        <w:rPr>
          <w:rFonts w:ascii="Calibri" w:hAnsi="Calibri"/>
          <w:sz w:val="24"/>
          <w:szCs w:val="24"/>
        </w:rPr>
        <w:t>and glucocorticoid</w:t>
      </w:r>
      <w:r w:rsidR="004B2258">
        <w:rPr>
          <w:rFonts w:ascii="Calibri" w:hAnsi="Calibri"/>
          <w:sz w:val="24"/>
          <w:szCs w:val="24"/>
        </w:rPr>
        <w:t>-</w:t>
      </w:r>
      <w:r w:rsidR="00496DB1" w:rsidRPr="00DB1D7C">
        <w:rPr>
          <w:rFonts w:ascii="Calibri" w:hAnsi="Calibri"/>
          <w:sz w:val="24"/>
          <w:szCs w:val="24"/>
        </w:rPr>
        <w:t xml:space="preserve">induced </w:t>
      </w:r>
      <w:r w:rsidR="00496DB1" w:rsidRPr="002A1E50">
        <w:rPr>
          <w:rFonts w:ascii="Calibri" w:hAnsi="Calibri"/>
          <w:sz w:val="24"/>
          <w:szCs w:val="24"/>
        </w:rPr>
        <w:t xml:space="preserve">osteoporosis </w:t>
      </w:r>
      <w:r w:rsidR="00390D58" w:rsidRPr="002A1E50">
        <w:rPr>
          <w:rFonts w:ascii="Calibri" w:hAnsi="Calibri"/>
          <w:sz w:val="24"/>
          <w:szCs w:val="24"/>
        </w:rPr>
        <w:t xml:space="preserve">(Table </w:t>
      </w:r>
      <w:r w:rsidR="000305D7" w:rsidRPr="002A1E50">
        <w:rPr>
          <w:rFonts w:ascii="Calibri" w:hAnsi="Calibri"/>
          <w:sz w:val="24"/>
          <w:szCs w:val="24"/>
        </w:rPr>
        <w:t>6</w:t>
      </w:r>
      <w:r w:rsidR="00390D58" w:rsidRPr="002A1E50">
        <w:rPr>
          <w:rFonts w:ascii="Calibri" w:hAnsi="Calibri"/>
          <w:sz w:val="24"/>
          <w:szCs w:val="24"/>
        </w:rPr>
        <w:t>)</w:t>
      </w:r>
      <w:r w:rsidR="00D6676F" w:rsidRPr="002A1E50">
        <w:rPr>
          <w:rFonts w:ascii="Calibri" w:hAnsi="Calibri"/>
          <w:sz w:val="24"/>
          <w:szCs w:val="24"/>
        </w:rPr>
        <w:t>.</w:t>
      </w:r>
      <w:r w:rsidR="00DF2A0E" w:rsidRPr="002A1E50">
        <w:rPr>
          <w:rFonts w:ascii="Calibri" w:hAnsi="Calibri"/>
          <w:sz w:val="24"/>
          <w:szCs w:val="24"/>
        </w:rPr>
        <w:t xml:space="preserve">  Independent</w:t>
      </w:r>
      <w:r w:rsidR="00DF2A0E" w:rsidRPr="00DB1D7C">
        <w:rPr>
          <w:rFonts w:ascii="Calibri" w:hAnsi="Calibri"/>
          <w:sz w:val="24"/>
          <w:szCs w:val="24"/>
        </w:rPr>
        <w:t xml:space="preserve"> web sites similar to the NOGG site have been developed for </w:t>
      </w:r>
      <w:r w:rsidR="007333E7" w:rsidRPr="00DB1D7C">
        <w:rPr>
          <w:rFonts w:ascii="Calibri" w:hAnsi="Calibri"/>
          <w:sz w:val="24"/>
          <w:szCs w:val="24"/>
        </w:rPr>
        <w:t>Finland,</w:t>
      </w:r>
      <w:r w:rsidR="00E8559E" w:rsidRPr="00DB1D7C">
        <w:rPr>
          <w:rFonts w:ascii="Calibri" w:hAnsi="Calibri"/>
          <w:sz w:val="24"/>
          <w:szCs w:val="24"/>
        </w:rPr>
        <w:t xml:space="preserve"> </w:t>
      </w:r>
      <w:r w:rsidR="00DF2A0E" w:rsidRPr="00DB1D7C">
        <w:rPr>
          <w:rFonts w:ascii="Calibri" w:hAnsi="Calibri"/>
          <w:sz w:val="24"/>
          <w:szCs w:val="24"/>
        </w:rPr>
        <w:t>Lebanon</w:t>
      </w:r>
      <w:r w:rsidR="005B47F9">
        <w:rPr>
          <w:rFonts w:ascii="Calibri" w:hAnsi="Calibri"/>
          <w:sz w:val="24"/>
          <w:szCs w:val="24"/>
        </w:rPr>
        <w:t xml:space="preserve"> and Romania</w:t>
      </w:r>
      <w:r w:rsidR="00DF2A0E" w:rsidRPr="00DB1D7C">
        <w:rPr>
          <w:rFonts w:ascii="Calibri" w:hAnsi="Calibri"/>
          <w:sz w:val="24"/>
          <w:szCs w:val="24"/>
        </w:rPr>
        <w:t xml:space="preserve"> </w:t>
      </w:r>
      <w:r w:rsidR="009F2007" w:rsidRPr="00DB1D7C">
        <w:rPr>
          <w:rFonts w:ascii="Calibri" w:hAnsi="Calibri"/>
          <w:sz w:val="24"/>
          <w:szCs w:val="24"/>
        </w:rPr>
        <w:t>(available via the FRAX website).</w:t>
      </w:r>
      <w:r w:rsidR="00631276" w:rsidRPr="00DB1D7C">
        <w:rPr>
          <w:rFonts w:ascii="Calibri" w:hAnsi="Calibri"/>
          <w:sz w:val="24"/>
          <w:szCs w:val="24"/>
        </w:rPr>
        <w:t xml:space="preserve"> </w:t>
      </w:r>
    </w:p>
    <w:p w14:paraId="2243CC51" w14:textId="77777777" w:rsidR="001A155E" w:rsidRPr="00DB1D7C" w:rsidRDefault="001A155E" w:rsidP="00D6676F">
      <w:pPr>
        <w:spacing w:after="120"/>
        <w:rPr>
          <w:rFonts w:ascii="Calibri" w:hAnsi="Calibri"/>
        </w:rPr>
      </w:pPr>
    </w:p>
    <w:p w14:paraId="71CD6339" w14:textId="056C4338" w:rsidR="00390D58" w:rsidRPr="00F36717" w:rsidRDefault="00390D58" w:rsidP="00390D58">
      <w:pPr>
        <w:spacing w:after="0"/>
        <w:rPr>
          <w:rFonts w:ascii="Calibri" w:hAnsi="Calibri"/>
        </w:rPr>
      </w:pPr>
      <w:r w:rsidRPr="00F36717">
        <w:rPr>
          <w:rFonts w:ascii="Calibri" w:hAnsi="Calibri"/>
          <w:b/>
        </w:rPr>
        <w:t xml:space="preserve">Table </w:t>
      </w:r>
      <w:r w:rsidR="000305D7" w:rsidRPr="00F36717">
        <w:rPr>
          <w:rFonts w:ascii="Calibri" w:hAnsi="Calibri"/>
          <w:b/>
        </w:rPr>
        <w:t>6</w:t>
      </w:r>
      <w:r w:rsidRPr="00F36717">
        <w:rPr>
          <w:rFonts w:ascii="Calibri" w:hAnsi="Calibri"/>
          <w:b/>
        </w:rPr>
        <w:t>.</w:t>
      </w:r>
      <w:r w:rsidRPr="00F36717">
        <w:rPr>
          <w:rFonts w:ascii="Calibri" w:hAnsi="Calibri"/>
        </w:rPr>
        <w:t xml:space="preserve">  Proposed</w:t>
      </w:r>
      <w:r w:rsidR="003766F2" w:rsidRPr="00F36717">
        <w:rPr>
          <w:rFonts w:ascii="Calibri" w:hAnsi="Calibri"/>
        </w:rPr>
        <w:t xml:space="preserve"> and established</w:t>
      </w:r>
      <w:r w:rsidRPr="00F36717">
        <w:rPr>
          <w:rFonts w:ascii="Calibri" w:hAnsi="Calibri"/>
        </w:rPr>
        <w:t xml:space="preserve"> intervention </w:t>
      </w:r>
      <w:r w:rsidR="00D61278" w:rsidRPr="00F36717">
        <w:rPr>
          <w:rFonts w:ascii="Calibri" w:hAnsi="Calibri"/>
        </w:rPr>
        <w:t>strategies</w:t>
      </w:r>
      <w:r w:rsidRPr="00F36717">
        <w:rPr>
          <w:rFonts w:ascii="Calibri" w:hAnsi="Calibri"/>
        </w:rPr>
        <w:t xml:space="preserve"> using age</w:t>
      </w:r>
      <w:r w:rsidR="00BA4460" w:rsidRPr="00F36717">
        <w:rPr>
          <w:rFonts w:ascii="Calibri" w:hAnsi="Calibri"/>
        </w:rPr>
        <w:t>-</w:t>
      </w:r>
      <w:r w:rsidRPr="00F36717">
        <w:rPr>
          <w:rFonts w:ascii="Calibri" w:hAnsi="Calibri"/>
        </w:rPr>
        <w:t>specific fracture probabilities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236"/>
        <w:gridCol w:w="5474"/>
        <w:gridCol w:w="1129"/>
        <w:gridCol w:w="374"/>
      </w:tblGrid>
      <w:tr w:rsidR="00390D58" w:rsidRPr="00DB1D7C" w14:paraId="2A7CA1E3" w14:textId="77777777" w:rsidTr="00F36717">
        <w:tc>
          <w:tcPr>
            <w:tcW w:w="1803" w:type="dxa"/>
            <w:tcBorders>
              <w:top w:val="single" w:sz="4" w:space="0" w:color="auto"/>
              <w:bottom w:val="single" w:sz="4" w:space="0" w:color="auto"/>
            </w:tcBorders>
          </w:tcPr>
          <w:p w14:paraId="6F6472EC" w14:textId="77777777" w:rsidR="00390D58" w:rsidRPr="00DB1D7C" w:rsidRDefault="00390D58" w:rsidP="00F36717">
            <w:pPr>
              <w:spacing w:before="240" w:line="276" w:lineRule="auto"/>
            </w:pPr>
            <w:r w:rsidRPr="00DB1D7C">
              <w:t>Country</w:t>
            </w:r>
          </w:p>
        </w:tc>
        <w:tc>
          <w:tcPr>
            <w:tcW w:w="236" w:type="dxa"/>
            <w:tcBorders>
              <w:top w:val="single" w:sz="4" w:space="0" w:color="auto"/>
              <w:bottom w:val="single" w:sz="4" w:space="0" w:color="auto"/>
            </w:tcBorders>
          </w:tcPr>
          <w:p w14:paraId="7B99B341" w14:textId="77777777" w:rsidR="00390D58" w:rsidRPr="00DB1D7C" w:rsidRDefault="00390D58" w:rsidP="00F36717">
            <w:pPr>
              <w:spacing w:before="240" w:line="276" w:lineRule="auto"/>
            </w:pPr>
          </w:p>
        </w:tc>
        <w:tc>
          <w:tcPr>
            <w:tcW w:w="5474" w:type="dxa"/>
            <w:tcBorders>
              <w:top w:val="single" w:sz="4" w:space="0" w:color="auto"/>
              <w:bottom w:val="single" w:sz="4" w:space="0" w:color="auto"/>
            </w:tcBorders>
          </w:tcPr>
          <w:p w14:paraId="527EB7A1" w14:textId="77777777" w:rsidR="00390D58" w:rsidRPr="00DB1D7C" w:rsidRDefault="00390D58" w:rsidP="00F36717">
            <w:pPr>
              <w:spacing w:before="240" w:line="276" w:lineRule="auto"/>
            </w:pPr>
            <w:r w:rsidRPr="00DB1D7C">
              <w:t xml:space="preserve">Source </w:t>
            </w:r>
          </w:p>
        </w:tc>
        <w:tc>
          <w:tcPr>
            <w:tcW w:w="1129" w:type="dxa"/>
            <w:tcBorders>
              <w:top w:val="single" w:sz="4" w:space="0" w:color="auto"/>
              <w:bottom w:val="single" w:sz="4" w:space="0" w:color="auto"/>
            </w:tcBorders>
          </w:tcPr>
          <w:p w14:paraId="62576E6F" w14:textId="77777777" w:rsidR="00390D58" w:rsidRPr="00F36717" w:rsidRDefault="00390D58" w:rsidP="00F36717">
            <w:pPr>
              <w:spacing w:before="240" w:line="276" w:lineRule="auto"/>
              <w:jc w:val="center"/>
            </w:pPr>
            <w:r w:rsidRPr="00F36717">
              <w:t>Reference</w:t>
            </w:r>
          </w:p>
        </w:tc>
        <w:tc>
          <w:tcPr>
            <w:tcW w:w="374" w:type="dxa"/>
            <w:tcBorders>
              <w:top w:val="single" w:sz="4" w:space="0" w:color="auto"/>
            </w:tcBorders>
          </w:tcPr>
          <w:p w14:paraId="4F347516" w14:textId="77777777" w:rsidR="00390D58" w:rsidRPr="00DB1D7C" w:rsidRDefault="00390D58" w:rsidP="00F36717">
            <w:pPr>
              <w:spacing w:before="240"/>
            </w:pPr>
          </w:p>
        </w:tc>
      </w:tr>
      <w:tr w:rsidR="009F2007" w:rsidRPr="00DB1D7C" w14:paraId="6628CF31" w14:textId="77777777" w:rsidTr="00F36717">
        <w:tc>
          <w:tcPr>
            <w:tcW w:w="1803" w:type="dxa"/>
            <w:tcBorders>
              <w:top w:val="single" w:sz="4" w:space="0" w:color="auto"/>
            </w:tcBorders>
          </w:tcPr>
          <w:p w14:paraId="072EB755" w14:textId="158CD305" w:rsidR="009F2007" w:rsidRPr="00DB1D7C" w:rsidRDefault="009F2007" w:rsidP="00F36717">
            <w:pPr>
              <w:spacing w:before="240"/>
            </w:pPr>
            <w:r w:rsidRPr="00DB1D7C">
              <w:t>Australia</w:t>
            </w:r>
          </w:p>
        </w:tc>
        <w:tc>
          <w:tcPr>
            <w:tcW w:w="236" w:type="dxa"/>
            <w:tcBorders>
              <w:top w:val="single" w:sz="4" w:space="0" w:color="auto"/>
            </w:tcBorders>
          </w:tcPr>
          <w:p w14:paraId="263BDC5F" w14:textId="77777777" w:rsidR="009F2007" w:rsidRPr="00DB1D7C" w:rsidRDefault="009F2007" w:rsidP="00F36717">
            <w:pPr>
              <w:spacing w:before="240"/>
            </w:pPr>
          </w:p>
        </w:tc>
        <w:tc>
          <w:tcPr>
            <w:tcW w:w="5474" w:type="dxa"/>
            <w:tcBorders>
              <w:top w:val="single" w:sz="4" w:space="0" w:color="auto"/>
            </w:tcBorders>
          </w:tcPr>
          <w:p w14:paraId="6181ED98" w14:textId="29D8E3E4" w:rsidR="009F2007" w:rsidRPr="00DB1D7C" w:rsidRDefault="009F2007" w:rsidP="00F36717">
            <w:pPr>
              <w:spacing w:before="240"/>
            </w:pPr>
            <w:r w:rsidRPr="00DB1D7C">
              <w:t>Academia</w:t>
            </w:r>
          </w:p>
        </w:tc>
        <w:tc>
          <w:tcPr>
            <w:tcW w:w="1129" w:type="dxa"/>
            <w:tcBorders>
              <w:top w:val="single" w:sz="4" w:space="0" w:color="auto"/>
            </w:tcBorders>
          </w:tcPr>
          <w:p w14:paraId="5084CC31" w14:textId="7B3FB69D" w:rsidR="009F2007" w:rsidRPr="00F36717" w:rsidRDefault="00FB2A9D" w:rsidP="00F36717">
            <w:pPr>
              <w:spacing w:before="240"/>
              <w:jc w:val="center"/>
            </w:pPr>
            <w:r w:rsidRPr="00F36717">
              <w:t xml:space="preserve"> [146]</w:t>
            </w:r>
          </w:p>
        </w:tc>
        <w:tc>
          <w:tcPr>
            <w:tcW w:w="374" w:type="dxa"/>
          </w:tcPr>
          <w:p w14:paraId="119A43D4" w14:textId="65E822D3" w:rsidR="009F2007" w:rsidRPr="00DB1D7C" w:rsidRDefault="009F2007" w:rsidP="00F36717">
            <w:pPr>
              <w:spacing w:before="240"/>
            </w:pPr>
          </w:p>
        </w:tc>
      </w:tr>
      <w:tr w:rsidR="00F91E53" w:rsidRPr="00DB1D7C" w14:paraId="318078F6" w14:textId="77777777" w:rsidTr="00F36717">
        <w:tc>
          <w:tcPr>
            <w:tcW w:w="1803" w:type="dxa"/>
          </w:tcPr>
          <w:p w14:paraId="1CCF4D73" w14:textId="77777777" w:rsidR="00F91E53" w:rsidRPr="00DB1D7C" w:rsidRDefault="00F91E53" w:rsidP="00F36717">
            <w:pPr>
              <w:spacing w:before="240"/>
            </w:pPr>
            <w:r w:rsidRPr="00DB1D7C">
              <w:t>Belgium</w:t>
            </w:r>
          </w:p>
        </w:tc>
        <w:tc>
          <w:tcPr>
            <w:tcW w:w="236" w:type="dxa"/>
          </w:tcPr>
          <w:p w14:paraId="57DAF3DE" w14:textId="77777777" w:rsidR="00F91E53" w:rsidRPr="00DB1D7C" w:rsidRDefault="00F91E53" w:rsidP="00F36717">
            <w:pPr>
              <w:spacing w:before="240"/>
            </w:pPr>
          </w:p>
        </w:tc>
        <w:tc>
          <w:tcPr>
            <w:tcW w:w="5474" w:type="dxa"/>
          </w:tcPr>
          <w:p w14:paraId="05CA633E" w14:textId="77777777" w:rsidR="00F91E53" w:rsidRPr="00DB1D7C" w:rsidRDefault="00F91E53" w:rsidP="00F36717">
            <w:pPr>
              <w:spacing w:before="240"/>
            </w:pPr>
            <w:r w:rsidRPr="00DB1D7C">
              <w:t>Academia</w:t>
            </w:r>
          </w:p>
        </w:tc>
        <w:tc>
          <w:tcPr>
            <w:tcW w:w="1129" w:type="dxa"/>
          </w:tcPr>
          <w:p w14:paraId="404E01F6" w14:textId="311ECB9F" w:rsidR="00F91E53" w:rsidRPr="00F36717" w:rsidRDefault="00D00018" w:rsidP="00F36717">
            <w:pPr>
              <w:spacing w:before="240"/>
              <w:jc w:val="center"/>
            </w:pPr>
            <w:r w:rsidRPr="00F36717">
              <w:t xml:space="preserve"> </w:t>
            </w:r>
            <w:r w:rsidR="00FB2A9D" w:rsidRPr="00F36717">
              <w:t>[147]</w:t>
            </w:r>
          </w:p>
        </w:tc>
        <w:tc>
          <w:tcPr>
            <w:tcW w:w="374" w:type="dxa"/>
          </w:tcPr>
          <w:p w14:paraId="0BAE1C4D" w14:textId="77777777" w:rsidR="00F91E53" w:rsidRPr="00DB1D7C" w:rsidRDefault="00F91E53" w:rsidP="00F36717">
            <w:pPr>
              <w:spacing w:before="240"/>
            </w:pPr>
          </w:p>
        </w:tc>
      </w:tr>
      <w:tr w:rsidR="00F91E53" w:rsidRPr="00DB1D7C" w14:paraId="49912473" w14:textId="77777777" w:rsidTr="00F36717">
        <w:tc>
          <w:tcPr>
            <w:tcW w:w="1803" w:type="dxa"/>
          </w:tcPr>
          <w:p w14:paraId="28AD37AE" w14:textId="77777777" w:rsidR="00F91E53" w:rsidRPr="00DB1D7C" w:rsidRDefault="00F91E53" w:rsidP="00F36717">
            <w:pPr>
              <w:spacing w:before="240"/>
            </w:pPr>
            <w:r w:rsidRPr="00DB1D7C">
              <w:t>Brazil</w:t>
            </w:r>
          </w:p>
        </w:tc>
        <w:tc>
          <w:tcPr>
            <w:tcW w:w="236" w:type="dxa"/>
          </w:tcPr>
          <w:p w14:paraId="183DDE89" w14:textId="77777777" w:rsidR="00F91E53" w:rsidRPr="00DB1D7C" w:rsidRDefault="00F91E53" w:rsidP="00F36717">
            <w:pPr>
              <w:spacing w:before="240"/>
            </w:pPr>
          </w:p>
        </w:tc>
        <w:tc>
          <w:tcPr>
            <w:tcW w:w="5474" w:type="dxa"/>
          </w:tcPr>
          <w:p w14:paraId="188EFCD2" w14:textId="77777777" w:rsidR="00F91E53" w:rsidRPr="00DB1D7C" w:rsidRDefault="00F91E53" w:rsidP="00F36717">
            <w:pPr>
              <w:spacing w:before="240"/>
            </w:pPr>
            <w:r w:rsidRPr="00DB1D7C">
              <w:t>Academia</w:t>
            </w:r>
          </w:p>
        </w:tc>
        <w:tc>
          <w:tcPr>
            <w:tcW w:w="1129" w:type="dxa"/>
          </w:tcPr>
          <w:p w14:paraId="4085CFF8" w14:textId="42307A7A" w:rsidR="00F91E53" w:rsidRPr="00F36717" w:rsidRDefault="00FB2A9D" w:rsidP="00F36717">
            <w:pPr>
              <w:spacing w:before="240"/>
              <w:jc w:val="center"/>
            </w:pPr>
            <w:r w:rsidRPr="00F36717">
              <w:t xml:space="preserve"> [148]</w:t>
            </w:r>
          </w:p>
        </w:tc>
        <w:tc>
          <w:tcPr>
            <w:tcW w:w="374" w:type="dxa"/>
          </w:tcPr>
          <w:p w14:paraId="6888221A" w14:textId="77777777" w:rsidR="00F91E53" w:rsidRPr="00DB1D7C" w:rsidRDefault="00F91E53" w:rsidP="00F36717">
            <w:pPr>
              <w:spacing w:before="240"/>
            </w:pPr>
          </w:p>
        </w:tc>
      </w:tr>
      <w:tr w:rsidR="00F91E53" w:rsidRPr="00DB1D7C" w14:paraId="318AA764" w14:textId="77777777" w:rsidTr="00F36717">
        <w:tc>
          <w:tcPr>
            <w:tcW w:w="1803" w:type="dxa"/>
          </w:tcPr>
          <w:p w14:paraId="603023EC" w14:textId="77777777" w:rsidR="00F91E53" w:rsidRPr="00DB1D7C" w:rsidRDefault="00F91E53" w:rsidP="00F36717">
            <w:pPr>
              <w:spacing w:before="240"/>
            </w:pPr>
            <w:r w:rsidRPr="00DB1D7C">
              <w:t>Europe</w:t>
            </w:r>
          </w:p>
        </w:tc>
        <w:tc>
          <w:tcPr>
            <w:tcW w:w="236" w:type="dxa"/>
          </w:tcPr>
          <w:p w14:paraId="31DEEDE6" w14:textId="77777777" w:rsidR="00F91E53" w:rsidRPr="00DB1D7C" w:rsidRDefault="00F91E53" w:rsidP="00F36717">
            <w:pPr>
              <w:spacing w:before="240"/>
            </w:pPr>
          </w:p>
        </w:tc>
        <w:tc>
          <w:tcPr>
            <w:tcW w:w="5474" w:type="dxa"/>
          </w:tcPr>
          <w:p w14:paraId="5059703D" w14:textId="77777777" w:rsidR="00F91E53" w:rsidRPr="00DB1D7C" w:rsidRDefault="00F91E53" w:rsidP="00F36717">
            <w:pPr>
              <w:spacing w:before="240"/>
            </w:pPr>
            <w:r w:rsidRPr="00DB1D7C">
              <w:t xml:space="preserve">European Society for Clinical and Economic Aspects of Osteoporosis and Osteoarthritis; International Osteoporosis Foundation </w:t>
            </w:r>
          </w:p>
        </w:tc>
        <w:tc>
          <w:tcPr>
            <w:tcW w:w="1129" w:type="dxa"/>
          </w:tcPr>
          <w:p w14:paraId="1233AC47" w14:textId="559BC523" w:rsidR="00F91E53" w:rsidRPr="00F36717" w:rsidRDefault="00D00018" w:rsidP="00F36717">
            <w:pPr>
              <w:spacing w:before="240"/>
              <w:jc w:val="center"/>
            </w:pPr>
            <w:r w:rsidRPr="00F36717">
              <w:rPr>
                <w:rFonts w:ascii="Calibri" w:hAnsi="Calibri"/>
                <w:sz w:val="24"/>
                <w:szCs w:val="24"/>
              </w:rPr>
              <w:t xml:space="preserve"> </w:t>
            </w:r>
            <w:r w:rsidR="00BE3917" w:rsidRPr="00F36717">
              <w:rPr>
                <w:rFonts w:ascii="Calibri" w:hAnsi="Calibri"/>
                <w:sz w:val="24"/>
                <w:szCs w:val="24"/>
              </w:rPr>
              <w:t>[28]</w:t>
            </w:r>
          </w:p>
        </w:tc>
        <w:tc>
          <w:tcPr>
            <w:tcW w:w="374" w:type="dxa"/>
          </w:tcPr>
          <w:p w14:paraId="6364EAA5" w14:textId="77777777" w:rsidR="00F91E53" w:rsidRPr="00DB1D7C" w:rsidRDefault="00F91E53" w:rsidP="00F36717">
            <w:pPr>
              <w:spacing w:before="240"/>
            </w:pPr>
          </w:p>
        </w:tc>
      </w:tr>
      <w:tr w:rsidR="00F91E53" w:rsidRPr="00DB1D7C" w14:paraId="374BD6D6" w14:textId="77777777" w:rsidTr="00F36717">
        <w:tc>
          <w:tcPr>
            <w:tcW w:w="1803" w:type="dxa"/>
          </w:tcPr>
          <w:p w14:paraId="2F446CF0" w14:textId="77777777" w:rsidR="00F91E53" w:rsidRPr="00DB1D7C" w:rsidRDefault="00F91E53" w:rsidP="00F36717">
            <w:pPr>
              <w:spacing w:before="240"/>
            </w:pPr>
            <w:r w:rsidRPr="00DB1D7C">
              <w:t>Europe</w:t>
            </w:r>
            <w:r w:rsidRPr="00DB1D7C">
              <w:rPr>
                <w:vertAlign w:val="superscript"/>
              </w:rPr>
              <w:t xml:space="preserve"> a</w:t>
            </w:r>
          </w:p>
        </w:tc>
        <w:tc>
          <w:tcPr>
            <w:tcW w:w="236" w:type="dxa"/>
          </w:tcPr>
          <w:p w14:paraId="6F140335" w14:textId="77777777" w:rsidR="00F91E53" w:rsidRPr="00DB1D7C" w:rsidRDefault="00F91E53" w:rsidP="00F36717">
            <w:pPr>
              <w:spacing w:before="240"/>
            </w:pPr>
          </w:p>
        </w:tc>
        <w:tc>
          <w:tcPr>
            <w:tcW w:w="5474" w:type="dxa"/>
          </w:tcPr>
          <w:p w14:paraId="6DCC0827" w14:textId="7C0BC56C" w:rsidR="00F91E53" w:rsidRPr="00DB1D7C" w:rsidRDefault="00F91E53" w:rsidP="00F36717">
            <w:pPr>
              <w:spacing w:before="240"/>
            </w:pPr>
            <w:r w:rsidRPr="00DB1D7C">
              <w:t>International Osteoporosis Foundation; European Calcified Tissue Society</w:t>
            </w:r>
          </w:p>
        </w:tc>
        <w:tc>
          <w:tcPr>
            <w:tcW w:w="1129" w:type="dxa"/>
            <w:shd w:val="clear" w:color="auto" w:fill="auto"/>
          </w:tcPr>
          <w:p w14:paraId="4761C2C5" w14:textId="3FD86194" w:rsidR="00F91E53" w:rsidRPr="00F36717" w:rsidRDefault="00FB2A9D" w:rsidP="00F36717">
            <w:pPr>
              <w:spacing w:before="240"/>
              <w:jc w:val="center"/>
            </w:pPr>
            <w:r w:rsidRPr="00F36717">
              <w:t xml:space="preserve"> [149]</w:t>
            </w:r>
          </w:p>
        </w:tc>
        <w:tc>
          <w:tcPr>
            <w:tcW w:w="374" w:type="dxa"/>
          </w:tcPr>
          <w:p w14:paraId="0C79CA20" w14:textId="77777777" w:rsidR="00F91E53" w:rsidRPr="00DB1D7C" w:rsidRDefault="00F91E53" w:rsidP="00F36717">
            <w:pPr>
              <w:spacing w:before="240"/>
            </w:pPr>
          </w:p>
        </w:tc>
      </w:tr>
      <w:tr w:rsidR="00F91E53" w:rsidRPr="00DB1D7C" w14:paraId="05884EA1" w14:textId="77777777" w:rsidTr="00F36717">
        <w:tc>
          <w:tcPr>
            <w:tcW w:w="1803" w:type="dxa"/>
          </w:tcPr>
          <w:p w14:paraId="737DA5D5" w14:textId="77777777" w:rsidR="00F91E53" w:rsidRPr="00DB1D7C" w:rsidRDefault="00F91E53" w:rsidP="00F36717">
            <w:pPr>
              <w:spacing w:before="240"/>
            </w:pPr>
            <w:r w:rsidRPr="00DB1D7C">
              <w:t>Finland</w:t>
            </w:r>
          </w:p>
        </w:tc>
        <w:tc>
          <w:tcPr>
            <w:tcW w:w="236" w:type="dxa"/>
          </w:tcPr>
          <w:p w14:paraId="364FD145" w14:textId="77777777" w:rsidR="00F91E53" w:rsidRPr="00DB1D7C" w:rsidRDefault="00F91E53" w:rsidP="00F36717">
            <w:pPr>
              <w:spacing w:before="240"/>
            </w:pPr>
          </w:p>
        </w:tc>
        <w:tc>
          <w:tcPr>
            <w:tcW w:w="5474" w:type="dxa"/>
            <w:shd w:val="clear" w:color="auto" w:fill="auto"/>
          </w:tcPr>
          <w:p w14:paraId="2F1C0555" w14:textId="23B0D38E" w:rsidR="00F91E53" w:rsidRPr="00DB1D7C" w:rsidRDefault="0047408A" w:rsidP="00F36717">
            <w:pPr>
              <w:spacing w:before="240"/>
            </w:pPr>
            <w:r w:rsidRPr="00DB1D7C">
              <w:t>Finnish Medical Society (</w:t>
            </w:r>
            <w:proofErr w:type="spellStart"/>
            <w:r w:rsidRPr="00DB1D7C">
              <w:t>Duodecim</w:t>
            </w:r>
            <w:proofErr w:type="spellEnd"/>
            <w:r w:rsidRPr="00DB1D7C">
              <w:t>), Finnish Endocrine Society and Finnish Gynaecological Association</w:t>
            </w:r>
          </w:p>
        </w:tc>
        <w:tc>
          <w:tcPr>
            <w:tcW w:w="1129" w:type="dxa"/>
          </w:tcPr>
          <w:p w14:paraId="6105495F" w14:textId="6B3C8387" w:rsidR="00F91E53" w:rsidRPr="00F36717" w:rsidRDefault="00FB2A9D" w:rsidP="00F36717">
            <w:pPr>
              <w:spacing w:before="240"/>
              <w:jc w:val="center"/>
            </w:pPr>
            <w:r w:rsidRPr="00F36717">
              <w:t xml:space="preserve"> [150]</w:t>
            </w:r>
          </w:p>
        </w:tc>
        <w:tc>
          <w:tcPr>
            <w:tcW w:w="374" w:type="dxa"/>
          </w:tcPr>
          <w:p w14:paraId="22DCA3E5" w14:textId="77777777" w:rsidR="00F91E53" w:rsidRPr="00DB1D7C" w:rsidRDefault="00F91E53" w:rsidP="00F36717">
            <w:pPr>
              <w:spacing w:before="240"/>
            </w:pPr>
          </w:p>
        </w:tc>
      </w:tr>
      <w:tr w:rsidR="00F91E53" w:rsidRPr="00DB1D7C" w14:paraId="4DF4B306" w14:textId="77777777" w:rsidTr="00F36717">
        <w:tc>
          <w:tcPr>
            <w:tcW w:w="1803" w:type="dxa"/>
          </w:tcPr>
          <w:p w14:paraId="593D2013" w14:textId="77777777" w:rsidR="00F91E53" w:rsidRPr="00DB1D7C" w:rsidRDefault="00F91E53" w:rsidP="00F36717">
            <w:pPr>
              <w:spacing w:before="240"/>
            </w:pPr>
            <w:r w:rsidRPr="00DB1D7C">
              <w:t>France</w:t>
            </w:r>
          </w:p>
        </w:tc>
        <w:tc>
          <w:tcPr>
            <w:tcW w:w="236" w:type="dxa"/>
          </w:tcPr>
          <w:p w14:paraId="19044B7A" w14:textId="77777777" w:rsidR="00F91E53" w:rsidRPr="00DB1D7C" w:rsidRDefault="00F91E53" w:rsidP="00F36717">
            <w:pPr>
              <w:spacing w:before="240"/>
            </w:pPr>
          </w:p>
        </w:tc>
        <w:tc>
          <w:tcPr>
            <w:tcW w:w="5474" w:type="dxa"/>
          </w:tcPr>
          <w:p w14:paraId="54D0413D" w14:textId="77777777" w:rsidR="00F91E53" w:rsidRPr="007C43B8" w:rsidRDefault="00F91E53" w:rsidP="00F36717">
            <w:pPr>
              <w:spacing w:before="240"/>
              <w:rPr>
                <w:lang w:val="fr-FR"/>
              </w:rPr>
            </w:pPr>
            <w:r w:rsidRPr="007C43B8">
              <w:rPr>
                <w:lang w:val="fr-FR"/>
              </w:rPr>
              <w:t>French Society for Rheumatology and Groupe de Recherche et d’Information sur les Ostéoporoses (GRIO),</w:t>
            </w:r>
          </w:p>
        </w:tc>
        <w:tc>
          <w:tcPr>
            <w:tcW w:w="1129" w:type="dxa"/>
          </w:tcPr>
          <w:p w14:paraId="5463AAA9" w14:textId="2F3D6FE1" w:rsidR="00F91E53" w:rsidRPr="00F36717" w:rsidRDefault="00FB2A9D" w:rsidP="00F36717">
            <w:pPr>
              <w:spacing w:before="240"/>
              <w:jc w:val="center"/>
            </w:pPr>
            <w:r w:rsidRPr="00F36717">
              <w:rPr>
                <w:lang w:val="fr-FR"/>
              </w:rPr>
              <w:t xml:space="preserve"> </w:t>
            </w:r>
            <w:r w:rsidRPr="00F36717">
              <w:t>[151]</w:t>
            </w:r>
          </w:p>
        </w:tc>
        <w:tc>
          <w:tcPr>
            <w:tcW w:w="374" w:type="dxa"/>
          </w:tcPr>
          <w:p w14:paraId="0E96E5A5" w14:textId="77777777" w:rsidR="00F91E53" w:rsidRPr="00DB1D7C" w:rsidRDefault="00F91E53" w:rsidP="00F36717">
            <w:pPr>
              <w:spacing w:before="240"/>
            </w:pPr>
          </w:p>
        </w:tc>
      </w:tr>
      <w:tr w:rsidR="00F91E53" w:rsidRPr="00DB1D7C" w14:paraId="524EDB2B" w14:textId="77777777" w:rsidTr="00F36717">
        <w:tc>
          <w:tcPr>
            <w:tcW w:w="1803" w:type="dxa"/>
          </w:tcPr>
          <w:p w14:paraId="3F84BCFB" w14:textId="77777777" w:rsidR="00F91E53" w:rsidRPr="00DB1D7C" w:rsidRDefault="00F91E53" w:rsidP="00F36717">
            <w:pPr>
              <w:spacing w:before="240"/>
            </w:pPr>
            <w:r w:rsidRPr="00DB1D7C">
              <w:t>Hong Kong</w:t>
            </w:r>
          </w:p>
        </w:tc>
        <w:tc>
          <w:tcPr>
            <w:tcW w:w="236" w:type="dxa"/>
          </w:tcPr>
          <w:p w14:paraId="6252ADD1" w14:textId="77777777" w:rsidR="00F91E53" w:rsidRPr="00DB1D7C" w:rsidRDefault="00F91E53" w:rsidP="00F36717">
            <w:pPr>
              <w:spacing w:before="240"/>
            </w:pPr>
          </w:p>
        </w:tc>
        <w:tc>
          <w:tcPr>
            <w:tcW w:w="5474" w:type="dxa"/>
          </w:tcPr>
          <w:p w14:paraId="18E31374" w14:textId="77777777" w:rsidR="00F91E53" w:rsidRPr="00DB1D7C" w:rsidRDefault="00F91E53" w:rsidP="00F36717">
            <w:pPr>
              <w:spacing w:before="240"/>
            </w:pPr>
            <w:r w:rsidRPr="00DB1D7C">
              <w:t>Academia</w:t>
            </w:r>
          </w:p>
        </w:tc>
        <w:tc>
          <w:tcPr>
            <w:tcW w:w="1129" w:type="dxa"/>
          </w:tcPr>
          <w:p w14:paraId="5A6E0B87" w14:textId="042CA827" w:rsidR="00F91E53" w:rsidRPr="00F36717" w:rsidRDefault="00FB2A9D" w:rsidP="00F36717">
            <w:pPr>
              <w:spacing w:before="240"/>
              <w:jc w:val="center"/>
            </w:pPr>
            <w:r w:rsidRPr="00F36717">
              <w:t xml:space="preserve"> [81]</w:t>
            </w:r>
          </w:p>
        </w:tc>
        <w:tc>
          <w:tcPr>
            <w:tcW w:w="374" w:type="dxa"/>
          </w:tcPr>
          <w:p w14:paraId="4ABD1156" w14:textId="77777777" w:rsidR="00F91E53" w:rsidRPr="00DB1D7C" w:rsidRDefault="00F91E53" w:rsidP="00F36717">
            <w:pPr>
              <w:spacing w:before="240"/>
            </w:pPr>
          </w:p>
        </w:tc>
      </w:tr>
      <w:tr w:rsidR="00F91E53" w:rsidRPr="00DB1D7C" w14:paraId="7F80958E" w14:textId="77777777" w:rsidTr="00F36717">
        <w:tc>
          <w:tcPr>
            <w:tcW w:w="1803" w:type="dxa"/>
          </w:tcPr>
          <w:p w14:paraId="363AF30A" w14:textId="77777777" w:rsidR="00F91E53" w:rsidRPr="00DB1D7C" w:rsidRDefault="00F91E53" w:rsidP="00F36717">
            <w:pPr>
              <w:spacing w:before="240"/>
            </w:pPr>
            <w:r w:rsidRPr="00DB1D7C">
              <w:t>India</w:t>
            </w:r>
          </w:p>
        </w:tc>
        <w:tc>
          <w:tcPr>
            <w:tcW w:w="236" w:type="dxa"/>
          </w:tcPr>
          <w:p w14:paraId="0E8A8820" w14:textId="77777777" w:rsidR="00F91E53" w:rsidRPr="00DB1D7C" w:rsidRDefault="00F91E53" w:rsidP="00F36717">
            <w:pPr>
              <w:spacing w:before="240"/>
            </w:pPr>
          </w:p>
        </w:tc>
        <w:tc>
          <w:tcPr>
            <w:tcW w:w="5474" w:type="dxa"/>
          </w:tcPr>
          <w:p w14:paraId="7394DDA8" w14:textId="77777777" w:rsidR="00F91E53" w:rsidRPr="00DB1D7C" w:rsidRDefault="00F91E53" w:rsidP="00F36717">
            <w:pPr>
              <w:spacing w:before="240"/>
            </w:pPr>
            <w:r w:rsidRPr="00DB1D7C">
              <w:t>Indian menopause society</w:t>
            </w:r>
          </w:p>
        </w:tc>
        <w:tc>
          <w:tcPr>
            <w:tcW w:w="1129" w:type="dxa"/>
          </w:tcPr>
          <w:p w14:paraId="3108726A" w14:textId="47115AB5" w:rsidR="00F91E53" w:rsidRPr="00F36717" w:rsidRDefault="00FB2A9D" w:rsidP="00F36717">
            <w:pPr>
              <w:spacing w:before="240"/>
              <w:jc w:val="center"/>
            </w:pPr>
            <w:r w:rsidRPr="00F36717">
              <w:t xml:space="preserve"> [66]</w:t>
            </w:r>
          </w:p>
        </w:tc>
        <w:tc>
          <w:tcPr>
            <w:tcW w:w="374" w:type="dxa"/>
          </w:tcPr>
          <w:p w14:paraId="2C1A1411" w14:textId="77777777" w:rsidR="00F91E53" w:rsidRPr="00DB1D7C" w:rsidRDefault="00F91E53" w:rsidP="00F36717">
            <w:pPr>
              <w:spacing w:before="240"/>
            </w:pPr>
          </w:p>
        </w:tc>
      </w:tr>
      <w:tr w:rsidR="00F91E53" w:rsidRPr="00DB1D7C" w14:paraId="318BCC59" w14:textId="77777777" w:rsidTr="00F36717">
        <w:tc>
          <w:tcPr>
            <w:tcW w:w="1803" w:type="dxa"/>
          </w:tcPr>
          <w:p w14:paraId="02F6706F" w14:textId="77777777" w:rsidR="00F91E53" w:rsidRPr="00DB1D7C" w:rsidRDefault="00F91E53" w:rsidP="00F36717">
            <w:pPr>
              <w:spacing w:before="240"/>
            </w:pPr>
            <w:r w:rsidRPr="00DB1D7C">
              <w:t>Ireland</w:t>
            </w:r>
          </w:p>
        </w:tc>
        <w:tc>
          <w:tcPr>
            <w:tcW w:w="236" w:type="dxa"/>
          </w:tcPr>
          <w:p w14:paraId="434411F0" w14:textId="77777777" w:rsidR="00F91E53" w:rsidRPr="00DB1D7C" w:rsidRDefault="00F91E53" w:rsidP="00F36717">
            <w:pPr>
              <w:spacing w:before="240"/>
            </w:pPr>
          </w:p>
        </w:tc>
        <w:tc>
          <w:tcPr>
            <w:tcW w:w="5474" w:type="dxa"/>
          </w:tcPr>
          <w:p w14:paraId="25710633" w14:textId="77777777" w:rsidR="00F91E53" w:rsidRPr="00DB1D7C" w:rsidRDefault="00F91E53" w:rsidP="00F36717">
            <w:pPr>
              <w:spacing w:before="240"/>
            </w:pPr>
            <w:r w:rsidRPr="00DB1D7C">
              <w:t>Academia</w:t>
            </w:r>
          </w:p>
        </w:tc>
        <w:tc>
          <w:tcPr>
            <w:tcW w:w="1129" w:type="dxa"/>
          </w:tcPr>
          <w:p w14:paraId="7C078D1E" w14:textId="71ABB3A6" w:rsidR="00F91E53" w:rsidRPr="00F36717" w:rsidRDefault="00FB2A9D" w:rsidP="00F36717">
            <w:pPr>
              <w:spacing w:before="240"/>
              <w:jc w:val="center"/>
            </w:pPr>
            <w:r w:rsidRPr="00F36717">
              <w:t xml:space="preserve"> [152]</w:t>
            </w:r>
          </w:p>
        </w:tc>
        <w:tc>
          <w:tcPr>
            <w:tcW w:w="374" w:type="dxa"/>
          </w:tcPr>
          <w:p w14:paraId="48BDB9C0" w14:textId="77777777" w:rsidR="00F91E53" w:rsidRPr="00DB1D7C" w:rsidRDefault="00F91E53" w:rsidP="00F36717">
            <w:pPr>
              <w:spacing w:before="240"/>
            </w:pPr>
          </w:p>
        </w:tc>
      </w:tr>
      <w:tr w:rsidR="00F91E53" w:rsidRPr="00DB1D7C" w14:paraId="02C0C9E1" w14:textId="77777777" w:rsidTr="00F36717">
        <w:tc>
          <w:tcPr>
            <w:tcW w:w="1803" w:type="dxa"/>
          </w:tcPr>
          <w:p w14:paraId="5B2B44C0" w14:textId="77777777" w:rsidR="00F91E53" w:rsidRPr="00DB1D7C" w:rsidRDefault="00F91E53" w:rsidP="00F36717">
            <w:pPr>
              <w:spacing w:before="240"/>
            </w:pPr>
            <w:r w:rsidRPr="00DB1D7C">
              <w:t>Japan</w:t>
            </w:r>
          </w:p>
        </w:tc>
        <w:tc>
          <w:tcPr>
            <w:tcW w:w="236" w:type="dxa"/>
          </w:tcPr>
          <w:p w14:paraId="25F97276" w14:textId="77777777" w:rsidR="00F91E53" w:rsidRPr="00DB1D7C" w:rsidRDefault="00F91E53" w:rsidP="00F36717">
            <w:pPr>
              <w:spacing w:before="240"/>
            </w:pPr>
          </w:p>
        </w:tc>
        <w:tc>
          <w:tcPr>
            <w:tcW w:w="5474" w:type="dxa"/>
          </w:tcPr>
          <w:p w14:paraId="6DA8E43E" w14:textId="77777777" w:rsidR="00F91E53" w:rsidRPr="00DB1D7C" w:rsidRDefault="00F91E53" w:rsidP="00F36717">
            <w:pPr>
              <w:spacing w:before="240"/>
            </w:pPr>
            <w:r w:rsidRPr="00DB1D7C">
              <w:t>Academia</w:t>
            </w:r>
          </w:p>
        </w:tc>
        <w:tc>
          <w:tcPr>
            <w:tcW w:w="1129" w:type="dxa"/>
          </w:tcPr>
          <w:p w14:paraId="03491464" w14:textId="2715AC86" w:rsidR="00F91E53" w:rsidRPr="00F36717" w:rsidRDefault="00FB2A9D" w:rsidP="00F36717">
            <w:pPr>
              <w:spacing w:before="240"/>
              <w:jc w:val="center"/>
            </w:pPr>
            <w:r w:rsidRPr="00F36717">
              <w:t xml:space="preserve"> [135]</w:t>
            </w:r>
          </w:p>
        </w:tc>
        <w:tc>
          <w:tcPr>
            <w:tcW w:w="374" w:type="dxa"/>
          </w:tcPr>
          <w:p w14:paraId="259FE92A" w14:textId="77777777" w:rsidR="00F91E53" w:rsidRPr="00DB1D7C" w:rsidRDefault="00F91E53" w:rsidP="00F36717">
            <w:pPr>
              <w:spacing w:before="240"/>
            </w:pPr>
          </w:p>
        </w:tc>
      </w:tr>
      <w:tr w:rsidR="00F91E53" w:rsidRPr="00DB1D7C" w14:paraId="55C5FE91" w14:textId="77777777" w:rsidTr="00F36717">
        <w:tc>
          <w:tcPr>
            <w:tcW w:w="1803" w:type="dxa"/>
          </w:tcPr>
          <w:p w14:paraId="390D6A25" w14:textId="0CFC7B07" w:rsidR="00F91E53" w:rsidRPr="00DB1D7C" w:rsidRDefault="00F91E53" w:rsidP="00F36717">
            <w:pPr>
              <w:spacing w:before="240"/>
            </w:pPr>
            <w:r w:rsidRPr="00DB1D7C">
              <w:t>Lebanon</w:t>
            </w:r>
            <w:r w:rsidR="003E6F34" w:rsidRPr="00DB1D7C">
              <w:t xml:space="preserve"> </w:t>
            </w:r>
            <w:r w:rsidR="003E6F34" w:rsidRPr="00DB1D7C">
              <w:rPr>
                <w:vertAlign w:val="superscript"/>
              </w:rPr>
              <w:t>b</w:t>
            </w:r>
          </w:p>
        </w:tc>
        <w:tc>
          <w:tcPr>
            <w:tcW w:w="236" w:type="dxa"/>
          </w:tcPr>
          <w:p w14:paraId="52ADEA21" w14:textId="77777777" w:rsidR="00F91E53" w:rsidRPr="00DB1D7C" w:rsidRDefault="00F91E53" w:rsidP="00F36717">
            <w:pPr>
              <w:spacing w:before="240"/>
            </w:pPr>
          </w:p>
        </w:tc>
        <w:tc>
          <w:tcPr>
            <w:tcW w:w="5474" w:type="dxa"/>
          </w:tcPr>
          <w:p w14:paraId="74FBD8EA" w14:textId="1DD4A6C5" w:rsidR="00F91E53" w:rsidRPr="00DB1D7C" w:rsidRDefault="0064414A" w:rsidP="00F36717">
            <w:pPr>
              <w:spacing w:before="240"/>
            </w:pPr>
            <w:r w:rsidRPr="0064414A">
              <w:t>Ministry of Public Health and multiple societies</w:t>
            </w:r>
          </w:p>
        </w:tc>
        <w:tc>
          <w:tcPr>
            <w:tcW w:w="1129" w:type="dxa"/>
          </w:tcPr>
          <w:p w14:paraId="7CBD7C8B" w14:textId="320E2624" w:rsidR="00F91E53" w:rsidRPr="00F36717" w:rsidRDefault="006419D3" w:rsidP="00F36717">
            <w:pPr>
              <w:spacing w:before="240"/>
              <w:jc w:val="center"/>
            </w:pPr>
            <w:r w:rsidRPr="00F36717">
              <w:t xml:space="preserve"> [84]</w:t>
            </w:r>
          </w:p>
        </w:tc>
        <w:tc>
          <w:tcPr>
            <w:tcW w:w="374" w:type="dxa"/>
          </w:tcPr>
          <w:p w14:paraId="0C5FE44C" w14:textId="77777777" w:rsidR="00F91E53" w:rsidRPr="00DB1D7C" w:rsidRDefault="00F91E53" w:rsidP="00F36717">
            <w:pPr>
              <w:spacing w:before="240"/>
            </w:pPr>
          </w:p>
        </w:tc>
      </w:tr>
      <w:tr w:rsidR="00F91E53" w:rsidRPr="00DB1D7C" w14:paraId="06AA058F" w14:textId="77777777" w:rsidTr="00F36717">
        <w:tc>
          <w:tcPr>
            <w:tcW w:w="1803" w:type="dxa"/>
          </w:tcPr>
          <w:p w14:paraId="27C3DB0B" w14:textId="77777777" w:rsidR="00F91E53" w:rsidRPr="00DB1D7C" w:rsidRDefault="00F91E53" w:rsidP="00F36717">
            <w:pPr>
              <w:spacing w:before="240"/>
            </w:pPr>
            <w:r w:rsidRPr="00DB1D7C">
              <w:t>Mexico</w:t>
            </w:r>
          </w:p>
        </w:tc>
        <w:tc>
          <w:tcPr>
            <w:tcW w:w="236" w:type="dxa"/>
          </w:tcPr>
          <w:p w14:paraId="1FB6EAB9" w14:textId="77777777" w:rsidR="00F91E53" w:rsidRPr="00DB1D7C" w:rsidRDefault="00F91E53" w:rsidP="00F36717">
            <w:pPr>
              <w:spacing w:before="240"/>
            </w:pPr>
          </w:p>
        </w:tc>
        <w:tc>
          <w:tcPr>
            <w:tcW w:w="5474" w:type="dxa"/>
          </w:tcPr>
          <w:p w14:paraId="475777C0" w14:textId="77777777" w:rsidR="00F91E53" w:rsidRPr="00DB1D7C" w:rsidRDefault="00F91E53" w:rsidP="00F36717">
            <w:pPr>
              <w:spacing w:before="240"/>
            </w:pPr>
            <w:r w:rsidRPr="00DB1D7C">
              <w:t>Ministry of Health</w:t>
            </w:r>
          </w:p>
        </w:tc>
        <w:tc>
          <w:tcPr>
            <w:tcW w:w="1129" w:type="dxa"/>
          </w:tcPr>
          <w:p w14:paraId="0199D19A" w14:textId="2FEF9A1C" w:rsidR="00F91E53" w:rsidRPr="00F36717" w:rsidRDefault="00F36717" w:rsidP="00F36717">
            <w:pPr>
              <w:spacing w:before="240"/>
              <w:jc w:val="center"/>
              <w:rPr>
                <w:vertAlign w:val="superscript"/>
              </w:rPr>
            </w:pPr>
            <w:r w:rsidRPr="00F36717">
              <w:rPr>
                <w:vertAlign w:val="superscript"/>
              </w:rPr>
              <w:t>d</w:t>
            </w:r>
          </w:p>
        </w:tc>
        <w:tc>
          <w:tcPr>
            <w:tcW w:w="374" w:type="dxa"/>
          </w:tcPr>
          <w:p w14:paraId="050AB40D" w14:textId="77777777" w:rsidR="00F91E53" w:rsidRPr="00DB1D7C" w:rsidRDefault="00F91E53" w:rsidP="00F36717">
            <w:pPr>
              <w:spacing w:before="240"/>
            </w:pPr>
          </w:p>
        </w:tc>
      </w:tr>
      <w:tr w:rsidR="00F91E53" w:rsidRPr="00DB1D7C" w14:paraId="1CA1E4EB" w14:textId="77777777" w:rsidTr="00F36717">
        <w:tc>
          <w:tcPr>
            <w:tcW w:w="1803" w:type="dxa"/>
          </w:tcPr>
          <w:p w14:paraId="43A3EBB7" w14:textId="77777777" w:rsidR="00F91E53" w:rsidRPr="00DB1D7C" w:rsidRDefault="00F91E53" w:rsidP="00F36717">
            <w:pPr>
              <w:spacing w:before="240"/>
            </w:pPr>
            <w:r w:rsidRPr="00DB1D7C">
              <w:t>Poland</w:t>
            </w:r>
          </w:p>
        </w:tc>
        <w:tc>
          <w:tcPr>
            <w:tcW w:w="236" w:type="dxa"/>
          </w:tcPr>
          <w:p w14:paraId="02969EDB" w14:textId="77777777" w:rsidR="00F91E53" w:rsidRPr="00DB1D7C" w:rsidRDefault="00F91E53" w:rsidP="00F36717">
            <w:pPr>
              <w:spacing w:before="240"/>
            </w:pPr>
          </w:p>
        </w:tc>
        <w:tc>
          <w:tcPr>
            <w:tcW w:w="5474" w:type="dxa"/>
          </w:tcPr>
          <w:p w14:paraId="6758F1A0" w14:textId="77777777" w:rsidR="00F91E53" w:rsidRPr="00DB1D7C" w:rsidRDefault="00F91E53" w:rsidP="00F36717">
            <w:pPr>
              <w:spacing w:before="240"/>
            </w:pPr>
            <w:r w:rsidRPr="00DB1D7C">
              <w:t>Academia</w:t>
            </w:r>
          </w:p>
        </w:tc>
        <w:tc>
          <w:tcPr>
            <w:tcW w:w="1129" w:type="dxa"/>
          </w:tcPr>
          <w:p w14:paraId="5A3A7E90" w14:textId="6252B88D" w:rsidR="00F91E53" w:rsidRPr="00F36717" w:rsidRDefault="00C2079F" w:rsidP="00F36717">
            <w:pPr>
              <w:spacing w:before="240"/>
              <w:jc w:val="center"/>
            </w:pPr>
            <w:r w:rsidRPr="00F36717">
              <w:t xml:space="preserve"> [89]</w:t>
            </w:r>
          </w:p>
        </w:tc>
        <w:tc>
          <w:tcPr>
            <w:tcW w:w="374" w:type="dxa"/>
          </w:tcPr>
          <w:p w14:paraId="11163953" w14:textId="77777777" w:rsidR="00F91E53" w:rsidRPr="00DB1D7C" w:rsidRDefault="00F91E53" w:rsidP="00F36717">
            <w:pPr>
              <w:spacing w:before="240"/>
            </w:pPr>
          </w:p>
        </w:tc>
      </w:tr>
      <w:tr w:rsidR="00F91E53" w:rsidRPr="00DB1D7C" w14:paraId="2894194D" w14:textId="77777777" w:rsidTr="00F36717">
        <w:tc>
          <w:tcPr>
            <w:tcW w:w="1803" w:type="dxa"/>
          </w:tcPr>
          <w:p w14:paraId="09D7D4F4" w14:textId="77777777" w:rsidR="00F91E53" w:rsidRPr="00DB1D7C" w:rsidRDefault="00F91E53" w:rsidP="00F36717">
            <w:pPr>
              <w:spacing w:before="240"/>
            </w:pPr>
            <w:r w:rsidRPr="00DB1D7C">
              <w:t>Romania</w:t>
            </w:r>
          </w:p>
        </w:tc>
        <w:tc>
          <w:tcPr>
            <w:tcW w:w="236" w:type="dxa"/>
          </w:tcPr>
          <w:p w14:paraId="3811565B" w14:textId="77777777" w:rsidR="00F91E53" w:rsidRPr="00DB1D7C" w:rsidRDefault="00F91E53" w:rsidP="00F36717">
            <w:pPr>
              <w:spacing w:before="240"/>
            </w:pPr>
          </w:p>
        </w:tc>
        <w:tc>
          <w:tcPr>
            <w:tcW w:w="5474" w:type="dxa"/>
          </w:tcPr>
          <w:p w14:paraId="0C2AA000" w14:textId="77777777" w:rsidR="00F91E53" w:rsidRPr="00DB1D7C" w:rsidRDefault="00F91E53" w:rsidP="00F36717">
            <w:pPr>
              <w:spacing w:before="240"/>
            </w:pPr>
            <w:r w:rsidRPr="00DB1D7C">
              <w:t>Ministry of Health</w:t>
            </w:r>
          </w:p>
        </w:tc>
        <w:tc>
          <w:tcPr>
            <w:tcW w:w="1129" w:type="dxa"/>
          </w:tcPr>
          <w:p w14:paraId="5A48E9A7" w14:textId="154A3044" w:rsidR="00F91E53" w:rsidRPr="00F36717" w:rsidRDefault="006419D3" w:rsidP="00F36717">
            <w:pPr>
              <w:spacing w:before="240"/>
              <w:jc w:val="center"/>
            </w:pPr>
            <w:r w:rsidRPr="00F36717">
              <w:t xml:space="preserve"> [56]</w:t>
            </w:r>
          </w:p>
        </w:tc>
        <w:tc>
          <w:tcPr>
            <w:tcW w:w="374" w:type="dxa"/>
          </w:tcPr>
          <w:p w14:paraId="3A389AB6" w14:textId="77777777" w:rsidR="00F91E53" w:rsidRPr="00DB1D7C" w:rsidRDefault="00F91E53" w:rsidP="00F36717">
            <w:pPr>
              <w:spacing w:before="240"/>
            </w:pPr>
          </w:p>
        </w:tc>
      </w:tr>
      <w:tr w:rsidR="00F91E53" w:rsidRPr="00DB1D7C" w14:paraId="1F1A684F" w14:textId="77777777" w:rsidTr="00F36717">
        <w:tc>
          <w:tcPr>
            <w:tcW w:w="1803" w:type="dxa"/>
          </w:tcPr>
          <w:p w14:paraId="549B6900" w14:textId="77777777" w:rsidR="00F91E53" w:rsidRPr="00DB1D7C" w:rsidRDefault="00F91E53" w:rsidP="00F36717">
            <w:pPr>
              <w:spacing w:before="240"/>
            </w:pPr>
            <w:r w:rsidRPr="00DB1D7C">
              <w:t>Romania</w:t>
            </w:r>
          </w:p>
        </w:tc>
        <w:tc>
          <w:tcPr>
            <w:tcW w:w="236" w:type="dxa"/>
          </w:tcPr>
          <w:p w14:paraId="69181085" w14:textId="77777777" w:rsidR="00F91E53" w:rsidRPr="00DB1D7C" w:rsidRDefault="00F91E53" w:rsidP="00F36717">
            <w:pPr>
              <w:spacing w:before="240"/>
            </w:pPr>
          </w:p>
        </w:tc>
        <w:tc>
          <w:tcPr>
            <w:tcW w:w="5474" w:type="dxa"/>
          </w:tcPr>
          <w:p w14:paraId="5B3EB141" w14:textId="77777777" w:rsidR="00F91E53" w:rsidRPr="00DB1D7C" w:rsidRDefault="00F91E53" w:rsidP="00F36717">
            <w:pPr>
              <w:spacing w:before="240"/>
            </w:pPr>
            <w:r w:rsidRPr="00DB1D7C">
              <w:t>Academia</w:t>
            </w:r>
          </w:p>
        </w:tc>
        <w:tc>
          <w:tcPr>
            <w:tcW w:w="1129" w:type="dxa"/>
          </w:tcPr>
          <w:p w14:paraId="0F22FCE2" w14:textId="4E06B105" w:rsidR="00F91E53" w:rsidRPr="00F36717" w:rsidRDefault="006419D3" w:rsidP="00F36717">
            <w:pPr>
              <w:spacing w:before="240"/>
              <w:jc w:val="center"/>
            </w:pPr>
            <w:r w:rsidRPr="00F36717">
              <w:t xml:space="preserve"> [153]</w:t>
            </w:r>
          </w:p>
        </w:tc>
        <w:tc>
          <w:tcPr>
            <w:tcW w:w="374" w:type="dxa"/>
          </w:tcPr>
          <w:p w14:paraId="4C4C1DA7" w14:textId="77777777" w:rsidR="00F91E53" w:rsidRPr="00DB1D7C" w:rsidRDefault="00F91E53" w:rsidP="00F36717">
            <w:pPr>
              <w:spacing w:before="240"/>
            </w:pPr>
          </w:p>
        </w:tc>
      </w:tr>
      <w:tr w:rsidR="00F91E53" w:rsidRPr="00DB1D7C" w14:paraId="6261D357" w14:textId="77777777" w:rsidTr="00F36717">
        <w:tc>
          <w:tcPr>
            <w:tcW w:w="1803" w:type="dxa"/>
          </w:tcPr>
          <w:p w14:paraId="532073F7" w14:textId="77777777" w:rsidR="00F91E53" w:rsidRPr="00DB1D7C" w:rsidRDefault="00F91E53" w:rsidP="00F36717">
            <w:pPr>
              <w:spacing w:before="240"/>
            </w:pPr>
            <w:r w:rsidRPr="00DB1D7C">
              <w:t>Russia</w:t>
            </w:r>
          </w:p>
        </w:tc>
        <w:tc>
          <w:tcPr>
            <w:tcW w:w="236" w:type="dxa"/>
          </w:tcPr>
          <w:p w14:paraId="1F0DBFB2" w14:textId="77777777" w:rsidR="00F91E53" w:rsidRPr="00DB1D7C" w:rsidRDefault="00F91E53" w:rsidP="00F36717">
            <w:pPr>
              <w:spacing w:before="240"/>
            </w:pPr>
          </w:p>
        </w:tc>
        <w:tc>
          <w:tcPr>
            <w:tcW w:w="5474" w:type="dxa"/>
          </w:tcPr>
          <w:p w14:paraId="6D7FD7E4" w14:textId="77777777" w:rsidR="00F91E53" w:rsidRPr="00DB1D7C" w:rsidRDefault="00F91E53" w:rsidP="00F36717">
            <w:pPr>
              <w:spacing w:before="240"/>
            </w:pPr>
            <w:r w:rsidRPr="00DB1D7C">
              <w:t>Academia</w:t>
            </w:r>
          </w:p>
        </w:tc>
        <w:tc>
          <w:tcPr>
            <w:tcW w:w="1129" w:type="dxa"/>
          </w:tcPr>
          <w:p w14:paraId="5C8A49ED" w14:textId="5D0DA7CF" w:rsidR="00F91E53" w:rsidRPr="00F36717" w:rsidRDefault="006419D3" w:rsidP="00F36717">
            <w:pPr>
              <w:spacing w:before="240"/>
              <w:jc w:val="center"/>
            </w:pPr>
            <w:r w:rsidRPr="00F36717">
              <w:t xml:space="preserve"> [154]</w:t>
            </w:r>
          </w:p>
        </w:tc>
        <w:tc>
          <w:tcPr>
            <w:tcW w:w="374" w:type="dxa"/>
          </w:tcPr>
          <w:p w14:paraId="4042EBEE" w14:textId="77777777" w:rsidR="00F91E53" w:rsidRPr="00DB1D7C" w:rsidRDefault="00F91E53" w:rsidP="00F36717">
            <w:pPr>
              <w:spacing w:before="240"/>
            </w:pPr>
          </w:p>
        </w:tc>
      </w:tr>
      <w:tr w:rsidR="003276BA" w:rsidRPr="00DB1D7C" w14:paraId="70A08076" w14:textId="77777777" w:rsidTr="00F36717">
        <w:tc>
          <w:tcPr>
            <w:tcW w:w="1803" w:type="dxa"/>
          </w:tcPr>
          <w:p w14:paraId="47C87E3F" w14:textId="7CDD896F" w:rsidR="003276BA" w:rsidRPr="00DB1D7C" w:rsidRDefault="003276BA" w:rsidP="00F36717">
            <w:pPr>
              <w:spacing w:before="240"/>
            </w:pPr>
            <w:r w:rsidRPr="00DB1D7C">
              <w:lastRenderedPageBreak/>
              <w:t>Russia</w:t>
            </w:r>
          </w:p>
        </w:tc>
        <w:tc>
          <w:tcPr>
            <w:tcW w:w="236" w:type="dxa"/>
          </w:tcPr>
          <w:p w14:paraId="71A02195" w14:textId="77777777" w:rsidR="003276BA" w:rsidRPr="00DB1D7C" w:rsidRDefault="003276BA" w:rsidP="00F36717">
            <w:pPr>
              <w:spacing w:before="240"/>
            </w:pPr>
          </w:p>
        </w:tc>
        <w:tc>
          <w:tcPr>
            <w:tcW w:w="5474" w:type="dxa"/>
          </w:tcPr>
          <w:p w14:paraId="27354425" w14:textId="31B37D28" w:rsidR="003276BA" w:rsidRPr="00DB1D7C" w:rsidRDefault="003276BA" w:rsidP="00F36717">
            <w:pPr>
              <w:spacing w:before="240"/>
            </w:pPr>
            <w:r w:rsidRPr="00DB1D7C">
              <w:t>Russian Association on Osteoporosis</w:t>
            </w:r>
          </w:p>
        </w:tc>
        <w:tc>
          <w:tcPr>
            <w:tcW w:w="1129" w:type="dxa"/>
          </w:tcPr>
          <w:p w14:paraId="41841263" w14:textId="7F11D8E9" w:rsidR="003276BA" w:rsidRPr="00F36717" w:rsidRDefault="006419D3" w:rsidP="00F36717">
            <w:pPr>
              <w:spacing w:before="240"/>
              <w:jc w:val="center"/>
            </w:pPr>
            <w:r w:rsidRPr="00F36717">
              <w:t xml:space="preserve"> [155]</w:t>
            </w:r>
          </w:p>
        </w:tc>
        <w:tc>
          <w:tcPr>
            <w:tcW w:w="374" w:type="dxa"/>
          </w:tcPr>
          <w:p w14:paraId="02C23CBB" w14:textId="77777777" w:rsidR="003276BA" w:rsidRPr="00DB1D7C" w:rsidRDefault="003276BA" w:rsidP="00F36717">
            <w:pPr>
              <w:spacing w:before="240"/>
            </w:pPr>
          </w:p>
        </w:tc>
      </w:tr>
      <w:tr w:rsidR="005D4538" w:rsidRPr="00DB1D7C" w14:paraId="2BD9FBFE" w14:textId="77777777" w:rsidTr="00F36717">
        <w:tc>
          <w:tcPr>
            <w:tcW w:w="1803" w:type="dxa"/>
          </w:tcPr>
          <w:p w14:paraId="0E7EA884" w14:textId="7A3B48DA" w:rsidR="005D4538" w:rsidRPr="00DB1D7C" w:rsidRDefault="005D4538" w:rsidP="00F36717">
            <w:pPr>
              <w:spacing w:before="240"/>
            </w:pPr>
            <w:r>
              <w:t>Spain</w:t>
            </w:r>
          </w:p>
        </w:tc>
        <w:tc>
          <w:tcPr>
            <w:tcW w:w="236" w:type="dxa"/>
          </w:tcPr>
          <w:p w14:paraId="2C137724" w14:textId="77777777" w:rsidR="005D4538" w:rsidRPr="00DB1D7C" w:rsidRDefault="005D4538" w:rsidP="00F36717">
            <w:pPr>
              <w:spacing w:before="240"/>
            </w:pPr>
          </w:p>
        </w:tc>
        <w:tc>
          <w:tcPr>
            <w:tcW w:w="5474" w:type="dxa"/>
          </w:tcPr>
          <w:p w14:paraId="01CE79D9" w14:textId="0A5492AD" w:rsidR="005D4538" w:rsidRPr="005D4538" w:rsidRDefault="005D4538" w:rsidP="00F36717">
            <w:pPr>
              <w:spacing w:before="240"/>
              <w:rPr>
                <w:lang w:val="fr-FR"/>
              </w:rPr>
            </w:pPr>
            <w:r w:rsidRPr="002423CB">
              <w:rPr>
                <w:lang w:val="fr-FR"/>
              </w:rPr>
              <w:t xml:space="preserve">Sociedad </w:t>
            </w:r>
            <w:proofErr w:type="spellStart"/>
            <w:r w:rsidRPr="002423CB">
              <w:rPr>
                <w:lang w:val="fr-FR"/>
              </w:rPr>
              <w:t>Española</w:t>
            </w:r>
            <w:proofErr w:type="spellEnd"/>
            <w:r w:rsidRPr="002423CB">
              <w:rPr>
                <w:lang w:val="fr-FR"/>
              </w:rPr>
              <w:t xml:space="preserve"> de </w:t>
            </w:r>
            <w:proofErr w:type="spellStart"/>
            <w:r w:rsidRPr="002423CB">
              <w:rPr>
                <w:lang w:val="fr-FR"/>
              </w:rPr>
              <w:t>Cirugía</w:t>
            </w:r>
            <w:proofErr w:type="spellEnd"/>
            <w:r w:rsidRPr="002423CB">
              <w:rPr>
                <w:lang w:val="fr-FR"/>
              </w:rPr>
              <w:t xml:space="preserve"> </w:t>
            </w:r>
            <w:proofErr w:type="spellStart"/>
            <w:r w:rsidRPr="002423CB">
              <w:rPr>
                <w:lang w:val="fr-FR"/>
              </w:rPr>
              <w:t>Ortopédica</w:t>
            </w:r>
            <w:proofErr w:type="spellEnd"/>
            <w:r w:rsidRPr="002423CB">
              <w:rPr>
                <w:lang w:val="fr-FR"/>
              </w:rPr>
              <w:t xml:space="preserve"> y </w:t>
            </w:r>
            <w:proofErr w:type="spellStart"/>
            <w:r w:rsidRPr="002423CB">
              <w:rPr>
                <w:lang w:val="fr-FR"/>
              </w:rPr>
              <w:t>Traumatología</w:t>
            </w:r>
            <w:r w:rsidRPr="002423CB">
              <w:rPr>
                <w:vertAlign w:val="superscript"/>
                <w:lang w:val="fr-FR"/>
              </w:rPr>
              <w:t>c</w:t>
            </w:r>
            <w:proofErr w:type="spellEnd"/>
          </w:p>
        </w:tc>
        <w:tc>
          <w:tcPr>
            <w:tcW w:w="1129" w:type="dxa"/>
          </w:tcPr>
          <w:p w14:paraId="69251E2C" w14:textId="3E9D9995" w:rsidR="005D4538" w:rsidRPr="00F36717" w:rsidRDefault="006419D3" w:rsidP="00F36717">
            <w:pPr>
              <w:spacing w:before="240"/>
              <w:jc w:val="center"/>
            </w:pPr>
            <w:r w:rsidRPr="00F36717">
              <w:rPr>
                <w:lang w:val="fr-FR"/>
              </w:rPr>
              <w:t xml:space="preserve"> [101]</w:t>
            </w:r>
          </w:p>
        </w:tc>
        <w:tc>
          <w:tcPr>
            <w:tcW w:w="374" w:type="dxa"/>
          </w:tcPr>
          <w:p w14:paraId="50035B7F" w14:textId="33265415" w:rsidR="005D4538" w:rsidRPr="00DB1D7C" w:rsidRDefault="005D4538" w:rsidP="00F36717">
            <w:pPr>
              <w:spacing w:before="240"/>
            </w:pPr>
          </w:p>
        </w:tc>
      </w:tr>
      <w:tr w:rsidR="00F91E53" w:rsidRPr="00DB1D7C" w14:paraId="051E88E3" w14:textId="77777777" w:rsidTr="00F36717">
        <w:tc>
          <w:tcPr>
            <w:tcW w:w="1803" w:type="dxa"/>
          </w:tcPr>
          <w:p w14:paraId="5DF58E30" w14:textId="77777777" w:rsidR="00F91E53" w:rsidRPr="00DB1D7C" w:rsidRDefault="00F91E53" w:rsidP="00F36717">
            <w:pPr>
              <w:spacing w:before="240"/>
            </w:pPr>
            <w:r w:rsidRPr="00DB1D7C">
              <w:t>Sri Lanka</w:t>
            </w:r>
          </w:p>
        </w:tc>
        <w:tc>
          <w:tcPr>
            <w:tcW w:w="236" w:type="dxa"/>
          </w:tcPr>
          <w:p w14:paraId="305CC29F" w14:textId="77777777" w:rsidR="00F91E53" w:rsidRPr="00DB1D7C" w:rsidRDefault="00F91E53" w:rsidP="00F36717">
            <w:pPr>
              <w:spacing w:before="240"/>
            </w:pPr>
          </w:p>
        </w:tc>
        <w:tc>
          <w:tcPr>
            <w:tcW w:w="5474" w:type="dxa"/>
          </w:tcPr>
          <w:p w14:paraId="71A318E9" w14:textId="77777777" w:rsidR="00F91E53" w:rsidRPr="00DB1D7C" w:rsidRDefault="00F91E53" w:rsidP="00F36717">
            <w:pPr>
              <w:spacing w:before="240"/>
            </w:pPr>
            <w:r w:rsidRPr="00DB1D7C">
              <w:t>Ministry of Health</w:t>
            </w:r>
          </w:p>
        </w:tc>
        <w:tc>
          <w:tcPr>
            <w:tcW w:w="1129" w:type="dxa"/>
          </w:tcPr>
          <w:p w14:paraId="2328445F" w14:textId="6FFFD206" w:rsidR="00F91E53" w:rsidRPr="00F36717" w:rsidRDefault="00F36717" w:rsidP="00F36717">
            <w:pPr>
              <w:spacing w:before="240"/>
              <w:jc w:val="center"/>
            </w:pPr>
            <w:r>
              <w:t>[103, 156]</w:t>
            </w:r>
            <w:r w:rsidR="006419D3" w:rsidRPr="00F36717">
              <w:t xml:space="preserve"> </w:t>
            </w:r>
          </w:p>
        </w:tc>
        <w:tc>
          <w:tcPr>
            <w:tcW w:w="374" w:type="dxa"/>
          </w:tcPr>
          <w:p w14:paraId="5AD3A99B" w14:textId="77777777" w:rsidR="00F91E53" w:rsidRPr="00DB1D7C" w:rsidRDefault="00F91E53" w:rsidP="00F36717">
            <w:pPr>
              <w:spacing w:before="240"/>
            </w:pPr>
          </w:p>
        </w:tc>
      </w:tr>
      <w:tr w:rsidR="00F91E53" w:rsidRPr="00DB1D7C" w14:paraId="729BD8F2" w14:textId="77777777" w:rsidTr="00F36717">
        <w:tc>
          <w:tcPr>
            <w:tcW w:w="1803" w:type="dxa"/>
          </w:tcPr>
          <w:p w14:paraId="7F761D51" w14:textId="77777777" w:rsidR="00F91E53" w:rsidRPr="00DB1D7C" w:rsidRDefault="00F91E53" w:rsidP="00F36717">
            <w:pPr>
              <w:spacing w:before="240"/>
            </w:pPr>
            <w:r w:rsidRPr="00DB1D7C">
              <w:t>Switzerland</w:t>
            </w:r>
          </w:p>
        </w:tc>
        <w:tc>
          <w:tcPr>
            <w:tcW w:w="236" w:type="dxa"/>
          </w:tcPr>
          <w:p w14:paraId="714F96BF" w14:textId="77777777" w:rsidR="00F91E53" w:rsidRPr="00DB1D7C" w:rsidRDefault="00F91E53" w:rsidP="00F36717">
            <w:pPr>
              <w:spacing w:before="240"/>
            </w:pPr>
          </w:p>
        </w:tc>
        <w:tc>
          <w:tcPr>
            <w:tcW w:w="5474" w:type="dxa"/>
          </w:tcPr>
          <w:p w14:paraId="15571400" w14:textId="77777777" w:rsidR="00F91E53" w:rsidRPr="007C43B8" w:rsidRDefault="00F91E53" w:rsidP="00F36717">
            <w:pPr>
              <w:spacing w:before="240"/>
              <w:rPr>
                <w:lang w:val="fr-FR"/>
              </w:rPr>
            </w:pPr>
            <w:r w:rsidRPr="007C43B8">
              <w:rPr>
                <w:lang w:val="fr-FR"/>
              </w:rPr>
              <w:t>Association Suisse contre l‘Ostéoporose</w:t>
            </w:r>
          </w:p>
        </w:tc>
        <w:tc>
          <w:tcPr>
            <w:tcW w:w="1129" w:type="dxa"/>
          </w:tcPr>
          <w:p w14:paraId="4B8A314C" w14:textId="49FEA6DE" w:rsidR="00760737" w:rsidRPr="00F36717" w:rsidRDefault="006419D3" w:rsidP="00F36717">
            <w:pPr>
              <w:spacing w:before="240"/>
              <w:jc w:val="center"/>
            </w:pPr>
            <w:r w:rsidRPr="00257A16">
              <w:rPr>
                <w:lang w:val="fr-FR"/>
              </w:rPr>
              <w:t xml:space="preserve"> </w:t>
            </w:r>
            <w:r w:rsidRPr="00F36717">
              <w:t>[</w:t>
            </w:r>
            <w:r w:rsidR="00D00018" w:rsidRPr="00F36717">
              <w:t>105,</w:t>
            </w:r>
            <w:r w:rsidRPr="00F36717">
              <w:t xml:space="preserve">157] </w:t>
            </w:r>
          </w:p>
        </w:tc>
        <w:tc>
          <w:tcPr>
            <w:tcW w:w="374" w:type="dxa"/>
          </w:tcPr>
          <w:p w14:paraId="0F92177D" w14:textId="77777777" w:rsidR="00F91E53" w:rsidRPr="00DB1D7C" w:rsidRDefault="00F91E53" w:rsidP="00F36717">
            <w:pPr>
              <w:spacing w:before="240"/>
            </w:pPr>
          </w:p>
        </w:tc>
      </w:tr>
      <w:tr w:rsidR="00F91E53" w:rsidRPr="00DB1D7C" w14:paraId="3E79B9C3" w14:textId="77777777" w:rsidTr="00F36717">
        <w:tc>
          <w:tcPr>
            <w:tcW w:w="1803" w:type="dxa"/>
          </w:tcPr>
          <w:p w14:paraId="5FDEA124" w14:textId="77777777" w:rsidR="00F91E53" w:rsidRPr="00DB1D7C" w:rsidRDefault="00F91E53" w:rsidP="00F36717">
            <w:pPr>
              <w:spacing w:before="240"/>
            </w:pPr>
            <w:r w:rsidRPr="00DB1D7C">
              <w:t>UK</w:t>
            </w:r>
          </w:p>
        </w:tc>
        <w:tc>
          <w:tcPr>
            <w:tcW w:w="236" w:type="dxa"/>
          </w:tcPr>
          <w:p w14:paraId="7AD8CB33" w14:textId="77777777" w:rsidR="00F91E53" w:rsidRPr="00DB1D7C" w:rsidRDefault="00F91E53" w:rsidP="00F36717">
            <w:pPr>
              <w:spacing w:before="240"/>
            </w:pPr>
          </w:p>
        </w:tc>
        <w:tc>
          <w:tcPr>
            <w:tcW w:w="5474" w:type="dxa"/>
          </w:tcPr>
          <w:p w14:paraId="69F85DA9" w14:textId="77777777" w:rsidR="00F91E53" w:rsidRPr="00DB1D7C" w:rsidRDefault="00F91E53" w:rsidP="00F36717">
            <w:pPr>
              <w:spacing w:before="240"/>
            </w:pPr>
            <w:r w:rsidRPr="00DB1D7C">
              <w:t>NOGG</w:t>
            </w:r>
          </w:p>
        </w:tc>
        <w:tc>
          <w:tcPr>
            <w:tcW w:w="1129" w:type="dxa"/>
          </w:tcPr>
          <w:p w14:paraId="782DF93A" w14:textId="320B88B3" w:rsidR="00F91E53" w:rsidRPr="00F36717" w:rsidRDefault="00D00018" w:rsidP="00F36717">
            <w:pPr>
              <w:spacing w:before="240"/>
              <w:jc w:val="center"/>
            </w:pPr>
            <w:r w:rsidRPr="00F36717">
              <w:rPr>
                <w:bCs/>
                <w:sz w:val="24"/>
                <w:szCs w:val="24"/>
              </w:rPr>
              <w:t xml:space="preserve"> </w:t>
            </w:r>
            <w:r w:rsidR="0030753F" w:rsidRPr="00F36717">
              <w:rPr>
                <w:bCs/>
                <w:sz w:val="24"/>
                <w:szCs w:val="24"/>
              </w:rPr>
              <w:t>[141]</w:t>
            </w:r>
          </w:p>
        </w:tc>
        <w:tc>
          <w:tcPr>
            <w:tcW w:w="374" w:type="dxa"/>
          </w:tcPr>
          <w:p w14:paraId="16BF284C" w14:textId="77777777" w:rsidR="00F91E53" w:rsidRPr="00DB1D7C" w:rsidRDefault="00F91E53" w:rsidP="00F36717">
            <w:pPr>
              <w:spacing w:before="240"/>
            </w:pPr>
          </w:p>
        </w:tc>
      </w:tr>
      <w:tr w:rsidR="00B562B3" w:rsidRPr="00DB1D7C" w14:paraId="74FFDB5D" w14:textId="77777777" w:rsidTr="00F36717">
        <w:tc>
          <w:tcPr>
            <w:tcW w:w="1803" w:type="dxa"/>
          </w:tcPr>
          <w:p w14:paraId="5C3EAE08" w14:textId="168F776C" w:rsidR="00B562B3" w:rsidRPr="00DB1D7C" w:rsidRDefault="00B562B3" w:rsidP="00F36717">
            <w:pPr>
              <w:spacing w:before="240"/>
            </w:pPr>
            <w:r w:rsidRPr="00DB1D7C">
              <w:t>UK</w:t>
            </w:r>
          </w:p>
        </w:tc>
        <w:tc>
          <w:tcPr>
            <w:tcW w:w="236" w:type="dxa"/>
          </w:tcPr>
          <w:p w14:paraId="6BA75147" w14:textId="77777777" w:rsidR="00B562B3" w:rsidRPr="00DB1D7C" w:rsidRDefault="00B562B3" w:rsidP="00F36717">
            <w:pPr>
              <w:spacing w:before="240"/>
            </w:pPr>
          </w:p>
        </w:tc>
        <w:tc>
          <w:tcPr>
            <w:tcW w:w="5474" w:type="dxa"/>
          </w:tcPr>
          <w:p w14:paraId="0CE611F9" w14:textId="00F61630" w:rsidR="00B562B3" w:rsidRPr="00DB1D7C" w:rsidRDefault="000040F5" w:rsidP="00F36717">
            <w:pPr>
              <w:spacing w:before="240"/>
            </w:pPr>
            <w:r w:rsidRPr="00DB1D7C">
              <w:t>Nottinghamshire</w:t>
            </w:r>
          </w:p>
        </w:tc>
        <w:tc>
          <w:tcPr>
            <w:tcW w:w="1129" w:type="dxa"/>
          </w:tcPr>
          <w:p w14:paraId="714C36A0" w14:textId="1DFA8504" w:rsidR="00B562B3" w:rsidRPr="00F36717" w:rsidRDefault="006419D3" w:rsidP="00F36717">
            <w:pPr>
              <w:spacing w:before="240"/>
              <w:jc w:val="center"/>
            </w:pPr>
            <w:r w:rsidRPr="00F36717">
              <w:t xml:space="preserve"> [158]</w:t>
            </w:r>
          </w:p>
        </w:tc>
        <w:tc>
          <w:tcPr>
            <w:tcW w:w="374" w:type="dxa"/>
          </w:tcPr>
          <w:p w14:paraId="13D888AC" w14:textId="77777777" w:rsidR="00B562B3" w:rsidRPr="00DB1D7C" w:rsidRDefault="00B562B3" w:rsidP="00F36717">
            <w:pPr>
              <w:spacing w:before="240"/>
            </w:pPr>
          </w:p>
        </w:tc>
      </w:tr>
      <w:tr w:rsidR="003E6F34" w:rsidRPr="00DB1D7C" w14:paraId="1A955920" w14:textId="77777777" w:rsidTr="00F36717">
        <w:tc>
          <w:tcPr>
            <w:tcW w:w="1803" w:type="dxa"/>
            <w:tcBorders>
              <w:bottom w:val="single" w:sz="4" w:space="0" w:color="auto"/>
            </w:tcBorders>
          </w:tcPr>
          <w:p w14:paraId="1230C30E" w14:textId="197E3C75" w:rsidR="003E6F34" w:rsidRPr="00DB1D7C" w:rsidRDefault="003E6F34" w:rsidP="00F36717">
            <w:pPr>
              <w:spacing w:before="240"/>
            </w:pPr>
            <w:r w:rsidRPr="00DB1D7C">
              <w:t xml:space="preserve">UK </w:t>
            </w:r>
            <w:r w:rsidRPr="00DB1D7C">
              <w:rPr>
                <w:vertAlign w:val="superscript"/>
              </w:rPr>
              <w:t>b</w:t>
            </w:r>
          </w:p>
        </w:tc>
        <w:tc>
          <w:tcPr>
            <w:tcW w:w="236" w:type="dxa"/>
            <w:tcBorders>
              <w:bottom w:val="single" w:sz="4" w:space="0" w:color="auto"/>
            </w:tcBorders>
          </w:tcPr>
          <w:p w14:paraId="73B7BB6C" w14:textId="77777777" w:rsidR="003E6F34" w:rsidRPr="00DB1D7C" w:rsidRDefault="003E6F34" w:rsidP="00F36717">
            <w:pPr>
              <w:spacing w:before="240"/>
            </w:pPr>
          </w:p>
        </w:tc>
        <w:tc>
          <w:tcPr>
            <w:tcW w:w="5474" w:type="dxa"/>
            <w:tcBorders>
              <w:bottom w:val="single" w:sz="4" w:space="0" w:color="auto"/>
            </w:tcBorders>
            <w:shd w:val="clear" w:color="auto" w:fill="auto"/>
          </w:tcPr>
          <w:p w14:paraId="6A9E23CB" w14:textId="7F1F38C4" w:rsidR="003E6F34" w:rsidRPr="00DB1D7C" w:rsidRDefault="003E6F34" w:rsidP="00F36717">
            <w:pPr>
              <w:spacing w:before="240"/>
            </w:pPr>
            <w:r w:rsidRPr="00DB1D7C">
              <w:t>Academia</w:t>
            </w:r>
          </w:p>
        </w:tc>
        <w:tc>
          <w:tcPr>
            <w:tcW w:w="1129" w:type="dxa"/>
            <w:tcBorders>
              <w:bottom w:val="single" w:sz="4" w:space="0" w:color="auto"/>
            </w:tcBorders>
            <w:shd w:val="clear" w:color="auto" w:fill="auto"/>
          </w:tcPr>
          <w:p w14:paraId="4FD00739" w14:textId="265C9C5A" w:rsidR="003E6F34" w:rsidRPr="00F36717" w:rsidRDefault="006419D3" w:rsidP="00F36717">
            <w:pPr>
              <w:spacing w:before="240"/>
              <w:jc w:val="center"/>
            </w:pPr>
            <w:r w:rsidRPr="00F36717">
              <w:t xml:space="preserve"> [109]</w:t>
            </w:r>
          </w:p>
        </w:tc>
        <w:tc>
          <w:tcPr>
            <w:tcW w:w="374" w:type="dxa"/>
          </w:tcPr>
          <w:p w14:paraId="7AB205CC" w14:textId="77777777" w:rsidR="003E6F34" w:rsidRPr="00DB1D7C" w:rsidRDefault="003E6F34" w:rsidP="00F36717">
            <w:pPr>
              <w:spacing w:before="240"/>
            </w:pPr>
          </w:p>
        </w:tc>
      </w:tr>
    </w:tbl>
    <w:p w14:paraId="7A365A38" w14:textId="2F597223" w:rsidR="00390D58" w:rsidRPr="00F36717" w:rsidRDefault="00496DB1" w:rsidP="00631276">
      <w:pPr>
        <w:spacing w:line="240" w:lineRule="auto"/>
        <w:rPr>
          <w:rFonts w:ascii="Calibri" w:hAnsi="Calibri"/>
        </w:rPr>
      </w:pPr>
      <w:proofErr w:type="gramStart"/>
      <w:r w:rsidRPr="00F36717">
        <w:rPr>
          <w:rFonts w:ascii="Calibri" w:hAnsi="Calibri"/>
          <w:vertAlign w:val="superscript"/>
        </w:rPr>
        <w:t>a</w:t>
      </w:r>
      <w:proofErr w:type="gramEnd"/>
      <w:r w:rsidRPr="00F36717">
        <w:rPr>
          <w:rFonts w:ascii="Calibri" w:hAnsi="Calibri"/>
        </w:rPr>
        <w:t xml:space="preserve"> </w:t>
      </w:r>
      <w:r w:rsidR="00C547C5" w:rsidRPr="00F36717">
        <w:rPr>
          <w:rFonts w:ascii="Calibri" w:hAnsi="Calibri"/>
        </w:rPr>
        <w:t>G</w:t>
      </w:r>
      <w:r w:rsidRPr="00F36717">
        <w:rPr>
          <w:rFonts w:ascii="Calibri" w:hAnsi="Calibri"/>
        </w:rPr>
        <w:t>lucocorticoid</w:t>
      </w:r>
      <w:r w:rsidR="00686D56" w:rsidRPr="00F36717">
        <w:rPr>
          <w:rFonts w:ascii="Calibri" w:hAnsi="Calibri"/>
        </w:rPr>
        <w:t>-</w:t>
      </w:r>
      <w:r w:rsidRPr="00F36717">
        <w:rPr>
          <w:rFonts w:ascii="Calibri" w:hAnsi="Calibri"/>
        </w:rPr>
        <w:t>induced osteoporosis</w:t>
      </w:r>
    </w:p>
    <w:p w14:paraId="4D0869A0" w14:textId="496F55D4" w:rsidR="003E6F34" w:rsidRPr="00F36717" w:rsidRDefault="003E6F34" w:rsidP="00631276">
      <w:pPr>
        <w:spacing w:line="240" w:lineRule="auto"/>
        <w:rPr>
          <w:rFonts w:ascii="Calibri" w:hAnsi="Calibri"/>
        </w:rPr>
      </w:pPr>
      <w:proofErr w:type="gramStart"/>
      <w:r w:rsidRPr="00F36717">
        <w:rPr>
          <w:rFonts w:ascii="Calibri" w:hAnsi="Calibri"/>
          <w:vertAlign w:val="superscript"/>
        </w:rPr>
        <w:t>b</w:t>
      </w:r>
      <w:proofErr w:type="gramEnd"/>
      <w:r w:rsidRPr="00F36717">
        <w:rPr>
          <w:rFonts w:ascii="Calibri" w:hAnsi="Calibri"/>
        </w:rPr>
        <w:t xml:space="preserve"> Hybrid model, also uses a fixed threshold at some ages (see</w:t>
      </w:r>
      <w:r w:rsidR="004C2B7A" w:rsidRPr="00F36717">
        <w:t xml:space="preserve"> </w:t>
      </w:r>
      <w:r w:rsidR="004C2B7A" w:rsidRPr="00F36717">
        <w:rPr>
          <w:rFonts w:ascii="Calibri" w:hAnsi="Calibri"/>
          <w:i/>
        </w:rPr>
        <w:t>Hybrid intervention thresholds using FRAX</w:t>
      </w:r>
      <w:r w:rsidRPr="00F36717">
        <w:rPr>
          <w:rFonts w:ascii="Calibri" w:hAnsi="Calibri"/>
        </w:rPr>
        <w:t>)</w:t>
      </w:r>
    </w:p>
    <w:p w14:paraId="7725563F" w14:textId="77777777" w:rsidR="005D4538" w:rsidRPr="00F36717" w:rsidRDefault="005D4538" w:rsidP="005D4538">
      <w:pPr>
        <w:spacing w:line="240" w:lineRule="auto"/>
        <w:rPr>
          <w:rFonts w:ascii="Calibri" w:hAnsi="Calibri"/>
        </w:rPr>
      </w:pPr>
      <w:proofErr w:type="gramStart"/>
      <w:r w:rsidRPr="00F36717">
        <w:rPr>
          <w:rFonts w:ascii="Calibri" w:hAnsi="Calibri"/>
          <w:vertAlign w:val="superscript"/>
        </w:rPr>
        <w:t>c</w:t>
      </w:r>
      <w:proofErr w:type="gramEnd"/>
      <w:r w:rsidRPr="00F36717">
        <w:rPr>
          <w:rFonts w:ascii="Calibri" w:hAnsi="Calibri"/>
        </w:rPr>
        <w:t xml:space="preserve"> Also recommend fixed thresholds</w:t>
      </w:r>
    </w:p>
    <w:p w14:paraId="3FE439CB" w14:textId="3067BD0B" w:rsidR="00D00018" w:rsidRPr="00F36717" w:rsidRDefault="00D00018" w:rsidP="005D4538">
      <w:pPr>
        <w:spacing w:line="240" w:lineRule="auto"/>
        <w:rPr>
          <w:rFonts w:ascii="Calibri" w:hAnsi="Calibri"/>
        </w:rPr>
      </w:pPr>
      <w:proofErr w:type="gramStart"/>
      <w:r w:rsidRPr="00F36717">
        <w:rPr>
          <w:rFonts w:ascii="Calibri" w:hAnsi="Calibri"/>
          <w:vertAlign w:val="superscript"/>
        </w:rPr>
        <w:t>d</w:t>
      </w:r>
      <w:proofErr w:type="gramEnd"/>
      <w:r w:rsidR="00F36717" w:rsidRPr="00F36717">
        <w:rPr>
          <w:rFonts w:ascii="Calibri" w:hAnsi="Calibri"/>
        </w:rPr>
        <w:t xml:space="preserve"> P Clark, personal communication October 2015</w:t>
      </w:r>
    </w:p>
    <w:p w14:paraId="3D6FB358" w14:textId="77777777" w:rsidR="00631276" w:rsidRPr="00F36717" w:rsidRDefault="00631276" w:rsidP="00631276">
      <w:pPr>
        <w:rPr>
          <w:rFonts w:ascii="Calibri" w:hAnsi="Calibri"/>
          <w:sz w:val="24"/>
          <w:szCs w:val="24"/>
        </w:rPr>
      </w:pPr>
    </w:p>
    <w:p w14:paraId="76DA4D0A" w14:textId="0AF71002" w:rsidR="00631276" w:rsidRPr="00F36717" w:rsidRDefault="009F2007" w:rsidP="001A155E">
      <w:pPr>
        <w:rPr>
          <w:rFonts w:ascii="Calibri" w:hAnsi="Calibri"/>
          <w:sz w:val="24"/>
          <w:szCs w:val="24"/>
        </w:rPr>
      </w:pPr>
      <w:r w:rsidRPr="00DB1D7C">
        <w:rPr>
          <w:rFonts w:ascii="Calibri" w:hAnsi="Calibri"/>
          <w:sz w:val="24"/>
          <w:szCs w:val="24"/>
        </w:rPr>
        <w:t xml:space="preserve">The </w:t>
      </w:r>
      <w:r w:rsidRPr="00F36717">
        <w:rPr>
          <w:rFonts w:ascii="Calibri" w:hAnsi="Calibri"/>
          <w:sz w:val="24"/>
          <w:szCs w:val="24"/>
        </w:rPr>
        <w:t>majority of</w:t>
      </w:r>
      <w:r w:rsidR="00A84694" w:rsidRPr="00F36717">
        <w:rPr>
          <w:rFonts w:ascii="Calibri" w:hAnsi="Calibri"/>
          <w:sz w:val="24"/>
          <w:szCs w:val="24"/>
        </w:rPr>
        <w:t xml:space="preserve"> publications adopt an identical approach </w:t>
      </w:r>
      <w:r w:rsidR="00686D56" w:rsidRPr="00F36717">
        <w:rPr>
          <w:rFonts w:ascii="Calibri" w:hAnsi="Calibri"/>
          <w:sz w:val="24"/>
          <w:szCs w:val="24"/>
        </w:rPr>
        <w:t>to</w:t>
      </w:r>
      <w:r w:rsidR="00A84694" w:rsidRPr="00F36717">
        <w:rPr>
          <w:rFonts w:ascii="Calibri" w:hAnsi="Calibri"/>
          <w:sz w:val="24"/>
          <w:szCs w:val="24"/>
        </w:rPr>
        <w:t xml:space="preserve"> NOGG.  </w:t>
      </w:r>
      <w:r w:rsidRPr="00F36717">
        <w:rPr>
          <w:rFonts w:ascii="Calibri" w:hAnsi="Calibri"/>
          <w:sz w:val="24"/>
          <w:szCs w:val="24"/>
        </w:rPr>
        <w:t>Two</w:t>
      </w:r>
      <w:r w:rsidR="00A84694" w:rsidRPr="00F36717">
        <w:rPr>
          <w:rFonts w:ascii="Calibri" w:hAnsi="Calibri"/>
          <w:sz w:val="24"/>
          <w:szCs w:val="24"/>
        </w:rPr>
        <w:t xml:space="preserve"> exceptions are hybrid models adopted in Lebanon</w:t>
      </w:r>
      <w:r w:rsidR="00D878C9" w:rsidRPr="00F36717">
        <w:rPr>
          <w:rFonts w:ascii="Calibri" w:hAnsi="Calibri"/>
          <w:sz w:val="24"/>
          <w:szCs w:val="24"/>
        </w:rPr>
        <w:t xml:space="preserve"> [84]</w:t>
      </w:r>
      <w:r w:rsidR="00A84694" w:rsidRPr="00F36717">
        <w:rPr>
          <w:rFonts w:ascii="Calibri" w:hAnsi="Calibri"/>
          <w:sz w:val="24"/>
          <w:szCs w:val="24"/>
        </w:rPr>
        <w:t xml:space="preserve"> and being explored in the UK </w:t>
      </w:r>
      <w:r w:rsidR="00372AFA" w:rsidRPr="00F36717">
        <w:rPr>
          <w:rFonts w:ascii="Calibri" w:hAnsi="Calibri"/>
          <w:sz w:val="24"/>
          <w:szCs w:val="24"/>
        </w:rPr>
        <w:t>[109]</w:t>
      </w:r>
      <w:r w:rsidR="00A84694" w:rsidRPr="00F36717">
        <w:rPr>
          <w:rFonts w:ascii="Calibri" w:hAnsi="Calibri"/>
          <w:sz w:val="24"/>
          <w:szCs w:val="24"/>
        </w:rPr>
        <w:t>.</w:t>
      </w:r>
      <w:r w:rsidR="00921DBB" w:rsidRPr="00F36717">
        <w:rPr>
          <w:rFonts w:ascii="Calibri" w:hAnsi="Calibri"/>
          <w:sz w:val="24"/>
          <w:szCs w:val="24"/>
        </w:rPr>
        <w:t xml:space="preserve">  The impact of guidelines has been explored in Belgium which showed </w:t>
      </w:r>
      <w:r w:rsidR="00C547C5" w:rsidRPr="00F36717">
        <w:rPr>
          <w:rFonts w:ascii="Calibri" w:hAnsi="Calibri"/>
          <w:sz w:val="24"/>
          <w:szCs w:val="24"/>
        </w:rPr>
        <w:t xml:space="preserve">that </w:t>
      </w:r>
      <w:r w:rsidR="00921DBB" w:rsidRPr="00F36717">
        <w:rPr>
          <w:rFonts w:ascii="Calibri" w:hAnsi="Calibri"/>
          <w:sz w:val="24"/>
          <w:szCs w:val="24"/>
        </w:rPr>
        <w:t>adoption of the age-dependent guidance</w:t>
      </w:r>
      <w:r w:rsidR="00C547C5" w:rsidRPr="00F36717">
        <w:rPr>
          <w:rFonts w:ascii="Calibri" w:hAnsi="Calibri"/>
          <w:sz w:val="24"/>
          <w:szCs w:val="24"/>
        </w:rPr>
        <w:t>,</w:t>
      </w:r>
      <w:r w:rsidR="00921DBB" w:rsidRPr="00F36717">
        <w:rPr>
          <w:rFonts w:ascii="Calibri" w:hAnsi="Calibri"/>
          <w:sz w:val="24"/>
          <w:szCs w:val="24"/>
        </w:rPr>
        <w:t xml:space="preserve"> compared with current reimbursement guidelines</w:t>
      </w:r>
      <w:r w:rsidR="00C547C5" w:rsidRPr="00F36717">
        <w:rPr>
          <w:rFonts w:ascii="Calibri" w:hAnsi="Calibri"/>
          <w:sz w:val="24"/>
          <w:szCs w:val="24"/>
        </w:rPr>
        <w:t>,</w:t>
      </w:r>
      <w:r w:rsidR="00921DBB" w:rsidRPr="00F36717">
        <w:rPr>
          <w:rFonts w:ascii="Calibri" w:hAnsi="Calibri"/>
          <w:sz w:val="24"/>
          <w:szCs w:val="24"/>
        </w:rPr>
        <w:t xml:space="preserve"> would have a marked beneficial effect on the budget impact by the more accurate targeting to high risk patients and the avoidance of intervention in those at low </w:t>
      </w:r>
      <w:r w:rsidR="00F36717" w:rsidRPr="00F36717">
        <w:rPr>
          <w:rFonts w:ascii="Calibri" w:hAnsi="Calibri"/>
          <w:sz w:val="24"/>
          <w:szCs w:val="24"/>
        </w:rPr>
        <w:t>risk [</w:t>
      </w:r>
      <w:r w:rsidR="00D878C9" w:rsidRPr="00F36717">
        <w:rPr>
          <w:rFonts w:ascii="Calibri" w:hAnsi="Calibri"/>
          <w:sz w:val="24"/>
          <w:szCs w:val="24"/>
        </w:rPr>
        <w:t>159]</w:t>
      </w:r>
      <w:r w:rsidR="00921DBB" w:rsidRPr="00F36717">
        <w:rPr>
          <w:rFonts w:ascii="Calibri" w:hAnsi="Calibri"/>
          <w:sz w:val="24"/>
          <w:szCs w:val="24"/>
        </w:rPr>
        <w:t>.</w:t>
      </w:r>
    </w:p>
    <w:p w14:paraId="695387FF" w14:textId="4D704473" w:rsidR="001A155E" w:rsidRPr="00DB1D7C" w:rsidRDefault="001A155E" w:rsidP="001A155E">
      <w:pPr>
        <w:rPr>
          <w:rFonts w:ascii="Calibri" w:hAnsi="Calibri"/>
          <w:sz w:val="24"/>
          <w:szCs w:val="24"/>
        </w:rPr>
      </w:pPr>
      <w:r w:rsidRPr="00F36717">
        <w:rPr>
          <w:rFonts w:ascii="Calibri" w:hAnsi="Calibri"/>
          <w:sz w:val="24"/>
          <w:szCs w:val="24"/>
        </w:rPr>
        <w:t xml:space="preserve">Using the same criteria, the intervention threshold will vary from country to country because the population risks (of fracture and death) vary </w:t>
      </w:r>
      <w:r w:rsidR="005F1C25" w:rsidRPr="00F36717">
        <w:rPr>
          <w:rFonts w:ascii="Calibri" w:hAnsi="Calibri"/>
          <w:sz w:val="24"/>
          <w:szCs w:val="24"/>
        </w:rPr>
        <w:t>[17]</w:t>
      </w:r>
      <w:r w:rsidRPr="00F36717">
        <w:rPr>
          <w:rFonts w:ascii="Calibri" w:hAnsi="Calibri"/>
          <w:sz w:val="24"/>
          <w:szCs w:val="24"/>
        </w:rPr>
        <w:t xml:space="preserve">. The fracture probability in women with a prior fracture in the five major EU countries is shown in </w:t>
      </w:r>
      <w:r w:rsidR="00A118CD" w:rsidRPr="00F36717">
        <w:rPr>
          <w:rFonts w:ascii="Calibri" w:hAnsi="Calibri"/>
          <w:sz w:val="24"/>
          <w:szCs w:val="24"/>
        </w:rPr>
        <w:t>Figure</w:t>
      </w:r>
      <w:r w:rsidRPr="00F36717">
        <w:rPr>
          <w:rFonts w:ascii="Calibri" w:hAnsi="Calibri"/>
          <w:sz w:val="24"/>
          <w:szCs w:val="24"/>
        </w:rPr>
        <w:t xml:space="preserve"> </w:t>
      </w:r>
      <w:r w:rsidR="00FA1DC5" w:rsidRPr="00F36717">
        <w:rPr>
          <w:rFonts w:ascii="Calibri" w:hAnsi="Calibri"/>
          <w:sz w:val="24"/>
          <w:szCs w:val="24"/>
        </w:rPr>
        <w:t>9</w:t>
      </w:r>
      <w:r w:rsidRPr="00F36717">
        <w:rPr>
          <w:rFonts w:ascii="Calibri" w:hAnsi="Calibri"/>
          <w:sz w:val="24"/>
          <w:szCs w:val="24"/>
        </w:rPr>
        <w:t xml:space="preserve">. Probabilities are highest in the UK and lowest in Spain. </w:t>
      </w:r>
      <w:r w:rsidR="003C17A2" w:rsidRPr="00F36717">
        <w:rPr>
          <w:rFonts w:ascii="Calibri" w:hAnsi="Calibri"/>
          <w:sz w:val="24"/>
          <w:szCs w:val="24"/>
        </w:rPr>
        <w:t xml:space="preserve">The difference between countries is most evident at younger ages and becomes progressively less with advancing age </w:t>
      </w:r>
      <w:r w:rsidR="00C32BC5" w:rsidRPr="00F36717">
        <w:rPr>
          <w:rFonts w:ascii="Calibri" w:hAnsi="Calibri"/>
          <w:sz w:val="24"/>
          <w:szCs w:val="24"/>
        </w:rPr>
        <w:t>[3]</w:t>
      </w:r>
      <w:r w:rsidR="003C17A2" w:rsidRPr="00F36717">
        <w:rPr>
          <w:rFonts w:ascii="Calibri" w:hAnsi="Calibri"/>
          <w:sz w:val="24"/>
          <w:szCs w:val="24"/>
        </w:rPr>
        <w:t xml:space="preserve">.  In Europe, the proportion of men and women </w:t>
      </w:r>
      <w:r w:rsidR="005B47F9" w:rsidRPr="00F36717">
        <w:rPr>
          <w:rFonts w:ascii="Calibri" w:hAnsi="Calibri"/>
          <w:sz w:val="24"/>
          <w:szCs w:val="24"/>
        </w:rPr>
        <w:t xml:space="preserve">age 50 years and older </w:t>
      </w:r>
      <w:r w:rsidR="003C17A2" w:rsidRPr="00F36717">
        <w:rPr>
          <w:rFonts w:ascii="Calibri" w:hAnsi="Calibri"/>
          <w:sz w:val="24"/>
          <w:szCs w:val="24"/>
        </w:rPr>
        <w:t>above this threshold varies little from 11-13</w:t>
      </w:r>
      <w:r w:rsidR="00F36717" w:rsidRPr="00F36717">
        <w:rPr>
          <w:rFonts w:ascii="Calibri" w:hAnsi="Calibri"/>
          <w:sz w:val="24"/>
          <w:szCs w:val="24"/>
        </w:rPr>
        <w:t>%</w:t>
      </w:r>
      <w:r w:rsidR="00DC5574" w:rsidRPr="00F36717">
        <w:rPr>
          <w:rFonts w:ascii="Calibri" w:hAnsi="Calibri"/>
          <w:sz w:val="24"/>
          <w:szCs w:val="24"/>
        </w:rPr>
        <w:t xml:space="preserve"> </w:t>
      </w:r>
      <w:r w:rsidR="007D5CFA" w:rsidRPr="00F36717">
        <w:rPr>
          <w:rFonts w:ascii="Calibri" w:hAnsi="Calibri"/>
          <w:sz w:val="24"/>
          <w:szCs w:val="24"/>
        </w:rPr>
        <w:t>[2]</w:t>
      </w:r>
      <w:r w:rsidR="003C17A2" w:rsidRPr="00F36717">
        <w:rPr>
          <w:rFonts w:ascii="Calibri" w:hAnsi="Calibri"/>
          <w:sz w:val="24"/>
          <w:szCs w:val="24"/>
        </w:rPr>
        <w:t>.</w:t>
      </w:r>
    </w:p>
    <w:p w14:paraId="24838340" w14:textId="60D7D12F" w:rsidR="00A84694" w:rsidRPr="00DB1D7C" w:rsidRDefault="00A84694" w:rsidP="00A84694">
      <w:pPr>
        <w:jc w:val="center"/>
        <w:rPr>
          <w:rFonts w:ascii="Calibri" w:hAnsi="Calibri"/>
          <w:sz w:val="24"/>
          <w:szCs w:val="24"/>
        </w:rPr>
      </w:pPr>
      <w:r w:rsidRPr="00DB1D7C">
        <w:rPr>
          <w:rFonts w:ascii="Calibri" w:hAnsi="Calibri"/>
          <w:noProof/>
          <w:sz w:val="24"/>
          <w:szCs w:val="24"/>
          <w:lang w:eastAsia="en-GB"/>
        </w:rPr>
        <w:lastRenderedPageBreak/>
        <w:drawing>
          <wp:inline distT="0" distB="0" distL="0" distR="0" wp14:anchorId="5280D968" wp14:editId="342142C0">
            <wp:extent cx="4572638" cy="342947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572638" cy="3429479"/>
                    </a:xfrm>
                    <a:prstGeom prst="rect">
                      <a:avLst/>
                    </a:prstGeom>
                  </pic:spPr>
                </pic:pic>
              </a:graphicData>
            </a:graphic>
          </wp:inline>
        </w:drawing>
      </w:r>
    </w:p>
    <w:p w14:paraId="2AAD2211" w14:textId="31EA0EBF" w:rsidR="001A155E" w:rsidRPr="00D878C9" w:rsidRDefault="00A118CD" w:rsidP="007333E7">
      <w:pPr>
        <w:ind w:left="709" w:right="521"/>
        <w:rPr>
          <w:rFonts w:ascii="Calibri" w:hAnsi="Calibri"/>
        </w:rPr>
      </w:pPr>
      <w:r w:rsidRPr="00D878C9">
        <w:rPr>
          <w:rFonts w:ascii="Calibri" w:hAnsi="Calibri"/>
          <w:b/>
        </w:rPr>
        <w:t>Figure</w:t>
      </w:r>
      <w:r w:rsidR="001A155E" w:rsidRPr="00D878C9">
        <w:rPr>
          <w:rFonts w:ascii="Calibri" w:hAnsi="Calibri"/>
          <w:b/>
        </w:rPr>
        <w:t xml:space="preserve"> </w:t>
      </w:r>
      <w:r w:rsidR="00FA1DC5" w:rsidRPr="00D878C9">
        <w:rPr>
          <w:rFonts w:ascii="Calibri" w:hAnsi="Calibri"/>
          <w:b/>
        </w:rPr>
        <w:t>9</w:t>
      </w:r>
      <w:r w:rsidR="001A155E" w:rsidRPr="00D878C9">
        <w:rPr>
          <w:rFonts w:ascii="Calibri" w:hAnsi="Calibri"/>
        </w:rPr>
        <w:t xml:space="preserve"> The 10-year probability of a major osteoporotic fracture by age in women with a prior fracture and no other clinical risk factors in the five major EU countries as </w:t>
      </w:r>
      <w:r w:rsidR="001A155E" w:rsidRPr="00F36717">
        <w:rPr>
          <w:rFonts w:ascii="Calibri" w:hAnsi="Calibri"/>
        </w:rPr>
        <w:t>determined with FRAX (version 3.5). Body mass index was set to 24 kg/m</w:t>
      </w:r>
      <w:r w:rsidR="001A155E" w:rsidRPr="00F36717">
        <w:rPr>
          <w:rFonts w:ascii="Calibri" w:hAnsi="Calibri"/>
          <w:vertAlign w:val="superscript"/>
        </w:rPr>
        <w:t>2</w:t>
      </w:r>
      <w:r w:rsidR="001A155E" w:rsidRPr="00F36717">
        <w:rPr>
          <w:rFonts w:ascii="Calibri" w:hAnsi="Calibri"/>
        </w:rPr>
        <w:t xml:space="preserve"> without BMD </w:t>
      </w:r>
      <w:r w:rsidR="00C32BC5" w:rsidRPr="00F36717">
        <w:rPr>
          <w:rFonts w:ascii="Calibri" w:hAnsi="Calibri"/>
        </w:rPr>
        <w:t>[3]</w:t>
      </w:r>
      <w:r w:rsidR="00F36717" w:rsidRPr="00F36717">
        <w:rPr>
          <w:rFonts w:ascii="Calibri" w:hAnsi="Calibri"/>
        </w:rPr>
        <w:t>,</w:t>
      </w:r>
      <w:r w:rsidR="000D042C" w:rsidRPr="00F36717">
        <w:t xml:space="preserve"> </w:t>
      </w:r>
      <w:r w:rsidR="000D042C" w:rsidRPr="00F36717">
        <w:rPr>
          <w:rFonts w:ascii="Calibri" w:hAnsi="Calibri"/>
        </w:rPr>
        <w:t>with</w:t>
      </w:r>
      <w:r w:rsidR="000D042C" w:rsidRPr="00D878C9">
        <w:rPr>
          <w:rFonts w:ascii="Calibri" w:hAnsi="Calibri"/>
        </w:rPr>
        <w:t xml:space="preserve"> kind permission from Springer Science and Business Media.</w:t>
      </w:r>
    </w:p>
    <w:p w14:paraId="053FE13F" w14:textId="7E8968F7" w:rsidR="001A155E" w:rsidRPr="00DB1D7C" w:rsidRDefault="00F32971" w:rsidP="00402091">
      <w:pPr>
        <w:spacing w:line="276" w:lineRule="auto"/>
        <w:rPr>
          <w:rFonts w:ascii="Calibri" w:hAnsi="Calibri"/>
          <w:sz w:val="24"/>
          <w:szCs w:val="24"/>
        </w:rPr>
      </w:pPr>
      <w:r w:rsidRPr="00DB1D7C">
        <w:rPr>
          <w:rFonts w:ascii="Calibri" w:hAnsi="Calibri"/>
          <w:sz w:val="24"/>
          <w:szCs w:val="24"/>
        </w:rPr>
        <w:t>Several independent research studies have examined age-dependent intervention threshold</w:t>
      </w:r>
      <w:r w:rsidR="00497633" w:rsidRPr="00DB1D7C">
        <w:rPr>
          <w:rFonts w:ascii="Calibri" w:hAnsi="Calibri"/>
          <w:sz w:val="24"/>
          <w:szCs w:val="24"/>
        </w:rPr>
        <w:t xml:space="preserve">s </w:t>
      </w:r>
      <w:r w:rsidRPr="00DB1D7C">
        <w:rPr>
          <w:rFonts w:ascii="Calibri" w:hAnsi="Calibri"/>
          <w:sz w:val="24"/>
          <w:szCs w:val="24"/>
        </w:rPr>
        <w:t>with the use of FRAX and these are briefly reviewed.</w:t>
      </w:r>
    </w:p>
    <w:p w14:paraId="5640FD6B" w14:textId="78464A10" w:rsidR="008207B1" w:rsidRPr="00DB1D7C" w:rsidRDefault="000A0AE1" w:rsidP="00373030">
      <w:pPr>
        <w:spacing w:line="276" w:lineRule="auto"/>
        <w:rPr>
          <w:rFonts w:ascii="Calibri" w:hAnsi="Calibri"/>
          <w:i/>
          <w:sz w:val="24"/>
          <w:szCs w:val="24"/>
        </w:rPr>
      </w:pPr>
      <w:r w:rsidRPr="00DB1D7C">
        <w:rPr>
          <w:rFonts w:ascii="Calibri" w:hAnsi="Calibri"/>
          <w:i/>
          <w:sz w:val="24"/>
          <w:szCs w:val="24"/>
        </w:rPr>
        <w:t>Poland</w:t>
      </w:r>
    </w:p>
    <w:p w14:paraId="7227592E" w14:textId="4A676E62" w:rsidR="000A0AE1" w:rsidRPr="002A1E50" w:rsidRDefault="00E42090" w:rsidP="00373030">
      <w:pPr>
        <w:spacing w:line="276" w:lineRule="auto"/>
        <w:rPr>
          <w:rFonts w:ascii="Calibri" w:hAnsi="Calibri"/>
          <w:sz w:val="24"/>
          <w:szCs w:val="24"/>
        </w:rPr>
      </w:pPr>
      <w:r w:rsidRPr="00F36717">
        <w:rPr>
          <w:rFonts w:ascii="Calibri" w:hAnsi="Calibri"/>
          <w:sz w:val="24"/>
          <w:szCs w:val="24"/>
        </w:rPr>
        <w:t>A comparison of a fixed and age-specific</w:t>
      </w:r>
      <w:r w:rsidR="00E143A9" w:rsidRPr="00F36717">
        <w:rPr>
          <w:rFonts w:ascii="Calibri" w:hAnsi="Calibri"/>
          <w:sz w:val="24"/>
          <w:szCs w:val="24"/>
        </w:rPr>
        <w:t xml:space="preserve"> intervention thresholds </w:t>
      </w:r>
      <w:r w:rsidRPr="00F36717">
        <w:rPr>
          <w:rFonts w:ascii="Calibri" w:hAnsi="Calibri"/>
          <w:sz w:val="24"/>
          <w:szCs w:val="24"/>
        </w:rPr>
        <w:t>was</w:t>
      </w:r>
      <w:r w:rsidR="00E143A9" w:rsidRPr="00F36717">
        <w:rPr>
          <w:rFonts w:ascii="Calibri" w:hAnsi="Calibri"/>
          <w:sz w:val="24"/>
          <w:szCs w:val="24"/>
        </w:rPr>
        <w:t xml:space="preserve"> explored </w:t>
      </w:r>
      <w:r w:rsidR="000A0AE1" w:rsidRPr="00F36717">
        <w:rPr>
          <w:rFonts w:ascii="Calibri" w:hAnsi="Calibri"/>
          <w:sz w:val="24"/>
          <w:szCs w:val="24"/>
        </w:rPr>
        <w:t>in 1608 unselected postmeno</w:t>
      </w:r>
      <w:r w:rsidR="000A0AE1" w:rsidRPr="00F36717">
        <w:rPr>
          <w:rFonts w:ascii="Calibri" w:hAnsi="Calibri"/>
          <w:sz w:val="24"/>
          <w:szCs w:val="24"/>
        </w:rPr>
        <w:softHyphen/>
        <w:t xml:space="preserve">pausal women from </w:t>
      </w:r>
      <w:proofErr w:type="spellStart"/>
      <w:r w:rsidR="000A0AE1" w:rsidRPr="00F36717">
        <w:rPr>
          <w:rFonts w:ascii="Calibri" w:hAnsi="Calibri"/>
          <w:sz w:val="24"/>
          <w:szCs w:val="24"/>
        </w:rPr>
        <w:t>Białystok</w:t>
      </w:r>
      <w:proofErr w:type="spellEnd"/>
      <w:r w:rsidR="000A0AE1" w:rsidRPr="00F36717">
        <w:rPr>
          <w:rFonts w:ascii="Calibri" w:hAnsi="Calibri"/>
          <w:sz w:val="24"/>
          <w:szCs w:val="24"/>
        </w:rPr>
        <w:t>, Poland using the UK version of FRAX</w:t>
      </w:r>
      <w:r w:rsidR="00E143A9" w:rsidRPr="00F36717">
        <w:rPr>
          <w:rFonts w:ascii="Calibri" w:hAnsi="Calibri"/>
          <w:sz w:val="24"/>
          <w:szCs w:val="24"/>
        </w:rPr>
        <w:t xml:space="preserve"> </w:t>
      </w:r>
      <w:r w:rsidR="00C2079F" w:rsidRPr="00F36717">
        <w:rPr>
          <w:rFonts w:ascii="Calibri" w:hAnsi="Calibri"/>
          <w:sz w:val="24"/>
          <w:szCs w:val="24"/>
        </w:rPr>
        <w:t>[89]</w:t>
      </w:r>
      <w:r w:rsidR="000A0AE1" w:rsidRPr="00F36717">
        <w:rPr>
          <w:rFonts w:ascii="Calibri" w:hAnsi="Calibri"/>
          <w:sz w:val="24"/>
          <w:szCs w:val="24"/>
        </w:rPr>
        <w:t xml:space="preserve">. Intervention thresholds were set at fracture probability equal to </w:t>
      </w:r>
      <w:r w:rsidR="00686D56" w:rsidRPr="00F36717">
        <w:rPr>
          <w:rFonts w:ascii="Calibri" w:hAnsi="Calibri"/>
          <w:sz w:val="24"/>
          <w:szCs w:val="24"/>
        </w:rPr>
        <w:t xml:space="preserve">that of </w:t>
      </w:r>
      <w:r w:rsidR="000A0AE1" w:rsidRPr="00F36717">
        <w:rPr>
          <w:rFonts w:ascii="Calibri" w:hAnsi="Calibri"/>
          <w:sz w:val="24"/>
          <w:szCs w:val="24"/>
        </w:rPr>
        <w:t xml:space="preserve">women with a </w:t>
      </w:r>
      <w:r w:rsidR="00F8611D" w:rsidRPr="00F36717">
        <w:rPr>
          <w:rFonts w:ascii="Calibri" w:hAnsi="Calibri"/>
          <w:sz w:val="24"/>
          <w:szCs w:val="24"/>
        </w:rPr>
        <w:t>BMD</w:t>
      </w:r>
      <w:r w:rsidR="000A0AE1" w:rsidRPr="00F36717">
        <w:rPr>
          <w:rFonts w:ascii="Calibri" w:hAnsi="Calibri"/>
          <w:sz w:val="24"/>
          <w:szCs w:val="24"/>
        </w:rPr>
        <w:t xml:space="preserve"> T</w:t>
      </w:r>
      <w:r w:rsidR="000A0AE1" w:rsidRPr="00F36717">
        <w:rPr>
          <w:rFonts w:ascii="Calibri" w:hAnsi="Calibri"/>
          <w:sz w:val="24"/>
          <w:szCs w:val="24"/>
        </w:rPr>
        <w:noBreakHyphen/>
        <w:t xml:space="preserve">score </w:t>
      </w:r>
      <w:r w:rsidR="00536B81" w:rsidRPr="00F36717">
        <w:rPr>
          <w:rFonts w:ascii="Calibri" w:hAnsi="Calibri"/>
          <w:sz w:val="24"/>
          <w:szCs w:val="24"/>
        </w:rPr>
        <w:t>of –</w:t>
      </w:r>
      <w:r w:rsidR="000A0AE1" w:rsidRPr="00F36717">
        <w:rPr>
          <w:rFonts w:ascii="Calibri" w:hAnsi="Calibri"/>
          <w:sz w:val="24"/>
          <w:szCs w:val="24"/>
        </w:rPr>
        <w:t>2.5 standard deviation</w:t>
      </w:r>
      <w:r w:rsidR="00686D56" w:rsidRPr="00F36717">
        <w:rPr>
          <w:rFonts w:ascii="Calibri" w:hAnsi="Calibri"/>
          <w:sz w:val="24"/>
          <w:szCs w:val="24"/>
        </w:rPr>
        <w:t>s</w:t>
      </w:r>
      <w:r w:rsidR="00E143A9" w:rsidRPr="00F36717">
        <w:rPr>
          <w:rFonts w:ascii="Calibri" w:hAnsi="Calibri"/>
          <w:sz w:val="24"/>
          <w:szCs w:val="24"/>
        </w:rPr>
        <w:t xml:space="preserve"> irrespective of age</w:t>
      </w:r>
      <w:r w:rsidR="000A0AE1" w:rsidRPr="00F36717">
        <w:rPr>
          <w:rFonts w:ascii="Calibri" w:hAnsi="Calibri"/>
          <w:sz w:val="24"/>
          <w:szCs w:val="24"/>
        </w:rPr>
        <w:t xml:space="preserve"> (</w:t>
      </w:r>
      <w:r w:rsidR="00F8611D" w:rsidRPr="00F36717">
        <w:rPr>
          <w:rFonts w:ascii="Calibri" w:hAnsi="Calibri"/>
          <w:sz w:val="24"/>
          <w:szCs w:val="24"/>
        </w:rPr>
        <w:t>fixed threshold</w:t>
      </w:r>
      <w:r w:rsidR="000A0AE1" w:rsidRPr="00F36717">
        <w:rPr>
          <w:rFonts w:ascii="Calibri" w:hAnsi="Calibri"/>
          <w:sz w:val="24"/>
          <w:szCs w:val="24"/>
        </w:rPr>
        <w:t>)</w:t>
      </w:r>
      <w:r w:rsidR="00E71124" w:rsidRPr="00F36717">
        <w:rPr>
          <w:rFonts w:ascii="Calibri" w:hAnsi="Calibri"/>
          <w:sz w:val="24"/>
          <w:szCs w:val="24"/>
        </w:rPr>
        <w:t xml:space="preserve">, women with a prior fracture (fixed threshold), </w:t>
      </w:r>
      <w:r w:rsidR="00111C94" w:rsidRPr="00F36717">
        <w:rPr>
          <w:rFonts w:ascii="Calibri" w:hAnsi="Calibri"/>
          <w:sz w:val="24"/>
          <w:szCs w:val="24"/>
        </w:rPr>
        <w:t>the</w:t>
      </w:r>
      <w:r w:rsidR="00E71124" w:rsidRPr="00F36717">
        <w:rPr>
          <w:rFonts w:ascii="Calibri" w:hAnsi="Calibri"/>
          <w:sz w:val="24"/>
          <w:szCs w:val="24"/>
        </w:rPr>
        <w:t xml:space="preserve"> combination (fixed threshold)</w:t>
      </w:r>
      <w:r w:rsidR="000A0AE1" w:rsidRPr="00F36717">
        <w:rPr>
          <w:rFonts w:ascii="Calibri" w:hAnsi="Calibri"/>
          <w:sz w:val="24"/>
          <w:szCs w:val="24"/>
        </w:rPr>
        <w:t xml:space="preserve"> or an age</w:t>
      </w:r>
      <w:r w:rsidR="000A0AE1" w:rsidRPr="00F36717">
        <w:rPr>
          <w:rFonts w:ascii="Calibri" w:hAnsi="Calibri"/>
          <w:sz w:val="24"/>
          <w:szCs w:val="24"/>
        </w:rPr>
        <w:noBreakHyphen/>
        <w:t xml:space="preserve">dependent threshold. </w:t>
      </w:r>
      <w:r w:rsidR="00E143A9" w:rsidRPr="00F36717">
        <w:rPr>
          <w:rFonts w:ascii="Calibri" w:hAnsi="Calibri"/>
          <w:sz w:val="24"/>
          <w:szCs w:val="24"/>
        </w:rPr>
        <w:t xml:space="preserve"> </w:t>
      </w:r>
      <w:r w:rsidR="00F8611D" w:rsidRPr="00F36717">
        <w:rPr>
          <w:rFonts w:ascii="Calibri" w:hAnsi="Calibri"/>
          <w:sz w:val="24"/>
          <w:szCs w:val="24"/>
        </w:rPr>
        <w:t xml:space="preserve">As expected, </w:t>
      </w:r>
      <w:r w:rsidR="00E71124" w:rsidRPr="00F36717">
        <w:rPr>
          <w:rFonts w:ascii="Calibri" w:hAnsi="Calibri"/>
          <w:sz w:val="24"/>
          <w:szCs w:val="24"/>
        </w:rPr>
        <w:t>all</w:t>
      </w:r>
      <w:r w:rsidR="00F8611D" w:rsidRPr="00F36717">
        <w:rPr>
          <w:rFonts w:ascii="Calibri" w:hAnsi="Calibri"/>
          <w:sz w:val="24"/>
          <w:szCs w:val="24"/>
        </w:rPr>
        <w:t xml:space="preserve"> scenarios were more efficient than no threshold (Table </w:t>
      </w:r>
      <w:r w:rsidR="000305D7" w:rsidRPr="00F36717">
        <w:rPr>
          <w:rFonts w:ascii="Calibri" w:hAnsi="Calibri"/>
          <w:sz w:val="24"/>
          <w:szCs w:val="24"/>
        </w:rPr>
        <w:t>7</w:t>
      </w:r>
      <w:r w:rsidR="00F8611D" w:rsidRPr="00F36717">
        <w:rPr>
          <w:rFonts w:ascii="Calibri" w:hAnsi="Calibri"/>
          <w:sz w:val="24"/>
          <w:szCs w:val="24"/>
        </w:rPr>
        <w:t>).  Compared to the fixed threshold, the age</w:t>
      </w:r>
      <w:r w:rsidR="00C547C5" w:rsidRPr="00F36717">
        <w:rPr>
          <w:rFonts w:ascii="Calibri" w:hAnsi="Calibri"/>
          <w:sz w:val="24"/>
          <w:szCs w:val="24"/>
        </w:rPr>
        <w:t>-</w:t>
      </w:r>
      <w:r w:rsidR="00F8611D" w:rsidRPr="00F36717">
        <w:rPr>
          <w:rFonts w:ascii="Calibri" w:hAnsi="Calibri"/>
          <w:sz w:val="24"/>
          <w:szCs w:val="24"/>
        </w:rPr>
        <w:t xml:space="preserve">dependent threshold identified fewer women but at higher risk thereby increasing the dividends of intervention. </w:t>
      </w:r>
      <w:r w:rsidR="00F32971" w:rsidRPr="00F36717">
        <w:rPr>
          <w:rFonts w:ascii="Calibri" w:hAnsi="Calibri"/>
          <w:sz w:val="24"/>
          <w:szCs w:val="24"/>
        </w:rPr>
        <w:t xml:space="preserve">The Polish Multidisciplinary Osteoporotic Forum, however, elected to use a fixed </w:t>
      </w:r>
      <w:r w:rsidR="00402091" w:rsidRPr="00F36717">
        <w:rPr>
          <w:rFonts w:ascii="Calibri" w:hAnsi="Calibri"/>
          <w:sz w:val="24"/>
          <w:szCs w:val="24"/>
        </w:rPr>
        <w:t xml:space="preserve">probability </w:t>
      </w:r>
      <w:r w:rsidR="00F32971" w:rsidRPr="00F36717">
        <w:rPr>
          <w:rFonts w:ascii="Calibri" w:hAnsi="Calibri"/>
          <w:sz w:val="24"/>
          <w:szCs w:val="24"/>
        </w:rPr>
        <w:t>threshold</w:t>
      </w:r>
      <w:r w:rsidR="00402091" w:rsidRPr="00F36717">
        <w:rPr>
          <w:rFonts w:ascii="Calibri" w:hAnsi="Calibri"/>
          <w:sz w:val="24"/>
          <w:szCs w:val="24"/>
        </w:rPr>
        <w:t xml:space="preserve"> </w:t>
      </w:r>
      <w:r w:rsidR="00F32971" w:rsidRPr="00F36717">
        <w:rPr>
          <w:rFonts w:ascii="Calibri" w:hAnsi="Calibri"/>
          <w:sz w:val="24"/>
          <w:szCs w:val="24"/>
        </w:rPr>
        <w:t>of 10</w:t>
      </w:r>
      <w:r w:rsidR="00DC5574" w:rsidRPr="00F36717">
        <w:rPr>
          <w:rFonts w:ascii="Calibri" w:hAnsi="Calibri"/>
          <w:sz w:val="24"/>
          <w:szCs w:val="24"/>
        </w:rPr>
        <w:t xml:space="preserve"> </w:t>
      </w:r>
      <w:r w:rsidR="00F32971" w:rsidRPr="00F36717">
        <w:rPr>
          <w:rFonts w:ascii="Calibri" w:hAnsi="Calibri"/>
          <w:sz w:val="24"/>
          <w:szCs w:val="24"/>
        </w:rPr>
        <w:t>%</w:t>
      </w:r>
      <w:r w:rsidR="00402091" w:rsidRPr="00F36717">
        <w:rPr>
          <w:rFonts w:ascii="Calibri" w:hAnsi="Calibri"/>
          <w:sz w:val="24"/>
          <w:szCs w:val="24"/>
        </w:rPr>
        <w:t xml:space="preserve"> </w:t>
      </w:r>
      <w:r w:rsidR="00F36717">
        <w:rPr>
          <w:rFonts w:ascii="Calibri" w:hAnsi="Calibri"/>
          <w:sz w:val="24"/>
          <w:szCs w:val="24"/>
        </w:rPr>
        <w:t>a</w:t>
      </w:r>
      <w:r w:rsidR="00D878C9" w:rsidRPr="00F36717">
        <w:rPr>
          <w:rFonts w:ascii="Calibri" w:hAnsi="Calibri"/>
          <w:sz w:val="24"/>
          <w:szCs w:val="24"/>
        </w:rPr>
        <w:t xml:space="preserve"> [92]</w:t>
      </w:r>
      <w:r w:rsidR="00373030" w:rsidRPr="00F36717">
        <w:rPr>
          <w:rFonts w:ascii="Calibri" w:hAnsi="Calibri"/>
          <w:sz w:val="24"/>
          <w:szCs w:val="24"/>
        </w:rPr>
        <w:t>, close</w:t>
      </w:r>
      <w:r w:rsidR="00402091" w:rsidRPr="00F36717">
        <w:rPr>
          <w:rFonts w:ascii="Calibri" w:hAnsi="Calibri"/>
          <w:sz w:val="24"/>
          <w:szCs w:val="24"/>
        </w:rPr>
        <w:t xml:space="preserve"> to the threshold </w:t>
      </w:r>
      <w:r w:rsidR="000305D7" w:rsidRPr="00F36717">
        <w:rPr>
          <w:rFonts w:ascii="Calibri" w:hAnsi="Calibri"/>
          <w:sz w:val="24"/>
          <w:szCs w:val="24"/>
        </w:rPr>
        <w:t>derived from</w:t>
      </w:r>
      <w:r w:rsidR="00402091" w:rsidRPr="00F36717">
        <w:rPr>
          <w:rFonts w:ascii="Calibri" w:hAnsi="Calibri"/>
          <w:sz w:val="24"/>
          <w:szCs w:val="24"/>
        </w:rPr>
        <w:t xml:space="preserve"> a fixed BMD T-score of -2.5 SD (11.6</w:t>
      </w:r>
      <w:r w:rsidR="00DC5574" w:rsidRPr="00F36717">
        <w:rPr>
          <w:rFonts w:ascii="Calibri" w:hAnsi="Calibri"/>
          <w:sz w:val="24"/>
          <w:szCs w:val="24"/>
        </w:rPr>
        <w:t xml:space="preserve"> </w:t>
      </w:r>
      <w:r w:rsidR="00887C06" w:rsidRPr="00F36717">
        <w:rPr>
          <w:rFonts w:ascii="Calibri" w:hAnsi="Calibri"/>
          <w:sz w:val="24"/>
          <w:szCs w:val="24"/>
        </w:rPr>
        <w:t xml:space="preserve">% </w:t>
      </w:r>
      <w:r w:rsidR="00C2079F" w:rsidRPr="00F36717">
        <w:rPr>
          <w:rFonts w:ascii="Calibri" w:hAnsi="Calibri"/>
          <w:sz w:val="24"/>
          <w:szCs w:val="24"/>
        </w:rPr>
        <w:t>[89]</w:t>
      </w:r>
      <w:r w:rsidR="00402091" w:rsidRPr="00F36717">
        <w:rPr>
          <w:rFonts w:ascii="Calibri" w:hAnsi="Calibri"/>
          <w:sz w:val="24"/>
          <w:szCs w:val="24"/>
        </w:rPr>
        <w:t xml:space="preserve">. </w:t>
      </w:r>
    </w:p>
    <w:p w14:paraId="1A7E5AA9" w14:textId="77777777" w:rsidR="00E143A9" w:rsidRPr="002A1E50" w:rsidRDefault="00E143A9" w:rsidP="00E143A9">
      <w:pPr>
        <w:rPr>
          <w:rFonts w:ascii="Calibri" w:hAnsi="Calibri"/>
          <w:b/>
          <w:bCs/>
        </w:rPr>
      </w:pPr>
    </w:p>
    <w:p w14:paraId="557372E9" w14:textId="677D1AC0" w:rsidR="00E143A9" w:rsidRPr="00DB1D7C" w:rsidRDefault="00E143A9" w:rsidP="00E143A9">
      <w:pPr>
        <w:rPr>
          <w:rFonts w:ascii="Calibri" w:hAnsi="Calibri"/>
        </w:rPr>
      </w:pPr>
      <w:r w:rsidRPr="002A1E50">
        <w:rPr>
          <w:rFonts w:ascii="Calibri" w:hAnsi="Calibri"/>
          <w:b/>
          <w:bCs/>
        </w:rPr>
        <w:t xml:space="preserve">Table </w:t>
      </w:r>
      <w:r w:rsidR="000305D7" w:rsidRPr="002A1E50">
        <w:rPr>
          <w:rFonts w:ascii="Calibri" w:hAnsi="Calibri"/>
          <w:b/>
          <w:bCs/>
        </w:rPr>
        <w:t>7.</w:t>
      </w:r>
      <w:r w:rsidRPr="002A1E50">
        <w:rPr>
          <w:rFonts w:ascii="Calibri" w:hAnsi="Calibri"/>
          <w:b/>
          <w:bCs/>
        </w:rPr>
        <w:t xml:space="preserve"> </w:t>
      </w:r>
      <w:r w:rsidRPr="002A1E50">
        <w:rPr>
          <w:rFonts w:ascii="Calibri" w:hAnsi="Calibri"/>
        </w:rPr>
        <w:t xml:space="preserve">The effect of </w:t>
      </w:r>
      <w:r w:rsidR="00483FC4" w:rsidRPr="002A1E50">
        <w:rPr>
          <w:rFonts w:ascii="Calibri" w:hAnsi="Calibri"/>
        </w:rPr>
        <w:t>two</w:t>
      </w:r>
      <w:r w:rsidRPr="002A1E50">
        <w:rPr>
          <w:rFonts w:ascii="Calibri" w:hAnsi="Calibri"/>
        </w:rPr>
        <w:t xml:space="preserve"> different</w:t>
      </w:r>
      <w:r w:rsidRPr="00DB1D7C">
        <w:rPr>
          <w:rFonts w:ascii="Calibri" w:hAnsi="Calibri"/>
        </w:rPr>
        <w:t xml:space="preserve"> intervention thresholds in postmenopausal women aged 50 years </w:t>
      </w:r>
      <w:r w:rsidR="00C547C5">
        <w:rPr>
          <w:rFonts w:ascii="Calibri" w:hAnsi="Calibri"/>
        </w:rPr>
        <w:t>or</w:t>
      </w:r>
      <w:r w:rsidRPr="00DB1D7C">
        <w:rPr>
          <w:rFonts w:ascii="Calibri" w:hAnsi="Calibri"/>
        </w:rPr>
        <w:t xml:space="preserve"> older</w:t>
      </w:r>
      <w:r w:rsidR="002A5422">
        <w:rPr>
          <w:rFonts w:ascii="Calibri" w:hAnsi="Calibri"/>
        </w:rPr>
        <w:t>.</w:t>
      </w:r>
      <w:r w:rsidRPr="00DB1D7C">
        <w:rPr>
          <w:rFonts w:ascii="Calibri" w:hAnsi="Calibri"/>
        </w:rPr>
        <w:t xml:space="preserve"> </w:t>
      </w:r>
      <w:r w:rsidR="00483FC4" w:rsidRPr="00DB1D7C">
        <w:rPr>
          <w:rFonts w:ascii="Calibri" w:hAnsi="Calibri"/>
        </w:rPr>
        <w:t xml:space="preserve"> The fixed threshold was the average fracture</w:t>
      </w:r>
      <w:r w:rsidR="00686D56">
        <w:rPr>
          <w:rFonts w:ascii="Calibri" w:hAnsi="Calibri"/>
        </w:rPr>
        <w:t xml:space="preserve"> probability</w:t>
      </w:r>
      <w:r w:rsidR="00483FC4" w:rsidRPr="00DB1D7C">
        <w:rPr>
          <w:rFonts w:ascii="Calibri" w:hAnsi="Calibri"/>
        </w:rPr>
        <w:t xml:space="preserve"> </w:t>
      </w:r>
      <w:r w:rsidR="00111C94">
        <w:rPr>
          <w:rFonts w:ascii="Calibri" w:hAnsi="Calibri"/>
        </w:rPr>
        <w:t>in women with a prior fracture</w:t>
      </w:r>
      <w:r w:rsidR="00483FC4" w:rsidRPr="00DB1D7C">
        <w:t xml:space="preserve"> (</w:t>
      </w:r>
      <w:r w:rsidR="00483FC4" w:rsidRPr="00DB1D7C">
        <w:rPr>
          <w:rFonts w:ascii="Calibri" w:hAnsi="Calibri"/>
        </w:rPr>
        <w:t>17.5</w:t>
      </w:r>
      <w:r w:rsidR="00E8657B">
        <w:rPr>
          <w:rFonts w:ascii="Calibri" w:hAnsi="Calibri"/>
        </w:rPr>
        <w:t xml:space="preserve"> </w:t>
      </w:r>
      <w:r w:rsidR="00483FC4" w:rsidRPr="00DB1D7C">
        <w:rPr>
          <w:rFonts w:ascii="Calibri" w:hAnsi="Calibri"/>
        </w:rPr>
        <w:t>% probabili</w:t>
      </w:r>
      <w:r w:rsidR="00E42090" w:rsidRPr="00DB1D7C">
        <w:rPr>
          <w:rFonts w:ascii="Calibri" w:hAnsi="Calibri"/>
        </w:rPr>
        <w:t xml:space="preserve">ty of a major </w:t>
      </w:r>
      <w:r w:rsidR="00E42090" w:rsidRPr="00F36717">
        <w:rPr>
          <w:rFonts w:ascii="Calibri" w:hAnsi="Calibri"/>
        </w:rPr>
        <w:t xml:space="preserve">fracture).  The age-specific threshold was set to be equal to </w:t>
      </w:r>
      <w:r w:rsidR="00686D56" w:rsidRPr="00F36717">
        <w:rPr>
          <w:rFonts w:ascii="Calibri" w:hAnsi="Calibri"/>
        </w:rPr>
        <w:t xml:space="preserve">that of </w:t>
      </w:r>
      <w:r w:rsidR="00E42090" w:rsidRPr="00F36717">
        <w:rPr>
          <w:rFonts w:ascii="Calibri" w:hAnsi="Calibri"/>
        </w:rPr>
        <w:t>a woman of the same age with a prior fragility fracture</w:t>
      </w:r>
      <w:r w:rsidR="00F8611D" w:rsidRPr="00F36717">
        <w:rPr>
          <w:rFonts w:ascii="Calibri" w:hAnsi="Calibri"/>
        </w:rPr>
        <w:t xml:space="preserve"> (4-33</w:t>
      </w:r>
      <w:r w:rsidR="00E8657B" w:rsidRPr="00F36717">
        <w:rPr>
          <w:rFonts w:ascii="Calibri" w:hAnsi="Calibri"/>
        </w:rPr>
        <w:t xml:space="preserve"> </w:t>
      </w:r>
      <w:r w:rsidR="00F8611D" w:rsidRPr="00F36717">
        <w:rPr>
          <w:rFonts w:ascii="Calibri" w:hAnsi="Calibri"/>
        </w:rPr>
        <w:t>% depending on age)</w:t>
      </w:r>
      <w:r w:rsidR="00F36717" w:rsidRPr="00F36717">
        <w:rPr>
          <w:rFonts w:ascii="Calibri" w:hAnsi="Calibri"/>
        </w:rPr>
        <w:t>.</w:t>
      </w:r>
      <w:r w:rsidR="00E42090" w:rsidRPr="00F36717">
        <w:rPr>
          <w:rFonts w:ascii="Calibri" w:hAnsi="Calibri"/>
        </w:rPr>
        <w:t xml:space="preserve"> </w:t>
      </w:r>
      <w:r w:rsidR="00F36717" w:rsidRPr="00F36717">
        <w:rPr>
          <w:rFonts w:ascii="Calibri" w:hAnsi="Calibri"/>
        </w:rPr>
        <w:t>A</w:t>
      </w:r>
      <w:r w:rsidR="00E42090" w:rsidRPr="00F36717">
        <w:rPr>
          <w:rFonts w:ascii="Calibri" w:hAnsi="Calibri"/>
        </w:rPr>
        <w:t>dapted from</w:t>
      </w:r>
      <w:r w:rsidR="00C2079F" w:rsidRPr="00F36717">
        <w:rPr>
          <w:rFonts w:ascii="Calibri" w:hAnsi="Calibri"/>
          <w:sz w:val="24"/>
          <w:szCs w:val="24"/>
        </w:rPr>
        <w:t xml:space="preserve"> [89]</w:t>
      </w:r>
      <w:r w:rsidR="00E42090" w:rsidRPr="00F36717">
        <w:rPr>
          <w:rFonts w:ascii="Calibri" w:hAnsi="Calibri"/>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560"/>
        <w:gridCol w:w="1842"/>
        <w:gridCol w:w="1701"/>
      </w:tblGrid>
      <w:tr w:rsidR="00483FC4" w:rsidRPr="00DB1D7C" w14:paraId="5511A96E" w14:textId="77777777" w:rsidTr="00E42090">
        <w:tc>
          <w:tcPr>
            <w:tcW w:w="3969" w:type="dxa"/>
            <w:tcBorders>
              <w:top w:val="single" w:sz="4" w:space="0" w:color="auto"/>
            </w:tcBorders>
          </w:tcPr>
          <w:p w14:paraId="490C31C8" w14:textId="77777777" w:rsidR="00483FC4" w:rsidRPr="00DB1D7C" w:rsidRDefault="00483FC4" w:rsidP="00E143A9">
            <w:pPr>
              <w:spacing w:after="160" w:line="259" w:lineRule="auto"/>
              <w:rPr>
                <w:rFonts w:ascii="Calibri" w:hAnsi="Calibri"/>
              </w:rPr>
            </w:pPr>
          </w:p>
        </w:tc>
        <w:tc>
          <w:tcPr>
            <w:tcW w:w="1560" w:type="dxa"/>
            <w:tcBorders>
              <w:top w:val="single" w:sz="4" w:space="0" w:color="auto"/>
            </w:tcBorders>
          </w:tcPr>
          <w:p w14:paraId="73DE9707" w14:textId="77777777" w:rsidR="00483FC4" w:rsidRPr="00DB1D7C" w:rsidRDefault="00483FC4" w:rsidP="00E42090">
            <w:pPr>
              <w:spacing w:after="160" w:line="259" w:lineRule="auto"/>
              <w:jc w:val="center"/>
              <w:rPr>
                <w:rFonts w:ascii="Calibri" w:hAnsi="Calibri"/>
              </w:rPr>
            </w:pPr>
            <w:r w:rsidRPr="00DB1D7C">
              <w:rPr>
                <w:rFonts w:ascii="Calibri" w:hAnsi="Calibri"/>
              </w:rPr>
              <w:t>No threshold</w:t>
            </w:r>
          </w:p>
        </w:tc>
        <w:tc>
          <w:tcPr>
            <w:tcW w:w="1842" w:type="dxa"/>
            <w:tcBorders>
              <w:top w:val="single" w:sz="4" w:space="0" w:color="auto"/>
            </w:tcBorders>
          </w:tcPr>
          <w:p w14:paraId="3D54CB6C" w14:textId="181B6374" w:rsidR="00483FC4" w:rsidRPr="00DB1D7C" w:rsidRDefault="00483FC4" w:rsidP="00E42090">
            <w:pPr>
              <w:spacing w:after="160" w:line="259" w:lineRule="auto"/>
              <w:jc w:val="center"/>
              <w:rPr>
                <w:rFonts w:ascii="Calibri" w:hAnsi="Calibri"/>
              </w:rPr>
            </w:pPr>
            <w:r w:rsidRPr="00DB1D7C">
              <w:rPr>
                <w:rFonts w:ascii="Calibri" w:hAnsi="Calibri"/>
              </w:rPr>
              <w:t>Fixed threshold</w:t>
            </w:r>
          </w:p>
        </w:tc>
        <w:tc>
          <w:tcPr>
            <w:tcW w:w="1701" w:type="dxa"/>
            <w:tcBorders>
              <w:top w:val="single" w:sz="4" w:space="0" w:color="auto"/>
            </w:tcBorders>
          </w:tcPr>
          <w:p w14:paraId="7B220A09" w14:textId="6BE58BEF" w:rsidR="00483FC4" w:rsidRPr="00DB1D7C" w:rsidRDefault="00483FC4" w:rsidP="00E42090">
            <w:pPr>
              <w:spacing w:after="160" w:line="259" w:lineRule="auto"/>
              <w:jc w:val="center"/>
              <w:rPr>
                <w:rFonts w:ascii="Calibri" w:hAnsi="Calibri"/>
              </w:rPr>
            </w:pPr>
            <w:r w:rsidRPr="00DB1D7C">
              <w:rPr>
                <w:rFonts w:ascii="Calibri" w:hAnsi="Calibri"/>
              </w:rPr>
              <w:t>Age</w:t>
            </w:r>
            <w:r w:rsidR="00E42090" w:rsidRPr="00DB1D7C">
              <w:rPr>
                <w:rFonts w:ascii="Calibri" w:hAnsi="Calibri"/>
              </w:rPr>
              <w:t>-</w:t>
            </w:r>
            <w:r w:rsidRPr="00DB1D7C">
              <w:rPr>
                <w:rFonts w:ascii="Calibri" w:hAnsi="Calibri"/>
              </w:rPr>
              <w:t>dependent</w:t>
            </w:r>
          </w:p>
        </w:tc>
      </w:tr>
      <w:tr w:rsidR="00483FC4" w:rsidRPr="00DB1D7C" w14:paraId="6B6002F5" w14:textId="77777777" w:rsidTr="00111C94">
        <w:tc>
          <w:tcPr>
            <w:tcW w:w="3969" w:type="dxa"/>
            <w:tcBorders>
              <w:bottom w:val="single" w:sz="4" w:space="0" w:color="auto"/>
            </w:tcBorders>
          </w:tcPr>
          <w:p w14:paraId="219DB170" w14:textId="77777777" w:rsidR="00483FC4" w:rsidRPr="00DB1D7C" w:rsidRDefault="00483FC4" w:rsidP="00E143A9">
            <w:pPr>
              <w:spacing w:after="160" w:line="259" w:lineRule="auto"/>
              <w:rPr>
                <w:rFonts w:ascii="Calibri" w:hAnsi="Calibri"/>
              </w:rPr>
            </w:pPr>
            <w:r w:rsidRPr="00DB1D7C">
              <w:rPr>
                <w:rFonts w:ascii="Calibri" w:hAnsi="Calibri"/>
              </w:rPr>
              <w:t>Eligible women</w:t>
            </w:r>
          </w:p>
        </w:tc>
        <w:tc>
          <w:tcPr>
            <w:tcW w:w="1560" w:type="dxa"/>
            <w:tcBorders>
              <w:bottom w:val="single" w:sz="4" w:space="0" w:color="auto"/>
            </w:tcBorders>
            <w:shd w:val="clear" w:color="auto" w:fill="auto"/>
          </w:tcPr>
          <w:p w14:paraId="39ACCC50" w14:textId="77777777" w:rsidR="00483FC4" w:rsidRPr="00DB1D7C" w:rsidRDefault="00483FC4" w:rsidP="00E42090">
            <w:pPr>
              <w:spacing w:after="160" w:line="259" w:lineRule="auto"/>
              <w:jc w:val="center"/>
              <w:rPr>
                <w:rFonts w:ascii="Calibri" w:hAnsi="Calibri"/>
              </w:rPr>
            </w:pPr>
          </w:p>
        </w:tc>
        <w:tc>
          <w:tcPr>
            <w:tcW w:w="1842" w:type="dxa"/>
            <w:tcBorders>
              <w:bottom w:val="single" w:sz="4" w:space="0" w:color="auto"/>
            </w:tcBorders>
            <w:shd w:val="clear" w:color="auto" w:fill="auto"/>
          </w:tcPr>
          <w:p w14:paraId="3526DC80" w14:textId="718871B4" w:rsidR="00483FC4" w:rsidRPr="00DB1D7C" w:rsidRDefault="00111C94" w:rsidP="00E42090">
            <w:pPr>
              <w:spacing w:after="160" w:line="259" w:lineRule="auto"/>
              <w:jc w:val="center"/>
              <w:rPr>
                <w:rFonts w:ascii="Calibri" w:hAnsi="Calibri"/>
              </w:rPr>
            </w:pPr>
            <w:r>
              <w:rPr>
                <w:rFonts w:ascii="Calibri" w:hAnsi="Calibri"/>
              </w:rPr>
              <w:t>Prior fracture</w:t>
            </w:r>
          </w:p>
        </w:tc>
        <w:tc>
          <w:tcPr>
            <w:tcW w:w="1701" w:type="dxa"/>
            <w:tcBorders>
              <w:bottom w:val="single" w:sz="4" w:space="0" w:color="auto"/>
            </w:tcBorders>
            <w:shd w:val="clear" w:color="auto" w:fill="auto"/>
          </w:tcPr>
          <w:p w14:paraId="43D921F0" w14:textId="1EF3AAEE" w:rsidR="00483FC4" w:rsidRPr="00DB1D7C" w:rsidRDefault="00483FC4" w:rsidP="00E42090">
            <w:pPr>
              <w:spacing w:after="160" w:line="259" w:lineRule="auto"/>
              <w:jc w:val="center"/>
              <w:rPr>
                <w:rFonts w:ascii="Calibri" w:hAnsi="Calibri"/>
              </w:rPr>
            </w:pPr>
            <w:r w:rsidRPr="00DB1D7C">
              <w:rPr>
                <w:rFonts w:ascii="Calibri" w:hAnsi="Calibri"/>
              </w:rPr>
              <w:t xml:space="preserve">Prior </w:t>
            </w:r>
            <w:proofErr w:type="spellStart"/>
            <w:r w:rsidRPr="00DB1D7C">
              <w:rPr>
                <w:rFonts w:ascii="Calibri" w:hAnsi="Calibri"/>
              </w:rPr>
              <w:t>fracture</w:t>
            </w:r>
            <w:r w:rsidR="00E42090" w:rsidRPr="00DB1D7C">
              <w:rPr>
                <w:rFonts w:ascii="Calibri" w:hAnsi="Calibri"/>
                <w:vertAlign w:val="superscript"/>
              </w:rPr>
              <w:t>a</w:t>
            </w:r>
            <w:proofErr w:type="spellEnd"/>
          </w:p>
        </w:tc>
      </w:tr>
      <w:tr w:rsidR="00483FC4" w:rsidRPr="00DB1D7C" w14:paraId="66A2A53A" w14:textId="77777777" w:rsidTr="00E42090">
        <w:tc>
          <w:tcPr>
            <w:tcW w:w="3969" w:type="dxa"/>
            <w:tcBorders>
              <w:top w:val="single" w:sz="4" w:space="0" w:color="auto"/>
            </w:tcBorders>
          </w:tcPr>
          <w:p w14:paraId="5D5E53D5" w14:textId="77777777" w:rsidR="00483FC4" w:rsidRPr="00DB1D7C" w:rsidRDefault="00483FC4" w:rsidP="00E143A9">
            <w:pPr>
              <w:spacing w:after="160" w:line="259" w:lineRule="auto"/>
              <w:rPr>
                <w:rFonts w:ascii="Calibri" w:hAnsi="Calibri"/>
              </w:rPr>
            </w:pPr>
            <w:r w:rsidRPr="00DB1D7C">
              <w:rPr>
                <w:rFonts w:ascii="Calibri" w:hAnsi="Calibri"/>
              </w:rPr>
              <w:t>% identified</w:t>
            </w:r>
          </w:p>
        </w:tc>
        <w:tc>
          <w:tcPr>
            <w:tcW w:w="1560" w:type="dxa"/>
            <w:tcBorders>
              <w:top w:val="single" w:sz="4" w:space="0" w:color="auto"/>
            </w:tcBorders>
          </w:tcPr>
          <w:p w14:paraId="06C302B3" w14:textId="77777777" w:rsidR="00483FC4" w:rsidRPr="00DB1D7C" w:rsidRDefault="00483FC4" w:rsidP="00E42090">
            <w:pPr>
              <w:spacing w:after="160" w:line="259" w:lineRule="auto"/>
              <w:jc w:val="center"/>
              <w:rPr>
                <w:rFonts w:ascii="Calibri" w:hAnsi="Calibri"/>
              </w:rPr>
            </w:pPr>
            <w:r w:rsidRPr="00DB1D7C">
              <w:rPr>
                <w:rFonts w:ascii="Calibri" w:hAnsi="Calibri"/>
              </w:rPr>
              <w:t>100</w:t>
            </w:r>
          </w:p>
        </w:tc>
        <w:tc>
          <w:tcPr>
            <w:tcW w:w="1842" w:type="dxa"/>
            <w:tcBorders>
              <w:top w:val="single" w:sz="4" w:space="0" w:color="auto"/>
            </w:tcBorders>
          </w:tcPr>
          <w:p w14:paraId="024B4B39" w14:textId="77777777" w:rsidR="00483FC4" w:rsidRPr="00DB1D7C" w:rsidRDefault="00483FC4" w:rsidP="00E42090">
            <w:pPr>
              <w:spacing w:after="160" w:line="259" w:lineRule="auto"/>
              <w:jc w:val="center"/>
              <w:rPr>
                <w:rFonts w:ascii="Calibri" w:hAnsi="Calibri"/>
              </w:rPr>
            </w:pPr>
            <w:r w:rsidRPr="00DB1D7C">
              <w:rPr>
                <w:rFonts w:ascii="Calibri" w:hAnsi="Calibri"/>
              </w:rPr>
              <w:t>38.5</w:t>
            </w:r>
          </w:p>
        </w:tc>
        <w:tc>
          <w:tcPr>
            <w:tcW w:w="1701" w:type="dxa"/>
            <w:tcBorders>
              <w:top w:val="single" w:sz="4" w:space="0" w:color="auto"/>
            </w:tcBorders>
          </w:tcPr>
          <w:p w14:paraId="701D9586" w14:textId="77777777" w:rsidR="00483FC4" w:rsidRPr="00DB1D7C" w:rsidRDefault="00483FC4" w:rsidP="00E42090">
            <w:pPr>
              <w:spacing w:after="160" w:line="259" w:lineRule="auto"/>
              <w:jc w:val="center"/>
              <w:rPr>
                <w:rFonts w:ascii="Calibri" w:hAnsi="Calibri"/>
              </w:rPr>
            </w:pPr>
            <w:r w:rsidRPr="00DB1D7C">
              <w:rPr>
                <w:rFonts w:ascii="Calibri" w:hAnsi="Calibri"/>
              </w:rPr>
              <w:t>15.5</w:t>
            </w:r>
          </w:p>
        </w:tc>
      </w:tr>
      <w:tr w:rsidR="00483FC4" w:rsidRPr="00DB1D7C" w14:paraId="2319C325" w14:textId="77777777" w:rsidTr="00E42090">
        <w:tc>
          <w:tcPr>
            <w:tcW w:w="3969" w:type="dxa"/>
          </w:tcPr>
          <w:p w14:paraId="08A9843B" w14:textId="77777777" w:rsidR="00483FC4" w:rsidRPr="00DB1D7C" w:rsidRDefault="00483FC4" w:rsidP="00E143A9">
            <w:pPr>
              <w:spacing w:after="160" w:line="259" w:lineRule="auto"/>
              <w:rPr>
                <w:rFonts w:ascii="Calibri" w:hAnsi="Calibri"/>
              </w:rPr>
            </w:pPr>
            <w:r w:rsidRPr="00DB1D7C">
              <w:rPr>
                <w:rFonts w:ascii="Calibri" w:hAnsi="Calibri"/>
              </w:rPr>
              <w:t>Fracture probability, %</w:t>
            </w:r>
            <w:r w:rsidRPr="00DB1D7C">
              <w:rPr>
                <w:rFonts w:ascii="Calibri" w:hAnsi="Calibri"/>
                <w:vertAlign w:val="superscript"/>
              </w:rPr>
              <w:t>c</w:t>
            </w:r>
          </w:p>
        </w:tc>
        <w:tc>
          <w:tcPr>
            <w:tcW w:w="1560" w:type="dxa"/>
          </w:tcPr>
          <w:p w14:paraId="6A427CF5" w14:textId="77777777" w:rsidR="00483FC4" w:rsidRPr="00DB1D7C" w:rsidRDefault="00483FC4" w:rsidP="00E42090">
            <w:pPr>
              <w:spacing w:after="160" w:line="259" w:lineRule="auto"/>
              <w:jc w:val="center"/>
              <w:rPr>
                <w:rFonts w:ascii="Calibri" w:hAnsi="Calibri"/>
              </w:rPr>
            </w:pPr>
            <w:r w:rsidRPr="00DB1D7C">
              <w:rPr>
                <w:rFonts w:ascii="Calibri" w:hAnsi="Calibri"/>
              </w:rPr>
              <w:t>12.3</w:t>
            </w:r>
          </w:p>
        </w:tc>
        <w:tc>
          <w:tcPr>
            <w:tcW w:w="1842" w:type="dxa"/>
          </w:tcPr>
          <w:p w14:paraId="13C0C5AF" w14:textId="77777777" w:rsidR="00483FC4" w:rsidRPr="00DB1D7C" w:rsidRDefault="00483FC4" w:rsidP="00E42090">
            <w:pPr>
              <w:spacing w:after="160" w:line="259" w:lineRule="auto"/>
              <w:jc w:val="center"/>
              <w:rPr>
                <w:rFonts w:ascii="Calibri" w:hAnsi="Calibri"/>
              </w:rPr>
            </w:pPr>
            <w:r w:rsidRPr="00DB1D7C">
              <w:rPr>
                <w:rFonts w:ascii="Calibri" w:hAnsi="Calibri"/>
              </w:rPr>
              <w:t>18.4</w:t>
            </w:r>
          </w:p>
        </w:tc>
        <w:tc>
          <w:tcPr>
            <w:tcW w:w="1701" w:type="dxa"/>
          </w:tcPr>
          <w:p w14:paraId="0CEA98E2" w14:textId="77777777" w:rsidR="00483FC4" w:rsidRPr="00DB1D7C" w:rsidRDefault="00483FC4" w:rsidP="00E42090">
            <w:pPr>
              <w:spacing w:after="160" w:line="259" w:lineRule="auto"/>
              <w:jc w:val="center"/>
              <w:rPr>
                <w:rFonts w:ascii="Calibri" w:hAnsi="Calibri"/>
              </w:rPr>
            </w:pPr>
            <w:r w:rsidRPr="00DB1D7C">
              <w:rPr>
                <w:rFonts w:ascii="Calibri" w:hAnsi="Calibri"/>
              </w:rPr>
              <w:t>23.7</w:t>
            </w:r>
          </w:p>
        </w:tc>
      </w:tr>
      <w:tr w:rsidR="00483FC4" w:rsidRPr="00DB1D7C" w14:paraId="6E0D446C" w14:textId="77777777" w:rsidTr="00E42090">
        <w:tc>
          <w:tcPr>
            <w:tcW w:w="3969" w:type="dxa"/>
          </w:tcPr>
          <w:p w14:paraId="2E6038FC" w14:textId="3E433723" w:rsidR="00483FC4" w:rsidRPr="00DB1D7C" w:rsidRDefault="00483FC4" w:rsidP="00E42090">
            <w:pPr>
              <w:spacing w:after="160" w:line="259" w:lineRule="auto"/>
              <w:rPr>
                <w:rFonts w:ascii="Calibri" w:hAnsi="Calibri"/>
              </w:rPr>
            </w:pPr>
            <w:r w:rsidRPr="00DB1D7C">
              <w:rPr>
                <w:rFonts w:ascii="Calibri" w:hAnsi="Calibri"/>
              </w:rPr>
              <w:t>Expected number of fracture patients in 10 years/1000</w:t>
            </w:r>
            <w:r w:rsidR="00E42090" w:rsidRPr="00DB1D7C">
              <w:rPr>
                <w:rFonts w:ascii="Calibri" w:hAnsi="Calibri"/>
                <w:vertAlign w:val="superscript"/>
              </w:rPr>
              <w:t>b</w:t>
            </w:r>
          </w:p>
        </w:tc>
        <w:tc>
          <w:tcPr>
            <w:tcW w:w="1560" w:type="dxa"/>
          </w:tcPr>
          <w:p w14:paraId="3C76ED85" w14:textId="77777777" w:rsidR="00483FC4" w:rsidRPr="00DB1D7C" w:rsidRDefault="00483FC4" w:rsidP="00E42090">
            <w:pPr>
              <w:spacing w:after="160" w:line="259" w:lineRule="auto"/>
              <w:jc w:val="center"/>
              <w:rPr>
                <w:rFonts w:ascii="Calibri" w:hAnsi="Calibri"/>
              </w:rPr>
            </w:pPr>
            <w:r w:rsidRPr="00DB1D7C">
              <w:rPr>
                <w:rFonts w:ascii="Calibri" w:hAnsi="Calibri"/>
              </w:rPr>
              <w:t>123</w:t>
            </w:r>
          </w:p>
        </w:tc>
        <w:tc>
          <w:tcPr>
            <w:tcW w:w="1842" w:type="dxa"/>
          </w:tcPr>
          <w:p w14:paraId="3982D637" w14:textId="77777777" w:rsidR="00483FC4" w:rsidRPr="00DB1D7C" w:rsidRDefault="00483FC4" w:rsidP="00E42090">
            <w:pPr>
              <w:spacing w:after="160" w:line="259" w:lineRule="auto"/>
              <w:jc w:val="center"/>
              <w:rPr>
                <w:rFonts w:ascii="Calibri" w:hAnsi="Calibri"/>
              </w:rPr>
            </w:pPr>
            <w:r w:rsidRPr="00DB1D7C">
              <w:rPr>
                <w:rFonts w:ascii="Calibri" w:hAnsi="Calibri"/>
              </w:rPr>
              <w:t>184</w:t>
            </w:r>
          </w:p>
        </w:tc>
        <w:tc>
          <w:tcPr>
            <w:tcW w:w="1701" w:type="dxa"/>
          </w:tcPr>
          <w:p w14:paraId="7E81793D" w14:textId="77777777" w:rsidR="00483FC4" w:rsidRPr="00DB1D7C" w:rsidRDefault="00483FC4" w:rsidP="00E42090">
            <w:pPr>
              <w:spacing w:after="160" w:line="259" w:lineRule="auto"/>
              <w:jc w:val="center"/>
              <w:rPr>
                <w:rFonts w:ascii="Calibri" w:hAnsi="Calibri"/>
              </w:rPr>
            </w:pPr>
            <w:r w:rsidRPr="00DB1D7C">
              <w:rPr>
                <w:rFonts w:ascii="Calibri" w:hAnsi="Calibri"/>
              </w:rPr>
              <w:t>237</w:t>
            </w:r>
          </w:p>
        </w:tc>
      </w:tr>
      <w:tr w:rsidR="00483FC4" w:rsidRPr="00DB1D7C" w14:paraId="53B50E58" w14:textId="77777777" w:rsidTr="00E42090">
        <w:tc>
          <w:tcPr>
            <w:tcW w:w="3969" w:type="dxa"/>
          </w:tcPr>
          <w:p w14:paraId="0E06E876" w14:textId="59104E75" w:rsidR="00483FC4" w:rsidRPr="00DB1D7C" w:rsidRDefault="00483FC4" w:rsidP="00E42090">
            <w:pPr>
              <w:spacing w:after="160" w:line="259" w:lineRule="auto"/>
              <w:rPr>
                <w:rFonts w:ascii="Calibri" w:hAnsi="Calibri"/>
              </w:rPr>
            </w:pPr>
            <w:r w:rsidRPr="00DB1D7C">
              <w:rPr>
                <w:rFonts w:ascii="Calibri" w:hAnsi="Calibri"/>
              </w:rPr>
              <w:t>Fractures saved by treatment</w:t>
            </w:r>
            <w:r w:rsidRPr="00DB1D7C">
              <w:rPr>
                <w:rFonts w:ascii="Calibri" w:hAnsi="Calibri"/>
                <w:vertAlign w:val="superscript"/>
              </w:rPr>
              <w:t xml:space="preserve"> </w:t>
            </w:r>
            <w:r w:rsidR="00E42090" w:rsidRPr="00DB1D7C">
              <w:rPr>
                <w:rFonts w:ascii="Calibri" w:hAnsi="Calibri"/>
                <w:vertAlign w:val="superscript"/>
              </w:rPr>
              <w:t>c</w:t>
            </w:r>
          </w:p>
        </w:tc>
        <w:tc>
          <w:tcPr>
            <w:tcW w:w="1560" w:type="dxa"/>
          </w:tcPr>
          <w:p w14:paraId="3A10A8D8" w14:textId="77777777" w:rsidR="00483FC4" w:rsidRPr="00DB1D7C" w:rsidRDefault="00483FC4" w:rsidP="00E42090">
            <w:pPr>
              <w:spacing w:after="160" w:line="259" w:lineRule="auto"/>
              <w:jc w:val="center"/>
              <w:rPr>
                <w:rFonts w:ascii="Calibri" w:hAnsi="Calibri"/>
              </w:rPr>
            </w:pPr>
            <w:r w:rsidRPr="00DB1D7C">
              <w:rPr>
                <w:rFonts w:ascii="Calibri" w:hAnsi="Calibri"/>
              </w:rPr>
              <w:t>36</w:t>
            </w:r>
          </w:p>
        </w:tc>
        <w:tc>
          <w:tcPr>
            <w:tcW w:w="1842" w:type="dxa"/>
          </w:tcPr>
          <w:p w14:paraId="2C2A463B" w14:textId="77777777" w:rsidR="00483FC4" w:rsidRPr="00DB1D7C" w:rsidRDefault="00483FC4" w:rsidP="00E42090">
            <w:pPr>
              <w:spacing w:after="160" w:line="259" w:lineRule="auto"/>
              <w:jc w:val="center"/>
              <w:rPr>
                <w:rFonts w:ascii="Calibri" w:hAnsi="Calibri"/>
              </w:rPr>
            </w:pPr>
            <w:r w:rsidRPr="00DB1D7C">
              <w:rPr>
                <w:rFonts w:ascii="Calibri" w:hAnsi="Calibri"/>
              </w:rPr>
              <w:t>21</w:t>
            </w:r>
          </w:p>
        </w:tc>
        <w:tc>
          <w:tcPr>
            <w:tcW w:w="1701" w:type="dxa"/>
          </w:tcPr>
          <w:p w14:paraId="42270B44" w14:textId="77777777" w:rsidR="00483FC4" w:rsidRPr="00DB1D7C" w:rsidRDefault="00483FC4" w:rsidP="00E42090">
            <w:pPr>
              <w:spacing w:after="160" w:line="259" w:lineRule="auto"/>
              <w:jc w:val="center"/>
              <w:rPr>
                <w:rFonts w:ascii="Calibri" w:hAnsi="Calibri"/>
              </w:rPr>
            </w:pPr>
            <w:r w:rsidRPr="00DB1D7C">
              <w:rPr>
                <w:rFonts w:ascii="Calibri" w:hAnsi="Calibri"/>
              </w:rPr>
              <w:t>11</w:t>
            </w:r>
          </w:p>
        </w:tc>
      </w:tr>
      <w:tr w:rsidR="00483FC4" w:rsidRPr="00DB1D7C" w14:paraId="2FCE6425" w14:textId="77777777" w:rsidTr="00E42090">
        <w:tc>
          <w:tcPr>
            <w:tcW w:w="3969" w:type="dxa"/>
            <w:tcBorders>
              <w:bottom w:val="single" w:sz="4" w:space="0" w:color="auto"/>
            </w:tcBorders>
          </w:tcPr>
          <w:p w14:paraId="63F427E6" w14:textId="77777777" w:rsidR="00483FC4" w:rsidRPr="00DB1D7C" w:rsidRDefault="00483FC4" w:rsidP="00E143A9">
            <w:pPr>
              <w:spacing w:after="160" w:line="259" w:lineRule="auto"/>
              <w:rPr>
                <w:rFonts w:ascii="Calibri" w:hAnsi="Calibri"/>
              </w:rPr>
            </w:pPr>
            <w:r w:rsidRPr="00DB1D7C">
              <w:rPr>
                <w:rFonts w:ascii="Calibri" w:hAnsi="Calibri"/>
              </w:rPr>
              <w:t>Number needed to treat</w:t>
            </w:r>
          </w:p>
        </w:tc>
        <w:tc>
          <w:tcPr>
            <w:tcW w:w="1560" w:type="dxa"/>
            <w:tcBorders>
              <w:bottom w:val="single" w:sz="4" w:space="0" w:color="auto"/>
            </w:tcBorders>
          </w:tcPr>
          <w:p w14:paraId="28AB8BE8" w14:textId="77777777" w:rsidR="00483FC4" w:rsidRPr="00DB1D7C" w:rsidRDefault="00483FC4" w:rsidP="00E42090">
            <w:pPr>
              <w:spacing w:after="160" w:line="259" w:lineRule="auto"/>
              <w:jc w:val="center"/>
              <w:rPr>
                <w:rFonts w:ascii="Calibri" w:hAnsi="Calibri"/>
              </w:rPr>
            </w:pPr>
            <w:r w:rsidRPr="00DB1D7C">
              <w:rPr>
                <w:rFonts w:ascii="Calibri" w:hAnsi="Calibri"/>
              </w:rPr>
              <w:t>27</w:t>
            </w:r>
          </w:p>
        </w:tc>
        <w:tc>
          <w:tcPr>
            <w:tcW w:w="1842" w:type="dxa"/>
            <w:tcBorders>
              <w:bottom w:val="single" w:sz="4" w:space="0" w:color="auto"/>
            </w:tcBorders>
          </w:tcPr>
          <w:p w14:paraId="58230597" w14:textId="77777777" w:rsidR="00483FC4" w:rsidRPr="00DB1D7C" w:rsidRDefault="00483FC4" w:rsidP="00E42090">
            <w:pPr>
              <w:spacing w:after="160" w:line="259" w:lineRule="auto"/>
              <w:jc w:val="center"/>
              <w:rPr>
                <w:rFonts w:ascii="Calibri" w:hAnsi="Calibri"/>
              </w:rPr>
            </w:pPr>
            <w:r w:rsidRPr="00DB1D7C">
              <w:rPr>
                <w:rFonts w:ascii="Calibri" w:hAnsi="Calibri"/>
              </w:rPr>
              <w:t>18</w:t>
            </w:r>
          </w:p>
        </w:tc>
        <w:tc>
          <w:tcPr>
            <w:tcW w:w="1701" w:type="dxa"/>
            <w:tcBorders>
              <w:bottom w:val="single" w:sz="4" w:space="0" w:color="auto"/>
            </w:tcBorders>
          </w:tcPr>
          <w:p w14:paraId="08A96B8D" w14:textId="77777777" w:rsidR="00483FC4" w:rsidRPr="00DB1D7C" w:rsidRDefault="00483FC4" w:rsidP="00E42090">
            <w:pPr>
              <w:spacing w:after="160" w:line="259" w:lineRule="auto"/>
              <w:jc w:val="center"/>
              <w:rPr>
                <w:rFonts w:ascii="Calibri" w:hAnsi="Calibri"/>
              </w:rPr>
            </w:pPr>
            <w:r w:rsidRPr="00DB1D7C">
              <w:rPr>
                <w:rFonts w:ascii="Calibri" w:hAnsi="Calibri"/>
              </w:rPr>
              <w:t>14</w:t>
            </w:r>
          </w:p>
        </w:tc>
      </w:tr>
    </w:tbl>
    <w:p w14:paraId="2C915FC6" w14:textId="338DD2E7" w:rsidR="00E143A9" w:rsidRPr="00DB1D7C" w:rsidRDefault="00E42090" w:rsidP="00E42090">
      <w:pPr>
        <w:spacing w:after="0"/>
        <w:rPr>
          <w:rFonts w:ascii="Calibri" w:hAnsi="Calibri"/>
        </w:rPr>
      </w:pPr>
      <w:proofErr w:type="gramStart"/>
      <w:r w:rsidRPr="00DB1D7C">
        <w:rPr>
          <w:rFonts w:ascii="Calibri" w:hAnsi="Calibri"/>
          <w:vertAlign w:val="superscript"/>
        </w:rPr>
        <w:t>a</w:t>
      </w:r>
      <w:proofErr w:type="gramEnd"/>
      <w:r w:rsidR="00E143A9" w:rsidRPr="00DB1D7C">
        <w:rPr>
          <w:rFonts w:ascii="Calibri" w:hAnsi="Calibri"/>
        </w:rPr>
        <w:t xml:space="preserve"> age</w:t>
      </w:r>
      <w:r w:rsidR="00E143A9" w:rsidRPr="00DB1D7C">
        <w:rPr>
          <w:rFonts w:ascii="Cambria Math" w:hAnsi="Cambria Math" w:cs="Cambria Math"/>
        </w:rPr>
        <w:t>‑</w:t>
      </w:r>
      <w:r w:rsidR="00E143A9" w:rsidRPr="00DB1D7C">
        <w:rPr>
          <w:rFonts w:ascii="Calibri" w:hAnsi="Calibri"/>
        </w:rPr>
        <w:t>dependent thresholds</w:t>
      </w:r>
    </w:p>
    <w:p w14:paraId="60140818" w14:textId="33A7047F" w:rsidR="00E143A9" w:rsidRPr="00DB1D7C" w:rsidRDefault="00E42090" w:rsidP="00E42090">
      <w:pPr>
        <w:spacing w:after="0"/>
        <w:rPr>
          <w:rFonts w:ascii="Calibri" w:hAnsi="Calibri"/>
        </w:rPr>
      </w:pPr>
      <w:proofErr w:type="spellStart"/>
      <w:proofErr w:type="gramStart"/>
      <w:r w:rsidRPr="00DB1D7C">
        <w:rPr>
          <w:rFonts w:ascii="Calibri" w:hAnsi="Calibri"/>
          <w:vertAlign w:val="superscript"/>
        </w:rPr>
        <w:t>b</w:t>
      </w:r>
      <w:r w:rsidR="00E143A9" w:rsidRPr="00DB1D7C">
        <w:rPr>
          <w:rFonts w:ascii="Calibri" w:hAnsi="Calibri"/>
          <w:vertAlign w:val="superscript"/>
        </w:rPr>
        <w:t>c</w:t>
      </w:r>
      <w:proofErr w:type="spellEnd"/>
      <w:proofErr w:type="gramEnd"/>
      <w:r w:rsidR="00E143A9" w:rsidRPr="00DB1D7C">
        <w:rPr>
          <w:rFonts w:ascii="Calibri" w:hAnsi="Calibri"/>
        </w:rPr>
        <w:t xml:space="preserve"> in those eligible for treatment</w:t>
      </w:r>
    </w:p>
    <w:p w14:paraId="7B876066" w14:textId="0633E6D0" w:rsidR="00E143A9" w:rsidRPr="00DB1D7C" w:rsidRDefault="00E42090" w:rsidP="00E42090">
      <w:pPr>
        <w:spacing w:after="0"/>
        <w:rPr>
          <w:rFonts w:ascii="Calibri" w:hAnsi="Calibri"/>
        </w:rPr>
      </w:pPr>
      <w:proofErr w:type="gramStart"/>
      <w:r w:rsidRPr="00DB1D7C">
        <w:rPr>
          <w:rFonts w:ascii="Calibri" w:hAnsi="Calibri"/>
          <w:vertAlign w:val="superscript"/>
        </w:rPr>
        <w:t>c</w:t>
      </w:r>
      <w:proofErr w:type="gramEnd"/>
      <w:r w:rsidR="00E143A9" w:rsidRPr="00DB1D7C">
        <w:rPr>
          <w:rFonts w:ascii="Calibri" w:hAnsi="Calibri"/>
        </w:rPr>
        <w:t xml:space="preserve"> 30</w:t>
      </w:r>
      <w:r w:rsidR="00E8657B">
        <w:rPr>
          <w:rFonts w:ascii="Calibri" w:hAnsi="Calibri"/>
        </w:rPr>
        <w:t xml:space="preserve"> </w:t>
      </w:r>
      <w:r w:rsidR="00E143A9" w:rsidRPr="00DB1D7C">
        <w:rPr>
          <w:rFonts w:ascii="Calibri" w:hAnsi="Calibri"/>
        </w:rPr>
        <w:t>% efficacy (relative risk = 0.7)</w:t>
      </w:r>
    </w:p>
    <w:p w14:paraId="249792FC" w14:textId="77777777" w:rsidR="00AB116B" w:rsidRPr="00DB1D7C" w:rsidRDefault="00AB116B" w:rsidP="000A0AE1">
      <w:pPr>
        <w:rPr>
          <w:rFonts w:ascii="Calibri" w:hAnsi="Calibri"/>
        </w:rPr>
      </w:pPr>
    </w:p>
    <w:p w14:paraId="6C967566" w14:textId="612CF554" w:rsidR="00711DCC" w:rsidRPr="00686D56" w:rsidRDefault="00711DCC" w:rsidP="003C17A2">
      <w:pPr>
        <w:spacing w:line="276" w:lineRule="auto"/>
        <w:rPr>
          <w:i/>
          <w:sz w:val="24"/>
          <w:szCs w:val="24"/>
        </w:rPr>
      </w:pPr>
      <w:r w:rsidRPr="00686D56">
        <w:rPr>
          <w:i/>
          <w:sz w:val="24"/>
          <w:szCs w:val="24"/>
        </w:rPr>
        <w:t>Australia</w:t>
      </w:r>
    </w:p>
    <w:p w14:paraId="4B03DF08" w14:textId="45782D3D" w:rsidR="005842F0" w:rsidRPr="00686D56" w:rsidRDefault="005842F0" w:rsidP="005842F0">
      <w:pPr>
        <w:rPr>
          <w:sz w:val="24"/>
          <w:szCs w:val="24"/>
        </w:rPr>
      </w:pPr>
      <w:r w:rsidRPr="00686D56">
        <w:rPr>
          <w:sz w:val="24"/>
          <w:szCs w:val="24"/>
        </w:rPr>
        <w:t xml:space="preserve">An age-dependent threshold has been explored in Australia using a large cohort of men and women who were randomly selected participants from the database of Australia's universal health insurance provider (Medicare </w:t>
      </w:r>
      <w:r w:rsidRPr="00F36717">
        <w:rPr>
          <w:sz w:val="24"/>
          <w:szCs w:val="24"/>
        </w:rPr>
        <w:t xml:space="preserve">Australia) </w:t>
      </w:r>
      <w:r w:rsidR="00D878C9" w:rsidRPr="00F36717">
        <w:rPr>
          <w:sz w:val="24"/>
          <w:szCs w:val="24"/>
        </w:rPr>
        <w:t>[146]</w:t>
      </w:r>
      <w:r w:rsidRPr="00F36717">
        <w:rPr>
          <w:sz w:val="24"/>
          <w:szCs w:val="24"/>
        </w:rPr>
        <w:t>.</w:t>
      </w:r>
      <w:r w:rsidRPr="00686D56">
        <w:rPr>
          <w:sz w:val="24"/>
          <w:szCs w:val="24"/>
        </w:rPr>
        <w:t xml:space="preserve">   A comparison was made of the number of men and women who would be eligible for treatment following the NOGG approach (i.e. age-dependent thresholds using the Australian FRAX model), the NOF thresholds (&gt;3</w:t>
      </w:r>
      <w:r w:rsidR="00E8657B" w:rsidRPr="00686D56">
        <w:rPr>
          <w:sz w:val="24"/>
          <w:szCs w:val="24"/>
        </w:rPr>
        <w:t xml:space="preserve"> </w:t>
      </w:r>
      <w:r w:rsidRPr="00686D56">
        <w:rPr>
          <w:sz w:val="24"/>
          <w:szCs w:val="24"/>
        </w:rPr>
        <w:t>% or &gt;20</w:t>
      </w:r>
      <w:r w:rsidR="00E8657B" w:rsidRPr="00686D56">
        <w:rPr>
          <w:sz w:val="24"/>
          <w:szCs w:val="24"/>
        </w:rPr>
        <w:t xml:space="preserve"> </w:t>
      </w:r>
      <w:r w:rsidRPr="00686D56">
        <w:rPr>
          <w:sz w:val="24"/>
          <w:szCs w:val="24"/>
        </w:rPr>
        <w:t>% probability of hip and major fracture, respectively) and the current guidelines.  The authors suggested that too few men and women fell above these intervention thresholds and proposed age-dependent thresholds based on hip fracture probability.  They were set at ≥3% for men and women age 50–69 years, ≥5</w:t>
      </w:r>
      <w:r w:rsidR="00E8657B" w:rsidRPr="00686D56">
        <w:rPr>
          <w:sz w:val="24"/>
          <w:szCs w:val="24"/>
        </w:rPr>
        <w:t xml:space="preserve"> </w:t>
      </w:r>
      <w:r w:rsidRPr="00686D56">
        <w:rPr>
          <w:sz w:val="24"/>
          <w:szCs w:val="24"/>
        </w:rPr>
        <w:t>% for 70–79 years and ≥7</w:t>
      </w:r>
      <w:r w:rsidR="00E8657B" w:rsidRPr="00686D56">
        <w:rPr>
          <w:sz w:val="24"/>
          <w:szCs w:val="24"/>
        </w:rPr>
        <w:t xml:space="preserve"> </w:t>
      </w:r>
      <w:r w:rsidRPr="00686D56">
        <w:rPr>
          <w:sz w:val="24"/>
          <w:szCs w:val="24"/>
        </w:rPr>
        <w:t xml:space="preserve">% for ≥80 years.  No rationale was offered for the choice other than the alternatives “did not work well in the Australian population”.  </w:t>
      </w:r>
    </w:p>
    <w:p w14:paraId="5C73CA83" w14:textId="4A166B47" w:rsidR="005842F0" w:rsidRPr="00686D56" w:rsidRDefault="005842F0" w:rsidP="005842F0">
      <w:pPr>
        <w:spacing w:line="276" w:lineRule="auto"/>
        <w:rPr>
          <w:i/>
          <w:sz w:val="24"/>
          <w:szCs w:val="24"/>
        </w:rPr>
      </w:pPr>
      <w:r w:rsidRPr="00686D56">
        <w:rPr>
          <w:sz w:val="24"/>
          <w:szCs w:val="24"/>
        </w:rPr>
        <w:t xml:space="preserve">There </w:t>
      </w:r>
      <w:r w:rsidR="00536B81">
        <w:rPr>
          <w:sz w:val="24"/>
          <w:szCs w:val="24"/>
        </w:rPr>
        <w:t>was</w:t>
      </w:r>
      <w:r w:rsidRPr="00686D56">
        <w:rPr>
          <w:sz w:val="24"/>
          <w:szCs w:val="24"/>
        </w:rPr>
        <w:t xml:space="preserve"> a number of limitations in the assessment.  The FRAX tool used was a simplified version based on the number of clinical risk factors.  A prior history of fracture that was used in the analysis comprised fracture in the previous five years.  This would have markedly underestimated the prevalence of a past history of fragility fracture. Thus, a large number of individuals, eligible for treatment under the NOGG or NOF guidelines, would have been missed.  The comparison with the NOF guidelines was unfair in that eligibility for treatment on the basis of FRAX </w:t>
      </w:r>
      <w:r w:rsidR="00536B81">
        <w:rPr>
          <w:sz w:val="24"/>
          <w:szCs w:val="24"/>
        </w:rPr>
        <w:t>was</w:t>
      </w:r>
      <w:r w:rsidRPr="00686D56">
        <w:rPr>
          <w:sz w:val="24"/>
          <w:szCs w:val="24"/>
        </w:rPr>
        <w:t xml:space="preserve"> reserved for individuals with osteopenia and not the whole population over the age of 50 years.</w:t>
      </w:r>
    </w:p>
    <w:p w14:paraId="49895974" w14:textId="73ADEA71" w:rsidR="003D0E7B" w:rsidRPr="00686D56" w:rsidRDefault="003D0E7B" w:rsidP="003C17A2">
      <w:pPr>
        <w:spacing w:line="276" w:lineRule="auto"/>
        <w:rPr>
          <w:i/>
          <w:sz w:val="24"/>
          <w:szCs w:val="24"/>
        </w:rPr>
      </w:pPr>
      <w:r w:rsidRPr="00686D56">
        <w:rPr>
          <w:i/>
          <w:sz w:val="24"/>
          <w:szCs w:val="24"/>
        </w:rPr>
        <w:t>Hong Kong</w:t>
      </w:r>
    </w:p>
    <w:p w14:paraId="0B23B39B" w14:textId="633368FC" w:rsidR="003D0E7B" w:rsidRPr="00686D56" w:rsidRDefault="003D0E7B" w:rsidP="003C17A2">
      <w:pPr>
        <w:spacing w:line="276" w:lineRule="auto"/>
        <w:rPr>
          <w:i/>
          <w:sz w:val="24"/>
          <w:szCs w:val="24"/>
        </w:rPr>
      </w:pPr>
      <w:r w:rsidRPr="00686D56">
        <w:rPr>
          <w:sz w:val="24"/>
          <w:szCs w:val="24"/>
        </w:rPr>
        <w:t>In Hong Kong, the NOF, NOGG and Taiwanese guidelines were compared in a cohort of community-dwelling, ambulatory, postmenopausal women age 40 years or more (mean age 62</w:t>
      </w:r>
      <w:r w:rsidR="00C547C5" w:rsidRPr="00686D56">
        <w:rPr>
          <w:sz w:val="24"/>
          <w:szCs w:val="24"/>
        </w:rPr>
        <w:t xml:space="preserve"> years</w:t>
      </w:r>
      <w:r w:rsidRPr="00686D56">
        <w:rPr>
          <w:sz w:val="24"/>
          <w:szCs w:val="24"/>
        </w:rPr>
        <w:t xml:space="preserve">) and comprised 2261 women followed on average for 4.5 </w:t>
      </w:r>
      <w:r w:rsidRPr="00F36717">
        <w:rPr>
          <w:sz w:val="24"/>
          <w:szCs w:val="24"/>
        </w:rPr>
        <w:t xml:space="preserve">years </w:t>
      </w:r>
      <w:r w:rsidR="00D878C9" w:rsidRPr="00F36717">
        <w:rPr>
          <w:sz w:val="24"/>
          <w:szCs w:val="24"/>
        </w:rPr>
        <w:t>[81]</w:t>
      </w:r>
      <w:r w:rsidRPr="00F36717">
        <w:rPr>
          <w:sz w:val="24"/>
          <w:szCs w:val="24"/>
        </w:rPr>
        <w:t>.  During</w:t>
      </w:r>
      <w:r w:rsidRPr="00686D56">
        <w:rPr>
          <w:sz w:val="24"/>
          <w:szCs w:val="24"/>
        </w:rPr>
        <w:t xml:space="preserve"> the follow-up period, only 106 women sustained a new fracture at the proximal humerus, hip, clinical spine or forearm so that the relative performance characteristics were difficult to </w:t>
      </w:r>
      <w:r w:rsidRPr="00686D56">
        <w:rPr>
          <w:sz w:val="24"/>
          <w:szCs w:val="24"/>
        </w:rPr>
        <w:lastRenderedPageBreak/>
        <w:t xml:space="preserve">compare.  In addition, FRAX was calculated using locally derived T-scores which would bias the findings differently in each guideline.  Overall, the clinical utility index (the product of positive concordance rate and positive predictive value) for the three guidelines was low.  In line with the findings from </w:t>
      </w:r>
      <w:r w:rsidRPr="00F36717">
        <w:rPr>
          <w:sz w:val="24"/>
          <w:szCs w:val="24"/>
        </w:rPr>
        <w:t xml:space="preserve">the UK </w:t>
      </w:r>
      <w:r w:rsidR="00D878C9" w:rsidRPr="00F36717">
        <w:rPr>
          <w:sz w:val="24"/>
          <w:szCs w:val="24"/>
        </w:rPr>
        <w:t>[160]</w:t>
      </w:r>
      <w:r w:rsidRPr="00F36717">
        <w:rPr>
          <w:sz w:val="24"/>
          <w:szCs w:val="24"/>
        </w:rPr>
        <w:t>, the requirement</w:t>
      </w:r>
      <w:r w:rsidRPr="00686D56">
        <w:rPr>
          <w:sz w:val="24"/>
          <w:szCs w:val="24"/>
        </w:rPr>
        <w:t xml:space="preserve"> for BMD testing was lowest for the NOGG approach.  </w:t>
      </w:r>
    </w:p>
    <w:p w14:paraId="39E901F8" w14:textId="570EE38E" w:rsidR="008207B1" w:rsidRPr="00686D56" w:rsidRDefault="008207B1" w:rsidP="003C17A2">
      <w:pPr>
        <w:spacing w:line="276" w:lineRule="auto"/>
        <w:rPr>
          <w:i/>
          <w:sz w:val="24"/>
          <w:szCs w:val="24"/>
        </w:rPr>
      </w:pPr>
      <w:r w:rsidRPr="00686D56">
        <w:rPr>
          <w:i/>
          <w:sz w:val="24"/>
          <w:szCs w:val="24"/>
        </w:rPr>
        <w:t>Japan</w:t>
      </w:r>
    </w:p>
    <w:p w14:paraId="48C0597E" w14:textId="1F556B4F" w:rsidR="003C17A2" w:rsidRPr="00DB1D7C" w:rsidRDefault="00636F68" w:rsidP="003C17A2">
      <w:pPr>
        <w:autoSpaceDE w:val="0"/>
        <w:autoSpaceDN w:val="0"/>
        <w:adjustRightInd w:val="0"/>
        <w:spacing w:after="0" w:line="276" w:lineRule="auto"/>
        <w:rPr>
          <w:rFonts w:cs="MyriadPro-Regular"/>
          <w:sz w:val="24"/>
          <w:szCs w:val="24"/>
        </w:rPr>
      </w:pPr>
      <w:r w:rsidRPr="00DB1D7C">
        <w:rPr>
          <w:rFonts w:cs="MyriadPro-Regular"/>
          <w:sz w:val="24"/>
          <w:szCs w:val="24"/>
        </w:rPr>
        <w:t>As previously discussed, the revision of the Japanese guidelines</w:t>
      </w:r>
      <w:r w:rsidRPr="00DB1D7C">
        <w:rPr>
          <w:sz w:val="24"/>
          <w:szCs w:val="24"/>
        </w:rPr>
        <w:t xml:space="preserve"> by the </w:t>
      </w:r>
      <w:r w:rsidRPr="00DB1D7C">
        <w:rPr>
          <w:rFonts w:cs="MyriadPro-Regular"/>
          <w:sz w:val="24"/>
          <w:szCs w:val="24"/>
        </w:rPr>
        <w:t xml:space="preserve">Japan Osteoporosis Society, Japanese Society for Bone and Mineral Research, and Japan Osteoporosis Foundation opted to use a probability of FRAX for major osteoporotic fracture of 15 % </w:t>
      </w:r>
      <w:r w:rsidR="004D0DA5">
        <w:rPr>
          <w:rFonts w:cs="MyriadPro-Regular"/>
          <w:sz w:val="24"/>
          <w:szCs w:val="24"/>
        </w:rPr>
        <w:t xml:space="preserve">in </w:t>
      </w:r>
      <w:r w:rsidRPr="00DB1D7C">
        <w:rPr>
          <w:rFonts w:cs="MyriadPro-Regular"/>
          <w:sz w:val="24"/>
          <w:szCs w:val="24"/>
        </w:rPr>
        <w:t xml:space="preserve">those subjects without other additional factors, such as low BMD and prior </w:t>
      </w:r>
      <w:r w:rsidRPr="00FA1DC5">
        <w:rPr>
          <w:rFonts w:cs="MyriadPro-Regular"/>
          <w:sz w:val="24"/>
          <w:szCs w:val="24"/>
        </w:rPr>
        <w:t xml:space="preserve">fracture (see </w:t>
      </w:r>
      <w:r w:rsidRPr="00F36717">
        <w:rPr>
          <w:rFonts w:cs="MyriadPro-Regular"/>
          <w:sz w:val="24"/>
          <w:szCs w:val="24"/>
        </w:rPr>
        <w:t>Figure</w:t>
      </w:r>
      <w:r w:rsidR="00ED7286" w:rsidRPr="00F36717">
        <w:rPr>
          <w:rFonts w:cs="MyriadPro-Regular"/>
          <w:sz w:val="24"/>
          <w:szCs w:val="24"/>
        </w:rPr>
        <w:t>2</w:t>
      </w:r>
      <w:r w:rsidRPr="00F36717">
        <w:rPr>
          <w:rFonts w:cs="MyriadPro-Regular"/>
          <w:sz w:val="24"/>
          <w:szCs w:val="24"/>
        </w:rPr>
        <w:t xml:space="preserve">) </w:t>
      </w:r>
      <w:r w:rsidR="008546A7" w:rsidRPr="00F36717">
        <w:rPr>
          <w:rFonts w:ascii="Calibri" w:hAnsi="Calibri"/>
          <w:sz w:val="24"/>
          <w:szCs w:val="24"/>
        </w:rPr>
        <w:t>[31]</w:t>
      </w:r>
      <w:r w:rsidRPr="00F36717">
        <w:rPr>
          <w:rFonts w:cs="MyriadPro-Regular"/>
          <w:sz w:val="24"/>
          <w:szCs w:val="24"/>
        </w:rPr>
        <w:t>.  However</w:t>
      </w:r>
      <w:r w:rsidR="00461094" w:rsidRPr="00F36717">
        <w:rPr>
          <w:rFonts w:cs="MyriadPro-Regular"/>
          <w:sz w:val="24"/>
          <w:szCs w:val="24"/>
        </w:rPr>
        <w:t>, thresholds</w:t>
      </w:r>
      <w:r w:rsidRPr="00F36717">
        <w:rPr>
          <w:rFonts w:cs="MyriadPro-Regular"/>
          <w:sz w:val="24"/>
          <w:szCs w:val="24"/>
        </w:rPr>
        <w:t xml:space="preserve"> of equivalence to BMD</w:t>
      </w:r>
      <w:r w:rsidR="00C547C5" w:rsidRPr="00F36717">
        <w:rPr>
          <w:rFonts w:cs="MyriadPro-Regular"/>
          <w:sz w:val="24"/>
          <w:szCs w:val="24"/>
        </w:rPr>
        <w:t>-</w:t>
      </w:r>
      <w:r w:rsidRPr="00F36717">
        <w:rPr>
          <w:rFonts w:cs="MyriadPro-Regular"/>
          <w:sz w:val="24"/>
          <w:szCs w:val="24"/>
        </w:rPr>
        <w:t xml:space="preserve"> based intervention thresholds also varied with age, ranging from 5 % at the age of 50 years to more than 20 % at the age of 80 years</w:t>
      </w:r>
      <w:r w:rsidR="00461094" w:rsidRPr="00F36717">
        <w:rPr>
          <w:rFonts w:cs="MyriadPro-Regular"/>
          <w:sz w:val="24"/>
          <w:szCs w:val="24"/>
        </w:rPr>
        <w:t xml:space="preserve"> (Figure </w:t>
      </w:r>
      <w:r w:rsidR="00FA1DC5" w:rsidRPr="00F36717">
        <w:rPr>
          <w:rFonts w:cs="MyriadPro-Regular"/>
          <w:sz w:val="24"/>
          <w:szCs w:val="24"/>
        </w:rPr>
        <w:t>10</w:t>
      </w:r>
      <w:r w:rsidR="00461094" w:rsidRPr="00F36717">
        <w:rPr>
          <w:rFonts w:cs="MyriadPro-Regular"/>
          <w:sz w:val="24"/>
          <w:szCs w:val="24"/>
        </w:rPr>
        <w:t xml:space="preserve">) </w:t>
      </w:r>
      <w:r w:rsidR="00D878C9" w:rsidRPr="00F36717">
        <w:rPr>
          <w:rFonts w:cs="MyriadPro-Regular"/>
          <w:sz w:val="24"/>
          <w:szCs w:val="24"/>
        </w:rPr>
        <w:t>[135]</w:t>
      </w:r>
      <w:r w:rsidRPr="00F36717">
        <w:rPr>
          <w:rFonts w:cs="MyriadPro-Regular"/>
          <w:sz w:val="24"/>
          <w:szCs w:val="24"/>
        </w:rPr>
        <w:t xml:space="preserve">. </w:t>
      </w:r>
      <w:r w:rsidR="00461094" w:rsidRPr="00F36717">
        <w:rPr>
          <w:rFonts w:cs="MyriadPro-Regular"/>
          <w:sz w:val="24"/>
          <w:szCs w:val="24"/>
        </w:rPr>
        <w:t xml:space="preserve"> Thus, the 15</w:t>
      </w:r>
      <w:r w:rsidR="00E8657B">
        <w:rPr>
          <w:rFonts w:cs="MyriadPro-Regular"/>
          <w:sz w:val="24"/>
          <w:szCs w:val="24"/>
        </w:rPr>
        <w:t xml:space="preserve"> </w:t>
      </w:r>
      <w:r w:rsidR="00461094" w:rsidRPr="00DB1D7C">
        <w:rPr>
          <w:rFonts w:cs="MyriadPro-Regular"/>
          <w:sz w:val="24"/>
          <w:szCs w:val="24"/>
        </w:rPr>
        <w:t>% fixed threshold was a compromise</w:t>
      </w:r>
      <w:r w:rsidR="00402091" w:rsidRPr="00DB1D7C">
        <w:rPr>
          <w:rFonts w:cs="MyriadPro-Regular"/>
          <w:sz w:val="24"/>
          <w:szCs w:val="24"/>
        </w:rPr>
        <w:t>, possibly driven by the need for simplicity</w:t>
      </w:r>
      <w:r w:rsidR="003C17A2" w:rsidRPr="00DB1D7C">
        <w:rPr>
          <w:rFonts w:cs="MyriadPro-Regular"/>
          <w:sz w:val="24"/>
          <w:szCs w:val="24"/>
        </w:rPr>
        <w:t>.</w:t>
      </w:r>
    </w:p>
    <w:p w14:paraId="32537247" w14:textId="77777777" w:rsidR="003C17A2" w:rsidRPr="00DB1D7C" w:rsidRDefault="003C17A2" w:rsidP="00636F68">
      <w:pPr>
        <w:autoSpaceDE w:val="0"/>
        <w:autoSpaceDN w:val="0"/>
        <w:adjustRightInd w:val="0"/>
        <w:spacing w:after="0" w:line="240" w:lineRule="auto"/>
        <w:rPr>
          <w:rFonts w:cs="MyriadPro-Regular"/>
          <w:sz w:val="24"/>
          <w:szCs w:val="24"/>
        </w:rPr>
      </w:pPr>
    </w:p>
    <w:p w14:paraId="4A9A9348" w14:textId="286C60E7" w:rsidR="008207B1" w:rsidRPr="00DB1D7C" w:rsidRDefault="008207B1" w:rsidP="005B47F9">
      <w:pPr>
        <w:autoSpaceDE w:val="0"/>
        <w:autoSpaceDN w:val="0"/>
        <w:adjustRightInd w:val="0"/>
        <w:spacing w:after="0" w:line="240" w:lineRule="auto"/>
        <w:jc w:val="center"/>
        <w:rPr>
          <w:rFonts w:ascii="Calibri" w:hAnsi="Calibri"/>
          <w:i/>
          <w:sz w:val="24"/>
          <w:szCs w:val="24"/>
        </w:rPr>
      </w:pPr>
      <w:r w:rsidRPr="00DB1D7C">
        <w:rPr>
          <w:rFonts w:ascii="Calibri" w:hAnsi="Calibri"/>
          <w:i/>
          <w:noProof/>
          <w:sz w:val="24"/>
          <w:szCs w:val="24"/>
          <w:lang w:eastAsia="en-GB"/>
        </w:rPr>
        <w:drawing>
          <wp:inline distT="0" distB="0" distL="0" distR="0" wp14:anchorId="52D43493" wp14:editId="03A12118">
            <wp:extent cx="4571999" cy="273367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t="20278"/>
                    <a:stretch/>
                  </pic:blipFill>
                  <pic:spPr bwMode="auto">
                    <a:xfrm>
                      <a:off x="0" y="0"/>
                      <a:ext cx="4572638" cy="2734057"/>
                    </a:xfrm>
                    <a:prstGeom prst="rect">
                      <a:avLst/>
                    </a:prstGeom>
                    <a:ln>
                      <a:noFill/>
                    </a:ln>
                    <a:extLst>
                      <a:ext uri="{53640926-AAD7-44D8-BBD7-CCE9431645EC}">
                        <a14:shadowObscured xmlns:a14="http://schemas.microsoft.com/office/drawing/2010/main"/>
                      </a:ext>
                    </a:extLst>
                  </pic:spPr>
                </pic:pic>
              </a:graphicData>
            </a:graphic>
          </wp:inline>
        </w:drawing>
      </w:r>
    </w:p>
    <w:p w14:paraId="2AEB11DA" w14:textId="5D938633" w:rsidR="008207B1" w:rsidRPr="00DB1D7C" w:rsidRDefault="00A118CD" w:rsidP="005B47F9">
      <w:pPr>
        <w:spacing w:line="240" w:lineRule="auto"/>
        <w:ind w:left="1276" w:right="1655"/>
        <w:rPr>
          <w:rFonts w:ascii="Calibri" w:hAnsi="Calibri"/>
        </w:rPr>
      </w:pPr>
      <w:r w:rsidRPr="00FA1DC5">
        <w:rPr>
          <w:rFonts w:ascii="Calibri" w:hAnsi="Calibri"/>
          <w:b/>
        </w:rPr>
        <w:t>Figure</w:t>
      </w:r>
      <w:r w:rsidR="008207B1" w:rsidRPr="00FA1DC5">
        <w:rPr>
          <w:rFonts w:ascii="Calibri" w:hAnsi="Calibri"/>
          <w:b/>
        </w:rPr>
        <w:t xml:space="preserve"> </w:t>
      </w:r>
      <w:r w:rsidR="00FA1DC5" w:rsidRPr="00FA1DC5">
        <w:rPr>
          <w:rFonts w:ascii="Calibri" w:hAnsi="Calibri"/>
          <w:b/>
        </w:rPr>
        <w:t>10</w:t>
      </w:r>
      <w:r w:rsidR="008207B1" w:rsidRPr="00FA1DC5">
        <w:rPr>
          <w:rFonts w:ascii="Calibri" w:hAnsi="Calibri"/>
        </w:rPr>
        <w:t xml:space="preserve"> Ten</w:t>
      </w:r>
      <w:r w:rsidR="008207B1" w:rsidRPr="00DB1D7C">
        <w:rPr>
          <w:rFonts w:ascii="Calibri" w:hAnsi="Calibri"/>
        </w:rPr>
        <w:t xml:space="preserve">-year probability of osteoporotic (hip, clinical spine, humerus or forearm) and hip fracture based on women at the threshold for the diagnosis of osteoporosis using the criteria of the Japanese Bone Mineral Metabolism </w:t>
      </w:r>
      <w:r w:rsidR="008207B1" w:rsidRPr="00F36717">
        <w:rPr>
          <w:rFonts w:ascii="Calibri" w:hAnsi="Calibri"/>
        </w:rPr>
        <w:t>Association</w:t>
      </w:r>
      <w:r w:rsidR="000D042C" w:rsidRPr="00F36717">
        <w:rPr>
          <w:rFonts w:ascii="Calibri" w:hAnsi="Calibri"/>
        </w:rPr>
        <w:t>.</w:t>
      </w:r>
      <w:r w:rsidR="008207B1" w:rsidRPr="00F36717">
        <w:rPr>
          <w:rFonts w:ascii="Calibri" w:hAnsi="Calibri"/>
        </w:rPr>
        <w:t xml:space="preserve"> </w:t>
      </w:r>
      <w:r w:rsidR="00F36717" w:rsidRPr="00F36717">
        <w:rPr>
          <w:rFonts w:ascii="Calibri" w:hAnsi="Calibri"/>
        </w:rPr>
        <w:t>From</w:t>
      </w:r>
      <w:r w:rsidR="00F36717">
        <w:rPr>
          <w:rFonts w:ascii="Calibri" w:hAnsi="Calibri"/>
        </w:rPr>
        <w:t xml:space="preserve"> </w:t>
      </w:r>
      <w:r w:rsidR="00290506" w:rsidRPr="00F36717">
        <w:rPr>
          <w:rFonts w:ascii="Calibri" w:hAnsi="Calibri"/>
        </w:rPr>
        <w:t>[135]</w:t>
      </w:r>
      <w:r w:rsidR="008207B1" w:rsidRPr="00F36717">
        <w:rPr>
          <w:rFonts w:ascii="Calibri" w:hAnsi="Calibri"/>
        </w:rPr>
        <w:t xml:space="preserve"> </w:t>
      </w:r>
      <w:r w:rsidR="000D042C" w:rsidRPr="00F36717">
        <w:rPr>
          <w:rFonts w:ascii="Calibri" w:hAnsi="Calibri"/>
        </w:rPr>
        <w:t>with</w:t>
      </w:r>
      <w:r w:rsidR="000D042C" w:rsidRPr="00DB1D7C">
        <w:rPr>
          <w:rFonts w:ascii="Calibri" w:hAnsi="Calibri"/>
        </w:rPr>
        <w:t xml:space="preserve"> kind permission from Springer Science and Business Media.</w:t>
      </w:r>
    </w:p>
    <w:p w14:paraId="19D65F65" w14:textId="77777777" w:rsidR="00823219" w:rsidRPr="00DB1D7C" w:rsidRDefault="00823219" w:rsidP="00D6676F">
      <w:pPr>
        <w:spacing w:after="120"/>
        <w:rPr>
          <w:rFonts w:ascii="Calibri" w:hAnsi="Calibri"/>
        </w:rPr>
      </w:pPr>
    </w:p>
    <w:p w14:paraId="2760EDE3" w14:textId="0852600F" w:rsidR="00461094" w:rsidRPr="00DB1D7C" w:rsidRDefault="00461094" w:rsidP="00B602B7">
      <w:pPr>
        <w:spacing w:line="276" w:lineRule="auto"/>
        <w:rPr>
          <w:rFonts w:ascii="Calibri" w:hAnsi="Calibri"/>
          <w:b/>
          <w:sz w:val="24"/>
          <w:szCs w:val="24"/>
        </w:rPr>
      </w:pPr>
      <w:r w:rsidRPr="00DB1D7C">
        <w:rPr>
          <w:rFonts w:ascii="Calibri" w:hAnsi="Calibri"/>
          <w:b/>
          <w:sz w:val="24"/>
          <w:szCs w:val="24"/>
        </w:rPr>
        <w:t>Hybrid intervention thresholds using FRAX</w:t>
      </w:r>
    </w:p>
    <w:p w14:paraId="11EB48EC" w14:textId="20207609" w:rsidR="009E353B" w:rsidRPr="00DB1D7C" w:rsidRDefault="009E353B" w:rsidP="00B602B7">
      <w:pPr>
        <w:spacing w:line="276" w:lineRule="auto"/>
        <w:rPr>
          <w:rFonts w:ascii="Calibri" w:hAnsi="Calibri"/>
          <w:sz w:val="24"/>
          <w:szCs w:val="24"/>
        </w:rPr>
      </w:pPr>
      <w:r w:rsidRPr="00DB1D7C">
        <w:rPr>
          <w:rFonts w:ascii="Calibri" w:hAnsi="Calibri"/>
          <w:sz w:val="24"/>
          <w:szCs w:val="24"/>
        </w:rPr>
        <w:t xml:space="preserve">The hybrid model for intervention adopts both fixed and age-dependent thresholds.  To date, two such models have been </w:t>
      </w:r>
      <w:r w:rsidRPr="00257A16">
        <w:rPr>
          <w:rFonts w:ascii="Calibri" w:hAnsi="Calibri"/>
          <w:sz w:val="24"/>
          <w:szCs w:val="24"/>
        </w:rPr>
        <w:t xml:space="preserve">explored that differ substantially in their approach.  The one from Lebanon uses </w:t>
      </w:r>
      <w:r w:rsidR="00C547C5" w:rsidRPr="00257A16">
        <w:rPr>
          <w:rFonts w:ascii="Calibri" w:hAnsi="Calibri"/>
          <w:sz w:val="24"/>
          <w:szCs w:val="24"/>
        </w:rPr>
        <w:t xml:space="preserve">a </w:t>
      </w:r>
      <w:r w:rsidRPr="00257A16">
        <w:rPr>
          <w:rFonts w:ascii="Calibri" w:hAnsi="Calibri"/>
          <w:sz w:val="24"/>
          <w:szCs w:val="24"/>
        </w:rPr>
        <w:t xml:space="preserve">fixed threshold up to the age of 70 years and an age-dependent threshold over the age of 70 years </w:t>
      </w:r>
      <w:r w:rsidR="00D878C9" w:rsidRPr="00257A16">
        <w:rPr>
          <w:rFonts w:ascii="Calibri" w:hAnsi="Calibri"/>
          <w:sz w:val="24"/>
          <w:szCs w:val="24"/>
        </w:rPr>
        <w:t>[84]</w:t>
      </w:r>
      <w:r w:rsidRPr="00257A16">
        <w:rPr>
          <w:rFonts w:ascii="Calibri" w:hAnsi="Calibri"/>
          <w:sz w:val="24"/>
          <w:szCs w:val="24"/>
        </w:rPr>
        <w:t>.  The other from the UK uses an age</w:t>
      </w:r>
      <w:r w:rsidR="00C547C5" w:rsidRPr="00257A16">
        <w:rPr>
          <w:rFonts w:ascii="Calibri" w:hAnsi="Calibri"/>
          <w:sz w:val="24"/>
          <w:szCs w:val="24"/>
        </w:rPr>
        <w:t>-</w:t>
      </w:r>
      <w:r w:rsidRPr="00257A16">
        <w:rPr>
          <w:rFonts w:ascii="Calibri" w:hAnsi="Calibri"/>
          <w:sz w:val="24"/>
          <w:szCs w:val="24"/>
        </w:rPr>
        <w:t xml:space="preserve"> dependent threshold up to the age of 70 years and fixed threshold over this age </w:t>
      </w:r>
      <w:r w:rsidR="00372AFA" w:rsidRPr="00257A16">
        <w:rPr>
          <w:rFonts w:ascii="Calibri" w:hAnsi="Calibri"/>
          <w:sz w:val="24"/>
          <w:szCs w:val="24"/>
        </w:rPr>
        <w:t>[109]</w:t>
      </w:r>
      <w:r w:rsidRPr="00257A16">
        <w:rPr>
          <w:rFonts w:ascii="Calibri" w:hAnsi="Calibri"/>
          <w:sz w:val="24"/>
          <w:szCs w:val="24"/>
        </w:rPr>
        <w:t xml:space="preserve">. </w:t>
      </w:r>
    </w:p>
    <w:p w14:paraId="0A5939BD" w14:textId="77777777" w:rsidR="009E353B" w:rsidRPr="00DB1D7C" w:rsidRDefault="009E353B" w:rsidP="00B602B7">
      <w:pPr>
        <w:spacing w:line="276" w:lineRule="auto"/>
        <w:rPr>
          <w:rFonts w:ascii="Calibri" w:hAnsi="Calibri"/>
          <w:i/>
          <w:sz w:val="24"/>
          <w:szCs w:val="24"/>
        </w:rPr>
      </w:pPr>
      <w:r w:rsidRPr="00DB1D7C">
        <w:rPr>
          <w:rFonts w:ascii="Calibri" w:hAnsi="Calibri"/>
          <w:i/>
          <w:sz w:val="24"/>
          <w:szCs w:val="24"/>
        </w:rPr>
        <w:lastRenderedPageBreak/>
        <w:t>Lebanon</w:t>
      </w:r>
    </w:p>
    <w:p w14:paraId="1C08BD63" w14:textId="304BBC02" w:rsidR="009E353B" w:rsidRPr="00DB1D7C" w:rsidRDefault="009E353B" w:rsidP="00B602B7">
      <w:pPr>
        <w:spacing w:line="276" w:lineRule="auto"/>
        <w:rPr>
          <w:rFonts w:ascii="Calibri" w:hAnsi="Calibri"/>
          <w:sz w:val="24"/>
          <w:szCs w:val="24"/>
        </w:rPr>
      </w:pPr>
      <w:r w:rsidRPr="00DB1D7C">
        <w:rPr>
          <w:rFonts w:ascii="Calibri" w:hAnsi="Calibri"/>
          <w:sz w:val="24"/>
          <w:szCs w:val="24"/>
        </w:rPr>
        <w:t xml:space="preserve">For the determination of an </w:t>
      </w:r>
      <w:r w:rsidRPr="00257A16">
        <w:rPr>
          <w:rFonts w:ascii="Calibri" w:hAnsi="Calibri"/>
          <w:sz w:val="24"/>
          <w:szCs w:val="24"/>
        </w:rPr>
        <w:t xml:space="preserve">intervention threshold, both a fixed </w:t>
      </w:r>
      <w:r w:rsidR="00521F5C">
        <w:rPr>
          <w:rFonts w:ascii="Calibri" w:hAnsi="Calibri"/>
          <w:sz w:val="24"/>
          <w:szCs w:val="24"/>
        </w:rPr>
        <w:t xml:space="preserve">(20% ten-year probability of a major fracture) </w:t>
      </w:r>
      <w:r w:rsidRPr="00257A16">
        <w:rPr>
          <w:rFonts w:ascii="Calibri" w:hAnsi="Calibri"/>
          <w:sz w:val="24"/>
          <w:szCs w:val="24"/>
        </w:rPr>
        <w:t xml:space="preserve">and an age-dependent </w:t>
      </w:r>
      <w:r w:rsidR="00521F5C">
        <w:rPr>
          <w:rFonts w:ascii="Calibri" w:hAnsi="Calibri"/>
          <w:sz w:val="24"/>
          <w:szCs w:val="24"/>
        </w:rPr>
        <w:t xml:space="preserve">(NOGG-like) </w:t>
      </w:r>
      <w:r w:rsidRPr="00257A16">
        <w:rPr>
          <w:rFonts w:ascii="Calibri" w:hAnsi="Calibri"/>
          <w:sz w:val="24"/>
          <w:szCs w:val="24"/>
        </w:rPr>
        <w:t>intervention threshold model were considered, and a hybrid model finally adopted</w:t>
      </w:r>
      <w:r w:rsidR="00B602B7" w:rsidRPr="00257A16">
        <w:rPr>
          <w:rFonts w:ascii="Calibri" w:hAnsi="Calibri"/>
          <w:sz w:val="24"/>
          <w:szCs w:val="24"/>
        </w:rPr>
        <w:t xml:space="preserve"> </w:t>
      </w:r>
      <w:r w:rsidR="00D878C9" w:rsidRPr="00257A16">
        <w:rPr>
          <w:rFonts w:ascii="Calibri" w:hAnsi="Calibri"/>
          <w:sz w:val="24"/>
          <w:szCs w:val="24"/>
        </w:rPr>
        <w:t>[84]</w:t>
      </w:r>
      <w:r w:rsidR="00B602B7" w:rsidRPr="00257A16">
        <w:rPr>
          <w:rFonts w:ascii="Calibri" w:hAnsi="Calibri"/>
          <w:sz w:val="24"/>
          <w:szCs w:val="24"/>
        </w:rPr>
        <w:t xml:space="preserve">.  </w:t>
      </w:r>
      <w:r w:rsidRPr="00257A16">
        <w:rPr>
          <w:rFonts w:ascii="Calibri" w:hAnsi="Calibri"/>
          <w:sz w:val="24"/>
          <w:szCs w:val="24"/>
        </w:rPr>
        <w:t xml:space="preserve"> </w:t>
      </w:r>
      <w:r w:rsidR="00B602B7" w:rsidRPr="00257A16">
        <w:rPr>
          <w:rFonts w:ascii="Calibri" w:hAnsi="Calibri"/>
          <w:sz w:val="24"/>
          <w:szCs w:val="24"/>
        </w:rPr>
        <w:t>It was considered that application of the NOGG model at the fracture threshold for Lebanon would result in over-treating a large proportion of women at</w:t>
      </w:r>
      <w:r w:rsidR="00B602B7" w:rsidRPr="00DB1D7C">
        <w:rPr>
          <w:rFonts w:ascii="Calibri" w:hAnsi="Calibri"/>
          <w:sz w:val="24"/>
          <w:szCs w:val="24"/>
        </w:rPr>
        <w:t xml:space="preserve"> low risk for fractures (below 10</w:t>
      </w:r>
      <w:r w:rsidR="00E8657B">
        <w:rPr>
          <w:rFonts w:ascii="Calibri" w:hAnsi="Calibri"/>
          <w:sz w:val="24"/>
          <w:szCs w:val="24"/>
        </w:rPr>
        <w:t xml:space="preserve"> </w:t>
      </w:r>
      <w:r w:rsidR="00B602B7" w:rsidRPr="00DB1D7C">
        <w:rPr>
          <w:rFonts w:ascii="Calibri" w:hAnsi="Calibri"/>
          <w:sz w:val="24"/>
          <w:szCs w:val="24"/>
        </w:rPr>
        <w:t>%) up to the age of 70 years.  It also would be too taxing financially at the public health level, as it would treat 25-30</w:t>
      </w:r>
      <w:r w:rsidR="00E8657B">
        <w:rPr>
          <w:rFonts w:ascii="Calibri" w:hAnsi="Calibri"/>
          <w:sz w:val="24"/>
          <w:szCs w:val="24"/>
        </w:rPr>
        <w:t xml:space="preserve"> </w:t>
      </w:r>
      <w:r w:rsidR="00B602B7" w:rsidRPr="00DB1D7C">
        <w:rPr>
          <w:rFonts w:ascii="Calibri" w:hAnsi="Calibri"/>
          <w:sz w:val="24"/>
          <w:szCs w:val="24"/>
        </w:rPr>
        <w:t>% of postmenopausal women, a treatment that is also not without its risks when started at such a young age.  The authors did not define overtreatment.</w:t>
      </w:r>
    </w:p>
    <w:p w14:paraId="0535BB14" w14:textId="40C7F0B3" w:rsidR="009E353B" w:rsidRPr="00DB1D7C" w:rsidRDefault="009E353B" w:rsidP="00B602B7">
      <w:pPr>
        <w:spacing w:line="276" w:lineRule="auto"/>
        <w:rPr>
          <w:rFonts w:ascii="Calibri" w:hAnsi="Calibri"/>
          <w:sz w:val="24"/>
          <w:szCs w:val="24"/>
        </w:rPr>
      </w:pPr>
      <w:r w:rsidRPr="00DB1D7C">
        <w:rPr>
          <w:rFonts w:ascii="Calibri" w:hAnsi="Calibri"/>
          <w:sz w:val="24"/>
          <w:szCs w:val="24"/>
        </w:rPr>
        <w:t>Treatment is recommended with a history of fragility fracture at the spine or hip or the presence of two or more fragility fractures at other sites. For subjects who have not experienced any fragility fracture, the intervention threshold is set at ≥ 10</w:t>
      </w:r>
      <w:r w:rsidR="00E8657B">
        <w:rPr>
          <w:rFonts w:ascii="Calibri" w:hAnsi="Calibri"/>
          <w:sz w:val="24"/>
          <w:szCs w:val="24"/>
        </w:rPr>
        <w:t xml:space="preserve"> </w:t>
      </w:r>
      <w:r w:rsidRPr="00DB1D7C">
        <w:rPr>
          <w:rFonts w:ascii="Calibri" w:hAnsi="Calibri"/>
          <w:sz w:val="24"/>
          <w:szCs w:val="24"/>
        </w:rPr>
        <w:t xml:space="preserve">% for the 10-year probability of a major fracture for individuals up to age 70 years. For individuals above age 70 years, the threshold increases with age: 15% at 75 years, 21% at 80 years, 27% at 85 years, and 30% at 90 </w:t>
      </w:r>
      <w:r w:rsidRPr="00FA1DC5">
        <w:rPr>
          <w:rFonts w:ascii="Calibri" w:hAnsi="Calibri"/>
          <w:sz w:val="24"/>
          <w:szCs w:val="24"/>
        </w:rPr>
        <w:t xml:space="preserve">years (Figure </w:t>
      </w:r>
      <w:r w:rsidR="00FA1DC5" w:rsidRPr="00FA1DC5">
        <w:rPr>
          <w:rFonts w:ascii="Calibri" w:hAnsi="Calibri"/>
          <w:sz w:val="24"/>
          <w:szCs w:val="24"/>
        </w:rPr>
        <w:t>11</w:t>
      </w:r>
      <w:r w:rsidRPr="00FA1DC5">
        <w:rPr>
          <w:rFonts w:ascii="Calibri" w:hAnsi="Calibri"/>
          <w:sz w:val="24"/>
          <w:szCs w:val="24"/>
        </w:rPr>
        <w:t>).</w:t>
      </w:r>
    </w:p>
    <w:p w14:paraId="4D5CA15B" w14:textId="77777777" w:rsidR="00817174" w:rsidRPr="00DB1D7C" w:rsidRDefault="00817174" w:rsidP="00111C94">
      <w:pPr>
        <w:jc w:val="center"/>
        <w:rPr>
          <w:rFonts w:ascii="Calibri" w:hAnsi="Calibri"/>
          <w:sz w:val="24"/>
          <w:szCs w:val="24"/>
        </w:rPr>
      </w:pPr>
      <w:r w:rsidRPr="00DB1D7C">
        <w:rPr>
          <w:rFonts w:ascii="Calibri" w:hAnsi="Calibri"/>
          <w:noProof/>
          <w:sz w:val="32"/>
          <w:szCs w:val="32"/>
          <w:lang w:eastAsia="en-GB"/>
        </w:rPr>
        <w:drawing>
          <wp:inline distT="0" distB="0" distL="0" distR="0" wp14:anchorId="392FDE31" wp14:editId="3CA8E75D">
            <wp:extent cx="4571999" cy="3028950"/>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t="11667"/>
                    <a:stretch/>
                  </pic:blipFill>
                  <pic:spPr bwMode="auto">
                    <a:xfrm>
                      <a:off x="0" y="0"/>
                      <a:ext cx="4572638" cy="3029373"/>
                    </a:xfrm>
                    <a:prstGeom prst="rect">
                      <a:avLst/>
                    </a:prstGeom>
                    <a:ln>
                      <a:noFill/>
                    </a:ln>
                    <a:extLst>
                      <a:ext uri="{53640926-AAD7-44D8-BBD7-CCE9431645EC}">
                        <a14:shadowObscured xmlns:a14="http://schemas.microsoft.com/office/drawing/2010/main"/>
                      </a:ext>
                    </a:extLst>
                  </pic:spPr>
                </pic:pic>
              </a:graphicData>
            </a:graphic>
          </wp:inline>
        </w:drawing>
      </w:r>
    </w:p>
    <w:p w14:paraId="24A21DA3" w14:textId="6FAF7B84" w:rsidR="00817174" w:rsidRPr="00111C94" w:rsidRDefault="00817174" w:rsidP="00111C94">
      <w:pPr>
        <w:ind w:left="993" w:right="804"/>
        <w:rPr>
          <w:rFonts w:ascii="Calibri" w:hAnsi="Calibri"/>
        </w:rPr>
      </w:pPr>
      <w:r w:rsidRPr="00111C94">
        <w:rPr>
          <w:rFonts w:ascii="Calibri" w:hAnsi="Calibri"/>
          <w:b/>
        </w:rPr>
        <w:t xml:space="preserve">Figure </w:t>
      </w:r>
      <w:r w:rsidR="00FA1DC5" w:rsidRPr="00111C94">
        <w:rPr>
          <w:rFonts w:ascii="Calibri" w:hAnsi="Calibri"/>
          <w:b/>
        </w:rPr>
        <w:t>11</w:t>
      </w:r>
      <w:r w:rsidRPr="00111C94">
        <w:rPr>
          <w:rFonts w:ascii="Calibri" w:hAnsi="Calibri"/>
          <w:b/>
        </w:rPr>
        <w:t>.</w:t>
      </w:r>
      <w:r w:rsidRPr="00111C94">
        <w:rPr>
          <w:rFonts w:ascii="Calibri" w:hAnsi="Calibri"/>
        </w:rPr>
        <w:t xml:space="preserve">  Intervention thresholds in Lebanon th</w:t>
      </w:r>
      <w:r w:rsidR="00B602B7" w:rsidRPr="00111C94">
        <w:rPr>
          <w:rFonts w:ascii="Calibri" w:hAnsi="Calibri"/>
        </w:rPr>
        <w:t>a</w:t>
      </w:r>
      <w:r w:rsidRPr="00111C94">
        <w:rPr>
          <w:rFonts w:ascii="Calibri" w:hAnsi="Calibri"/>
        </w:rPr>
        <w:t>t us</w:t>
      </w:r>
      <w:r w:rsidR="00B602B7" w:rsidRPr="00111C94">
        <w:rPr>
          <w:rFonts w:ascii="Calibri" w:hAnsi="Calibri"/>
        </w:rPr>
        <w:t>e</w:t>
      </w:r>
      <w:r w:rsidRPr="00111C94">
        <w:rPr>
          <w:rFonts w:ascii="Calibri" w:hAnsi="Calibri"/>
        </w:rPr>
        <w:t xml:space="preserve"> a fixed threshold up to the age of 70 years and thereafter an age-dependent threshold.</w:t>
      </w:r>
    </w:p>
    <w:p w14:paraId="0B796858" w14:textId="7F735453" w:rsidR="009E353B" w:rsidRPr="00DB1D7C" w:rsidRDefault="00B602B7" w:rsidP="00B602B7">
      <w:pPr>
        <w:spacing w:line="276" w:lineRule="auto"/>
        <w:rPr>
          <w:rFonts w:ascii="Calibri" w:hAnsi="Calibri"/>
          <w:sz w:val="24"/>
          <w:szCs w:val="24"/>
        </w:rPr>
      </w:pPr>
      <w:r w:rsidRPr="00DB1D7C">
        <w:rPr>
          <w:rFonts w:ascii="Calibri" w:hAnsi="Calibri"/>
          <w:sz w:val="24"/>
          <w:szCs w:val="24"/>
        </w:rPr>
        <w:t>Of note is that a</w:t>
      </w:r>
      <w:r w:rsidR="009E353B" w:rsidRPr="00DB1D7C">
        <w:rPr>
          <w:rFonts w:ascii="Calibri" w:hAnsi="Calibri"/>
          <w:sz w:val="24"/>
          <w:szCs w:val="24"/>
        </w:rPr>
        <w:t xml:space="preserve"> BMD T-score ≤ -2.5 SD, in the absence of additional risk factors, is no longer an indication for treatment </w:t>
      </w:r>
      <w:r w:rsidRPr="00DB1D7C">
        <w:rPr>
          <w:rFonts w:ascii="Calibri" w:hAnsi="Calibri"/>
          <w:sz w:val="24"/>
          <w:szCs w:val="24"/>
        </w:rPr>
        <w:t>in</w:t>
      </w:r>
      <w:r w:rsidR="009E353B" w:rsidRPr="00DB1D7C">
        <w:rPr>
          <w:rFonts w:ascii="Calibri" w:hAnsi="Calibri"/>
          <w:sz w:val="24"/>
          <w:szCs w:val="24"/>
        </w:rPr>
        <w:t xml:space="preserve"> itself due to the very low estimated 10-year probability of fracture in such clinical scenarios (the 10-year overall risk of fractures is less than 10</w:t>
      </w:r>
      <w:r w:rsidR="00E8657B">
        <w:rPr>
          <w:rFonts w:ascii="Calibri" w:hAnsi="Calibri"/>
          <w:sz w:val="24"/>
          <w:szCs w:val="24"/>
        </w:rPr>
        <w:t xml:space="preserve"> </w:t>
      </w:r>
      <w:r w:rsidR="009E353B" w:rsidRPr="00DB1D7C">
        <w:rPr>
          <w:rFonts w:ascii="Calibri" w:hAnsi="Calibri"/>
          <w:sz w:val="24"/>
          <w:szCs w:val="24"/>
        </w:rPr>
        <w:t>%, both in women up to age 70 years, and men up to age 90 years).</w:t>
      </w:r>
      <w:r w:rsidR="009E353B" w:rsidRPr="00DB1D7C">
        <w:rPr>
          <w:rFonts w:ascii="Calibri" w:hAnsi="Calibri"/>
          <w:sz w:val="24"/>
          <w:szCs w:val="24"/>
        </w:rPr>
        <w:tab/>
      </w:r>
    </w:p>
    <w:p w14:paraId="17C83B94" w14:textId="658BCBDE" w:rsidR="009E353B" w:rsidRPr="00DB1D7C" w:rsidRDefault="009E353B" w:rsidP="00C1488F">
      <w:pPr>
        <w:spacing w:line="276" w:lineRule="auto"/>
        <w:rPr>
          <w:rFonts w:ascii="Calibri" w:hAnsi="Calibri"/>
          <w:i/>
          <w:sz w:val="24"/>
          <w:szCs w:val="24"/>
        </w:rPr>
      </w:pPr>
      <w:r w:rsidRPr="00DB1D7C">
        <w:rPr>
          <w:rFonts w:ascii="Calibri" w:hAnsi="Calibri"/>
          <w:i/>
          <w:sz w:val="24"/>
          <w:szCs w:val="24"/>
        </w:rPr>
        <w:t>UK</w:t>
      </w:r>
    </w:p>
    <w:p w14:paraId="29CA61B3" w14:textId="70643AFF" w:rsidR="009340A4" w:rsidRPr="00DB1D7C" w:rsidRDefault="00C012FA" w:rsidP="00C1488F">
      <w:pPr>
        <w:spacing w:line="276" w:lineRule="auto"/>
        <w:rPr>
          <w:sz w:val="24"/>
          <w:szCs w:val="24"/>
        </w:rPr>
      </w:pPr>
      <w:r w:rsidRPr="00DB1D7C">
        <w:rPr>
          <w:sz w:val="24"/>
          <w:szCs w:val="24"/>
        </w:rPr>
        <w:t xml:space="preserve">Although NOGG has become well accepted, some anomalies </w:t>
      </w:r>
      <w:r w:rsidR="001207C6" w:rsidRPr="00DB1D7C">
        <w:rPr>
          <w:sz w:val="24"/>
          <w:szCs w:val="24"/>
        </w:rPr>
        <w:t>arise from the sta</w:t>
      </w:r>
      <w:r w:rsidR="00C1488F" w:rsidRPr="00DB1D7C">
        <w:rPr>
          <w:sz w:val="24"/>
          <w:szCs w:val="24"/>
        </w:rPr>
        <w:t>r</w:t>
      </w:r>
      <w:r w:rsidR="001207C6" w:rsidRPr="00DB1D7C">
        <w:rPr>
          <w:sz w:val="24"/>
          <w:szCs w:val="24"/>
        </w:rPr>
        <w:t xml:space="preserve">ting premise that individuals with a prior fragility fracture should be eligible for treatment without the </w:t>
      </w:r>
      <w:r w:rsidR="001207C6" w:rsidRPr="00DB1D7C">
        <w:rPr>
          <w:sz w:val="24"/>
          <w:szCs w:val="24"/>
        </w:rPr>
        <w:lastRenderedPageBreak/>
        <w:t>requirement for a BMD test</w:t>
      </w:r>
      <w:r w:rsidR="00C1488F" w:rsidRPr="00DB1D7C">
        <w:rPr>
          <w:sz w:val="24"/>
          <w:szCs w:val="24"/>
        </w:rPr>
        <w:t xml:space="preserve">. </w:t>
      </w:r>
      <w:r w:rsidRPr="00DB1D7C">
        <w:rPr>
          <w:sz w:val="24"/>
          <w:szCs w:val="24"/>
        </w:rPr>
        <w:t>Although not a prerequisite for the eligibility for treatment, many primary care practitioners undertake a BMD test – sometimes as a baseline to monitor treatment.  When fracture probability is reassessed this may lie below the treatment threshold in some patients (for example in women with a higher than average age-specific BMD).  This may be a source of confusion.  The obverse is also true; namely that those eligible for treatment without a prior fracture have on average higher probabilities than those eligible on the basis of a previous fragility fracture.  Th</w:t>
      </w:r>
      <w:r w:rsidR="009340A4" w:rsidRPr="00DB1D7C">
        <w:rPr>
          <w:sz w:val="24"/>
          <w:szCs w:val="24"/>
        </w:rPr>
        <w:t xml:space="preserve">is inequity, results in a lower sensitivity </w:t>
      </w:r>
      <w:r w:rsidR="009340A4" w:rsidRPr="00257A16">
        <w:rPr>
          <w:sz w:val="24"/>
          <w:szCs w:val="24"/>
        </w:rPr>
        <w:t xml:space="preserve">of the algorithm for individuals without a prior fracture, as previously noted </w:t>
      </w:r>
      <w:r w:rsidR="00290506" w:rsidRPr="00257A16">
        <w:rPr>
          <w:sz w:val="24"/>
          <w:szCs w:val="24"/>
        </w:rPr>
        <w:t>[160]</w:t>
      </w:r>
      <w:r w:rsidR="009340A4" w:rsidRPr="00257A16">
        <w:rPr>
          <w:sz w:val="24"/>
          <w:szCs w:val="24"/>
        </w:rPr>
        <w:t>.  The</w:t>
      </w:r>
      <w:r w:rsidRPr="00257A16">
        <w:rPr>
          <w:sz w:val="24"/>
          <w:szCs w:val="24"/>
        </w:rPr>
        <w:t xml:space="preserve"> inequity is most apparent in the elderly</w:t>
      </w:r>
      <w:r w:rsidR="009340A4" w:rsidRPr="00257A16">
        <w:rPr>
          <w:sz w:val="24"/>
          <w:szCs w:val="24"/>
        </w:rPr>
        <w:t>.  As a mechanism of compensation</w:t>
      </w:r>
      <w:r w:rsidRPr="00257A16">
        <w:rPr>
          <w:sz w:val="24"/>
          <w:szCs w:val="24"/>
        </w:rPr>
        <w:t>, it was proposed that a fixed</w:t>
      </w:r>
      <w:r w:rsidR="009340A4" w:rsidRPr="00257A16">
        <w:rPr>
          <w:sz w:val="24"/>
          <w:szCs w:val="24"/>
        </w:rPr>
        <w:t xml:space="preserve"> intervention</w:t>
      </w:r>
      <w:r w:rsidRPr="00257A16">
        <w:rPr>
          <w:sz w:val="24"/>
          <w:szCs w:val="24"/>
        </w:rPr>
        <w:t xml:space="preserve"> threshold be used at the age of 70 years or more </w:t>
      </w:r>
      <w:r w:rsidR="00372AFA" w:rsidRPr="00257A16">
        <w:rPr>
          <w:rFonts w:ascii="Calibri" w:hAnsi="Calibri"/>
          <w:sz w:val="24"/>
          <w:szCs w:val="24"/>
        </w:rPr>
        <w:t>[109]</w:t>
      </w:r>
      <w:r w:rsidRPr="00257A16">
        <w:rPr>
          <w:sz w:val="24"/>
          <w:szCs w:val="24"/>
        </w:rPr>
        <w:t xml:space="preserve">.  </w:t>
      </w:r>
    </w:p>
    <w:p w14:paraId="062FCDF7" w14:textId="7A637A50" w:rsidR="00C012FA" w:rsidRPr="00DB1D7C" w:rsidRDefault="00C012FA" w:rsidP="00C1488F">
      <w:pPr>
        <w:spacing w:line="276" w:lineRule="auto"/>
        <w:rPr>
          <w:sz w:val="24"/>
          <w:szCs w:val="24"/>
        </w:rPr>
      </w:pPr>
      <w:r w:rsidRPr="00DB1D7C">
        <w:rPr>
          <w:sz w:val="24"/>
          <w:szCs w:val="24"/>
        </w:rPr>
        <w:t>The analysis was based on a simulated population of 50,633 women aged 50-90 years in the UK, with a distribution of risk factors similar to that in the European FRAX derivation cohorts and a UK-matched age distribution.</w:t>
      </w:r>
      <w:r w:rsidR="0011539E" w:rsidRPr="00DB1D7C">
        <w:rPr>
          <w:rFonts w:ascii="Arial" w:eastAsia="MS Mincho" w:hAnsi="Arial" w:cs="Times New Roman"/>
          <w:color w:val="FF0000"/>
          <w:sz w:val="24"/>
          <w:szCs w:val="24"/>
          <w:lang w:eastAsia="ja-JP"/>
        </w:rPr>
        <w:t xml:space="preserve"> </w:t>
      </w:r>
      <w:r w:rsidR="0011539E" w:rsidRPr="00DB1D7C">
        <w:rPr>
          <w:sz w:val="24"/>
          <w:szCs w:val="24"/>
        </w:rPr>
        <w:t>The 5</w:t>
      </w:r>
      <w:r w:rsidR="0011539E" w:rsidRPr="00DB1D7C">
        <w:rPr>
          <w:sz w:val="24"/>
          <w:szCs w:val="24"/>
          <w:vertAlign w:val="superscript"/>
        </w:rPr>
        <w:t>th</w:t>
      </w:r>
      <w:r w:rsidR="0011539E" w:rsidRPr="00DB1D7C">
        <w:rPr>
          <w:sz w:val="24"/>
          <w:szCs w:val="24"/>
        </w:rPr>
        <w:t xml:space="preserve"> percentile of major osteoporotic fracture probability in UK women aged 75 years </w:t>
      </w:r>
      <w:r w:rsidR="00C547C5">
        <w:rPr>
          <w:sz w:val="24"/>
          <w:szCs w:val="24"/>
        </w:rPr>
        <w:t>or</w:t>
      </w:r>
      <w:r w:rsidR="0011539E" w:rsidRPr="00DB1D7C">
        <w:rPr>
          <w:sz w:val="24"/>
          <w:szCs w:val="24"/>
        </w:rPr>
        <w:t xml:space="preserve"> older with prior fracture was 19.2%.  This value approximate</w:t>
      </w:r>
      <w:r w:rsidR="00AA74AB" w:rsidRPr="00DB1D7C">
        <w:rPr>
          <w:sz w:val="24"/>
          <w:szCs w:val="24"/>
        </w:rPr>
        <w:t>d</w:t>
      </w:r>
      <w:r w:rsidR="0011539E" w:rsidRPr="00DB1D7C">
        <w:rPr>
          <w:sz w:val="24"/>
          <w:szCs w:val="24"/>
        </w:rPr>
        <w:t xml:space="preserve"> the mean value of major osteoporotic fracture probability at the age of 70</w:t>
      </w:r>
      <w:r w:rsidR="00AA74AB" w:rsidRPr="00DB1D7C">
        <w:rPr>
          <w:sz w:val="24"/>
          <w:szCs w:val="24"/>
        </w:rPr>
        <w:t xml:space="preserve"> years</w:t>
      </w:r>
      <w:r w:rsidR="0011539E" w:rsidRPr="00DB1D7C">
        <w:rPr>
          <w:sz w:val="24"/>
          <w:szCs w:val="24"/>
        </w:rPr>
        <w:t xml:space="preserve"> (20.3%) so that for ease of translation, a fixed threshold at 20% was chosen from the age of 70 years</w:t>
      </w:r>
      <w:r w:rsidR="00F70C80" w:rsidRPr="00DB1D7C">
        <w:rPr>
          <w:sz w:val="24"/>
          <w:szCs w:val="24"/>
        </w:rPr>
        <w:t>.  The assessment thresholds for BMD testing were</w:t>
      </w:r>
      <w:r w:rsidR="00C1488F" w:rsidRPr="00DB1D7C">
        <w:rPr>
          <w:sz w:val="24"/>
          <w:szCs w:val="24"/>
        </w:rPr>
        <w:t xml:space="preserve"> also fixed from the age of 70 </w:t>
      </w:r>
      <w:r w:rsidR="00C1488F" w:rsidRPr="00FA1DC5">
        <w:rPr>
          <w:sz w:val="24"/>
          <w:szCs w:val="24"/>
        </w:rPr>
        <w:t>years</w:t>
      </w:r>
      <w:r w:rsidR="00F70C80" w:rsidRPr="00FA1DC5">
        <w:rPr>
          <w:sz w:val="24"/>
          <w:szCs w:val="24"/>
        </w:rPr>
        <w:t xml:space="preserve"> (Figure</w:t>
      </w:r>
      <w:r w:rsidR="0032217D" w:rsidRPr="00FA1DC5">
        <w:rPr>
          <w:sz w:val="24"/>
          <w:szCs w:val="24"/>
        </w:rPr>
        <w:t xml:space="preserve"> </w:t>
      </w:r>
      <w:r w:rsidR="00FA1DC5" w:rsidRPr="00FA1DC5">
        <w:rPr>
          <w:sz w:val="24"/>
          <w:szCs w:val="24"/>
        </w:rPr>
        <w:t>12</w:t>
      </w:r>
      <w:r w:rsidR="00F70C80" w:rsidRPr="00FA1DC5">
        <w:rPr>
          <w:sz w:val="24"/>
          <w:szCs w:val="24"/>
        </w:rPr>
        <w:t>)</w:t>
      </w:r>
      <w:r w:rsidR="0011539E" w:rsidRPr="00FA1DC5">
        <w:rPr>
          <w:sz w:val="24"/>
          <w:szCs w:val="24"/>
        </w:rPr>
        <w:t>. The</w:t>
      </w:r>
      <w:r w:rsidR="0011539E" w:rsidRPr="00DB1D7C">
        <w:rPr>
          <w:sz w:val="24"/>
          <w:szCs w:val="24"/>
        </w:rPr>
        <w:t xml:space="preserve"> </w:t>
      </w:r>
      <w:r w:rsidR="00AA74AB" w:rsidRPr="00DB1D7C">
        <w:rPr>
          <w:sz w:val="24"/>
          <w:szCs w:val="24"/>
        </w:rPr>
        <w:t>corresponding</w:t>
      </w:r>
      <w:r w:rsidR="0011539E" w:rsidRPr="00DB1D7C">
        <w:rPr>
          <w:sz w:val="24"/>
          <w:szCs w:val="24"/>
        </w:rPr>
        <w:t xml:space="preserve"> threshold for intervention based on hip fracture probability </w:t>
      </w:r>
      <w:r w:rsidR="00AA74AB" w:rsidRPr="00DB1D7C">
        <w:rPr>
          <w:sz w:val="24"/>
          <w:szCs w:val="24"/>
        </w:rPr>
        <w:t>was</w:t>
      </w:r>
      <w:r w:rsidR="0011539E" w:rsidRPr="00DB1D7C">
        <w:rPr>
          <w:sz w:val="24"/>
          <w:szCs w:val="24"/>
        </w:rPr>
        <w:t xml:space="preserve"> 5.4% at 70 years and was applied to women age 70 years </w:t>
      </w:r>
      <w:r w:rsidR="00C547C5">
        <w:rPr>
          <w:sz w:val="24"/>
          <w:szCs w:val="24"/>
        </w:rPr>
        <w:t>or</w:t>
      </w:r>
      <w:r w:rsidR="0011539E" w:rsidRPr="00DB1D7C">
        <w:rPr>
          <w:sz w:val="24"/>
          <w:szCs w:val="24"/>
        </w:rPr>
        <w:t xml:space="preserve"> above.</w:t>
      </w:r>
    </w:p>
    <w:p w14:paraId="38BBB4F3" w14:textId="1AB44D40" w:rsidR="004D53A2" w:rsidRPr="00DB1D7C" w:rsidRDefault="00F70C80" w:rsidP="00F70C80">
      <w:pPr>
        <w:ind w:left="567"/>
        <w:jc w:val="center"/>
        <w:rPr>
          <w:b/>
        </w:rPr>
      </w:pPr>
      <w:r w:rsidRPr="00DB1D7C">
        <w:rPr>
          <w:b/>
          <w:noProof/>
          <w:lang w:eastAsia="en-GB"/>
        </w:rPr>
        <w:drawing>
          <wp:inline distT="0" distB="0" distL="0" distR="0" wp14:anchorId="1204424E" wp14:editId="6C7E6F16">
            <wp:extent cx="4571999" cy="3276600"/>
            <wp:effectExtent l="0" t="0" r="63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t="4445"/>
                    <a:stretch/>
                  </pic:blipFill>
                  <pic:spPr bwMode="auto">
                    <a:xfrm>
                      <a:off x="0" y="0"/>
                      <a:ext cx="4572638" cy="3277058"/>
                    </a:xfrm>
                    <a:prstGeom prst="rect">
                      <a:avLst/>
                    </a:prstGeom>
                    <a:ln>
                      <a:noFill/>
                    </a:ln>
                    <a:extLst>
                      <a:ext uri="{53640926-AAD7-44D8-BBD7-CCE9431645EC}">
                        <a14:shadowObscured xmlns:a14="http://schemas.microsoft.com/office/drawing/2010/main"/>
                      </a:ext>
                    </a:extLst>
                  </pic:spPr>
                </pic:pic>
              </a:graphicData>
            </a:graphic>
          </wp:inline>
        </w:drawing>
      </w:r>
    </w:p>
    <w:p w14:paraId="38933BC8" w14:textId="73AE5292" w:rsidR="00F70C80" w:rsidRPr="00DB1D7C" w:rsidRDefault="00F70C80" w:rsidP="00F70C80">
      <w:pPr>
        <w:spacing w:line="276" w:lineRule="auto"/>
        <w:ind w:left="567" w:right="1088"/>
        <w:rPr>
          <w:b/>
        </w:rPr>
      </w:pPr>
      <w:r w:rsidRPr="00FA1DC5">
        <w:rPr>
          <w:b/>
        </w:rPr>
        <w:t xml:space="preserve">Figure </w:t>
      </w:r>
      <w:r w:rsidR="0032217D" w:rsidRPr="00FA1DC5">
        <w:rPr>
          <w:b/>
        </w:rPr>
        <w:t>1</w:t>
      </w:r>
      <w:r w:rsidR="00FA1DC5" w:rsidRPr="00FA1DC5">
        <w:rPr>
          <w:b/>
        </w:rPr>
        <w:t>2</w:t>
      </w:r>
      <w:r w:rsidRPr="00FA1DC5">
        <w:rPr>
          <w:b/>
        </w:rPr>
        <w:t>.</w:t>
      </w:r>
      <w:r w:rsidRPr="00FA1DC5">
        <w:t xml:space="preserve">  Graph</w:t>
      </w:r>
      <w:r w:rsidRPr="00DB1D7C">
        <w:t xml:space="preserve"> of intervention and assessment thresholds showing the alternative thresholds </w:t>
      </w:r>
      <w:r w:rsidR="0032217D" w:rsidRPr="00DB1D7C">
        <w:t>in</w:t>
      </w:r>
      <w:r w:rsidRPr="00DB1D7C">
        <w:t xml:space="preserve"> the hybrid model.  The dotted line represents the intervention threshold and the assessment thresholds enclose the amber area. </w:t>
      </w:r>
      <w:r w:rsidRPr="00257A16">
        <w:t xml:space="preserve">From </w:t>
      </w:r>
      <w:r w:rsidR="00372AFA" w:rsidRPr="00257A16">
        <w:rPr>
          <w:rFonts w:ascii="Calibri" w:hAnsi="Calibri"/>
          <w:sz w:val="24"/>
          <w:szCs w:val="24"/>
        </w:rPr>
        <w:t xml:space="preserve">[109] </w:t>
      </w:r>
      <w:r w:rsidR="000D042C" w:rsidRPr="00257A16">
        <w:t>with</w:t>
      </w:r>
      <w:r w:rsidR="000D042C" w:rsidRPr="00DB1D7C">
        <w:t xml:space="preserve"> kind permission from Springer Science and Business Media.</w:t>
      </w:r>
    </w:p>
    <w:p w14:paraId="1D310900" w14:textId="77777777" w:rsidR="00F70C80" w:rsidRPr="00DB1D7C" w:rsidRDefault="00F70C80" w:rsidP="00C012FA">
      <w:pPr>
        <w:rPr>
          <w:b/>
        </w:rPr>
      </w:pPr>
    </w:p>
    <w:p w14:paraId="72FD40FD" w14:textId="5F8D1DEF" w:rsidR="00C012FA" w:rsidRPr="00DB1D7C" w:rsidRDefault="005B47F9" w:rsidP="00C621EB">
      <w:pPr>
        <w:spacing w:line="276" w:lineRule="auto"/>
        <w:rPr>
          <w:sz w:val="24"/>
          <w:szCs w:val="24"/>
        </w:rPr>
      </w:pPr>
      <w:r w:rsidRPr="00DB1D7C">
        <w:rPr>
          <w:sz w:val="24"/>
          <w:szCs w:val="24"/>
        </w:rPr>
        <w:t xml:space="preserve">In the case of </w:t>
      </w:r>
      <w:r>
        <w:rPr>
          <w:sz w:val="24"/>
          <w:szCs w:val="24"/>
        </w:rPr>
        <w:t>major osteoporotic</w:t>
      </w:r>
      <w:r w:rsidRPr="00DB1D7C">
        <w:rPr>
          <w:sz w:val="24"/>
          <w:szCs w:val="24"/>
        </w:rPr>
        <w:t xml:space="preserve"> fracture</w:t>
      </w:r>
      <w:r>
        <w:rPr>
          <w:sz w:val="24"/>
          <w:szCs w:val="24"/>
        </w:rPr>
        <w:t xml:space="preserve"> probability</w:t>
      </w:r>
      <w:r w:rsidRPr="00DB1D7C">
        <w:rPr>
          <w:sz w:val="24"/>
          <w:szCs w:val="24"/>
        </w:rPr>
        <w:t xml:space="preserve">, women </w:t>
      </w:r>
      <w:r>
        <w:rPr>
          <w:sz w:val="24"/>
          <w:szCs w:val="24"/>
        </w:rPr>
        <w:t xml:space="preserve">in the UK </w:t>
      </w:r>
      <w:r w:rsidRPr="00DB1D7C">
        <w:rPr>
          <w:sz w:val="24"/>
          <w:szCs w:val="24"/>
        </w:rPr>
        <w:t>at the age of 70 years or more with a prior fracture</w:t>
      </w:r>
      <w:r>
        <w:rPr>
          <w:sz w:val="24"/>
          <w:szCs w:val="24"/>
        </w:rPr>
        <w:t xml:space="preserve"> had an </w:t>
      </w:r>
      <w:r w:rsidRPr="00DB1D7C">
        <w:rPr>
          <w:sz w:val="24"/>
          <w:szCs w:val="24"/>
        </w:rPr>
        <w:t xml:space="preserve">average 10-year probability </w:t>
      </w:r>
      <w:r>
        <w:rPr>
          <w:sz w:val="24"/>
          <w:szCs w:val="24"/>
        </w:rPr>
        <w:t>of</w:t>
      </w:r>
      <w:r w:rsidRPr="00DB1D7C">
        <w:rPr>
          <w:sz w:val="24"/>
          <w:szCs w:val="24"/>
        </w:rPr>
        <w:t xml:space="preserve"> 25</w:t>
      </w:r>
      <w:r w:rsidR="00F16EDA">
        <w:rPr>
          <w:sz w:val="24"/>
          <w:szCs w:val="24"/>
        </w:rPr>
        <w:t>.5</w:t>
      </w:r>
      <w:r w:rsidRPr="00DB1D7C">
        <w:rPr>
          <w:sz w:val="24"/>
          <w:szCs w:val="24"/>
        </w:rPr>
        <w:t>% using the NOGG algorithm.  This was lower than the probability in women selected without prior fracture (30.8%).  For hip fracture probability, the inequity was more marked (</w:t>
      </w:r>
      <w:r>
        <w:rPr>
          <w:sz w:val="24"/>
          <w:szCs w:val="24"/>
        </w:rPr>
        <w:t xml:space="preserve">average probability </w:t>
      </w:r>
      <w:r w:rsidRPr="00DB1D7C">
        <w:rPr>
          <w:sz w:val="24"/>
          <w:szCs w:val="24"/>
        </w:rPr>
        <w:t>11.3</w:t>
      </w:r>
      <w:r>
        <w:rPr>
          <w:sz w:val="24"/>
          <w:szCs w:val="24"/>
        </w:rPr>
        <w:t>%</w:t>
      </w:r>
      <w:r w:rsidRPr="00DB1D7C">
        <w:rPr>
          <w:sz w:val="24"/>
          <w:szCs w:val="24"/>
        </w:rPr>
        <w:t xml:space="preserve"> and 19.7%).  </w:t>
      </w:r>
      <w:r w:rsidR="00C012FA" w:rsidRPr="00DB1D7C">
        <w:rPr>
          <w:sz w:val="24"/>
          <w:szCs w:val="24"/>
        </w:rPr>
        <w:t xml:space="preserve">  With the use of a fixed intervention threshold set at a 20% probability for a major osteoporotic fracture, the differences in average probability all but </w:t>
      </w:r>
      <w:r w:rsidR="00C012FA" w:rsidRPr="00453D85">
        <w:rPr>
          <w:sz w:val="24"/>
          <w:szCs w:val="24"/>
        </w:rPr>
        <w:t xml:space="preserve">disappeared (Figure </w:t>
      </w:r>
      <w:r w:rsidR="0032217D" w:rsidRPr="00453D85">
        <w:rPr>
          <w:sz w:val="24"/>
          <w:szCs w:val="24"/>
        </w:rPr>
        <w:t>1</w:t>
      </w:r>
      <w:r w:rsidR="00453D85" w:rsidRPr="00453D85">
        <w:rPr>
          <w:sz w:val="24"/>
          <w:szCs w:val="24"/>
        </w:rPr>
        <w:t>3</w:t>
      </w:r>
      <w:r w:rsidR="00C012FA" w:rsidRPr="00453D85">
        <w:rPr>
          <w:sz w:val="24"/>
          <w:szCs w:val="24"/>
        </w:rPr>
        <w:t xml:space="preserve">).   The same phenomenon was seen for hip fracture probabilities (Figure </w:t>
      </w:r>
      <w:r w:rsidR="0032217D" w:rsidRPr="00453D85">
        <w:rPr>
          <w:sz w:val="24"/>
          <w:szCs w:val="24"/>
        </w:rPr>
        <w:t>1</w:t>
      </w:r>
      <w:r w:rsidR="00453D85" w:rsidRPr="00453D85">
        <w:rPr>
          <w:sz w:val="24"/>
          <w:szCs w:val="24"/>
        </w:rPr>
        <w:t>4</w:t>
      </w:r>
      <w:r w:rsidR="00C012FA" w:rsidRPr="00453D85">
        <w:rPr>
          <w:sz w:val="24"/>
          <w:szCs w:val="24"/>
        </w:rPr>
        <w:t>)</w:t>
      </w:r>
      <w:r w:rsidR="00AA74AB" w:rsidRPr="00453D85">
        <w:rPr>
          <w:sz w:val="24"/>
          <w:szCs w:val="24"/>
        </w:rPr>
        <w:t>.  Another</w:t>
      </w:r>
      <w:r w:rsidR="00AA74AB" w:rsidRPr="00DB1D7C">
        <w:rPr>
          <w:sz w:val="24"/>
          <w:szCs w:val="24"/>
        </w:rPr>
        <w:t xml:space="preserve"> feature of the hybrid model was that the need for BMD testing in the elderly </w:t>
      </w:r>
      <w:r w:rsidR="004D53A2" w:rsidRPr="00DB1D7C">
        <w:rPr>
          <w:sz w:val="24"/>
          <w:szCs w:val="24"/>
        </w:rPr>
        <w:t>was</w:t>
      </w:r>
      <w:r w:rsidR="00AA74AB" w:rsidRPr="00DB1D7C">
        <w:rPr>
          <w:sz w:val="24"/>
          <w:szCs w:val="24"/>
        </w:rPr>
        <w:t xml:space="preserve"> reduced, particularly at older ages (&gt;80 years).</w:t>
      </w:r>
      <w:r w:rsidR="00435760" w:rsidRPr="00DB1D7C">
        <w:rPr>
          <w:sz w:val="24"/>
          <w:szCs w:val="24"/>
        </w:rPr>
        <w:t xml:space="preserve">  The number of BMD tests would be </w:t>
      </w:r>
      <w:r w:rsidR="004D53A2" w:rsidRPr="00DB1D7C">
        <w:rPr>
          <w:sz w:val="24"/>
          <w:szCs w:val="24"/>
        </w:rPr>
        <w:t>decreased by</w:t>
      </w:r>
      <w:r w:rsidR="00435760" w:rsidRPr="00DB1D7C">
        <w:rPr>
          <w:sz w:val="24"/>
          <w:szCs w:val="24"/>
        </w:rPr>
        <w:t xml:space="preserve"> approximately half.</w:t>
      </w:r>
    </w:p>
    <w:p w14:paraId="78B315F4" w14:textId="77777777" w:rsidR="00C012FA" w:rsidRPr="00DB1D7C" w:rsidRDefault="00C012FA" w:rsidP="00C012FA">
      <w:pPr>
        <w:jc w:val="center"/>
      </w:pPr>
      <w:r w:rsidRPr="00DB1D7C">
        <w:rPr>
          <w:noProof/>
          <w:lang w:eastAsia="en-GB"/>
        </w:rPr>
        <w:drawing>
          <wp:inline distT="0" distB="0" distL="0" distR="0" wp14:anchorId="54986688" wp14:editId="75A244BF">
            <wp:extent cx="4572638" cy="342947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572638" cy="3429479"/>
                    </a:xfrm>
                    <a:prstGeom prst="rect">
                      <a:avLst/>
                    </a:prstGeom>
                  </pic:spPr>
                </pic:pic>
              </a:graphicData>
            </a:graphic>
          </wp:inline>
        </w:drawing>
      </w:r>
    </w:p>
    <w:p w14:paraId="095E2F26" w14:textId="7C295D43" w:rsidR="00C012FA" w:rsidRPr="00DB1D7C" w:rsidRDefault="00C012FA" w:rsidP="00C012FA">
      <w:pPr>
        <w:ind w:left="567" w:right="521"/>
      </w:pPr>
      <w:r w:rsidRPr="00453D85">
        <w:rPr>
          <w:b/>
        </w:rPr>
        <w:t>Figure 1</w:t>
      </w:r>
      <w:r w:rsidR="00453D85" w:rsidRPr="00453D85">
        <w:rPr>
          <w:b/>
        </w:rPr>
        <w:t>3</w:t>
      </w:r>
      <w:r w:rsidRPr="00453D85">
        <w:rPr>
          <w:b/>
        </w:rPr>
        <w:t xml:space="preserve">. </w:t>
      </w:r>
      <w:r w:rsidRPr="00453D85">
        <w:t>Mean</w:t>
      </w:r>
      <w:r w:rsidRPr="00DB1D7C">
        <w:t xml:space="preserve"> probability of major osteoporotic fracture (MOF, %) in patients age 70 years or more identified for consideration of treatment under the current thresholds (light bars) and the alternative thresholds (shaded bars). </w:t>
      </w:r>
      <w:r w:rsidR="00257A16">
        <w:t>Data e</w:t>
      </w:r>
      <w:r w:rsidRPr="00257A16">
        <w:t xml:space="preserve">xtracted from </w:t>
      </w:r>
      <w:r w:rsidR="00372AFA" w:rsidRPr="00257A16">
        <w:rPr>
          <w:rFonts w:ascii="Calibri" w:hAnsi="Calibri"/>
          <w:sz w:val="24"/>
          <w:szCs w:val="24"/>
        </w:rPr>
        <w:t>[109]</w:t>
      </w:r>
      <w:r w:rsidRPr="00257A16">
        <w:t xml:space="preserve">.  </w:t>
      </w:r>
    </w:p>
    <w:p w14:paraId="7D4381DE" w14:textId="77777777" w:rsidR="00C012FA" w:rsidRPr="00DB1D7C" w:rsidRDefault="00C012FA" w:rsidP="00C012FA">
      <w:pPr>
        <w:jc w:val="center"/>
      </w:pPr>
      <w:r w:rsidRPr="00DB1D7C">
        <w:rPr>
          <w:noProof/>
          <w:lang w:eastAsia="en-GB"/>
        </w:rPr>
        <w:lastRenderedPageBreak/>
        <w:drawing>
          <wp:inline distT="0" distB="0" distL="0" distR="0" wp14:anchorId="6D344F51" wp14:editId="0AD3C10D">
            <wp:extent cx="4572638" cy="342947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572638" cy="3429479"/>
                    </a:xfrm>
                    <a:prstGeom prst="rect">
                      <a:avLst/>
                    </a:prstGeom>
                  </pic:spPr>
                </pic:pic>
              </a:graphicData>
            </a:graphic>
          </wp:inline>
        </w:drawing>
      </w:r>
    </w:p>
    <w:p w14:paraId="21DA2347" w14:textId="41426636" w:rsidR="00C012FA" w:rsidRPr="00DB1D7C" w:rsidRDefault="00C012FA" w:rsidP="00C012FA">
      <w:pPr>
        <w:ind w:left="567" w:right="662"/>
      </w:pPr>
      <w:r w:rsidRPr="00DB1D7C">
        <w:rPr>
          <w:b/>
        </w:rPr>
        <w:t xml:space="preserve">Figure </w:t>
      </w:r>
      <w:r w:rsidR="00453D85">
        <w:rPr>
          <w:b/>
        </w:rPr>
        <w:t>14</w:t>
      </w:r>
      <w:r w:rsidRPr="00DB1D7C">
        <w:t xml:space="preserve">. Mean probability of hip fracture (HF, %) in patients age 70 years or more identified for consideration of treatment under the current thresholds (light bars) and the alternative thresholds (shaded bars). </w:t>
      </w:r>
      <w:r w:rsidR="00257A16">
        <w:t>Data e</w:t>
      </w:r>
      <w:r w:rsidRPr="00DB1D7C">
        <w:t xml:space="preserve">xtracted </w:t>
      </w:r>
      <w:r w:rsidRPr="00257A16">
        <w:t>from</w:t>
      </w:r>
      <w:r w:rsidR="00372AFA" w:rsidRPr="00257A16">
        <w:rPr>
          <w:rFonts w:ascii="Calibri" w:hAnsi="Calibri"/>
          <w:sz w:val="24"/>
          <w:szCs w:val="24"/>
        </w:rPr>
        <w:t xml:space="preserve"> [109]</w:t>
      </w:r>
      <w:r w:rsidRPr="00257A16">
        <w:t>.</w:t>
      </w:r>
      <w:r w:rsidRPr="00DB1D7C">
        <w:t xml:space="preserve">  </w:t>
      </w:r>
    </w:p>
    <w:p w14:paraId="53626F0F" w14:textId="77777777" w:rsidR="000D042C" w:rsidRPr="00DB1D7C" w:rsidRDefault="000D042C" w:rsidP="00C012FA">
      <w:pPr>
        <w:ind w:left="567" w:right="662"/>
      </w:pPr>
    </w:p>
    <w:p w14:paraId="4888178F" w14:textId="78B5D603" w:rsidR="00C012FA" w:rsidRPr="00DB1D7C" w:rsidRDefault="00C012FA" w:rsidP="00C621EB">
      <w:pPr>
        <w:spacing w:line="276" w:lineRule="auto"/>
        <w:rPr>
          <w:sz w:val="24"/>
          <w:szCs w:val="24"/>
        </w:rPr>
      </w:pPr>
      <w:r w:rsidRPr="00453D85">
        <w:rPr>
          <w:sz w:val="24"/>
          <w:szCs w:val="24"/>
        </w:rPr>
        <w:t>Figures 1</w:t>
      </w:r>
      <w:r w:rsidR="00453D85" w:rsidRPr="00453D85">
        <w:rPr>
          <w:sz w:val="24"/>
          <w:szCs w:val="24"/>
        </w:rPr>
        <w:t>3</w:t>
      </w:r>
      <w:r w:rsidRPr="00453D85">
        <w:rPr>
          <w:sz w:val="24"/>
          <w:szCs w:val="24"/>
        </w:rPr>
        <w:t xml:space="preserve"> and </w:t>
      </w:r>
      <w:r w:rsidR="0032217D" w:rsidRPr="00453D85">
        <w:rPr>
          <w:sz w:val="24"/>
          <w:szCs w:val="24"/>
        </w:rPr>
        <w:t>1</w:t>
      </w:r>
      <w:r w:rsidR="00453D85" w:rsidRPr="00453D85">
        <w:rPr>
          <w:sz w:val="24"/>
          <w:szCs w:val="24"/>
        </w:rPr>
        <w:t>4</w:t>
      </w:r>
      <w:r w:rsidRPr="00453D85">
        <w:rPr>
          <w:sz w:val="24"/>
          <w:szCs w:val="24"/>
        </w:rPr>
        <w:t xml:space="preserve"> also</w:t>
      </w:r>
      <w:r w:rsidRPr="00DB1D7C">
        <w:rPr>
          <w:sz w:val="24"/>
          <w:szCs w:val="24"/>
        </w:rPr>
        <w:t xml:space="preserve"> show the proportions of women eligible for treatment.  Amongst women age 70 years or more the use of the alternate hybrid model wou</w:t>
      </w:r>
      <w:r w:rsidR="005B47F9">
        <w:rPr>
          <w:sz w:val="24"/>
          <w:szCs w:val="24"/>
        </w:rPr>
        <w:t>l</w:t>
      </w:r>
      <w:r w:rsidRPr="00DB1D7C">
        <w:rPr>
          <w:sz w:val="24"/>
          <w:szCs w:val="24"/>
        </w:rPr>
        <w:t>d increase the proportion of women assessed over the age of 70 years without a prior fracture from 7.4</w:t>
      </w:r>
      <w:r w:rsidR="00E8657B">
        <w:rPr>
          <w:sz w:val="24"/>
          <w:szCs w:val="24"/>
        </w:rPr>
        <w:t xml:space="preserve"> </w:t>
      </w:r>
      <w:r w:rsidRPr="00DB1D7C">
        <w:rPr>
          <w:sz w:val="24"/>
          <w:szCs w:val="24"/>
        </w:rPr>
        <w:t>% to 15.4</w:t>
      </w:r>
      <w:r w:rsidR="00E8657B">
        <w:rPr>
          <w:sz w:val="24"/>
          <w:szCs w:val="24"/>
        </w:rPr>
        <w:t xml:space="preserve"> </w:t>
      </w:r>
      <w:r w:rsidRPr="00DB1D7C">
        <w:rPr>
          <w:sz w:val="24"/>
          <w:szCs w:val="24"/>
        </w:rPr>
        <w:t>%</w:t>
      </w:r>
      <w:r w:rsidR="00796FC3" w:rsidRPr="00DB1D7C">
        <w:rPr>
          <w:sz w:val="24"/>
          <w:szCs w:val="24"/>
        </w:rPr>
        <w:t>.</w:t>
      </w:r>
      <w:r w:rsidRPr="00DB1D7C">
        <w:rPr>
          <w:sz w:val="24"/>
          <w:szCs w:val="24"/>
        </w:rPr>
        <w:t xml:space="preserve"> </w:t>
      </w:r>
    </w:p>
    <w:p w14:paraId="5D4C4A42" w14:textId="77777777" w:rsidR="00842EA0" w:rsidRPr="00DB1D7C" w:rsidRDefault="00842EA0" w:rsidP="008819A0">
      <w:pPr>
        <w:rPr>
          <w:rFonts w:ascii="Calibri" w:hAnsi="Calibri"/>
          <w:b/>
          <w:sz w:val="24"/>
          <w:szCs w:val="24"/>
        </w:rPr>
      </w:pPr>
    </w:p>
    <w:p w14:paraId="0A2B697C" w14:textId="178BB243" w:rsidR="003C2563" w:rsidRPr="00DB1D7C" w:rsidRDefault="00461094" w:rsidP="008819A0">
      <w:pPr>
        <w:rPr>
          <w:rFonts w:ascii="Calibri" w:hAnsi="Calibri"/>
          <w:b/>
          <w:sz w:val="24"/>
          <w:szCs w:val="24"/>
        </w:rPr>
      </w:pPr>
      <w:r w:rsidRPr="00DB1D7C">
        <w:rPr>
          <w:rFonts w:ascii="Calibri" w:hAnsi="Calibri"/>
          <w:b/>
          <w:sz w:val="24"/>
          <w:szCs w:val="24"/>
        </w:rPr>
        <w:t>Health economic approach to intervention thresholds with FRAX</w:t>
      </w:r>
    </w:p>
    <w:p w14:paraId="6554637A" w14:textId="5FF84023" w:rsidR="003A589D" w:rsidRPr="00DB1D7C" w:rsidRDefault="00C621EB" w:rsidP="003A589D">
      <w:pPr>
        <w:rPr>
          <w:rFonts w:ascii="Calibri" w:hAnsi="Calibri"/>
          <w:sz w:val="24"/>
          <w:szCs w:val="24"/>
        </w:rPr>
      </w:pPr>
      <w:r w:rsidRPr="00DB1D7C">
        <w:rPr>
          <w:rFonts w:ascii="Calibri" w:hAnsi="Calibri"/>
          <w:sz w:val="24"/>
          <w:szCs w:val="24"/>
        </w:rPr>
        <w:t xml:space="preserve">The National Clinical Guideline Centre </w:t>
      </w:r>
      <w:r w:rsidR="00290506">
        <w:rPr>
          <w:rFonts w:ascii="Calibri" w:hAnsi="Calibri"/>
          <w:sz w:val="24"/>
          <w:szCs w:val="24"/>
        </w:rPr>
        <w:t xml:space="preserve">(UK) </w:t>
      </w:r>
      <w:r w:rsidRPr="00DB1D7C">
        <w:rPr>
          <w:rFonts w:ascii="Calibri" w:hAnsi="Calibri"/>
          <w:sz w:val="24"/>
          <w:szCs w:val="24"/>
        </w:rPr>
        <w:t xml:space="preserve">did not identify </w:t>
      </w:r>
      <w:r w:rsidR="003A589D" w:rsidRPr="00DB1D7C">
        <w:rPr>
          <w:rFonts w:ascii="Calibri" w:hAnsi="Calibri"/>
          <w:sz w:val="24"/>
          <w:szCs w:val="24"/>
        </w:rPr>
        <w:t xml:space="preserve">economic studies </w:t>
      </w:r>
      <w:r w:rsidRPr="00DB1D7C">
        <w:rPr>
          <w:rFonts w:ascii="Calibri" w:hAnsi="Calibri"/>
          <w:sz w:val="24"/>
          <w:szCs w:val="24"/>
        </w:rPr>
        <w:t xml:space="preserve">that examined </w:t>
      </w:r>
      <w:r w:rsidR="003A589D" w:rsidRPr="00257A16">
        <w:rPr>
          <w:rFonts w:ascii="Calibri" w:hAnsi="Calibri"/>
          <w:sz w:val="24"/>
          <w:szCs w:val="24"/>
        </w:rPr>
        <w:t>the cost</w:t>
      </w:r>
      <w:r w:rsidR="00307F4B" w:rsidRPr="00257A16">
        <w:rPr>
          <w:rFonts w:ascii="Calibri" w:hAnsi="Calibri"/>
          <w:sz w:val="24"/>
          <w:szCs w:val="24"/>
        </w:rPr>
        <w:t>-</w:t>
      </w:r>
      <w:r w:rsidR="003A589D" w:rsidRPr="00257A16">
        <w:rPr>
          <w:rFonts w:ascii="Calibri" w:hAnsi="Calibri"/>
          <w:sz w:val="24"/>
          <w:szCs w:val="24"/>
        </w:rPr>
        <w:t xml:space="preserve">effectiveness of measures </w:t>
      </w:r>
      <w:r w:rsidRPr="00257A16">
        <w:rPr>
          <w:rFonts w:ascii="Calibri" w:hAnsi="Calibri"/>
          <w:sz w:val="24"/>
          <w:szCs w:val="24"/>
        </w:rPr>
        <w:t xml:space="preserve">that used FRAX </w:t>
      </w:r>
      <w:r w:rsidR="003A589D" w:rsidRPr="00257A16">
        <w:rPr>
          <w:rFonts w:ascii="Calibri" w:hAnsi="Calibri"/>
          <w:sz w:val="24"/>
          <w:szCs w:val="24"/>
        </w:rPr>
        <w:t xml:space="preserve">for targeting people </w:t>
      </w:r>
      <w:r w:rsidRPr="00257A16">
        <w:rPr>
          <w:rFonts w:ascii="Calibri" w:hAnsi="Calibri"/>
          <w:sz w:val="24"/>
          <w:szCs w:val="24"/>
        </w:rPr>
        <w:t>at high</w:t>
      </w:r>
      <w:r w:rsidR="003A589D" w:rsidRPr="00257A16">
        <w:rPr>
          <w:rFonts w:ascii="Calibri" w:hAnsi="Calibri"/>
          <w:sz w:val="24"/>
          <w:szCs w:val="24"/>
        </w:rPr>
        <w:t xml:space="preserve"> </w:t>
      </w:r>
      <w:r w:rsidRPr="00257A16">
        <w:rPr>
          <w:rFonts w:ascii="Calibri" w:hAnsi="Calibri"/>
          <w:sz w:val="24"/>
          <w:szCs w:val="24"/>
        </w:rPr>
        <w:t xml:space="preserve">fracture </w:t>
      </w:r>
      <w:r w:rsidR="00187D44" w:rsidRPr="00257A16">
        <w:rPr>
          <w:rFonts w:ascii="Calibri" w:hAnsi="Calibri"/>
          <w:sz w:val="24"/>
          <w:szCs w:val="24"/>
        </w:rPr>
        <w:t xml:space="preserve">risk </w:t>
      </w:r>
      <w:r w:rsidR="00290506" w:rsidRPr="00257A16">
        <w:rPr>
          <w:rFonts w:ascii="Calibri" w:hAnsi="Calibri"/>
          <w:sz w:val="24"/>
          <w:szCs w:val="24"/>
        </w:rPr>
        <w:t>[161]</w:t>
      </w:r>
      <w:r w:rsidR="003A589D" w:rsidRPr="00257A16">
        <w:rPr>
          <w:rFonts w:ascii="Calibri" w:hAnsi="Calibri"/>
          <w:sz w:val="24"/>
          <w:szCs w:val="24"/>
        </w:rPr>
        <w:t>.</w:t>
      </w:r>
      <w:r w:rsidRPr="00257A16">
        <w:rPr>
          <w:rFonts w:ascii="Calibri" w:hAnsi="Calibri"/>
          <w:sz w:val="24"/>
          <w:szCs w:val="24"/>
        </w:rPr>
        <w:t xml:space="preserve">  The deficit is being addressed in the SCOOP</w:t>
      </w:r>
      <w:r w:rsidR="00850206" w:rsidRPr="00257A16">
        <w:rPr>
          <w:rFonts w:ascii="Calibri" w:hAnsi="Calibri"/>
          <w:sz w:val="24"/>
          <w:szCs w:val="24"/>
        </w:rPr>
        <w:t xml:space="preserve"> (screening of older women for prevention of fracture</w:t>
      </w:r>
      <w:r w:rsidR="00187D44" w:rsidRPr="00257A16">
        <w:rPr>
          <w:rFonts w:ascii="Calibri" w:hAnsi="Calibri"/>
          <w:sz w:val="24"/>
          <w:szCs w:val="24"/>
        </w:rPr>
        <w:t xml:space="preserve"> study</w:t>
      </w:r>
      <w:r w:rsidR="00F16EDA" w:rsidRPr="00257A16">
        <w:rPr>
          <w:rFonts w:ascii="Calibri" w:hAnsi="Calibri"/>
          <w:sz w:val="24"/>
          <w:szCs w:val="24"/>
        </w:rPr>
        <w:t>)</w:t>
      </w:r>
      <w:r w:rsidRPr="00257A16">
        <w:rPr>
          <w:rFonts w:ascii="Calibri" w:hAnsi="Calibri"/>
          <w:sz w:val="24"/>
          <w:szCs w:val="24"/>
        </w:rPr>
        <w:t xml:space="preserve"> </w:t>
      </w:r>
      <w:r w:rsidR="00290506" w:rsidRPr="00257A16">
        <w:rPr>
          <w:rFonts w:ascii="Calibri" w:hAnsi="Calibri"/>
          <w:sz w:val="24"/>
          <w:szCs w:val="24"/>
        </w:rPr>
        <w:t>[162]</w:t>
      </w:r>
      <w:r w:rsidR="00850206" w:rsidRPr="00257A16">
        <w:rPr>
          <w:rFonts w:ascii="Calibri" w:hAnsi="Calibri"/>
          <w:sz w:val="24"/>
          <w:szCs w:val="24"/>
        </w:rPr>
        <w:t>.</w:t>
      </w:r>
      <w:r w:rsidR="003A589D" w:rsidRPr="00257A16">
        <w:rPr>
          <w:rFonts w:ascii="Calibri" w:hAnsi="Calibri"/>
          <w:sz w:val="24"/>
          <w:szCs w:val="24"/>
        </w:rPr>
        <w:t xml:space="preserve"> </w:t>
      </w:r>
      <w:r w:rsidR="00850206" w:rsidRPr="00257A16">
        <w:rPr>
          <w:rFonts w:ascii="Calibri" w:hAnsi="Calibri"/>
          <w:sz w:val="24"/>
          <w:szCs w:val="24"/>
        </w:rPr>
        <w:t xml:space="preserve"> SCOOP is a randomised controlled trial designed to test screening for risk of fracture for women aged 70</w:t>
      </w:r>
      <w:r w:rsidR="00850206" w:rsidRPr="00DB1D7C">
        <w:rPr>
          <w:rFonts w:ascii="Calibri" w:hAnsi="Calibri"/>
          <w:sz w:val="24"/>
          <w:szCs w:val="24"/>
        </w:rPr>
        <w:t xml:space="preserve"> to 85 years with the use of FRAX.  Women in this age group recruited to the study will either be screened or managed as usual.  Those screened and considered at high risk will be offered treatment by their GPs.  The study will have a follow-up of 5 years and it is hoped that screening will reduce the number of fractures by around 25</w:t>
      </w:r>
      <w:r w:rsidR="00E8657B">
        <w:rPr>
          <w:rFonts w:ascii="Calibri" w:hAnsi="Calibri"/>
          <w:sz w:val="24"/>
          <w:szCs w:val="24"/>
        </w:rPr>
        <w:t xml:space="preserve"> </w:t>
      </w:r>
      <w:r w:rsidR="00850206" w:rsidRPr="00DB1D7C">
        <w:rPr>
          <w:rFonts w:ascii="Calibri" w:hAnsi="Calibri"/>
          <w:sz w:val="24"/>
          <w:szCs w:val="24"/>
        </w:rPr>
        <w:t>%.  The study has a heal</w:t>
      </w:r>
      <w:r w:rsidR="00187D44" w:rsidRPr="00DB1D7C">
        <w:rPr>
          <w:rFonts w:ascii="Calibri" w:hAnsi="Calibri"/>
          <w:sz w:val="24"/>
          <w:szCs w:val="24"/>
        </w:rPr>
        <w:t>th</w:t>
      </w:r>
      <w:r w:rsidR="00307F4B">
        <w:rPr>
          <w:rFonts w:ascii="Calibri" w:hAnsi="Calibri"/>
          <w:sz w:val="24"/>
          <w:szCs w:val="24"/>
        </w:rPr>
        <w:t>-</w:t>
      </w:r>
      <w:r w:rsidR="00187D44" w:rsidRPr="00DB1D7C">
        <w:rPr>
          <w:rFonts w:ascii="Calibri" w:hAnsi="Calibri"/>
          <w:sz w:val="24"/>
          <w:szCs w:val="24"/>
        </w:rPr>
        <w:t>economics component and is due to report its findings later this year.</w:t>
      </w:r>
    </w:p>
    <w:p w14:paraId="099E0BB3" w14:textId="40015C72" w:rsidR="00367B34" w:rsidRPr="00DB1D7C" w:rsidRDefault="00367B34" w:rsidP="003A589D">
      <w:pPr>
        <w:rPr>
          <w:rFonts w:ascii="Calibri" w:hAnsi="Calibri"/>
          <w:i/>
          <w:sz w:val="24"/>
          <w:szCs w:val="24"/>
        </w:rPr>
      </w:pPr>
      <w:r w:rsidRPr="00DB1D7C">
        <w:rPr>
          <w:rFonts w:ascii="Calibri" w:hAnsi="Calibri"/>
          <w:i/>
          <w:sz w:val="24"/>
          <w:szCs w:val="24"/>
        </w:rPr>
        <w:t xml:space="preserve">Cost effectiveness </w:t>
      </w:r>
      <w:r w:rsidR="0086024B" w:rsidRPr="00DB1D7C">
        <w:rPr>
          <w:rFonts w:ascii="Calibri" w:hAnsi="Calibri"/>
          <w:i/>
          <w:sz w:val="24"/>
          <w:szCs w:val="24"/>
        </w:rPr>
        <w:t>of intervention based on FRAX</w:t>
      </w:r>
    </w:p>
    <w:p w14:paraId="5DE88B6D" w14:textId="51C16F7B" w:rsidR="00180A5E" w:rsidRPr="00DB1D7C" w:rsidRDefault="00180A5E" w:rsidP="003A589D">
      <w:pPr>
        <w:rPr>
          <w:rFonts w:ascii="Calibri" w:hAnsi="Calibri"/>
          <w:sz w:val="24"/>
          <w:szCs w:val="24"/>
        </w:rPr>
      </w:pPr>
      <w:r w:rsidRPr="00DB1D7C">
        <w:rPr>
          <w:rFonts w:ascii="Calibri" w:hAnsi="Calibri"/>
          <w:sz w:val="24"/>
          <w:szCs w:val="24"/>
        </w:rPr>
        <w:t>There are several appraisals that have assessed the cost</w:t>
      </w:r>
      <w:r w:rsidR="00307F4B">
        <w:rPr>
          <w:rFonts w:ascii="Calibri" w:hAnsi="Calibri"/>
          <w:sz w:val="24"/>
          <w:szCs w:val="24"/>
        </w:rPr>
        <w:t>-</w:t>
      </w:r>
      <w:r w:rsidRPr="00DB1D7C">
        <w:rPr>
          <w:rFonts w:ascii="Calibri" w:hAnsi="Calibri"/>
          <w:sz w:val="24"/>
          <w:szCs w:val="24"/>
        </w:rPr>
        <w:t xml:space="preserve">utility of interventions that used the probability of fracture.  </w:t>
      </w:r>
      <w:r w:rsidR="00141E3F" w:rsidRPr="00DB1D7C">
        <w:rPr>
          <w:rFonts w:ascii="Calibri" w:hAnsi="Calibri"/>
          <w:sz w:val="24"/>
          <w:szCs w:val="24"/>
        </w:rPr>
        <w:t xml:space="preserve">Indeed, models have been developed that incorporate the FRAX </w:t>
      </w:r>
      <w:r w:rsidR="00141E3F" w:rsidRPr="00257A16">
        <w:rPr>
          <w:rFonts w:ascii="Calibri" w:hAnsi="Calibri"/>
          <w:sz w:val="24"/>
          <w:szCs w:val="24"/>
        </w:rPr>
        <w:lastRenderedPageBreak/>
        <w:t xml:space="preserve">algorithms </w:t>
      </w:r>
      <w:r w:rsidR="00290506" w:rsidRPr="00257A16">
        <w:rPr>
          <w:rFonts w:ascii="Calibri" w:hAnsi="Calibri"/>
          <w:sz w:val="24"/>
          <w:szCs w:val="24"/>
        </w:rPr>
        <w:t>[163, 164]</w:t>
      </w:r>
      <w:r w:rsidR="00141E3F" w:rsidRPr="00257A16">
        <w:rPr>
          <w:rFonts w:ascii="Calibri" w:hAnsi="Calibri"/>
          <w:sz w:val="24"/>
          <w:szCs w:val="24"/>
        </w:rPr>
        <w:t xml:space="preserve">. </w:t>
      </w:r>
      <w:r w:rsidRPr="00257A16">
        <w:rPr>
          <w:rFonts w:ascii="Calibri" w:hAnsi="Calibri"/>
          <w:sz w:val="24"/>
          <w:szCs w:val="24"/>
        </w:rPr>
        <w:t>The</w:t>
      </w:r>
      <w:r w:rsidRPr="00DB1D7C">
        <w:rPr>
          <w:rFonts w:ascii="Calibri" w:hAnsi="Calibri"/>
          <w:sz w:val="24"/>
          <w:szCs w:val="24"/>
        </w:rPr>
        <w:t xml:space="preserve"> approach has generally been to determine the fracture probability at which interventions bec</w:t>
      </w:r>
      <w:r w:rsidR="00141E3F" w:rsidRPr="00DB1D7C">
        <w:rPr>
          <w:rFonts w:ascii="Calibri" w:hAnsi="Calibri"/>
          <w:sz w:val="24"/>
          <w:szCs w:val="24"/>
        </w:rPr>
        <w:t>a</w:t>
      </w:r>
      <w:r w:rsidRPr="00DB1D7C">
        <w:rPr>
          <w:rFonts w:ascii="Calibri" w:hAnsi="Calibri"/>
          <w:sz w:val="24"/>
          <w:szCs w:val="24"/>
        </w:rPr>
        <w:t xml:space="preserve">me cost-effective (i.e. an economic threshold). Economic thresholds have been variously used to set intervention thresholds or to validate the use of clinically driven intervention thresholds </w:t>
      </w:r>
    </w:p>
    <w:p w14:paraId="43E93BD6" w14:textId="27672CA3" w:rsidR="00180A5E" w:rsidRPr="00DB1D7C" w:rsidRDefault="00180A5E" w:rsidP="003A589D">
      <w:pPr>
        <w:rPr>
          <w:rFonts w:ascii="Calibri" w:hAnsi="Calibri"/>
          <w:sz w:val="24"/>
          <w:szCs w:val="24"/>
        </w:rPr>
      </w:pPr>
      <w:r w:rsidRPr="00DB1D7C">
        <w:rPr>
          <w:rFonts w:ascii="Calibri" w:hAnsi="Calibri"/>
          <w:sz w:val="24"/>
          <w:szCs w:val="24"/>
        </w:rPr>
        <w:t xml:space="preserve"> </w:t>
      </w:r>
      <w:r w:rsidR="00CA076F" w:rsidRPr="00DB1D7C">
        <w:rPr>
          <w:rFonts w:ascii="Calibri" w:hAnsi="Calibri"/>
          <w:sz w:val="24"/>
          <w:szCs w:val="24"/>
        </w:rPr>
        <w:t>National Osteoporosis Guideline Group</w:t>
      </w:r>
    </w:p>
    <w:p w14:paraId="630AC6BA" w14:textId="702CF6F5" w:rsidR="00202380" w:rsidRPr="00DB1D7C" w:rsidRDefault="000E58A2" w:rsidP="003A589D">
      <w:pPr>
        <w:rPr>
          <w:rFonts w:ascii="Calibri" w:hAnsi="Calibri"/>
          <w:sz w:val="24"/>
          <w:szCs w:val="24"/>
        </w:rPr>
      </w:pPr>
      <w:r w:rsidRPr="00DB1D7C">
        <w:rPr>
          <w:rFonts w:ascii="Calibri" w:hAnsi="Calibri"/>
          <w:sz w:val="24"/>
          <w:szCs w:val="24"/>
        </w:rPr>
        <w:t xml:space="preserve">The NOGG age-dependent thresholds were driven by clinical considerations.  At the same time NOGG wished to determine whether the strategy was cost-effective. </w:t>
      </w:r>
      <w:r w:rsidR="004E2F63" w:rsidRPr="00DB1D7C">
        <w:rPr>
          <w:rFonts w:ascii="Calibri" w:hAnsi="Calibri"/>
          <w:sz w:val="24"/>
          <w:szCs w:val="24"/>
        </w:rPr>
        <w:t>The relationship between fracture probability and cost-utility were derived from all of the possible combinations of CRFs and BMD</w:t>
      </w:r>
      <w:r w:rsidR="00D21807" w:rsidRPr="00DB1D7C">
        <w:rPr>
          <w:rFonts w:ascii="Calibri" w:hAnsi="Calibri"/>
          <w:sz w:val="24"/>
          <w:szCs w:val="24"/>
        </w:rPr>
        <w:t xml:space="preserve"> and age. </w:t>
      </w:r>
      <w:r w:rsidR="004E2F63" w:rsidRPr="00DB1D7C">
        <w:rPr>
          <w:rFonts w:ascii="Calibri" w:hAnsi="Calibri"/>
          <w:sz w:val="24"/>
          <w:szCs w:val="24"/>
        </w:rPr>
        <w:t xml:space="preserve"> </w:t>
      </w:r>
      <w:r w:rsidRPr="00DB1D7C">
        <w:rPr>
          <w:rFonts w:ascii="Calibri" w:hAnsi="Calibri"/>
          <w:sz w:val="24"/>
          <w:szCs w:val="24"/>
        </w:rPr>
        <w:t xml:space="preserve">This </w:t>
      </w:r>
      <w:r w:rsidR="00D21807" w:rsidRPr="00DB1D7C">
        <w:rPr>
          <w:rFonts w:ascii="Calibri" w:hAnsi="Calibri"/>
          <w:sz w:val="24"/>
          <w:szCs w:val="24"/>
        </w:rPr>
        <w:t xml:space="preserve">approach </w:t>
      </w:r>
      <w:r w:rsidRPr="00DB1D7C">
        <w:rPr>
          <w:rFonts w:ascii="Calibri" w:hAnsi="Calibri"/>
          <w:sz w:val="24"/>
          <w:szCs w:val="24"/>
        </w:rPr>
        <w:t xml:space="preserve">has been explored for the use of alendronate </w:t>
      </w:r>
      <w:r w:rsidR="00290506">
        <w:rPr>
          <w:rFonts w:ascii="Calibri" w:hAnsi="Calibri"/>
          <w:sz w:val="24"/>
          <w:szCs w:val="24"/>
        </w:rPr>
        <w:t>[</w:t>
      </w:r>
      <w:r w:rsidR="00257A16" w:rsidRPr="00257A16">
        <w:rPr>
          <w:rFonts w:ascii="Calibri" w:hAnsi="Calibri"/>
          <w:sz w:val="24"/>
          <w:szCs w:val="24"/>
        </w:rPr>
        <w:t>105-</w:t>
      </w:r>
      <w:r w:rsidR="00290506" w:rsidRPr="00257A16">
        <w:rPr>
          <w:rFonts w:ascii="Calibri" w:hAnsi="Calibri"/>
          <w:sz w:val="24"/>
          <w:szCs w:val="24"/>
        </w:rPr>
        <w:t>165]</w:t>
      </w:r>
      <w:r w:rsidR="00307F4B" w:rsidRPr="00257A16">
        <w:rPr>
          <w:rFonts w:ascii="Calibri" w:hAnsi="Calibri"/>
          <w:sz w:val="24"/>
          <w:szCs w:val="24"/>
        </w:rPr>
        <w:t>,</w:t>
      </w:r>
      <w:r w:rsidRPr="00257A16">
        <w:rPr>
          <w:rFonts w:ascii="Calibri" w:hAnsi="Calibri"/>
          <w:sz w:val="24"/>
          <w:szCs w:val="24"/>
        </w:rPr>
        <w:t xml:space="preserve"> risedronate </w:t>
      </w:r>
      <w:r w:rsidR="00290506" w:rsidRPr="00257A16">
        <w:rPr>
          <w:rFonts w:ascii="Calibri" w:hAnsi="Calibri"/>
          <w:sz w:val="24"/>
          <w:szCs w:val="24"/>
        </w:rPr>
        <w:t>[166]</w:t>
      </w:r>
      <w:r w:rsidRPr="00257A16">
        <w:rPr>
          <w:rFonts w:ascii="Calibri" w:hAnsi="Calibri"/>
          <w:sz w:val="24"/>
          <w:szCs w:val="24"/>
        </w:rPr>
        <w:t xml:space="preserve">, denosumab </w:t>
      </w:r>
      <w:r w:rsidR="00290506" w:rsidRPr="00257A16">
        <w:rPr>
          <w:rFonts w:ascii="Calibri" w:hAnsi="Calibri"/>
          <w:sz w:val="24"/>
          <w:szCs w:val="24"/>
        </w:rPr>
        <w:t>[</w:t>
      </w:r>
      <w:r w:rsidR="00257A16" w:rsidRPr="00257A16">
        <w:rPr>
          <w:rFonts w:ascii="Calibri" w:hAnsi="Calibri"/>
          <w:sz w:val="24"/>
          <w:szCs w:val="24"/>
        </w:rPr>
        <w:t xml:space="preserve">164, </w:t>
      </w:r>
      <w:r w:rsidR="00290506" w:rsidRPr="00257A16">
        <w:rPr>
          <w:rFonts w:ascii="Calibri" w:hAnsi="Calibri"/>
          <w:sz w:val="24"/>
          <w:szCs w:val="24"/>
        </w:rPr>
        <w:t>167</w:t>
      </w:r>
      <w:r w:rsidR="00257A16" w:rsidRPr="00257A16">
        <w:rPr>
          <w:rFonts w:ascii="Calibri" w:hAnsi="Calibri"/>
          <w:sz w:val="24"/>
          <w:szCs w:val="24"/>
        </w:rPr>
        <w:t>],</w:t>
      </w:r>
      <w:r w:rsidRPr="00257A16">
        <w:rPr>
          <w:rFonts w:ascii="Calibri" w:hAnsi="Calibri"/>
          <w:sz w:val="24"/>
          <w:szCs w:val="24"/>
        </w:rPr>
        <w:t xml:space="preserve"> raloxifene</w:t>
      </w:r>
      <w:r w:rsidR="00257A16" w:rsidRPr="00257A16">
        <w:rPr>
          <w:rFonts w:ascii="Calibri" w:hAnsi="Calibri"/>
          <w:sz w:val="24"/>
          <w:szCs w:val="24"/>
        </w:rPr>
        <w:t xml:space="preserve">, </w:t>
      </w:r>
      <w:r w:rsidR="00575B5F" w:rsidRPr="00257A16">
        <w:rPr>
          <w:rFonts w:ascii="Calibri" w:hAnsi="Calibri"/>
          <w:sz w:val="24"/>
          <w:szCs w:val="24"/>
        </w:rPr>
        <w:t>[168]</w:t>
      </w:r>
      <w:r w:rsidR="008205C1" w:rsidRPr="00257A16">
        <w:rPr>
          <w:rFonts w:ascii="Calibri" w:hAnsi="Calibri"/>
          <w:sz w:val="24"/>
          <w:szCs w:val="24"/>
        </w:rPr>
        <w:t>, strontium</w:t>
      </w:r>
      <w:r w:rsidR="00257A16" w:rsidRPr="00257A16">
        <w:rPr>
          <w:rFonts w:ascii="Calibri" w:hAnsi="Calibri"/>
          <w:sz w:val="24"/>
          <w:szCs w:val="24"/>
        </w:rPr>
        <w:t xml:space="preserve"> </w:t>
      </w:r>
      <w:r w:rsidR="00575B5F" w:rsidRPr="00257A16">
        <w:rPr>
          <w:rFonts w:ascii="Calibri" w:hAnsi="Calibri"/>
          <w:sz w:val="24"/>
          <w:szCs w:val="24"/>
        </w:rPr>
        <w:t>[169]</w:t>
      </w:r>
      <w:r w:rsidR="00E923B2" w:rsidRPr="00257A16">
        <w:rPr>
          <w:rFonts w:ascii="Calibri" w:hAnsi="Calibri"/>
          <w:sz w:val="24"/>
          <w:szCs w:val="24"/>
        </w:rPr>
        <w:t xml:space="preserve"> and </w:t>
      </w:r>
      <w:r w:rsidR="005F7E6D" w:rsidRPr="00257A16">
        <w:rPr>
          <w:rFonts w:ascii="Calibri" w:hAnsi="Calibri"/>
          <w:sz w:val="24"/>
          <w:szCs w:val="24"/>
        </w:rPr>
        <w:t>bazedoxifene [</w:t>
      </w:r>
      <w:r w:rsidR="00575B5F" w:rsidRPr="00257A16">
        <w:rPr>
          <w:rFonts w:ascii="Calibri" w:hAnsi="Calibri"/>
          <w:sz w:val="24"/>
          <w:szCs w:val="24"/>
        </w:rPr>
        <w:t>163</w:t>
      </w:r>
      <w:r w:rsidR="00257A16" w:rsidRPr="00257A16">
        <w:rPr>
          <w:rFonts w:ascii="Calibri" w:hAnsi="Calibri"/>
          <w:sz w:val="24"/>
          <w:szCs w:val="24"/>
        </w:rPr>
        <w:t>, 170</w:t>
      </w:r>
      <w:r w:rsidR="00575B5F" w:rsidRPr="00257A16">
        <w:rPr>
          <w:rFonts w:ascii="Calibri" w:hAnsi="Calibri"/>
          <w:sz w:val="24"/>
          <w:szCs w:val="24"/>
        </w:rPr>
        <w:t>]</w:t>
      </w:r>
      <w:r w:rsidRPr="00257A16">
        <w:rPr>
          <w:rFonts w:ascii="Calibri" w:hAnsi="Calibri"/>
          <w:sz w:val="24"/>
          <w:szCs w:val="24"/>
        </w:rPr>
        <w:t xml:space="preserve">.  </w:t>
      </w:r>
      <w:r w:rsidR="00202380" w:rsidRPr="00257A16">
        <w:rPr>
          <w:rFonts w:ascii="Calibri" w:hAnsi="Calibri"/>
          <w:sz w:val="24"/>
          <w:szCs w:val="24"/>
        </w:rPr>
        <w:t xml:space="preserve">The major intervention in the UK and many other countries is alendronate </w:t>
      </w:r>
      <w:r w:rsidR="007D5CFA" w:rsidRPr="00257A16">
        <w:rPr>
          <w:rFonts w:ascii="Calibri" w:hAnsi="Calibri"/>
          <w:sz w:val="24"/>
          <w:szCs w:val="24"/>
        </w:rPr>
        <w:t>[2]</w:t>
      </w:r>
      <w:r w:rsidR="00202380" w:rsidRPr="00257A16">
        <w:rPr>
          <w:rFonts w:ascii="Calibri" w:hAnsi="Calibri"/>
          <w:sz w:val="24"/>
          <w:szCs w:val="24"/>
        </w:rPr>
        <w:t xml:space="preserve">.  </w:t>
      </w:r>
      <w:r w:rsidRPr="00257A16">
        <w:rPr>
          <w:rFonts w:ascii="Calibri" w:hAnsi="Calibri"/>
          <w:sz w:val="24"/>
          <w:szCs w:val="24"/>
        </w:rPr>
        <w:t xml:space="preserve">In the case of generic alendronate treatment compared to no </w:t>
      </w:r>
      <w:r w:rsidR="002F6BD2" w:rsidRPr="00257A16">
        <w:rPr>
          <w:rFonts w:ascii="Calibri" w:hAnsi="Calibri"/>
          <w:sz w:val="24"/>
          <w:szCs w:val="24"/>
        </w:rPr>
        <w:t>treatment</w:t>
      </w:r>
      <w:r w:rsidRPr="00257A16">
        <w:rPr>
          <w:rFonts w:ascii="Calibri" w:hAnsi="Calibri"/>
          <w:sz w:val="24"/>
          <w:szCs w:val="24"/>
        </w:rPr>
        <w:t xml:space="preserve"> was found to be cost-effective at a 10-year probability of a major fracture of </w:t>
      </w:r>
      <w:r w:rsidR="00E314E3" w:rsidRPr="00257A16">
        <w:rPr>
          <w:rFonts w:ascii="Calibri" w:hAnsi="Calibri"/>
          <w:sz w:val="24"/>
          <w:szCs w:val="24"/>
        </w:rPr>
        <w:t>5.6</w:t>
      </w:r>
      <w:r w:rsidRPr="00257A16">
        <w:rPr>
          <w:rFonts w:ascii="Calibri" w:hAnsi="Calibri"/>
          <w:sz w:val="24"/>
          <w:szCs w:val="24"/>
        </w:rPr>
        <w:t xml:space="preserve"> % </w:t>
      </w:r>
      <w:r w:rsidR="002F6BD2" w:rsidRPr="00257A16">
        <w:rPr>
          <w:rFonts w:ascii="Calibri" w:hAnsi="Calibri"/>
          <w:sz w:val="24"/>
          <w:szCs w:val="24"/>
        </w:rPr>
        <w:t>(95% credibility interval</w:t>
      </w:r>
      <w:r w:rsidR="00307F4B" w:rsidRPr="00257A16">
        <w:rPr>
          <w:rFonts w:ascii="Calibri" w:hAnsi="Calibri"/>
          <w:sz w:val="24"/>
          <w:szCs w:val="24"/>
        </w:rPr>
        <w:t>;</w:t>
      </w:r>
      <w:r w:rsidR="002F6BD2" w:rsidRPr="00257A16">
        <w:rPr>
          <w:rFonts w:ascii="Calibri" w:hAnsi="Calibri"/>
          <w:sz w:val="24"/>
          <w:szCs w:val="24"/>
        </w:rPr>
        <w:t xml:space="preserve"> 4.8-6.8</w:t>
      </w:r>
      <w:r w:rsidR="00307F4B" w:rsidRPr="00257A16">
        <w:rPr>
          <w:rFonts w:ascii="Calibri" w:hAnsi="Calibri"/>
          <w:sz w:val="24"/>
          <w:szCs w:val="24"/>
        </w:rPr>
        <w:t xml:space="preserve"> </w:t>
      </w:r>
      <w:r w:rsidR="002F6BD2" w:rsidRPr="00257A16">
        <w:rPr>
          <w:rFonts w:ascii="Calibri" w:hAnsi="Calibri"/>
          <w:sz w:val="24"/>
          <w:szCs w:val="24"/>
        </w:rPr>
        <w:t xml:space="preserve">%) </w:t>
      </w:r>
      <w:r w:rsidRPr="00257A16">
        <w:rPr>
          <w:rFonts w:ascii="Calibri" w:hAnsi="Calibri"/>
          <w:sz w:val="24"/>
          <w:szCs w:val="24"/>
        </w:rPr>
        <w:t>in</w:t>
      </w:r>
      <w:r w:rsidR="00D21807" w:rsidRPr="00257A16">
        <w:rPr>
          <w:rFonts w:ascii="Calibri" w:hAnsi="Calibri"/>
          <w:sz w:val="24"/>
          <w:szCs w:val="24"/>
        </w:rPr>
        <w:t xml:space="preserve"> women from the</w:t>
      </w:r>
      <w:r w:rsidRPr="00257A16">
        <w:rPr>
          <w:rFonts w:ascii="Calibri" w:hAnsi="Calibri"/>
          <w:sz w:val="24"/>
          <w:szCs w:val="24"/>
        </w:rPr>
        <w:t xml:space="preserve"> UK </w:t>
      </w:r>
      <w:r w:rsidR="00D21807" w:rsidRPr="00257A16">
        <w:rPr>
          <w:rFonts w:ascii="Calibri" w:hAnsi="Calibri"/>
          <w:sz w:val="24"/>
          <w:szCs w:val="24"/>
        </w:rPr>
        <w:t>at the age of 50 years</w:t>
      </w:r>
      <w:r w:rsidRPr="00257A16">
        <w:rPr>
          <w:rFonts w:ascii="Calibri" w:hAnsi="Calibri"/>
          <w:sz w:val="24"/>
          <w:szCs w:val="24"/>
        </w:rPr>
        <w:t xml:space="preserve"> (</w:t>
      </w:r>
      <w:r w:rsidR="00A118CD" w:rsidRPr="00257A16">
        <w:rPr>
          <w:rFonts w:ascii="Calibri" w:hAnsi="Calibri"/>
          <w:sz w:val="24"/>
          <w:szCs w:val="24"/>
        </w:rPr>
        <w:t>Figure</w:t>
      </w:r>
      <w:r w:rsidRPr="00257A16">
        <w:rPr>
          <w:rFonts w:ascii="Calibri" w:hAnsi="Calibri"/>
          <w:sz w:val="24"/>
          <w:szCs w:val="24"/>
        </w:rPr>
        <w:t xml:space="preserve"> 1</w:t>
      </w:r>
      <w:r w:rsidR="00453D85" w:rsidRPr="00257A16">
        <w:rPr>
          <w:rFonts w:ascii="Calibri" w:hAnsi="Calibri"/>
          <w:sz w:val="24"/>
          <w:szCs w:val="24"/>
        </w:rPr>
        <w:t>5</w:t>
      </w:r>
      <w:r w:rsidRPr="00257A16">
        <w:rPr>
          <w:rFonts w:ascii="Calibri" w:hAnsi="Calibri"/>
          <w:sz w:val="24"/>
          <w:szCs w:val="24"/>
        </w:rPr>
        <w:t>)</w:t>
      </w:r>
      <w:r w:rsidR="002F6BD2" w:rsidRPr="00257A16">
        <w:rPr>
          <w:rFonts w:ascii="Calibri" w:hAnsi="Calibri"/>
          <w:sz w:val="24"/>
          <w:szCs w:val="24"/>
        </w:rPr>
        <w:t xml:space="preserve"> </w:t>
      </w:r>
      <w:r w:rsidR="003E244A" w:rsidRPr="00257A16">
        <w:rPr>
          <w:rFonts w:ascii="Calibri" w:hAnsi="Calibri"/>
          <w:sz w:val="24"/>
          <w:szCs w:val="24"/>
        </w:rPr>
        <w:t>[14]</w:t>
      </w:r>
      <w:r w:rsidRPr="00257A16">
        <w:rPr>
          <w:rFonts w:ascii="Calibri" w:hAnsi="Calibri"/>
          <w:sz w:val="24"/>
          <w:szCs w:val="24"/>
        </w:rPr>
        <w:t xml:space="preserve">. </w:t>
      </w:r>
      <w:r w:rsidR="00D21807" w:rsidRPr="00257A16">
        <w:rPr>
          <w:rFonts w:ascii="Calibri" w:hAnsi="Calibri"/>
          <w:sz w:val="24"/>
          <w:szCs w:val="24"/>
        </w:rPr>
        <w:t xml:space="preserve"> The economic threshold varied little by age</w:t>
      </w:r>
      <w:r w:rsidR="00E314E3" w:rsidRPr="00257A16">
        <w:rPr>
          <w:rFonts w:ascii="Calibri" w:hAnsi="Calibri"/>
          <w:sz w:val="24"/>
          <w:szCs w:val="24"/>
        </w:rPr>
        <w:t xml:space="preserve"> and the mean</w:t>
      </w:r>
      <w:r w:rsidR="002F6BD2" w:rsidRPr="00257A16">
        <w:rPr>
          <w:rFonts w:ascii="Calibri" w:hAnsi="Calibri"/>
          <w:sz w:val="24"/>
          <w:szCs w:val="24"/>
        </w:rPr>
        <w:t xml:space="preserve"> threshold was 6.9</w:t>
      </w:r>
      <w:r w:rsidR="00E8657B" w:rsidRPr="00257A16">
        <w:rPr>
          <w:rFonts w:ascii="Calibri" w:hAnsi="Calibri"/>
          <w:sz w:val="24"/>
          <w:szCs w:val="24"/>
        </w:rPr>
        <w:t xml:space="preserve"> </w:t>
      </w:r>
      <w:r w:rsidR="002F6BD2" w:rsidRPr="00257A16">
        <w:rPr>
          <w:rFonts w:ascii="Calibri" w:hAnsi="Calibri"/>
          <w:sz w:val="24"/>
          <w:szCs w:val="24"/>
        </w:rPr>
        <w:t>% with the range of 95</w:t>
      </w:r>
      <w:r w:rsidR="00307F4B" w:rsidRPr="00257A16">
        <w:rPr>
          <w:rFonts w:ascii="Calibri" w:hAnsi="Calibri"/>
          <w:sz w:val="24"/>
          <w:szCs w:val="24"/>
        </w:rPr>
        <w:t xml:space="preserve"> </w:t>
      </w:r>
      <w:r w:rsidR="002F6BD2" w:rsidRPr="00257A16">
        <w:rPr>
          <w:rFonts w:ascii="Calibri" w:hAnsi="Calibri"/>
          <w:sz w:val="24"/>
          <w:szCs w:val="24"/>
        </w:rPr>
        <w:t>% credibility intervals between 4.2</w:t>
      </w:r>
      <w:r w:rsidR="00307F4B" w:rsidRPr="00257A16">
        <w:rPr>
          <w:rFonts w:ascii="Calibri" w:hAnsi="Calibri"/>
          <w:sz w:val="24"/>
          <w:szCs w:val="24"/>
        </w:rPr>
        <w:t xml:space="preserve"> and </w:t>
      </w:r>
      <w:r w:rsidR="002F6BD2" w:rsidRPr="00257A16">
        <w:rPr>
          <w:rFonts w:ascii="Calibri" w:hAnsi="Calibri"/>
          <w:sz w:val="24"/>
          <w:szCs w:val="24"/>
        </w:rPr>
        <w:t>9.6</w:t>
      </w:r>
      <w:r w:rsidR="00307F4B" w:rsidRPr="00257A16">
        <w:rPr>
          <w:rFonts w:ascii="Calibri" w:hAnsi="Calibri"/>
          <w:sz w:val="24"/>
          <w:szCs w:val="24"/>
        </w:rPr>
        <w:t xml:space="preserve"> </w:t>
      </w:r>
      <w:r w:rsidR="002F6BD2" w:rsidRPr="00257A16">
        <w:rPr>
          <w:rFonts w:ascii="Calibri" w:hAnsi="Calibri"/>
          <w:sz w:val="24"/>
          <w:szCs w:val="24"/>
        </w:rPr>
        <w:t>%</w:t>
      </w:r>
      <w:r w:rsidR="00D21807" w:rsidRPr="00257A16">
        <w:rPr>
          <w:rFonts w:ascii="Calibri" w:hAnsi="Calibri"/>
          <w:sz w:val="24"/>
          <w:szCs w:val="24"/>
        </w:rPr>
        <w:t>.  In this analysis, t</w:t>
      </w:r>
      <w:r w:rsidRPr="00257A16">
        <w:rPr>
          <w:rFonts w:ascii="Calibri" w:hAnsi="Calibri"/>
          <w:sz w:val="24"/>
          <w:szCs w:val="24"/>
        </w:rPr>
        <w:t>he cost of alendronate was set at £95 per year, which is now a conservative figure since the current price has subsequently fallen to £</w:t>
      </w:r>
      <w:r w:rsidR="00202380" w:rsidRPr="00257A16">
        <w:rPr>
          <w:rFonts w:ascii="Calibri" w:hAnsi="Calibri"/>
          <w:sz w:val="24"/>
          <w:szCs w:val="24"/>
        </w:rPr>
        <w:t>12</w:t>
      </w:r>
      <w:r w:rsidRPr="00257A16">
        <w:rPr>
          <w:rFonts w:ascii="Calibri" w:hAnsi="Calibri"/>
          <w:sz w:val="24"/>
          <w:szCs w:val="24"/>
        </w:rPr>
        <w:t>.</w:t>
      </w:r>
      <w:r w:rsidR="00202380" w:rsidRPr="00257A16">
        <w:rPr>
          <w:rFonts w:ascii="Calibri" w:hAnsi="Calibri"/>
          <w:sz w:val="24"/>
          <w:szCs w:val="24"/>
        </w:rPr>
        <w:t xml:space="preserve">  Given that NOGG</w:t>
      </w:r>
      <w:r w:rsidR="00307F4B" w:rsidRPr="00257A16">
        <w:rPr>
          <w:rFonts w:ascii="Calibri" w:hAnsi="Calibri"/>
          <w:sz w:val="24"/>
          <w:szCs w:val="24"/>
        </w:rPr>
        <w:t>-</w:t>
      </w:r>
      <w:r w:rsidR="00202380" w:rsidRPr="00257A16">
        <w:rPr>
          <w:rFonts w:ascii="Calibri" w:hAnsi="Calibri"/>
          <w:sz w:val="24"/>
          <w:szCs w:val="24"/>
        </w:rPr>
        <w:t>based intervention thresholds range from 7</w:t>
      </w:r>
      <w:r w:rsidR="002F6BD2" w:rsidRPr="00257A16">
        <w:rPr>
          <w:rFonts w:ascii="Calibri" w:hAnsi="Calibri"/>
          <w:sz w:val="24"/>
          <w:szCs w:val="24"/>
        </w:rPr>
        <w:t>.5</w:t>
      </w:r>
      <w:r w:rsidR="00E8657B" w:rsidRPr="00257A16">
        <w:rPr>
          <w:rFonts w:ascii="Calibri" w:hAnsi="Calibri"/>
          <w:sz w:val="24"/>
          <w:szCs w:val="24"/>
        </w:rPr>
        <w:t xml:space="preserve"> </w:t>
      </w:r>
      <w:r w:rsidR="00202380" w:rsidRPr="00257A16">
        <w:rPr>
          <w:rFonts w:ascii="Calibri" w:hAnsi="Calibri"/>
          <w:sz w:val="24"/>
          <w:szCs w:val="24"/>
        </w:rPr>
        <w:t>% at the age of 50 years to 30</w:t>
      </w:r>
      <w:r w:rsidR="00E8657B" w:rsidRPr="00257A16">
        <w:rPr>
          <w:rFonts w:ascii="Calibri" w:hAnsi="Calibri"/>
          <w:sz w:val="24"/>
          <w:szCs w:val="24"/>
        </w:rPr>
        <w:t xml:space="preserve"> </w:t>
      </w:r>
      <w:r w:rsidR="00202380" w:rsidRPr="00257A16">
        <w:rPr>
          <w:rFonts w:ascii="Calibri" w:hAnsi="Calibri"/>
          <w:sz w:val="24"/>
          <w:szCs w:val="24"/>
        </w:rPr>
        <w:t>% in the elderly</w:t>
      </w:r>
      <w:r w:rsidR="002F6BD2" w:rsidRPr="00257A16">
        <w:rPr>
          <w:rFonts w:ascii="Calibri" w:hAnsi="Calibri"/>
          <w:sz w:val="24"/>
          <w:szCs w:val="24"/>
        </w:rPr>
        <w:t xml:space="preserve"> </w:t>
      </w:r>
      <w:r w:rsidR="0030753F" w:rsidRPr="00257A16">
        <w:rPr>
          <w:rFonts w:ascii="Calibri" w:hAnsi="Calibri"/>
          <w:sz w:val="24"/>
          <w:szCs w:val="24"/>
        </w:rPr>
        <w:t>[140]</w:t>
      </w:r>
      <w:r w:rsidR="00202380" w:rsidRPr="00257A16">
        <w:rPr>
          <w:rFonts w:ascii="Calibri" w:hAnsi="Calibri"/>
          <w:sz w:val="24"/>
          <w:szCs w:val="24"/>
        </w:rPr>
        <w:t>, NOGG</w:t>
      </w:r>
      <w:r w:rsidR="00202380" w:rsidRPr="00DB1D7C">
        <w:rPr>
          <w:rFonts w:ascii="Calibri" w:hAnsi="Calibri"/>
          <w:sz w:val="24"/>
          <w:szCs w:val="24"/>
        </w:rPr>
        <w:t xml:space="preserve"> concluded that treatment with alendronate under the NOGG strategy was cost-effective</w:t>
      </w:r>
      <w:r w:rsidR="002F6BD2" w:rsidRPr="00DB1D7C">
        <w:rPr>
          <w:rFonts w:ascii="Calibri" w:hAnsi="Calibri"/>
          <w:sz w:val="24"/>
          <w:szCs w:val="24"/>
        </w:rPr>
        <w:t>.</w:t>
      </w:r>
      <w:r w:rsidR="00202380" w:rsidRPr="00DB1D7C">
        <w:rPr>
          <w:rFonts w:ascii="Calibri" w:hAnsi="Calibri"/>
          <w:sz w:val="24"/>
          <w:szCs w:val="24"/>
        </w:rPr>
        <w:t xml:space="preserve"> </w:t>
      </w:r>
    </w:p>
    <w:p w14:paraId="25D59AC0" w14:textId="5941977D" w:rsidR="00F501E1" w:rsidRPr="00DB1D7C" w:rsidRDefault="00F501E1" w:rsidP="003A589D">
      <w:pPr>
        <w:rPr>
          <w:rFonts w:ascii="Calibri" w:hAnsi="Calibri"/>
          <w:sz w:val="24"/>
          <w:szCs w:val="24"/>
        </w:rPr>
      </w:pPr>
    </w:p>
    <w:p w14:paraId="7A3CE80F" w14:textId="53CF1869" w:rsidR="00202380" w:rsidRPr="00DB1D7C" w:rsidRDefault="008205C1" w:rsidP="004E2F63">
      <w:pPr>
        <w:jc w:val="center"/>
        <w:rPr>
          <w:rFonts w:ascii="Calibri" w:hAnsi="Calibri"/>
          <w:sz w:val="24"/>
          <w:szCs w:val="24"/>
        </w:rPr>
      </w:pPr>
      <w:r w:rsidRPr="00DB1D7C">
        <w:rPr>
          <w:rFonts w:ascii="Calibri" w:hAnsi="Calibri"/>
          <w:noProof/>
          <w:sz w:val="24"/>
          <w:szCs w:val="24"/>
          <w:lang w:eastAsia="en-GB"/>
        </w:rPr>
        <w:drawing>
          <wp:inline distT="0" distB="0" distL="0" distR="0" wp14:anchorId="4AE84704" wp14:editId="2336F696">
            <wp:extent cx="4571999" cy="2819400"/>
            <wp:effectExtent l="0" t="0" r="63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srcRect t="17778"/>
                    <a:stretch/>
                  </pic:blipFill>
                  <pic:spPr bwMode="auto">
                    <a:xfrm>
                      <a:off x="0" y="0"/>
                      <a:ext cx="4572638" cy="2819794"/>
                    </a:xfrm>
                    <a:prstGeom prst="rect">
                      <a:avLst/>
                    </a:prstGeom>
                    <a:ln>
                      <a:noFill/>
                    </a:ln>
                    <a:extLst>
                      <a:ext uri="{53640926-AAD7-44D8-BBD7-CCE9431645EC}">
                        <a14:shadowObscured xmlns:a14="http://schemas.microsoft.com/office/drawing/2010/main"/>
                      </a:ext>
                    </a:extLst>
                  </pic:spPr>
                </pic:pic>
              </a:graphicData>
            </a:graphic>
          </wp:inline>
        </w:drawing>
      </w:r>
    </w:p>
    <w:p w14:paraId="13D6595D" w14:textId="34186414" w:rsidR="004E2F63" w:rsidRPr="00DB1D7C" w:rsidRDefault="004E2F63" w:rsidP="004E2F63">
      <w:pPr>
        <w:ind w:left="567" w:right="804"/>
        <w:rPr>
          <w:rFonts w:ascii="Calibri" w:hAnsi="Calibri"/>
        </w:rPr>
      </w:pPr>
      <w:r w:rsidRPr="00DB1D7C">
        <w:rPr>
          <w:rFonts w:ascii="Calibri" w:hAnsi="Calibri"/>
          <w:b/>
        </w:rPr>
        <w:t xml:space="preserve">Figure </w:t>
      </w:r>
      <w:r w:rsidR="0032217D" w:rsidRPr="00DB1D7C">
        <w:rPr>
          <w:rFonts w:ascii="Calibri" w:hAnsi="Calibri"/>
          <w:b/>
        </w:rPr>
        <w:t>1</w:t>
      </w:r>
      <w:r w:rsidR="00453D85">
        <w:rPr>
          <w:rFonts w:ascii="Calibri" w:hAnsi="Calibri"/>
          <w:b/>
        </w:rPr>
        <w:t>5</w:t>
      </w:r>
      <w:r w:rsidRPr="00DB1D7C">
        <w:rPr>
          <w:rFonts w:ascii="Calibri" w:hAnsi="Calibri"/>
          <w:b/>
        </w:rPr>
        <w:t>.</w:t>
      </w:r>
      <w:r w:rsidRPr="00DB1D7C">
        <w:rPr>
          <w:rFonts w:ascii="Calibri" w:hAnsi="Calibri"/>
        </w:rPr>
        <w:t xml:space="preserve"> Correlation between the probability of </w:t>
      </w:r>
      <w:r w:rsidR="00F501E1" w:rsidRPr="00DB1D7C">
        <w:rPr>
          <w:rFonts w:ascii="Calibri" w:hAnsi="Calibri"/>
        </w:rPr>
        <w:t xml:space="preserve">a major osteoporotic fracture </w:t>
      </w:r>
      <w:r w:rsidRPr="00DB1D7C">
        <w:rPr>
          <w:rFonts w:ascii="Calibri" w:hAnsi="Calibri"/>
        </w:rPr>
        <w:t>and cost</w:t>
      </w:r>
      <w:r w:rsidR="00307F4B">
        <w:rPr>
          <w:rFonts w:ascii="Calibri" w:hAnsi="Calibri"/>
        </w:rPr>
        <w:t>-</w:t>
      </w:r>
      <w:r w:rsidRPr="00DB1D7C">
        <w:rPr>
          <w:rFonts w:ascii="Calibri" w:hAnsi="Calibri"/>
        </w:rPr>
        <w:t>effectiveness of generic alendronate at the age of 50 years in women from the UK (BMI set to 26 kg/m</w:t>
      </w:r>
      <w:r w:rsidRPr="00DB1D7C">
        <w:rPr>
          <w:rFonts w:ascii="Calibri" w:hAnsi="Calibri"/>
          <w:vertAlign w:val="superscript"/>
        </w:rPr>
        <w:t>2</w:t>
      </w:r>
      <w:r w:rsidRPr="00DB1D7C">
        <w:rPr>
          <w:rFonts w:ascii="Calibri" w:hAnsi="Calibri"/>
        </w:rPr>
        <w:t xml:space="preserve">). The </w:t>
      </w:r>
      <w:r w:rsidR="008205C1" w:rsidRPr="00DB1D7C">
        <w:rPr>
          <w:rFonts w:ascii="Calibri" w:hAnsi="Calibri"/>
        </w:rPr>
        <w:t>line</w:t>
      </w:r>
      <w:r w:rsidRPr="00DB1D7C">
        <w:rPr>
          <w:rFonts w:ascii="Calibri" w:hAnsi="Calibri"/>
        </w:rPr>
        <w:t xml:space="preserve"> </w:t>
      </w:r>
      <w:r w:rsidR="00F501E1" w:rsidRPr="00DB1D7C">
        <w:rPr>
          <w:rFonts w:ascii="Calibri" w:hAnsi="Calibri"/>
        </w:rPr>
        <w:t xml:space="preserve">indicates the willingness to pay set </w:t>
      </w:r>
      <w:r w:rsidR="008205C1" w:rsidRPr="00DB1D7C">
        <w:rPr>
          <w:rFonts w:ascii="Calibri" w:hAnsi="Calibri"/>
        </w:rPr>
        <w:t>at £2</w:t>
      </w:r>
      <w:r w:rsidR="00F501E1" w:rsidRPr="00DB1D7C">
        <w:rPr>
          <w:rFonts w:ascii="Calibri" w:hAnsi="Calibri"/>
        </w:rPr>
        <w:t xml:space="preserve">0,000/QALY gained. </w:t>
      </w:r>
      <w:r w:rsidRPr="00DB1D7C">
        <w:rPr>
          <w:rFonts w:ascii="Calibri" w:hAnsi="Calibri"/>
        </w:rPr>
        <w:t xml:space="preserve">Each point represents a particular combination of BMD and clinical risk factors. </w:t>
      </w:r>
      <w:r w:rsidR="00257A16">
        <w:rPr>
          <w:rFonts w:ascii="Calibri" w:hAnsi="Calibri"/>
        </w:rPr>
        <w:t xml:space="preserve">Taken </w:t>
      </w:r>
      <w:r w:rsidR="00257A16" w:rsidRPr="00257A16">
        <w:rPr>
          <w:rFonts w:ascii="Calibri" w:hAnsi="Calibri"/>
        </w:rPr>
        <w:t>from</w:t>
      </w:r>
      <w:r w:rsidRPr="00257A16">
        <w:rPr>
          <w:rFonts w:ascii="Calibri" w:hAnsi="Calibri"/>
        </w:rPr>
        <w:t xml:space="preserve"> </w:t>
      </w:r>
      <w:r w:rsidR="0030753F" w:rsidRPr="00257A16">
        <w:rPr>
          <w:rFonts w:ascii="Calibri" w:hAnsi="Calibri"/>
        </w:rPr>
        <w:t>[140</w:t>
      </w:r>
      <w:r w:rsidR="005F7E6D" w:rsidRPr="00257A16">
        <w:rPr>
          <w:rFonts w:ascii="Calibri" w:hAnsi="Calibri"/>
        </w:rPr>
        <w:t>] with</w:t>
      </w:r>
      <w:r w:rsidRPr="00257A16">
        <w:rPr>
          <w:rFonts w:ascii="Calibri" w:hAnsi="Calibri"/>
        </w:rPr>
        <w:t xml:space="preserve"> kind permission</w:t>
      </w:r>
      <w:r w:rsidRPr="00DB1D7C">
        <w:rPr>
          <w:rFonts w:ascii="Calibri" w:hAnsi="Calibri"/>
        </w:rPr>
        <w:t xml:space="preserve"> from Springer Science and Business Media.</w:t>
      </w:r>
    </w:p>
    <w:p w14:paraId="51337473" w14:textId="77777777" w:rsidR="004E2F63" w:rsidRPr="00DB1D7C" w:rsidRDefault="004E2F63" w:rsidP="003A589D">
      <w:pPr>
        <w:rPr>
          <w:rFonts w:ascii="Calibri" w:hAnsi="Calibri"/>
          <w:sz w:val="24"/>
          <w:szCs w:val="24"/>
        </w:rPr>
      </w:pPr>
    </w:p>
    <w:p w14:paraId="17BBF88C" w14:textId="1DAC4405" w:rsidR="00180A5E" w:rsidRPr="00DB1D7C" w:rsidRDefault="000E58A2" w:rsidP="003A589D">
      <w:pPr>
        <w:rPr>
          <w:rFonts w:ascii="Calibri" w:hAnsi="Calibri"/>
          <w:sz w:val="24"/>
          <w:szCs w:val="24"/>
        </w:rPr>
      </w:pPr>
      <w:r w:rsidRPr="00DB1D7C">
        <w:rPr>
          <w:rFonts w:ascii="Calibri" w:hAnsi="Calibri"/>
          <w:sz w:val="24"/>
          <w:szCs w:val="24"/>
        </w:rPr>
        <w:t xml:space="preserve">The threshold probability at which treatment became cost-effective was higher with treatments </w:t>
      </w:r>
      <w:r w:rsidR="004E2F63" w:rsidRPr="00DB1D7C">
        <w:rPr>
          <w:rFonts w:ascii="Calibri" w:hAnsi="Calibri"/>
          <w:sz w:val="24"/>
          <w:szCs w:val="24"/>
        </w:rPr>
        <w:t>other than</w:t>
      </w:r>
      <w:r w:rsidRPr="00DB1D7C">
        <w:rPr>
          <w:rFonts w:ascii="Calibri" w:hAnsi="Calibri"/>
          <w:sz w:val="24"/>
          <w:szCs w:val="24"/>
        </w:rPr>
        <w:t xml:space="preserve"> alendronate, related in large part to the higher cost of intervention. For example, </w:t>
      </w:r>
      <w:r w:rsidR="00307F4B" w:rsidRPr="00307F4B">
        <w:rPr>
          <w:rFonts w:ascii="Calibri" w:hAnsi="Calibri"/>
          <w:sz w:val="24"/>
          <w:szCs w:val="24"/>
        </w:rPr>
        <w:t xml:space="preserve">with willingness to pay set at </w:t>
      </w:r>
      <w:r w:rsidRPr="00DB1D7C">
        <w:rPr>
          <w:rFonts w:ascii="Calibri" w:hAnsi="Calibri"/>
          <w:sz w:val="24"/>
          <w:szCs w:val="24"/>
        </w:rPr>
        <w:t>£20,000 per QALY, treatment in the UK with risedronate was cost-effective at a probability threshold of 1</w:t>
      </w:r>
      <w:r w:rsidR="00F26082" w:rsidRPr="00DB1D7C">
        <w:rPr>
          <w:rFonts w:ascii="Calibri" w:hAnsi="Calibri"/>
          <w:sz w:val="24"/>
          <w:szCs w:val="24"/>
        </w:rPr>
        <w:t>7</w:t>
      </w:r>
      <w:r w:rsidRPr="00DB1D7C">
        <w:rPr>
          <w:rFonts w:ascii="Calibri" w:hAnsi="Calibri"/>
          <w:sz w:val="24"/>
          <w:szCs w:val="24"/>
        </w:rPr>
        <w:t>%</w:t>
      </w:r>
      <w:r w:rsidR="00F26082" w:rsidRPr="00DB1D7C">
        <w:rPr>
          <w:rFonts w:ascii="Calibri" w:hAnsi="Calibri"/>
          <w:sz w:val="24"/>
          <w:szCs w:val="24"/>
        </w:rPr>
        <w:t xml:space="preserve"> at the age of 50 years</w:t>
      </w:r>
      <w:r w:rsidR="003B0F19" w:rsidRPr="00DB1D7C">
        <w:rPr>
          <w:rFonts w:ascii="Calibri" w:hAnsi="Calibri"/>
          <w:sz w:val="24"/>
          <w:szCs w:val="24"/>
        </w:rPr>
        <w:t xml:space="preserve"> </w:t>
      </w:r>
      <w:r w:rsidR="00575B5F" w:rsidRPr="00257A16">
        <w:rPr>
          <w:rFonts w:ascii="Calibri" w:hAnsi="Calibri"/>
          <w:sz w:val="24"/>
          <w:szCs w:val="24"/>
        </w:rPr>
        <w:t>[166]</w:t>
      </w:r>
      <w:r w:rsidRPr="00257A16">
        <w:rPr>
          <w:rFonts w:ascii="Calibri" w:hAnsi="Calibri"/>
          <w:sz w:val="24"/>
          <w:szCs w:val="24"/>
        </w:rPr>
        <w:t>compared</w:t>
      </w:r>
      <w:r w:rsidRPr="00DB1D7C">
        <w:rPr>
          <w:rFonts w:ascii="Calibri" w:hAnsi="Calibri"/>
          <w:sz w:val="24"/>
          <w:szCs w:val="24"/>
        </w:rPr>
        <w:t xml:space="preserve"> with a threshold of 7% with generic alendronate. Other studies have examined strontium ranelate, bazedoxifene and denosumab in this </w:t>
      </w:r>
      <w:r w:rsidRPr="00257A16">
        <w:rPr>
          <w:rFonts w:ascii="Calibri" w:hAnsi="Calibri"/>
          <w:sz w:val="24"/>
          <w:szCs w:val="24"/>
        </w:rPr>
        <w:t xml:space="preserve">way </w:t>
      </w:r>
      <w:r w:rsidR="00257A16" w:rsidRPr="00257A16">
        <w:rPr>
          <w:rFonts w:ascii="Calibri" w:hAnsi="Calibri"/>
          <w:sz w:val="24"/>
          <w:szCs w:val="24"/>
        </w:rPr>
        <w:t>[</w:t>
      </w:r>
      <w:r w:rsidR="00575B5F" w:rsidRPr="00257A16">
        <w:rPr>
          <w:rFonts w:ascii="Calibri" w:hAnsi="Calibri"/>
          <w:sz w:val="24"/>
          <w:szCs w:val="24"/>
        </w:rPr>
        <w:t>167</w:t>
      </w:r>
      <w:r w:rsidR="00257A16" w:rsidRPr="00257A16">
        <w:rPr>
          <w:rFonts w:ascii="Calibri" w:hAnsi="Calibri"/>
          <w:sz w:val="24"/>
          <w:szCs w:val="24"/>
        </w:rPr>
        <w:t>,</w:t>
      </w:r>
      <w:r w:rsidRPr="00257A16">
        <w:rPr>
          <w:rFonts w:ascii="Calibri" w:hAnsi="Calibri"/>
          <w:sz w:val="24"/>
          <w:szCs w:val="24"/>
        </w:rPr>
        <w:t xml:space="preserve"> </w:t>
      </w:r>
      <w:r w:rsidR="00575B5F" w:rsidRPr="00257A16">
        <w:rPr>
          <w:rFonts w:ascii="Calibri" w:hAnsi="Calibri"/>
          <w:sz w:val="24"/>
          <w:szCs w:val="24"/>
        </w:rPr>
        <w:t xml:space="preserve">169, </w:t>
      </w:r>
      <w:proofErr w:type="gramStart"/>
      <w:r w:rsidR="00575B5F" w:rsidRPr="00257A16">
        <w:rPr>
          <w:rFonts w:ascii="Calibri" w:hAnsi="Calibri"/>
          <w:sz w:val="24"/>
          <w:szCs w:val="24"/>
        </w:rPr>
        <w:t>170</w:t>
      </w:r>
      <w:proofErr w:type="gramEnd"/>
      <w:r w:rsidR="00575B5F" w:rsidRPr="00257A16">
        <w:rPr>
          <w:rFonts w:ascii="Calibri" w:hAnsi="Calibri"/>
          <w:sz w:val="24"/>
          <w:szCs w:val="24"/>
        </w:rPr>
        <w:t>]</w:t>
      </w:r>
      <w:r w:rsidRPr="00257A16">
        <w:rPr>
          <w:rFonts w:ascii="Calibri" w:hAnsi="Calibri"/>
          <w:sz w:val="24"/>
          <w:szCs w:val="24"/>
        </w:rPr>
        <w:t>.</w:t>
      </w:r>
      <w:r w:rsidRPr="00DB1D7C">
        <w:rPr>
          <w:rFonts w:ascii="Calibri" w:hAnsi="Calibri"/>
          <w:sz w:val="24"/>
          <w:szCs w:val="24"/>
        </w:rPr>
        <w:t xml:space="preserve"> However, the cost-effectiveness of different interventions will vary between countries due to differences in drug costs, fracture risk, costs of treating fractures, utility estimates and willingness to pay.</w:t>
      </w:r>
    </w:p>
    <w:p w14:paraId="27CFF925" w14:textId="74BA403E" w:rsidR="00195EA2" w:rsidRPr="00DB1D7C" w:rsidRDefault="00195EA2" w:rsidP="00195EA2">
      <w:pPr>
        <w:rPr>
          <w:rFonts w:ascii="Calibri" w:hAnsi="Calibri"/>
          <w:sz w:val="24"/>
          <w:szCs w:val="24"/>
        </w:rPr>
      </w:pPr>
      <w:r w:rsidRPr="00DB1D7C">
        <w:rPr>
          <w:rFonts w:ascii="Calibri" w:hAnsi="Calibri"/>
          <w:sz w:val="24"/>
          <w:szCs w:val="24"/>
        </w:rPr>
        <w:t xml:space="preserve">The cost of the NOGG strategy has also been determined and compared with the RCP </w:t>
      </w:r>
      <w:r w:rsidRPr="00257A16">
        <w:rPr>
          <w:rFonts w:ascii="Calibri" w:hAnsi="Calibri"/>
          <w:sz w:val="24"/>
          <w:szCs w:val="24"/>
        </w:rPr>
        <w:t xml:space="preserve">guidelines </w:t>
      </w:r>
      <w:r w:rsidR="00575B5F" w:rsidRPr="00257A16">
        <w:rPr>
          <w:rFonts w:ascii="Calibri" w:hAnsi="Calibri"/>
          <w:sz w:val="24"/>
          <w:szCs w:val="24"/>
        </w:rPr>
        <w:t>[160]</w:t>
      </w:r>
      <w:r w:rsidRPr="00257A16">
        <w:rPr>
          <w:rFonts w:ascii="Calibri" w:hAnsi="Calibri"/>
          <w:sz w:val="24"/>
          <w:szCs w:val="24"/>
        </w:rPr>
        <w:t>.  The</w:t>
      </w:r>
      <w:r w:rsidRPr="00DB1D7C">
        <w:rPr>
          <w:rFonts w:ascii="Calibri" w:hAnsi="Calibri"/>
          <w:sz w:val="24"/>
          <w:szCs w:val="24"/>
        </w:rPr>
        <w:t xml:space="preserve"> identification costs and costs per averted hip fracture for the RCP and </w:t>
      </w:r>
      <w:r w:rsidRPr="002A1E50">
        <w:rPr>
          <w:rFonts w:ascii="Calibri" w:hAnsi="Calibri"/>
          <w:sz w:val="24"/>
          <w:szCs w:val="24"/>
        </w:rPr>
        <w:t xml:space="preserve">NOGG strategies are shown in Table </w:t>
      </w:r>
      <w:r w:rsidR="000305D7" w:rsidRPr="002A1E50">
        <w:rPr>
          <w:rFonts w:ascii="Calibri" w:hAnsi="Calibri"/>
          <w:sz w:val="24"/>
          <w:szCs w:val="24"/>
        </w:rPr>
        <w:t>8</w:t>
      </w:r>
      <w:r w:rsidRPr="002A1E50">
        <w:rPr>
          <w:rFonts w:ascii="Calibri" w:hAnsi="Calibri"/>
          <w:sz w:val="24"/>
          <w:szCs w:val="24"/>
        </w:rPr>
        <w:t xml:space="preserve">. The NOGG strategy resulted in </w:t>
      </w:r>
      <w:r w:rsidR="004D0DA5">
        <w:rPr>
          <w:rFonts w:ascii="Calibri" w:hAnsi="Calibri"/>
          <w:sz w:val="24"/>
          <w:szCs w:val="24"/>
        </w:rPr>
        <w:t>a</w:t>
      </w:r>
      <w:r w:rsidRPr="002A1E50">
        <w:rPr>
          <w:rFonts w:ascii="Calibri" w:hAnsi="Calibri"/>
          <w:sz w:val="24"/>
          <w:szCs w:val="24"/>
        </w:rPr>
        <w:t xml:space="preserve"> low</w:t>
      </w:r>
      <w:r w:rsidR="00CE1953" w:rsidRPr="002A1E50">
        <w:rPr>
          <w:rFonts w:ascii="Calibri" w:hAnsi="Calibri"/>
          <w:sz w:val="24"/>
          <w:szCs w:val="24"/>
        </w:rPr>
        <w:t>er</w:t>
      </w:r>
      <w:r w:rsidRPr="002A1E50">
        <w:rPr>
          <w:rFonts w:ascii="Calibri" w:hAnsi="Calibri"/>
          <w:sz w:val="24"/>
          <w:szCs w:val="24"/>
        </w:rPr>
        <w:t xml:space="preserve"> cost per identified or averted fracture across all ages. As a consequence of the larger number of scans required, the costs of identification </w:t>
      </w:r>
      <w:r w:rsidR="00527367" w:rsidRPr="002A1E50">
        <w:rPr>
          <w:rFonts w:ascii="Calibri" w:hAnsi="Calibri"/>
          <w:sz w:val="24"/>
          <w:szCs w:val="24"/>
        </w:rPr>
        <w:t>o</w:t>
      </w:r>
      <w:r w:rsidRPr="002A1E50">
        <w:rPr>
          <w:rFonts w:ascii="Calibri" w:hAnsi="Calibri"/>
          <w:sz w:val="24"/>
          <w:szCs w:val="24"/>
        </w:rPr>
        <w:t>f incident hip fractures were somewhat higher, particularly at younger ages, using the RCP strategy. For example, at the age of 60 years, the cost per hip fracture identified was almost 1.5-fold higher for the RCP approach (£407 vs.</w:t>
      </w:r>
      <w:r w:rsidR="00CE1953" w:rsidRPr="002A1E50">
        <w:rPr>
          <w:rFonts w:ascii="Calibri" w:hAnsi="Calibri"/>
          <w:sz w:val="24"/>
          <w:szCs w:val="24"/>
        </w:rPr>
        <w:t xml:space="preserve">  </w:t>
      </w:r>
      <w:r w:rsidRPr="002A1E50">
        <w:rPr>
          <w:rFonts w:ascii="Calibri" w:hAnsi="Calibri"/>
          <w:sz w:val="24"/>
          <w:szCs w:val="24"/>
        </w:rPr>
        <w:t>£278). The differences in costs between the two strategies</w:t>
      </w:r>
      <w:r w:rsidR="001B7285" w:rsidRPr="002A1E50">
        <w:rPr>
          <w:rFonts w:ascii="Calibri" w:hAnsi="Calibri"/>
          <w:sz w:val="24"/>
          <w:szCs w:val="24"/>
        </w:rPr>
        <w:t xml:space="preserve"> </w:t>
      </w:r>
      <w:r w:rsidRPr="002A1E50">
        <w:rPr>
          <w:rFonts w:ascii="Calibri" w:hAnsi="Calibri"/>
          <w:sz w:val="24"/>
          <w:szCs w:val="24"/>
        </w:rPr>
        <w:t xml:space="preserve">were less marked at older ages (Table </w:t>
      </w:r>
      <w:r w:rsidR="000305D7" w:rsidRPr="002A1E50">
        <w:rPr>
          <w:rFonts w:ascii="Calibri" w:hAnsi="Calibri"/>
          <w:sz w:val="24"/>
          <w:szCs w:val="24"/>
        </w:rPr>
        <w:t>8</w:t>
      </w:r>
      <w:r w:rsidRPr="002A1E50">
        <w:rPr>
          <w:rFonts w:ascii="Calibri" w:hAnsi="Calibri"/>
          <w:sz w:val="24"/>
          <w:szCs w:val="24"/>
        </w:rPr>
        <w:t>).</w:t>
      </w:r>
    </w:p>
    <w:p w14:paraId="0459960E" w14:textId="77777777" w:rsidR="003B0F19" w:rsidRPr="00DB1D7C" w:rsidRDefault="003B0F19" w:rsidP="003A589D">
      <w:pPr>
        <w:rPr>
          <w:rFonts w:ascii="Calibri" w:hAnsi="Calibri"/>
          <w:sz w:val="24"/>
          <w:szCs w:val="24"/>
        </w:rPr>
      </w:pPr>
    </w:p>
    <w:p w14:paraId="104B928F" w14:textId="56564072" w:rsidR="003B0F19" w:rsidRPr="00DB1D7C" w:rsidRDefault="003B0F19" w:rsidP="003B0F19">
      <w:pPr>
        <w:rPr>
          <w:rFonts w:ascii="Calibri" w:hAnsi="Calibri"/>
        </w:rPr>
      </w:pPr>
      <w:r w:rsidRPr="00DB1D7C">
        <w:rPr>
          <w:rFonts w:ascii="Calibri" w:hAnsi="Calibri"/>
          <w:b/>
        </w:rPr>
        <w:t xml:space="preserve">Table </w:t>
      </w:r>
      <w:r w:rsidR="000305D7" w:rsidRPr="00DB1D7C">
        <w:rPr>
          <w:rFonts w:ascii="Calibri" w:hAnsi="Calibri"/>
          <w:b/>
        </w:rPr>
        <w:t xml:space="preserve">8. </w:t>
      </w:r>
      <w:r w:rsidRPr="00DB1D7C">
        <w:rPr>
          <w:rFonts w:ascii="Calibri" w:hAnsi="Calibri"/>
        </w:rPr>
        <w:t xml:space="preserve"> Comparison of the identification and total costs (identification and treatment) per hip fracture averted for the RCP and NOGG strategies</w:t>
      </w:r>
      <w:r w:rsidR="0083739E">
        <w:rPr>
          <w:rFonts w:ascii="Calibri" w:hAnsi="Calibri"/>
        </w:rPr>
        <w:t xml:space="preserve">.  </w:t>
      </w:r>
      <w:r w:rsidR="0083739E" w:rsidRPr="0083739E">
        <w:rPr>
          <w:rFonts w:ascii="Calibri" w:hAnsi="Calibri"/>
        </w:rPr>
        <w:t>From</w:t>
      </w:r>
      <w:r w:rsidRPr="0083739E">
        <w:rPr>
          <w:rFonts w:ascii="Calibri" w:hAnsi="Calibri"/>
        </w:rPr>
        <w:t xml:space="preserve"> </w:t>
      </w:r>
      <w:r w:rsidR="00575B5F" w:rsidRPr="0083739E">
        <w:rPr>
          <w:rFonts w:ascii="Calibri" w:hAnsi="Calibri"/>
        </w:rPr>
        <w:t>[</w:t>
      </w:r>
      <w:r w:rsidR="0083739E" w:rsidRPr="0083739E">
        <w:rPr>
          <w:rFonts w:ascii="Calibri" w:hAnsi="Calibri"/>
        </w:rPr>
        <w:t>160] with</w:t>
      </w:r>
      <w:r w:rsidRPr="00DB1D7C">
        <w:rPr>
          <w:rFonts w:ascii="Calibri" w:hAnsi="Calibri"/>
        </w:rPr>
        <w:t xml:space="preserve"> kind permission from Springer Science and Business Media.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
        <w:gridCol w:w="1895"/>
        <w:gridCol w:w="1382"/>
        <w:gridCol w:w="279"/>
        <w:gridCol w:w="2175"/>
        <w:gridCol w:w="1779"/>
      </w:tblGrid>
      <w:tr w:rsidR="003B0F19" w:rsidRPr="00DB1D7C" w14:paraId="0D6795F5" w14:textId="77777777" w:rsidTr="001B7285">
        <w:tc>
          <w:tcPr>
            <w:tcW w:w="1516" w:type="dxa"/>
            <w:tcBorders>
              <w:bottom w:val="nil"/>
            </w:tcBorders>
          </w:tcPr>
          <w:p w14:paraId="3E4232FE"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Age (years)</w:t>
            </w:r>
          </w:p>
        </w:tc>
        <w:tc>
          <w:tcPr>
            <w:tcW w:w="3277" w:type="dxa"/>
            <w:gridSpan w:val="2"/>
            <w:tcBorders>
              <w:top w:val="single" w:sz="4" w:space="0" w:color="auto"/>
              <w:bottom w:val="single" w:sz="4" w:space="0" w:color="auto"/>
            </w:tcBorders>
          </w:tcPr>
          <w:p w14:paraId="0CAB1936" w14:textId="77777777" w:rsidR="003B0F19" w:rsidRPr="00DB1D7C" w:rsidRDefault="003B0F19" w:rsidP="001B7285">
            <w:pPr>
              <w:spacing w:line="259" w:lineRule="auto"/>
              <w:jc w:val="center"/>
              <w:rPr>
                <w:rFonts w:ascii="Calibri" w:hAnsi="Calibri"/>
                <w:sz w:val="24"/>
                <w:szCs w:val="24"/>
              </w:rPr>
            </w:pPr>
            <w:r w:rsidRPr="00DB1D7C">
              <w:rPr>
                <w:rFonts w:ascii="Calibri" w:hAnsi="Calibri"/>
                <w:sz w:val="24"/>
                <w:szCs w:val="24"/>
              </w:rPr>
              <w:t>Cost per hip fracture identified (£)</w:t>
            </w:r>
          </w:p>
        </w:tc>
        <w:tc>
          <w:tcPr>
            <w:tcW w:w="279" w:type="dxa"/>
            <w:tcBorders>
              <w:bottom w:val="nil"/>
            </w:tcBorders>
          </w:tcPr>
          <w:p w14:paraId="1AF2E56A" w14:textId="77777777" w:rsidR="003B0F19" w:rsidRPr="00DB1D7C" w:rsidRDefault="003B0F19" w:rsidP="001B7285">
            <w:pPr>
              <w:spacing w:line="259" w:lineRule="auto"/>
              <w:jc w:val="center"/>
              <w:rPr>
                <w:rFonts w:ascii="Calibri" w:hAnsi="Calibri"/>
                <w:sz w:val="24"/>
                <w:szCs w:val="24"/>
              </w:rPr>
            </w:pPr>
          </w:p>
        </w:tc>
        <w:tc>
          <w:tcPr>
            <w:tcW w:w="3954" w:type="dxa"/>
            <w:gridSpan w:val="2"/>
            <w:tcBorders>
              <w:top w:val="single" w:sz="4" w:space="0" w:color="auto"/>
              <w:bottom w:val="single" w:sz="4" w:space="0" w:color="auto"/>
            </w:tcBorders>
          </w:tcPr>
          <w:p w14:paraId="7357E135" w14:textId="469246D3" w:rsidR="003B0F19" w:rsidRPr="00DB1D7C" w:rsidRDefault="003B0F19" w:rsidP="001B7285">
            <w:pPr>
              <w:spacing w:line="259" w:lineRule="auto"/>
              <w:jc w:val="center"/>
              <w:rPr>
                <w:rFonts w:ascii="Calibri" w:hAnsi="Calibri"/>
                <w:sz w:val="24"/>
                <w:szCs w:val="24"/>
              </w:rPr>
            </w:pPr>
            <w:r w:rsidRPr="00DB1D7C">
              <w:rPr>
                <w:rFonts w:ascii="Calibri" w:hAnsi="Calibri"/>
                <w:sz w:val="24"/>
                <w:szCs w:val="24"/>
              </w:rPr>
              <w:t>Total cost per hip fracture averted (£)</w:t>
            </w:r>
            <w:r w:rsidR="001B7285" w:rsidRPr="00DB1D7C">
              <w:rPr>
                <w:rFonts w:ascii="Calibri" w:hAnsi="Calibri"/>
                <w:sz w:val="24"/>
                <w:szCs w:val="24"/>
              </w:rPr>
              <w:t>*</w:t>
            </w:r>
          </w:p>
        </w:tc>
      </w:tr>
      <w:tr w:rsidR="003B0F19" w:rsidRPr="00DB1D7C" w14:paraId="0C0E065B" w14:textId="77777777" w:rsidTr="001B7285">
        <w:tc>
          <w:tcPr>
            <w:tcW w:w="1516" w:type="dxa"/>
            <w:tcBorders>
              <w:top w:val="nil"/>
              <w:bottom w:val="single" w:sz="4" w:space="0" w:color="auto"/>
            </w:tcBorders>
          </w:tcPr>
          <w:p w14:paraId="59F09A77" w14:textId="77777777" w:rsidR="003B0F19" w:rsidRPr="00DB1D7C" w:rsidRDefault="003B0F19" w:rsidP="003B0F19">
            <w:pPr>
              <w:spacing w:line="259" w:lineRule="auto"/>
              <w:rPr>
                <w:rFonts w:ascii="Calibri" w:hAnsi="Calibri"/>
                <w:sz w:val="24"/>
                <w:szCs w:val="24"/>
              </w:rPr>
            </w:pPr>
          </w:p>
        </w:tc>
        <w:tc>
          <w:tcPr>
            <w:tcW w:w="1895" w:type="dxa"/>
            <w:tcBorders>
              <w:top w:val="single" w:sz="4" w:space="0" w:color="auto"/>
              <w:bottom w:val="single" w:sz="4" w:space="0" w:color="auto"/>
            </w:tcBorders>
          </w:tcPr>
          <w:p w14:paraId="7E62A57D"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RCP</w:t>
            </w:r>
          </w:p>
        </w:tc>
        <w:tc>
          <w:tcPr>
            <w:tcW w:w="1382" w:type="dxa"/>
            <w:tcBorders>
              <w:top w:val="single" w:sz="4" w:space="0" w:color="auto"/>
              <w:bottom w:val="single" w:sz="4" w:space="0" w:color="auto"/>
            </w:tcBorders>
          </w:tcPr>
          <w:p w14:paraId="29739995"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NOGG</w:t>
            </w:r>
          </w:p>
        </w:tc>
        <w:tc>
          <w:tcPr>
            <w:tcW w:w="279" w:type="dxa"/>
            <w:tcBorders>
              <w:top w:val="nil"/>
              <w:bottom w:val="single" w:sz="4" w:space="0" w:color="auto"/>
            </w:tcBorders>
          </w:tcPr>
          <w:p w14:paraId="52D7B5A1" w14:textId="77777777" w:rsidR="003B0F19" w:rsidRPr="00DB1D7C" w:rsidRDefault="003B0F19" w:rsidP="003B0F19">
            <w:pPr>
              <w:spacing w:line="259" w:lineRule="auto"/>
              <w:rPr>
                <w:rFonts w:ascii="Calibri" w:hAnsi="Calibri"/>
                <w:sz w:val="24"/>
                <w:szCs w:val="24"/>
              </w:rPr>
            </w:pPr>
          </w:p>
        </w:tc>
        <w:tc>
          <w:tcPr>
            <w:tcW w:w="2175" w:type="dxa"/>
            <w:tcBorders>
              <w:top w:val="single" w:sz="4" w:space="0" w:color="auto"/>
              <w:bottom w:val="single" w:sz="4" w:space="0" w:color="auto"/>
            </w:tcBorders>
          </w:tcPr>
          <w:p w14:paraId="385FCCC9"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RCP</w:t>
            </w:r>
          </w:p>
        </w:tc>
        <w:tc>
          <w:tcPr>
            <w:tcW w:w="1779" w:type="dxa"/>
            <w:tcBorders>
              <w:top w:val="single" w:sz="4" w:space="0" w:color="auto"/>
              <w:bottom w:val="single" w:sz="4" w:space="0" w:color="auto"/>
            </w:tcBorders>
          </w:tcPr>
          <w:p w14:paraId="4E40190E"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NOGG</w:t>
            </w:r>
          </w:p>
        </w:tc>
      </w:tr>
      <w:tr w:rsidR="003B0F19" w:rsidRPr="00DB1D7C" w14:paraId="6EBFC776" w14:textId="77777777" w:rsidTr="001B7285">
        <w:tc>
          <w:tcPr>
            <w:tcW w:w="1516" w:type="dxa"/>
            <w:tcBorders>
              <w:top w:val="single" w:sz="4" w:space="0" w:color="auto"/>
            </w:tcBorders>
          </w:tcPr>
          <w:p w14:paraId="1116837D"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50</w:t>
            </w:r>
          </w:p>
        </w:tc>
        <w:tc>
          <w:tcPr>
            <w:tcW w:w="1895" w:type="dxa"/>
            <w:tcBorders>
              <w:top w:val="single" w:sz="4" w:space="0" w:color="auto"/>
            </w:tcBorders>
          </w:tcPr>
          <w:p w14:paraId="27BF0F41"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891</w:t>
            </w:r>
          </w:p>
        </w:tc>
        <w:tc>
          <w:tcPr>
            <w:tcW w:w="1382" w:type="dxa"/>
            <w:tcBorders>
              <w:top w:val="single" w:sz="4" w:space="0" w:color="auto"/>
            </w:tcBorders>
          </w:tcPr>
          <w:p w14:paraId="67B8F6F8"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506</w:t>
            </w:r>
          </w:p>
        </w:tc>
        <w:tc>
          <w:tcPr>
            <w:tcW w:w="279" w:type="dxa"/>
            <w:tcBorders>
              <w:top w:val="single" w:sz="4" w:space="0" w:color="auto"/>
            </w:tcBorders>
          </w:tcPr>
          <w:p w14:paraId="3DE77770" w14:textId="77777777" w:rsidR="003B0F19" w:rsidRPr="00DB1D7C" w:rsidRDefault="003B0F19" w:rsidP="003B0F19">
            <w:pPr>
              <w:spacing w:line="259" w:lineRule="auto"/>
              <w:rPr>
                <w:rFonts w:ascii="Calibri" w:hAnsi="Calibri"/>
                <w:sz w:val="24"/>
                <w:szCs w:val="24"/>
              </w:rPr>
            </w:pPr>
          </w:p>
        </w:tc>
        <w:tc>
          <w:tcPr>
            <w:tcW w:w="2175" w:type="dxa"/>
            <w:tcBorders>
              <w:top w:val="single" w:sz="4" w:space="0" w:color="auto"/>
            </w:tcBorders>
          </w:tcPr>
          <w:p w14:paraId="73DDDA60"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6,211</w:t>
            </w:r>
          </w:p>
        </w:tc>
        <w:tc>
          <w:tcPr>
            <w:tcW w:w="1779" w:type="dxa"/>
            <w:tcBorders>
              <w:top w:val="single" w:sz="4" w:space="0" w:color="auto"/>
            </w:tcBorders>
          </w:tcPr>
          <w:p w14:paraId="210F9B26"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4,797</w:t>
            </w:r>
          </w:p>
        </w:tc>
      </w:tr>
      <w:tr w:rsidR="003B0F19" w:rsidRPr="00DB1D7C" w14:paraId="156E2CBC" w14:textId="77777777" w:rsidTr="001B7285">
        <w:tc>
          <w:tcPr>
            <w:tcW w:w="1516" w:type="dxa"/>
          </w:tcPr>
          <w:p w14:paraId="4E53DEB8"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55</w:t>
            </w:r>
          </w:p>
        </w:tc>
        <w:tc>
          <w:tcPr>
            <w:tcW w:w="1895" w:type="dxa"/>
          </w:tcPr>
          <w:p w14:paraId="02942592" w14:textId="633B935C" w:rsidR="003B0F19" w:rsidRPr="00DB1D7C" w:rsidRDefault="003B0F19" w:rsidP="00195EA2">
            <w:pPr>
              <w:spacing w:line="259" w:lineRule="auto"/>
              <w:rPr>
                <w:rFonts w:ascii="Calibri" w:hAnsi="Calibri"/>
                <w:sz w:val="24"/>
                <w:szCs w:val="24"/>
              </w:rPr>
            </w:pPr>
            <w:r w:rsidRPr="00DB1D7C">
              <w:rPr>
                <w:rFonts w:ascii="Calibri" w:hAnsi="Calibri"/>
                <w:sz w:val="24"/>
                <w:szCs w:val="24"/>
              </w:rPr>
              <w:t>59</w:t>
            </w:r>
            <w:r w:rsidR="00195EA2" w:rsidRPr="00DB1D7C">
              <w:rPr>
                <w:rFonts w:ascii="Calibri" w:hAnsi="Calibri"/>
                <w:sz w:val="24"/>
                <w:szCs w:val="24"/>
              </w:rPr>
              <w:t>7</w:t>
            </w:r>
          </w:p>
        </w:tc>
        <w:tc>
          <w:tcPr>
            <w:tcW w:w="1382" w:type="dxa"/>
          </w:tcPr>
          <w:p w14:paraId="0871F4A9"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352</w:t>
            </w:r>
          </w:p>
        </w:tc>
        <w:tc>
          <w:tcPr>
            <w:tcW w:w="279" w:type="dxa"/>
          </w:tcPr>
          <w:p w14:paraId="16C3A7BA" w14:textId="77777777" w:rsidR="003B0F19" w:rsidRPr="00DB1D7C" w:rsidRDefault="003B0F19" w:rsidP="003B0F19">
            <w:pPr>
              <w:spacing w:line="259" w:lineRule="auto"/>
              <w:rPr>
                <w:rFonts w:ascii="Calibri" w:hAnsi="Calibri"/>
                <w:sz w:val="24"/>
                <w:szCs w:val="24"/>
              </w:rPr>
            </w:pPr>
          </w:p>
        </w:tc>
        <w:tc>
          <w:tcPr>
            <w:tcW w:w="2175" w:type="dxa"/>
          </w:tcPr>
          <w:p w14:paraId="6B065B1B"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4,607</w:t>
            </w:r>
          </w:p>
        </w:tc>
        <w:tc>
          <w:tcPr>
            <w:tcW w:w="1779" w:type="dxa"/>
          </w:tcPr>
          <w:p w14:paraId="6DE215E0"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3,678</w:t>
            </w:r>
          </w:p>
        </w:tc>
      </w:tr>
      <w:tr w:rsidR="003B0F19" w:rsidRPr="00DB1D7C" w14:paraId="37E6EF92" w14:textId="77777777" w:rsidTr="001B7285">
        <w:tc>
          <w:tcPr>
            <w:tcW w:w="1516" w:type="dxa"/>
          </w:tcPr>
          <w:p w14:paraId="3EB6F39A"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60</w:t>
            </w:r>
          </w:p>
        </w:tc>
        <w:tc>
          <w:tcPr>
            <w:tcW w:w="1895" w:type="dxa"/>
          </w:tcPr>
          <w:p w14:paraId="0BAC237B" w14:textId="7F911E43" w:rsidR="003B0F19" w:rsidRPr="00DB1D7C" w:rsidRDefault="003B0F19" w:rsidP="00195EA2">
            <w:pPr>
              <w:spacing w:line="259" w:lineRule="auto"/>
              <w:rPr>
                <w:rFonts w:ascii="Calibri" w:hAnsi="Calibri"/>
                <w:sz w:val="24"/>
                <w:szCs w:val="24"/>
              </w:rPr>
            </w:pPr>
            <w:r w:rsidRPr="00DB1D7C">
              <w:rPr>
                <w:rFonts w:ascii="Calibri" w:hAnsi="Calibri"/>
                <w:sz w:val="24"/>
                <w:szCs w:val="24"/>
              </w:rPr>
              <w:t>407</w:t>
            </w:r>
          </w:p>
        </w:tc>
        <w:tc>
          <w:tcPr>
            <w:tcW w:w="1382" w:type="dxa"/>
          </w:tcPr>
          <w:p w14:paraId="65D9D290"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278</w:t>
            </w:r>
          </w:p>
        </w:tc>
        <w:tc>
          <w:tcPr>
            <w:tcW w:w="279" w:type="dxa"/>
          </w:tcPr>
          <w:p w14:paraId="706FD6F2" w14:textId="77777777" w:rsidR="003B0F19" w:rsidRPr="00DB1D7C" w:rsidRDefault="003B0F19" w:rsidP="003B0F19">
            <w:pPr>
              <w:spacing w:line="259" w:lineRule="auto"/>
              <w:rPr>
                <w:rFonts w:ascii="Calibri" w:hAnsi="Calibri"/>
                <w:sz w:val="24"/>
                <w:szCs w:val="24"/>
              </w:rPr>
            </w:pPr>
          </w:p>
        </w:tc>
        <w:tc>
          <w:tcPr>
            <w:tcW w:w="2175" w:type="dxa"/>
          </w:tcPr>
          <w:p w14:paraId="0D95ECB1"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3,505</w:t>
            </w:r>
          </w:p>
        </w:tc>
        <w:tc>
          <w:tcPr>
            <w:tcW w:w="1779" w:type="dxa"/>
          </w:tcPr>
          <w:p w14:paraId="4BA5EFA2"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3,020</w:t>
            </w:r>
          </w:p>
        </w:tc>
      </w:tr>
      <w:tr w:rsidR="003B0F19" w:rsidRPr="00DB1D7C" w14:paraId="4637A328" w14:textId="77777777" w:rsidTr="001B7285">
        <w:tc>
          <w:tcPr>
            <w:tcW w:w="1516" w:type="dxa"/>
          </w:tcPr>
          <w:p w14:paraId="31818616"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65</w:t>
            </w:r>
          </w:p>
        </w:tc>
        <w:tc>
          <w:tcPr>
            <w:tcW w:w="1895" w:type="dxa"/>
          </w:tcPr>
          <w:p w14:paraId="5101CFDC" w14:textId="0DB6835D" w:rsidR="003B0F19" w:rsidRPr="00DB1D7C" w:rsidRDefault="003B0F19" w:rsidP="00195EA2">
            <w:pPr>
              <w:spacing w:line="259" w:lineRule="auto"/>
              <w:rPr>
                <w:rFonts w:ascii="Calibri" w:hAnsi="Calibri"/>
                <w:sz w:val="24"/>
                <w:szCs w:val="24"/>
              </w:rPr>
            </w:pPr>
            <w:r w:rsidRPr="00DB1D7C">
              <w:rPr>
                <w:rFonts w:ascii="Calibri" w:hAnsi="Calibri"/>
                <w:sz w:val="24"/>
                <w:szCs w:val="24"/>
              </w:rPr>
              <w:t>24</w:t>
            </w:r>
            <w:r w:rsidR="00195EA2" w:rsidRPr="00DB1D7C">
              <w:rPr>
                <w:rFonts w:ascii="Calibri" w:hAnsi="Calibri"/>
                <w:sz w:val="24"/>
                <w:szCs w:val="24"/>
              </w:rPr>
              <w:t>3</w:t>
            </w:r>
          </w:p>
        </w:tc>
        <w:tc>
          <w:tcPr>
            <w:tcW w:w="1382" w:type="dxa"/>
          </w:tcPr>
          <w:p w14:paraId="4D900AE8"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216</w:t>
            </w:r>
          </w:p>
        </w:tc>
        <w:tc>
          <w:tcPr>
            <w:tcW w:w="279" w:type="dxa"/>
          </w:tcPr>
          <w:p w14:paraId="29FF33E9" w14:textId="77777777" w:rsidR="003B0F19" w:rsidRPr="00DB1D7C" w:rsidRDefault="003B0F19" w:rsidP="003B0F19">
            <w:pPr>
              <w:spacing w:line="259" w:lineRule="auto"/>
              <w:rPr>
                <w:rFonts w:ascii="Calibri" w:hAnsi="Calibri"/>
                <w:sz w:val="24"/>
                <w:szCs w:val="24"/>
              </w:rPr>
            </w:pPr>
          </w:p>
        </w:tc>
        <w:tc>
          <w:tcPr>
            <w:tcW w:w="2175" w:type="dxa"/>
          </w:tcPr>
          <w:p w14:paraId="3E772C04"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2,256</w:t>
            </w:r>
          </w:p>
        </w:tc>
        <w:tc>
          <w:tcPr>
            <w:tcW w:w="1779" w:type="dxa"/>
          </w:tcPr>
          <w:p w14:paraId="7CE05C08"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2,144</w:t>
            </w:r>
          </w:p>
        </w:tc>
      </w:tr>
      <w:tr w:rsidR="003B0F19" w:rsidRPr="00DB1D7C" w14:paraId="20FD18B5" w14:textId="77777777" w:rsidTr="001B7285">
        <w:tc>
          <w:tcPr>
            <w:tcW w:w="1516" w:type="dxa"/>
          </w:tcPr>
          <w:p w14:paraId="5F7AFFEF"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70</w:t>
            </w:r>
          </w:p>
        </w:tc>
        <w:tc>
          <w:tcPr>
            <w:tcW w:w="1895" w:type="dxa"/>
          </w:tcPr>
          <w:p w14:paraId="0CB95BD4" w14:textId="2AC88DAF" w:rsidR="003B0F19" w:rsidRPr="00DB1D7C" w:rsidRDefault="003B0F19" w:rsidP="00195EA2">
            <w:pPr>
              <w:spacing w:line="259" w:lineRule="auto"/>
              <w:rPr>
                <w:rFonts w:ascii="Calibri" w:hAnsi="Calibri"/>
                <w:sz w:val="24"/>
                <w:szCs w:val="24"/>
              </w:rPr>
            </w:pPr>
            <w:r w:rsidRPr="00DB1D7C">
              <w:rPr>
                <w:rFonts w:ascii="Calibri" w:hAnsi="Calibri"/>
                <w:sz w:val="24"/>
                <w:szCs w:val="24"/>
              </w:rPr>
              <w:t>17</w:t>
            </w:r>
            <w:r w:rsidR="00195EA2" w:rsidRPr="00DB1D7C">
              <w:rPr>
                <w:rFonts w:ascii="Calibri" w:hAnsi="Calibri"/>
                <w:sz w:val="24"/>
                <w:szCs w:val="24"/>
              </w:rPr>
              <w:t>6</w:t>
            </w:r>
          </w:p>
        </w:tc>
        <w:tc>
          <w:tcPr>
            <w:tcW w:w="1382" w:type="dxa"/>
          </w:tcPr>
          <w:p w14:paraId="3E048BFD"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171</w:t>
            </w:r>
          </w:p>
        </w:tc>
        <w:tc>
          <w:tcPr>
            <w:tcW w:w="279" w:type="dxa"/>
          </w:tcPr>
          <w:p w14:paraId="4F7B36AF" w14:textId="77777777" w:rsidR="003B0F19" w:rsidRPr="00DB1D7C" w:rsidRDefault="003B0F19" w:rsidP="003B0F19">
            <w:pPr>
              <w:spacing w:line="259" w:lineRule="auto"/>
              <w:rPr>
                <w:rFonts w:ascii="Calibri" w:hAnsi="Calibri"/>
                <w:sz w:val="24"/>
                <w:szCs w:val="24"/>
              </w:rPr>
            </w:pPr>
          </w:p>
        </w:tc>
        <w:tc>
          <w:tcPr>
            <w:tcW w:w="2175" w:type="dxa"/>
          </w:tcPr>
          <w:p w14:paraId="44EDC63E"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1,765</w:t>
            </w:r>
          </w:p>
        </w:tc>
        <w:tc>
          <w:tcPr>
            <w:tcW w:w="1779" w:type="dxa"/>
          </w:tcPr>
          <w:p w14:paraId="70DB1D39"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1,716</w:t>
            </w:r>
          </w:p>
        </w:tc>
      </w:tr>
      <w:tr w:rsidR="003B0F19" w:rsidRPr="00DB1D7C" w14:paraId="2C57B1C1" w14:textId="77777777" w:rsidTr="001B7285">
        <w:tc>
          <w:tcPr>
            <w:tcW w:w="1516" w:type="dxa"/>
          </w:tcPr>
          <w:p w14:paraId="28A99B1E"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75</w:t>
            </w:r>
          </w:p>
        </w:tc>
        <w:tc>
          <w:tcPr>
            <w:tcW w:w="1895" w:type="dxa"/>
          </w:tcPr>
          <w:p w14:paraId="0DB08CB1" w14:textId="6AF02B25" w:rsidR="003B0F19" w:rsidRPr="00DB1D7C" w:rsidRDefault="003B0F19" w:rsidP="00195EA2">
            <w:pPr>
              <w:spacing w:line="259" w:lineRule="auto"/>
              <w:rPr>
                <w:rFonts w:ascii="Calibri" w:hAnsi="Calibri"/>
                <w:sz w:val="24"/>
                <w:szCs w:val="24"/>
              </w:rPr>
            </w:pPr>
            <w:r w:rsidRPr="00DB1D7C">
              <w:rPr>
                <w:rFonts w:ascii="Calibri" w:hAnsi="Calibri"/>
                <w:sz w:val="24"/>
                <w:szCs w:val="24"/>
              </w:rPr>
              <w:t>145</w:t>
            </w:r>
          </w:p>
        </w:tc>
        <w:tc>
          <w:tcPr>
            <w:tcW w:w="1382" w:type="dxa"/>
          </w:tcPr>
          <w:p w14:paraId="49121E05"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132</w:t>
            </w:r>
          </w:p>
        </w:tc>
        <w:tc>
          <w:tcPr>
            <w:tcW w:w="279" w:type="dxa"/>
          </w:tcPr>
          <w:p w14:paraId="571676BD" w14:textId="77777777" w:rsidR="003B0F19" w:rsidRPr="00DB1D7C" w:rsidRDefault="003B0F19" w:rsidP="003B0F19">
            <w:pPr>
              <w:spacing w:line="259" w:lineRule="auto"/>
              <w:rPr>
                <w:rFonts w:ascii="Calibri" w:hAnsi="Calibri"/>
                <w:sz w:val="24"/>
                <w:szCs w:val="24"/>
              </w:rPr>
            </w:pPr>
          </w:p>
        </w:tc>
        <w:tc>
          <w:tcPr>
            <w:tcW w:w="2175" w:type="dxa"/>
          </w:tcPr>
          <w:p w14:paraId="13D61119"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1,609</w:t>
            </w:r>
          </w:p>
        </w:tc>
        <w:tc>
          <w:tcPr>
            <w:tcW w:w="1779" w:type="dxa"/>
          </w:tcPr>
          <w:p w14:paraId="165A96CB"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1,537</w:t>
            </w:r>
          </w:p>
        </w:tc>
      </w:tr>
      <w:tr w:rsidR="00195EA2" w:rsidRPr="00DB1D7C" w14:paraId="093228E8" w14:textId="77777777" w:rsidTr="001B7285">
        <w:tc>
          <w:tcPr>
            <w:tcW w:w="1516" w:type="dxa"/>
          </w:tcPr>
          <w:p w14:paraId="3B4B01F2"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80</w:t>
            </w:r>
          </w:p>
        </w:tc>
        <w:tc>
          <w:tcPr>
            <w:tcW w:w="1895" w:type="dxa"/>
          </w:tcPr>
          <w:p w14:paraId="479669AB" w14:textId="1AB4099A" w:rsidR="003B0F19" w:rsidRPr="00DB1D7C" w:rsidRDefault="003B0F19" w:rsidP="00195EA2">
            <w:pPr>
              <w:spacing w:line="259" w:lineRule="auto"/>
              <w:rPr>
                <w:rFonts w:ascii="Calibri" w:hAnsi="Calibri"/>
                <w:sz w:val="24"/>
                <w:szCs w:val="24"/>
              </w:rPr>
            </w:pPr>
            <w:r w:rsidRPr="00DB1D7C">
              <w:rPr>
                <w:rFonts w:ascii="Calibri" w:hAnsi="Calibri"/>
                <w:sz w:val="24"/>
                <w:szCs w:val="24"/>
              </w:rPr>
              <w:t>114</w:t>
            </w:r>
          </w:p>
        </w:tc>
        <w:tc>
          <w:tcPr>
            <w:tcW w:w="1382" w:type="dxa"/>
          </w:tcPr>
          <w:p w14:paraId="7060AD45" w14:textId="0B89352A" w:rsidR="003B0F19" w:rsidRPr="00DB1D7C" w:rsidRDefault="003B0F19" w:rsidP="00195EA2">
            <w:pPr>
              <w:spacing w:line="259" w:lineRule="auto"/>
              <w:rPr>
                <w:rFonts w:ascii="Calibri" w:hAnsi="Calibri"/>
                <w:sz w:val="24"/>
                <w:szCs w:val="24"/>
              </w:rPr>
            </w:pPr>
            <w:r w:rsidRPr="00DB1D7C">
              <w:rPr>
                <w:rFonts w:ascii="Calibri" w:hAnsi="Calibri"/>
                <w:sz w:val="24"/>
                <w:szCs w:val="24"/>
              </w:rPr>
              <w:t>10</w:t>
            </w:r>
            <w:r w:rsidR="00195EA2" w:rsidRPr="00DB1D7C">
              <w:rPr>
                <w:rFonts w:ascii="Calibri" w:hAnsi="Calibri"/>
                <w:sz w:val="24"/>
                <w:szCs w:val="24"/>
              </w:rPr>
              <w:t>2</w:t>
            </w:r>
          </w:p>
        </w:tc>
        <w:tc>
          <w:tcPr>
            <w:tcW w:w="279" w:type="dxa"/>
          </w:tcPr>
          <w:p w14:paraId="47E41C56" w14:textId="77777777" w:rsidR="003B0F19" w:rsidRPr="00DB1D7C" w:rsidRDefault="003B0F19" w:rsidP="003B0F19">
            <w:pPr>
              <w:spacing w:line="259" w:lineRule="auto"/>
              <w:rPr>
                <w:rFonts w:ascii="Calibri" w:hAnsi="Calibri"/>
                <w:sz w:val="24"/>
                <w:szCs w:val="24"/>
              </w:rPr>
            </w:pPr>
          </w:p>
        </w:tc>
        <w:tc>
          <w:tcPr>
            <w:tcW w:w="2175" w:type="dxa"/>
          </w:tcPr>
          <w:p w14:paraId="151FFB38"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1,371</w:t>
            </w:r>
          </w:p>
        </w:tc>
        <w:tc>
          <w:tcPr>
            <w:tcW w:w="1779" w:type="dxa"/>
          </w:tcPr>
          <w:p w14:paraId="06F53D02"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1,306</w:t>
            </w:r>
          </w:p>
        </w:tc>
      </w:tr>
      <w:tr w:rsidR="00195EA2" w:rsidRPr="00DB1D7C" w14:paraId="5785E6FA" w14:textId="77777777" w:rsidTr="001B7285">
        <w:tc>
          <w:tcPr>
            <w:tcW w:w="1516" w:type="dxa"/>
          </w:tcPr>
          <w:p w14:paraId="64580214"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85</w:t>
            </w:r>
          </w:p>
        </w:tc>
        <w:tc>
          <w:tcPr>
            <w:tcW w:w="1895" w:type="dxa"/>
          </w:tcPr>
          <w:p w14:paraId="1F54A324" w14:textId="639A2F62" w:rsidR="003B0F19" w:rsidRPr="00DB1D7C" w:rsidRDefault="003B0F19" w:rsidP="00195EA2">
            <w:pPr>
              <w:spacing w:line="259" w:lineRule="auto"/>
              <w:rPr>
                <w:rFonts w:ascii="Calibri" w:hAnsi="Calibri"/>
                <w:sz w:val="24"/>
                <w:szCs w:val="24"/>
              </w:rPr>
            </w:pPr>
            <w:r w:rsidRPr="00DB1D7C">
              <w:rPr>
                <w:rFonts w:ascii="Calibri" w:hAnsi="Calibri"/>
                <w:sz w:val="24"/>
                <w:szCs w:val="24"/>
              </w:rPr>
              <w:t>10</w:t>
            </w:r>
            <w:r w:rsidR="00195EA2" w:rsidRPr="00DB1D7C">
              <w:rPr>
                <w:rFonts w:ascii="Calibri" w:hAnsi="Calibri"/>
                <w:sz w:val="24"/>
                <w:szCs w:val="24"/>
              </w:rPr>
              <w:t>3</w:t>
            </w:r>
          </w:p>
        </w:tc>
        <w:tc>
          <w:tcPr>
            <w:tcW w:w="1382" w:type="dxa"/>
          </w:tcPr>
          <w:p w14:paraId="0D0368CF" w14:textId="2D18A330" w:rsidR="003B0F19" w:rsidRPr="00DB1D7C" w:rsidRDefault="003B0F19" w:rsidP="00195EA2">
            <w:pPr>
              <w:spacing w:line="259" w:lineRule="auto"/>
              <w:rPr>
                <w:rFonts w:ascii="Calibri" w:hAnsi="Calibri"/>
                <w:sz w:val="24"/>
                <w:szCs w:val="24"/>
              </w:rPr>
            </w:pPr>
            <w:r w:rsidRPr="00DB1D7C">
              <w:rPr>
                <w:rFonts w:ascii="Calibri" w:hAnsi="Calibri"/>
                <w:sz w:val="24"/>
                <w:szCs w:val="24"/>
              </w:rPr>
              <w:t>89</w:t>
            </w:r>
          </w:p>
        </w:tc>
        <w:tc>
          <w:tcPr>
            <w:tcW w:w="279" w:type="dxa"/>
          </w:tcPr>
          <w:p w14:paraId="56D880AD" w14:textId="77777777" w:rsidR="003B0F19" w:rsidRPr="00DB1D7C" w:rsidRDefault="003B0F19" w:rsidP="003B0F19">
            <w:pPr>
              <w:spacing w:line="259" w:lineRule="auto"/>
              <w:rPr>
                <w:rFonts w:ascii="Calibri" w:hAnsi="Calibri"/>
                <w:sz w:val="24"/>
                <w:szCs w:val="24"/>
              </w:rPr>
            </w:pPr>
          </w:p>
        </w:tc>
        <w:tc>
          <w:tcPr>
            <w:tcW w:w="2175" w:type="dxa"/>
          </w:tcPr>
          <w:p w14:paraId="4ACD3E85"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1,306</w:t>
            </w:r>
          </w:p>
        </w:tc>
        <w:tc>
          <w:tcPr>
            <w:tcW w:w="1779" w:type="dxa"/>
          </w:tcPr>
          <w:p w14:paraId="3EE44DB5" w14:textId="77777777" w:rsidR="003B0F19" w:rsidRPr="00DB1D7C" w:rsidRDefault="003B0F19" w:rsidP="003B0F19">
            <w:pPr>
              <w:spacing w:line="259" w:lineRule="auto"/>
              <w:rPr>
                <w:rFonts w:ascii="Calibri" w:hAnsi="Calibri"/>
                <w:sz w:val="24"/>
                <w:szCs w:val="24"/>
              </w:rPr>
            </w:pPr>
            <w:r w:rsidRPr="00DB1D7C">
              <w:rPr>
                <w:rFonts w:ascii="Calibri" w:hAnsi="Calibri"/>
                <w:sz w:val="24"/>
                <w:szCs w:val="24"/>
              </w:rPr>
              <w:t>1,231</w:t>
            </w:r>
          </w:p>
        </w:tc>
      </w:tr>
    </w:tbl>
    <w:p w14:paraId="46FAF6F0" w14:textId="250AE66F" w:rsidR="003B0F19" w:rsidRPr="00DB1D7C" w:rsidRDefault="001B7285" w:rsidP="001B7285">
      <w:pPr>
        <w:rPr>
          <w:rFonts w:ascii="Calibri" w:hAnsi="Calibri"/>
          <w:sz w:val="20"/>
          <w:szCs w:val="20"/>
        </w:rPr>
      </w:pPr>
      <w:r w:rsidRPr="00DB1D7C">
        <w:rPr>
          <w:rFonts w:ascii="Calibri" w:hAnsi="Calibri"/>
          <w:sz w:val="20"/>
          <w:szCs w:val="20"/>
        </w:rPr>
        <w:t>* The cost of treatment was set at £100 equivalent to 5 years of therapy with generic alendronate (approximately £19 per annum [p.a.]) on the assumption that 5 years of treatment would confer a 10-year fracture benefit with a relative risk reduction of 35</w:t>
      </w:r>
      <w:r w:rsidR="00E8657B">
        <w:rPr>
          <w:rFonts w:ascii="Calibri" w:hAnsi="Calibri"/>
          <w:sz w:val="20"/>
          <w:szCs w:val="20"/>
        </w:rPr>
        <w:t xml:space="preserve"> </w:t>
      </w:r>
      <w:r w:rsidRPr="00DB1D7C">
        <w:rPr>
          <w:rFonts w:ascii="Calibri" w:hAnsi="Calibri"/>
          <w:sz w:val="20"/>
          <w:szCs w:val="20"/>
        </w:rPr>
        <w:t>%,</w:t>
      </w:r>
    </w:p>
    <w:p w14:paraId="445C21CA" w14:textId="77777777" w:rsidR="003B0F19" w:rsidRPr="00DB1D7C" w:rsidRDefault="003B0F19" w:rsidP="003A589D">
      <w:pPr>
        <w:rPr>
          <w:rFonts w:ascii="Calibri" w:hAnsi="Calibri"/>
          <w:sz w:val="24"/>
          <w:szCs w:val="24"/>
        </w:rPr>
      </w:pPr>
    </w:p>
    <w:p w14:paraId="1D3CB7DC" w14:textId="77777777" w:rsidR="00D21807" w:rsidRPr="00DB1D7C" w:rsidRDefault="00D21807" w:rsidP="00D21807">
      <w:pPr>
        <w:rPr>
          <w:rFonts w:ascii="Calibri" w:hAnsi="Calibri"/>
          <w:i/>
          <w:sz w:val="24"/>
          <w:szCs w:val="24"/>
        </w:rPr>
      </w:pPr>
      <w:r w:rsidRPr="00DB1D7C">
        <w:rPr>
          <w:rFonts w:ascii="Calibri" w:hAnsi="Calibri"/>
          <w:sz w:val="24"/>
          <w:szCs w:val="24"/>
        </w:rPr>
        <w:t>Switzerland</w:t>
      </w:r>
      <w:r w:rsidRPr="00DB1D7C">
        <w:rPr>
          <w:rFonts w:ascii="Calibri" w:hAnsi="Calibri"/>
          <w:i/>
          <w:sz w:val="24"/>
          <w:szCs w:val="24"/>
        </w:rPr>
        <w:t>.</w:t>
      </w:r>
    </w:p>
    <w:p w14:paraId="3D664199" w14:textId="129F3323" w:rsidR="00D21807" w:rsidRPr="00DB1D7C" w:rsidRDefault="00D21807" w:rsidP="00D21807">
      <w:pPr>
        <w:rPr>
          <w:rFonts w:ascii="Calibri" w:hAnsi="Calibri"/>
          <w:sz w:val="24"/>
          <w:szCs w:val="24"/>
        </w:rPr>
      </w:pPr>
      <w:r w:rsidRPr="00DB1D7C">
        <w:rPr>
          <w:rFonts w:ascii="Calibri" w:hAnsi="Calibri"/>
          <w:sz w:val="24"/>
          <w:szCs w:val="24"/>
        </w:rPr>
        <w:lastRenderedPageBreak/>
        <w:t xml:space="preserve">In Switzerland, FRAX intervention thresholds of 13.8 % (for major osteoporotic fractures) or above (range, 10.8 to 15.0 %) and 15.1 % (range, 9.9 to 19.9 %) for women and men, respectively, were reported to be cost-effective using branded alendronate as the </w:t>
      </w:r>
      <w:r w:rsidRPr="0083739E">
        <w:rPr>
          <w:rFonts w:ascii="Calibri" w:hAnsi="Calibri"/>
          <w:sz w:val="24"/>
          <w:szCs w:val="24"/>
        </w:rPr>
        <w:t xml:space="preserve">intervention </w:t>
      </w:r>
      <w:r w:rsidR="00575B5F" w:rsidRPr="0083739E">
        <w:rPr>
          <w:rFonts w:ascii="Calibri" w:hAnsi="Calibri"/>
          <w:sz w:val="24"/>
          <w:szCs w:val="24"/>
        </w:rPr>
        <w:t>[105]</w:t>
      </w:r>
      <w:r w:rsidRPr="0083739E">
        <w:rPr>
          <w:rFonts w:ascii="Calibri" w:hAnsi="Calibri"/>
          <w:sz w:val="24"/>
          <w:szCs w:val="24"/>
        </w:rPr>
        <w:t xml:space="preserve">.  The willingness to pay was set at 2 X GDP/capita. In addition to women age 60 years or above and men age 55 years or above with prior fractures, treatment was recommended for rest of the population at risk who had FRAX (for major osteoporotic fracture) probabilities of 15 % or above.  If a NOGG approach to intervention thresholds were applied to the Swiss population, the vast majority of intervention scenarios would be cost-effective (Figure </w:t>
      </w:r>
      <w:r w:rsidR="0032217D" w:rsidRPr="0083739E">
        <w:rPr>
          <w:rFonts w:ascii="Calibri" w:hAnsi="Calibri"/>
          <w:sz w:val="24"/>
          <w:szCs w:val="24"/>
        </w:rPr>
        <w:t>1</w:t>
      </w:r>
      <w:r w:rsidR="00453D85" w:rsidRPr="0083739E">
        <w:rPr>
          <w:rFonts w:ascii="Calibri" w:hAnsi="Calibri"/>
          <w:sz w:val="24"/>
          <w:szCs w:val="24"/>
        </w:rPr>
        <w:t>6</w:t>
      </w:r>
      <w:r w:rsidRPr="0083739E">
        <w:rPr>
          <w:rFonts w:ascii="Calibri" w:hAnsi="Calibri"/>
          <w:sz w:val="24"/>
          <w:szCs w:val="24"/>
        </w:rPr>
        <w:t xml:space="preserve">).  Subsequent Swiss guidelines abandoned this approach in favour of age-dependent thresholds </w:t>
      </w:r>
      <w:r w:rsidR="00575B5F" w:rsidRPr="0083739E">
        <w:rPr>
          <w:rFonts w:ascii="Calibri" w:hAnsi="Calibri"/>
          <w:sz w:val="24"/>
          <w:szCs w:val="24"/>
        </w:rPr>
        <w:t>[157].</w:t>
      </w:r>
    </w:p>
    <w:p w14:paraId="16EF59C9" w14:textId="77777777" w:rsidR="00D21807" w:rsidRPr="00DB1D7C" w:rsidRDefault="00D21807" w:rsidP="00D21807">
      <w:pPr>
        <w:jc w:val="center"/>
        <w:rPr>
          <w:rFonts w:ascii="Calibri" w:hAnsi="Calibri"/>
          <w:sz w:val="24"/>
          <w:szCs w:val="24"/>
        </w:rPr>
      </w:pPr>
      <w:r w:rsidRPr="00DB1D7C">
        <w:rPr>
          <w:rFonts w:ascii="Calibri" w:hAnsi="Calibri"/>
          <w:noProof/>
          <w:sz w:val="24"/>
          <w:szCs w:val="24"/>
          <w:lang w:eastAsia="en-GB"/>
        </w:rPr>
        <w:drawing>
          <wp:inline distT="0" distB="0" distL="0" distR="0" wp14:anchorId="72736532" wp14:editId="651630F1">
            <wp:extent cx="4571365" cy="2933242"/>
            <wp:effectExtent l="0" t="0" r="635"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t="10557" b="3889"/>
                    <a:stretch/>
                  </pic:blipFill>
                  <pic:spPr bwMode="auto">
                    <a:xfrm>
                      <a:off x="0" y="0"/>
                      <a:ext cx="4572638" cy="2934059"/>
                    </a:xfrm>
                    <a:prstGeom prst="rect">
                      <a:avLst/>
                    </a:prstGeom>
                    <a:ln>
                      <a:noFill/>
                    </a:ln>
                    <a:extLst>
                      <a:ext uri="{53640926-AAD7-44D8-BBD7-CCE9431645EC}">
                        <a14:shadowObscured xmlns:a14="http://schemas.microsoft.com/office/drawing/2010/main"/>
                      </a:ext>
                    </a:extLst>
                  </pic:spPr>
                </pic:pic>
              </a:graphicData>
            </a:graphic>
          </wp:inline>
        </w:drawing>
      </w:r>
    </w:p>
    <w:p w14:paraId="77542744" w14:textId="00799298" w:rsidR="00D21807" w:rsidRPr="00DB1D7C" w:rsidRDefault="00D21807" w:rsidP="00D21807">
      <w:pPr>
        <w:ind w:left="567" w:right="804"/>
        <w:rPr>
          <w:rFonts w:ascii="Calibri" w:hAnsi="Calibri"/>
        </w:rPr>
      </w:pPr>
      <w:r w:rsidRPr="00453D85">
        <w:rPr>
          <w:rFonts w:ascii="Calibri" w:hAnsi="Calibri"/>
          <w:b/>
        </w:rPr>
        <w:t>Fig</w:t>
      </w:r>
      <w:r w:rsidR="002D1BCC" w:rsidRPr="00453D85">
        <w:rPr>
          <w:rFonts w:ascii="Calibri" w:hAnsi="Calibri"/>
          <w:b/>
        </w:rPr>
        <w:t>ure</w:t>
      </w:r>
      <w:r w:rsidRPr="00453D85">
        <w:rPr>
          <w:rFonts w:ascii="Calibri" w:hAnsi="Calibri"/>
          <w:b/>
        </w:rPr>
        <w:t xml:space="preserve"> </w:t>
      </w:r>
      <w:r w:rsidR="0032217D" w:rsidRPr="00453D85">
        <w:rPr>
          <w:rFonts w:ascii="Calibri" w:hAnsi="Calibri"/>
          <w:b/>
        </w:rPr>
        <w:t>1</w:t>
      </w:r>
      <w:r w:rsidR="00453D85" w:rsidRPr="00453D85">
        <w:rPr>
          <w:rFonts w:ascii="Calibri" w:hAnsi="Calibri"/>
          <w:b/>
        </w:rPr>
        <w:t>6</w:t>
      </w:r>
      <w:r w:rsidR="002D1BCC" w:rsidRPr="00453D85">
        <w:rPr>
          <w:rFonts w:ascii="Calibri" w:hAnsi="Calibri"/>
          <w:b/>
        </w:rPr>
        <w:t xml:space="preserve">. </w:t>
      </w:r>
      <w:r w:rsidRPr="00453D85">
        <w:rPr>
          <w:rFonts w:ascii="Calibri" w:hAnsi="Calibri"/>
        </w:rPr>
        <w:t xml:space="preserve"> Fracture</w:t>
      </w:r>
      <w:r w:rsidRPr="00DB1D7C">
        <w:rPr>
          <w:rFonts w:ascii="Calibri" w:hAnsi="Calibri"/>
        </w:rPr>
        <w:t xml:space="preserve"> probabilities at which treatment with alendronate becomes cost-effective in men and women from Switzerland.  The dotted line denotes the fracture probability at the fracture threshold (i.e. the probability equivalent to a woman with a prior fracture by age).  Adapted from </w:t>
      </w:r>
      <w:r w:rsidR="00A81C83">
        <w:rPr>
          <w:rFonts w:ascii="Calibri" w:eastAsia="Times New Roman" w:hAnsi="Calibri" w:cs="Times New Roman"/>
          <w:color w:val="000000"/>
          <w:lang w:eastAsia="en-GB"/>
        </w:rPr>
        <w:t>[105]</w:t>
      </w:r>
      <w:r w:rsidRPr="00DB1D7C">
        <w:rPr>
          <w:rFonts w:ascii="Calibri" w:eastAsia="Times New Roman" w:hAnsi="Calibri" w:cs="Times New Roman"/>
          <w:color w:val="000000"/>
          <w:lang w:eastAsia="en-GB"/>
        </w:rPr>
        <w:t>.</w:t>
      </w:r>
    </w:p>
    <w:p w14:paraId="1BE0C7E8" w14:textId="77777777" w:rsidR="00367B34" w:rsidRPr="00DB1D7C" w:rsidRDefault="00367B34" w:rsidP="00367B34">
      <w:pPr>
        <w:rPr>
          <w:rFonts w:ascii="Calibri" w:hAnsi="Calibri"/>
          <w:sz w:val="24"/>
          <w:szCs w:val="24"/>
        </w:rPr>
      </w:pPr>
      <w:r w:rsidRPr="00DB1D7C">
        <w:rPr>
          <w:rFonts w:ascii="Calibri" w:hAnsi="Calibri"/>
          <w:sz w:val="24"/>
          <w:szCs w:val="24"/>
        </w:rPr>
        <w:t>National Osteoporosis Foundation</w:t>
      </w:r>
    </w:p>
    <w:p w14:paraId="1961DB43" w14:textId="61B3116A" w:rsidR="00367B34" w:rsidRPr="00DB1D7C" w:rsidRDefault="00F95F1E" w:rsidP="00367B34">
      <w:pPr>
        <w:rPr>
          <w:rFonts w:ascii="Calibri" w:hAnsi="Calibri"/>
          <w:sz w:val="24"/>
          <w:szCs w:val="24"/>
        </w:rPr>
      </w:pPr>
      <w:r w:rsidRPr="00DB1D7C">
        <w:rPr>
          <w:rFonts w:ascii="Calibri" w:hAnsi="Calibri"/>
          <w:sz w:val="24"/>
          <w:szCs w:val="24"/>
        </w:rPr>
        <w:t>T</w:t>
      </w:r>
      <w:r w:rsidR="00367B34" w:rsidRPr="00DB1D7C">
        <w:rPr>
          <w:rFonts w:ascii="Calibri" w:hAnsi="Calibri"/>
          <w:sz w:val="24"/>
          <w:szCs w:val="24"/>
        </w:rPr>
        <w:t xml:space="preserve">he NOF set a 3% probability of hip fracture </w:t>
      </w:r>
      <w:r w:rsidRPr="00DB1D7C">
        <w:rPr>
          <w:rFonts w:ascii="Calibri" w:hAnsi="Calibri"/>
          <w:sz w:val="24"/>
          <w:szCs w:val="24"/>
        </w:rPr>
        <w:t xml:space="preserve">and a 20% 10-year probability of a major fracture </w:t>
      </w:r>
      <w:r w:rsidR="00367B34" w:rsidRPr="00DB1D7C">
        <w:rPr>
          <w:rFonts w:ascii="Calibri" w:hAnsi="Calibri"/>
          <w:sz w:val="24"/>
          <w:szCs w:val="24"/>
        </w:rPr>
        <w:t>as intervention threshold</w:t>
      </w:r>
      <w:r w:rsidRPr="00DB1D7C">
        <w:rPr>
          <w:rFonts w:ascii="Calibri" w:hAnsi="Calibri"/>
          <w:sz w:val="24"/>
          <w:szCs w:val="24"/>
        </w:rPr>
        <w:t>s in women with osteopeni</w:t>
      </w:r>
      <w:r w:rsidR="00307F4B">
        <w:rPr>
          <w:rFonts w:ascii="Calibri" w:hAnsi="Calibri"/>
          <w:sz w:val="24"/>
          <w:szCs w:val="24"/>
        </w:rPr>
        <w:t>a</w:t>
      </w:r>
      <w:r w:rsidR="00367B34" w:rsidRPr="00DB1D7C">
        <w:rPr>
          <w:rFonts w:ascii="Calibri" w:hAnsi="Calibri"/>
          <w:sz w:val="24"/>
          <w:szCs w:val="24"/>
        </w:rPr>
        <w:t xml:space="preserve"> in </w:t>
      </w:r>
      <w:r w:rsidRPr="00DB1D7C">
        <w:rPr>
          <w:rFonts w:ascii="Calibri" w:hAnsi="Calibri"/>
          <w:sz w:val="24"/>
          <w:szCs w:val="24"/>
        </w:rPr>
        <w:t xml:space="preserve">their </w:t>
      </w:r>
      <w:r w:rsidR="00367B34" w:rsidRPr="00DB1D7C">
        <w:rPr>
          <w:rFonts w:ascii="Calibri" w:hAnsi="Calibri"/>
          <w:sz w:val="24"/>
          <w:szCs w:val="24"/>
        </w:rPr>
        <w:t xml:space="preserve">clinical practice guidelines </w:t>
      </w:r>
      <w:r w:rsidR="00367B34" w:rsidRPr="0083739E">
        <w:rPr>
          <w:rFonts w:ascii="Calibri" w:hAnsi="Calibri"/>
          <w:sz w:val="24"/>
          <w:szCs w:val="24"/>
        </w:rPr>
        <w:t xml:space="preserve">of 2008 </w:t>
      </w:r>
      <w:r w:rsidR="00A81C83" w:rsidRPr="0083739E">
        <w:rPr>
          <w:rFonts w:ascii="Calibri" w:hAnsi="Calibri"/>
          <w:sz w:val="24"/>
          <w:szCs w:val="24"/>
        </w:rPr>
        <w:t>[132]</w:t>
      </w:r>
      <w:r w:rsidRPr="0083739E">
        <w:rPr>
          <w:rFonts w:ascii="Calibri" w:hAnsi="Calibri"/>
          <w:sz w:val="24"/>
          <w:szCs w:val="24"/>
        </w:rPr>
        <w:t>.  The basis of this was a health economic analysis that examined the cost</w:t>
      </w:r>
      <w:r w:rsidR="00307F4B" w:rsidRPr="0083739E">
        <w:rPr>
          <w:rFonts w:ascii="Calibri" w:hAnsi="Calibri"/>
          <w:sz w:val="24"/>
          <w:szCs w:val="24"/>
        </w:rPr>
        <w:t>-</w:t>
      </w:r>
      <w:r w:rsidRPr="0083739E">
        <w:rPr>
          <w:rFonts w:ascii="Calibri" w:hAnsi="Calibri"/>
          <w:sz w:val="24"/>
          <w:szCs w:val="24"/>
        </w:rPr>
        <w:t xml:space="preserve">effectiveness of pharmaceutical intervention </w:t>
      </w:r>
      <w:r w:rsidR="005743B0" w:rsidRPr="0083739E">
        <w:rPr>
          <w:sz w:val="24"/>
          <w:szCs w:val="24"/>
        </w:rPr>
        <w:t>[124]</w:t>
      </w:r>
      <w:r w:rsidR="00367B34" w:rsidRPr="0083739E">
        <w:rPr>
          <w:rFonts w:ascii="Calibri" w:hAnsi="Calibri"/>
          <w:sz w:val="24"/>
          <w:szCs w:val="24"/>
        </w:rPr>
        <w:t xml:space="preserve">. </w:t>
      </w:r>
      <w:r w:rsidRPr="0083739E">
        <w:rPr>
          <w:rFonts w:ascii="Calibri" w:hAnsi="Calibri"/>
          <w:sz w:val="24"/>
          <w:szCs w:val="24"/>
        </w:rPr>
        <w:t xml:space="preserve"> </w:t>
      </w:r>
      <w:r w:rsidR="00367B34" w:rsidRPr="0083739E">
        <w:rPr>
          <w:rFonts w:ascii="Calibri" w:hAnsi="Calibri"/>
          <w:sz w:val="24"/>
          <w:szCs w:val="24"/>
        </w:rPr>
        <w:t>A Markov</w:t>
      </w:r>
      <w:r w:rsidR="00367B34" w:rsidRPr="00DB1D7C">
        <w:rPr>
          <w:rFonts w:ascii="Calibri" w:hAnsi="Calibri"/>
          <w:sz w:val="24"/>
          <w:szCs w:val="24"/>
        </w:rPr>
        <w:t xml:space="preserve"> cohort model of annual US age-specific incidence of hip, wrist, clinical spine and other fractures, costs (2005 US dollars), and quality-adjusted life</w:t>
      </w:r>
      <w:r w:rsidR="00307F4B">
        <w:rPr>
          <w:rFonts w:ascii="Calibri" w:hAnsi="Calibri"/>
          <w:sz w:val="24"/>
          <w:szCs w:val="24"/>
        </w:rPr>
        <w:t>-</w:t>
      </w:r>
      <w:r w:rsidR="00367B34" w:rsidRPr="00DB1D7C">
        <w:rPr>
          <w:rFonts w:ascii="Calibri" w:hAnsi="Calibri"/>
          <w:sz w:val="24"/>
          <w:szCs w:val="24"/>
        </w:rPr>
        <w:t>years (QALYs) was used to assess the cost-effectiveness of osteoporosis treatment ($600/</w:t>
      </w:r>
      <w:r w:rsidRPr="00DB1D7C">
        <w:rPr>
          <w:rFonts w:ascii="Calibri" w:hAnsi="Calibri"/>
          <w:sz w:val="24"/>
          <w:szCs w:val="24"/>
        </w:rPr>
        <w:t>year</w:t>
      </w:r>
      <w:r w:rsidR="00367B34" w:rsidRPr="00DB1D7C">
        <w:rPr>
          <w:rFonts w:ascii="Calibri" w:hAnsi="Calibri"/>
          <w:sz w:val="24"/>
          <w:szCs w:val="24"/>
        </w:rPr>
        <w:t xml:space="preserve"> drug cost for 5 years with 35</w:t>
      </w:r>
      <w:r w:rsidR="00307F4B">
        <w:rPr>
          <w:rFonts w:ascii="Calibri" w:hAnsi="Calibri"/>
          <w:sz w:val="24"/>
          <w:szCs w:val="24"/>
        </w:rPr>
        <w:t xml:space="preserve"> </w:t>
      </w:r>
      <w:r w:rsidR="00367B34" w:rsidRPr="00DB1D7C">
        <w:rPr>
          <w:rFonts w:ascii="Calibri" w:hAnsi="Calibri"/>
          <w:sz w:val="24"/>
          <w:szCs w:val="24"/>
        </w:rPr>
        <w:t>% fracture reduction). A 5-year course of treatment with a bisphosphonate-like therapy was modelled. In white men and women, treatment became cost-effective at a hip fracture probability of 3.4</w:t>
      </w:r>
      <w:r w:rsidR="00307F4B">
        <w:rPr>
          <w:rFonts w:ascii="Calibri" w:hAnsi="Calibri"/>
          <w:sz w:val="24"/>
          <w:szCs w:val="24"/>
        </w:rPr>
        <w:t xml:space="preserve"> </w:t>
      </w:r>
      <w:r w:rsidR="00367B34" w:rsidRPr="00DB1D7C">
        <w:rPr>
          <w:rFonts w:ascii="Calibri" w:hAnsi="Calibri"/>
          <w:sz w:val="24"/>
          <w:szCs w:val="24"/>
        </w:rPr>
        <w:t>% and 3.8</w:t>
      </w:r>
      <w:r w:rsidR="00307F4B">
        <w:rPr>
          <w:rFonts w:ascii="Calibri" w:hAnsi="Calibri"/>
          <w:sz w:val="24"/>
          <w:szCs w:val="24"/>
        </w:rPr>
        <w:t xml:space="preserve"> </w:t>
      </w:r>
      <w:r w:rsidR="00367B34" w:rsidRPr="00DB1D7C">
        <w:rPr>
          <w:rFonts w:ascii="Calibri" w:hAnsi="Calibri"/>
          <w:sz w:val="24"/>
          <w:szCs w:val="24"/>
        </w:rPr>
        <w:t>%, respectively</w:t>
      </w:r>
      <w:r w:rsidR="000305D7" w:rsidRPr="00DB1D7C">
        <w:rPr>
          <w:rFonts w:ascii="Calibri" w:hAnsi="Calibri"/>
          <w:sz w:val="24"/>
          <w:szCs w:val="24"/>
        </w:rPr>
        <w:t>.</w:t>
      </w:r>
      <w:r w:rsidR="00367B34" w:rsidRPr="00DB1D7C">
        <w:rPr>
          <w:rFonts w:ascii="Calibri" w:hAnsi="Calibri"/>
          <w:sz w:val="24"/>
          <w:szCs w:val="24"/>
        </w:rPr>
        <w:t xml:space="preserve"> </w:t>
      </w:r>
      <w:r w:rsidR="000305D7" w:rsidRPr="00DB1D7C">
        <w:rPr>
          <w:rFonts w:ascii="Calibri" w:hAnsi="Calibri"/>
          <w:sz w:val="24"/>
          <w:szCs w:val="24"/>
        </w:rPr>
        <w:t xml:space="preserve"> </w:t>
      </w:r>
      <w:r w:rsidR="00367B34" w:rsidRPr="00DB1D7C">
        <w:rPr>
          <w:rFonts w:ascii="Calibri" w:hAnsi="Calibri"/>
          <w:sz w:val="24"/>
          <w:szCs w:val="24"/>
        </w:rPr>
        <w:t>The corresponding probabilities in blacks were 3.3</w:t>
      </w:r>
      <w:r w:rsidR="00307F4B">
        <w:rPr>
          <w:rFonts w:ascii="Calibri" w:hAnsi="Calibri"/>
          <w:sz w:val="24"/>
          <w:szCs w:val="24"/>
        </w:rPr>
        <w:t xml:space="preserve"> </w:t>
      </w:r>
      <w:r w:rsidR="00367B34" w:rsidRPr="00DB1D7C">
        <w:rPr>
          <w:rFonts w:ascii="Calibri" w:hAnsi="Calibri"/>
          <w:sz w:val="24"/>
          <w:szCs w:val="24"/>
        </w:rPr>
        <w:t>% and 3.4</w:t>
      </w:r>
      <w:r w:rsidR="00307F4B">
        <w:rPr>
          <w:rFonts w:ascii="Calibri" w:hAnsi="Calibri"/>
          <w:sz w:val="24"/>
          <w:szCs w:val="24"/>
        </w:rPr>
        <w:t xml:space="preserve"> </w:t>
      </w:r>
      <w:r w:rsidR="00367B34" w:rsidRPr="00DB1D7C">
        <w:rPr>
          <w:rFonts w:ascii="Calibri" w:hAnsi="Calibri"/>
          <w:sz w:val="24"/>
          <w:szCs w:val="24"/>
        </w:rPr>
        <w:t>%. On this basis, the NOF chose (optimistically) a 10-year hip fracture probability of 3</w:t>
      </w:r>
      <w:r w:rsidR="00307F4B">
        <w:rPr>
          <w:rFonts w:ascii="Calibri" w:hAnsi="Calibri"/>
          <w:sz w:val="24"/>
          <w:szCs w:val="24"/>
        </w:rPr>
        <w:t xml:space="preserve"> </w:t>
      </w:r>
      <w:r w:rsidR="00367B34" w:rsidRPr="00DB1D7C">
        <w:rPr>
          <w:rFonts w:ascii="Calibri" w:hAnsi="Calibri"/>
          <w:sz w:val="24"/>
          <w:szCs w:val="24"/>
        </w:rPr>
        <w:t xml:space="preserve">% as an </w:t>
      </w:r>
      <w:r w:rsidR="00367B34" w:rsidRPr="00DB1D7C">
        <w:rPr>
          <w:rFonts w:ascii="Calibri" w:hAnsi="Calibri"/>
          <w:sz w:val="24"/>
          <w:szCs w:val="24"/>
        </w:rPr>
        <w:lastRenderedPageBreak/>
        <w:t>intervention threshold.  A 20</w:t>
      </w:r>
      <w:r w:rsidR="00307F4B">
        <w:rPr>
          <w:rFonts w:ascii="Calibri" w:hAnsi="Calibri"/>
          <w:sz w:val="24"/>
          <w:szCs w:val="24"/>
        </w:rPr>
        <w:t xml:space="preserve"> </w:t>
      </w:r>
      <w:r w:rsidR="00367B34" w:rsidRPr="00DB1D7C">
        <w:rPr>
          <w:rFonts w:ascii="Calibri" w:hAnsi="Calibri"/>
          <w:sz w:val="24"/>
          <w:szCs w:val="24"/>
        </w:rPr>
        <w:t xml:space="preserve">% probability of a major osteoporotic fracture was chosen as being equivalent to a hip fracture probability of </w:t>
      </w:r>
      <w:r w:rsidR="00F16EDA">
        <w:rPr>
          <w:rFonts w:ascii="Calibri" w:hAnsi="Calibri"/>
          <w:sz w:val="24"/>
          <w:szCs w:val="24"/>
        </w:rPr>
        <w:t>3</w:t>
      </w:r>
      <w:r w:rsidR="00307F4B">
        <w:rPr>
          <w:rFonts w:ascii="Calibri" w:hAnsi="Calibri"/>
          <w:sz w:val="24"/>
          <w:szCs w:val="24"/>
        </w:rPr>
        <w:t xml:space="preserve"> </w:t>
      </w:r>
      <w:r w:rsidR="00367B34" w:rsidRPr="00DB1D7C">
        <w:rPr>
          <w:rFonts w:ascii="Calibri" w:hAnsi="Calibri"/>
          <w:sz w:val="24"/>
          <w:szCs w:val="24"/>
        </w:rPr>
        <w:t>%.</w:t>
      </w:r>
    </w:p>
    <w:p w14:paraId="5CAB56B0" w14:textId="2DB008D1" w:rsidR="0027553B" w:rsidRPr="00DB1D7C" w:rsidRDefault="00367B34" w:rsidP="00367B34">
      <w:pPr>
        <w:rPr>
          <w:rFonts w:ascii="Calibri" w:hAnsi="Calibri"/>
          <w:sz w:val="24"/>
          <w:szCs w:val="24"/>
        </w:rPr>
      </w:pPr>
      <w:r w:rsidRPr="00DB1D7C">
        <w:rPr>
          <w:rFonts w:ascii="Calibri" w:hAnsi="Calibri"/>
          <w:sz w:val="24"/>
          <w:szCs w:val="24"/>
        </w:rPr>
        <w:t>The adoption of the 20</w:t>
      </w:r>
      <w:r w:rsidR="00307F4B">
        <w:rPr>
          <w:rFonts w:ascii="Calibri" w:hAnsi="Calibri"/>
          <w:sz w:val="24"/>
          <w:szCs w:val="24"/>
        </w:rPr>
        <w:t xml:space="preserve"> </w:t>
      </w:r>
      <w:r w:rsidRPr="00DB1D7C">
        <w:rPr>
          <w:rFonts w:ascii="Calibri" w:hAnsi="Calibri"/>
          <w:sz w:val="24"/>
          <w:szCs w:val="24"/>
        </w:rPr>
        <w:t xml:space="preserve">% fixed intervention threshold has had an enormous impact on the setting of thresholds in many countries worldwide for no better reason than this was the threshold adopted </w:t>
      </w:r>
      <w:r w:rsidRPr="002A1E50">
        <w:rPr>
          <w:rFonts w:ascii="Calibri" w:hAnsi="Calibri"/>
          <w:sz w:val="24"/>
          <w:szCs w:val="24"/>
        </w:rPr>
        <w:t>by the US</w:t>
      </w:r>
      <w:r w:rsidR="00F95F1E" w:rsidRPr="002A1E50">
        <w:rPr>
          <w:rFonts w:ascii="Calibri" w:hAnsi="Calibri"/>
          <w:sz w:val="24"/>
          <w:szCs w:val="24"/>
        </w:rPr>
        <w:t xml:space="preserve"> (see Table </w:t>
      </w:r>
      <w:r w:rsidR="000305D7" w:rsidRPr="002A1E50">
        <w:rPr>
          <w:rFonts w:ascii="Calibri" w:hAnsi="Calibri"/>
          <w:sz w:val="24"/>
          <w:szCs w:val="24"/>
        </w:rPr>
        <w:t>3</w:t>
      </w:r>
      <w:r w:rsidR="00F95F1E" w:rsidRPr="002A1E50">
        <w:rPr>
          <w:rFonts w:ascii="Calibri" w:hAnsi="Calibri"/>
          <w:sz w:val="24"/>
          <w:szCs w:val="24"/>
        </w:rPr>
        <w:t>)</w:t>
      </w:r>
      <w:r w:rsidR="0027553B" w:rsidRPr="002A1E50">
        <w:rPr>
          <w:rFonts w:ascii="Calibri" w:hAnsi="Calibri"/>
          <w:sz w:val="24"/>
          <w:szCs w:val="24"/>
        </w:rPr>
        <w:t xml:space="preserve">.  </w:t>
      </w:r>
      <w:r w:rsidR="00F95F1E" w:rsidRPr="002A1E50">
        <w:rPr>
          <w:rFonts w:ascii="Calibri" w:hAnsi="Calibri"/>
          <w:sz w:val="24"/>
          <w:szCs w:val="24"/>
        </w:rPr>
        <w:t xml:space="preserve"> </w:t>
      </w:r>
      <w:r w:rsidR="0027553B" w:rsidRPr="002A1E50">
        <w:rPr>
          <w:rFonts w:ascii="Calibri" w:hAnsi="Calibri"/>
          <w:sz w:val="24"/>
          <w:szCs w:val="24"/>
        </w:rPr>
        <w:t>It</w:t>
      </w:r>
      <w:r w:rsidR="0027553B" w:rsidRPr="00DB1D7C">
        <w:rPr>
          <w:rFonts w:ascii="Calibri" w:hAnsi="Calibri"/>
          <w:sz w:val="24"/>
          <w:szCs w:val="24"/>
        </w:rPr>
        <w:t xml:space="preserve"> is relevant then </w:t>
      </w:r>
      <w:r w:rsidR="00F95F1E" w:rsidRPr="00DB1D7C">
        <w:rPr>
          <w:rFonts w:ascii="Calibri" w:hAnsi="Calibri"/>
          <w:sz w:val="24"/>
          <w:szCs w:val="24"/>
        </w:rPr>
        <w:t>to draw attention to</w:t>
      </w:r>
      <w:r w:rsidR="0027553B" w:rsidRPr="00DB1D7C">
        <w:rPr>
          <w:rFonts w:ascii="Calibri" w:hAnsi="Calibri"/>
          <w:sz w:val="24"/>
          <w:szCs w:val="24"/>
        </w:rPr>
        <w:t xml:space="preserve"> </w:t>
      </w:r>
      <w:r w:rsidR="00F95F1E" w:rsidRPr="00DB1D7C">
        <w:rPr>
          <w:rFonts w:ascii="Calibri" w:hAnsi="Calibri"/>
          <w:sz w:val="24"/>
          <w:szCs w:val="24"/>
        </w:rPr>
        <w:t xml:space="preserve">some </w:t>
      </w:r>
      <w:r w:rsidR="0027553B" w:rsidRPr="00DB1D7C">
        <w:rPr>
          <w:rFonts w:ascii="Calibri" w:hAnsi="Calibri"/>
          <w:sz w:val="24"/>
          <w:szCs w:val="24"/>
        </w:rPr>
        <w:t xml:space="preserve">limitations </w:t>
      </w:r>
      <w:r w:rsidR="00F95F1E" w:rsidRPr="00DB1D7C">
        <w:rPr>
          <w:rFonts w:ascii="Calibri" w:hAnsi="Calibri"/>
          <w:sz w:val="24"/>
          <w:szCs w:val="24"/>
        </w:rPr>
        <w:t>in the interpretation of the findings</w:t>
      </w:r>
      <w:r w:rsidR="0027553B" w:rsidRPr="00DB1D7C">
        <w:rPr>
          <w:rFonts w:ascii="Calibri" w:hAnsi="Calibri"/>
          <w:sz w:val="24"/>
          <w:szCs w:val="24"/>
        </w:rPr>
        <w:t xml:space="preserve">.  </w:t>
      </w:r>
      <w:r w:rsidRPr="00DB1D7C">
        <w:rPr>
          <w:rFonts w:ascii="Calibri" w:hAnsi="Calibri"/>
          <w:sz w:val="24"/>
          <w:szCs w:val="24"/>
        </w:rPr>
        <w:t xml:space="preserve"> </w:t>
      </w:r>
      <w:r w:rsidR="0027553B" w:rsidRPr="00DB1D7C">
        <w:rPr>
          <w:rFonts w:ascii="Calibri" w:hAnsi="Calibri"/>
          <w:sz w:val="24"/>
          <w:szCs w:val="24"/>
        </w:rPr>
        <w:t>The first relates to the threshold for hip fracture probability that was chosen by the NOF since the analyses consistently showed that at this threshold, intervention was cost-ineffective as noted above.  Secondly, the relationship between hip fracture probability and that for major fracture is not straightforward</w:t>
      </w:r>
      <w:r w:rsidR="00F95F1E" w:rsidRPr="00DB1D7C">
        <w:rPr>
          <w:rFonts w:ascii="Calibri" w:hAnsi="Calibri"/>
          <w:sz w:val="24"/>
          <w:szCs w:val="24"/>
        </w:rPr>
        <w:t xml:space="preserve">.  Whereas there is a correlation between the probability of hip fracture and the probability of a major fracture, </w:t>
      </w:r>
      <w:r w:rsidR="009224AB" w:rsidRPr="00DB1D7C">
        <w:rPr>
          <w:rFonts w:ascii="Calibri" w:hAnsi="Calibri"/>
          <w:sz w:val="24"/>
          <w:szCs w:val="24"/>
        </w:rPr>
        <w:t xml:space="preserve">this is of poor </w:t>
      </w:r>
      <w:r w:rsidR="009224AB" w:rsidRPr="00453D85">
        <w:rPr>
          <w:rFonts w:ascii="Calibri" w:hAnsi="Calibri"/>
          <w:sz w:val="24"/>
          <w:szCs w:val="24"/>
        </w:rPr>
        <w:t>predictive value (</w:t>
      </w:r>
      <w:r w:rsidR="0027553B" w:rsidRPr="00453D85">
        <w:rPr>
          <w:rFonts w:ascii="Calibri" w:hAnsi="Calibri"/>
          <w:sz w:val="24"/>
          <w:szCs w:val="24"/>
        </w:rPr>
        <w:t>Fig</w:t>
      </w:r>
      <w:r w:rsidR="009224AB" w:rsidRPr="00453D85">
        <w:rPr>
          <w:rFonts w:ascii="Calibri" w:hAnsi="Calibri"/>
          <w:sz w:val="24"/>
          <w:szCs w:val="24"/>
        </w:rPr>
        <w:t xml:space="preserve">ure </w:t>
      </w:r>
      <w:r w:rsidR="0032217D" w:rsidRPr="0083739E">
        <w:rPr>
          <w:rFonts w:ascii="Calibri" w:hAnsi="Calibri"/>
          <w:sz w:val="24"/>
          <w:szCs w:val="24"/>
        </w:rPr>
        <w:t>1</w:t>
      </w:r>
      <w:r w:rsidR="00453D85" w:rsidRPr="0083739E">
        <w:rPr>
          <w:rFonts w:ascii="Calibri" w:hAnsi="Calibri"/>
          <w:sz w:val="24"/>
          <w:szCs w:val="24"/>
        </w:rPr>
        <w:t>7</w:t>
      </w:r>
      <w:r w:rsidR="009224AB" w:rsidRPr="0083739E">
        <w:rPr>
          <w:rFonts w:ascii="Calibri" w:hAnsi="Calibri"/>
          <w:sz w:val="24"/>
          <w:szCs w:val="24"/>
        </w:rPr>
        <w:t>)</w:t>
      </w:r>
      <w:r w:rsidR="00943ED0" w:rsidRPr="0083739E">
        <w:rPr>
          <w:rFonts w:ascii="Calibri" w:hAnsi="Calibri"/>
          <w:sz w:val="24"/>
          <w:szCs w:val="24"/>
        </w:rPr>
        <w:t xml:space="preserve"> </w:t>
      </w:r>
      <w:r w:rsidR="00A81C83" w:rsidRPr="0083739E">
        <w:rPr>
          <w:rFonts w:ascii="Calibri" w:hAnsi="Calibri"/>
          <w:sz w:val="24"/>
          <w:szCs w:val="24"/>
        </w:rPr>
        <w:t>[140]</w:t>
      </w:r>
      <w:r w:rsidR="009224AB" w:rsidRPr="0083739E">
        <w:rPr>
          <w:rFonts w:ascii="Calibri" w:hAnsi="Calibri"/>
          <w:sz w:val="24"/>
          <w:szCs w:val="24"/>
        </w:rPr>
        <w:t>.  Indeed</w:t>
      </w:r>
      <w:r w:rsidR="009224AB" w:rsidRPr="00DB1D7C">
        <w:rPr>
          <w:rFonts w:ascii="Calibri" w:hAnsi="Calibri"/>
          <w:sz w:val="24"/>
          <w:szCs w:val="24"/>
        </w:rPr>
        <w:t>, the predicted probability of a major osteoporotic fracture derived from the probability of hip fracture co</w:t>
      </w:r>
      <w:r w:rsidR="00943ED0" w:rsidRPr="00DB1D7C">
        <w:rPr>
          <w:rFonts w:ascii="Calibri" w:hAnsi="Calibri"/>
          <w:sz w:val="24"/>
          <w:szCs w:val="24"/>
        </w:rPr>
        <w:t>u</w:t>
      </w:r>
      <w:r w:rsidR="009224AB" w:rsidRPr="00DB1D7C">
        <w:rPr>
          <w:rFonts w:ascii="Calibri" w:hAnsi="Calibri"/>
          <w:sz w:val="24"/>
          <w:szCs w:val="24"/>
        </w:rPr>
        <w:t>ld lie anywhere between 5 and 25%</w:t>
      </w:r>
      <w:r w:rsidR="00943ED0" w:rsidRPr="00DB1D7C">
        <w:rPr>
          <w:rFonts w:ascii="Calibri" w:hAnsi="Calibri"/>
          <w:sz w:val="24"/>
          <w:szCs w:val="24"/>
        </w:rPr>
        <w:t>.  Thirdly, the economic analysis was undertaken 8 years ago and many of the underlying assumptions will have changed in the interval.</w:t>
      </w:r>
    </w:p>
    <w:p w14:paraId="4150B2D9" w14:textId="2E494055" w:rsidR="00F95F1E" w:rsidRPr="00DB1D7C" w:rsidRDefault="00F95F1E" w:rsidP="00F95F1E">
      <w:pPr>
        <w:jc w:val="center"/>
        <w:rPr>
          <w:rFonts w:ascii="Calibri" w:hAnsi="Calibri"/>
          <w:i/>
          <w:sz w:val="24"/>
          <w:szCs w:val="24"/>
        </w:rPr>
      </w:pPr>
    </w:p>
    <w:p w14:paraId="79B32CB5" w14:textId="27B910A1" w:rsidR="009224AB" w:rsidRPr="00DB1D7C" w:rsidRDefault="009224AB" w:rsidP="009224AB">
      <w:pPr>
        <w:jc w:val="center"/>
        <w:rPr>
          <w:rFonts w:ascii="Calibri" w:hAnsi="Calibri"/>
        </w:rPr>
      </w:pPr>
      <w:r w:rsidRPr="00DB1D7C">
        <w:rPr>
          <w:rFonts w:ascii="Calibri" w:hAnsi="Calibri"/>
          <w:noProof/>
          <w:lang w:eastAsia="en-GB"/>
        </w:rPr>
        <w:drawing>
          <wp:inline distT="0" distB="0" distL="0" distR="0" wp14:anchorId="01BFC430" wp14:editId="70BDC550">
            <wp:extent cx="4571999" cy="3028950"/>
            <wp:effectExtent l="0" t="0" r="63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a:srcRect t="11667"/>
                    <a:stretch/>
                  </pic:blipFill>
                  <pic:spPr bwMode="auto">
                    <a:xfrm>
                      <a:off x="0" y="0"/>
                      <a:ext cx="4572638" cy="3029373"/>
                    </a:xfrm>
                    <a:prstGeom prst="rect">
                      <a:avLst/>
                    </a:prstGeom>
                    <a:ln>
                      <a:noFill/>
                    </a:ln>
                    <a:extLst>
                      <a:ext uri="{53640926-AAD7-44D8-BBD7-CCE9431645EC}">
                        <a14:shadowObscured xmlns:a14="http://schemas.microsoft.com/office/drawing/2010/main"/>
                      </a:ext>
                    </a:extLst>
                  </pic:spPr>
                </pic:pic>
              </a:graphicData>
            </a:graphic>
          </wp:inline>
        </w:drawing>
      </w:r>
    </w:p>
    <w:p w14:paraId="42429F4E" w14:textId="1EBE94E2" w:rsidR="00F95F1E" w:rsidRPr="00DB1D7C" w:rsidRDefault="00F95F1E" w:rsidP="00201CCF">
      <w:pPr>
        <w:ind w:left="567" w:right="662"/>
        <w:rPr>
          <w:rFonts w:ascii="Calibri" w:hAnsi="Calibri"/>
          <w:sz w:val="24"/>
          <w:szCs w:val="24"/>
        </w:rPr>
      </w:pPr>
      <w:r w:rsidRPr="00453D85">
        <w:rPr>
          <w:rFonts w:ascii="Calibri" w:hAnsi="Calibri"/>
          <w:b/>
        </w:rPr>
        <w:t>Fig</w:t>
      </w:r>
      <w:r w:rsidR="009224AB" w:rsidRPr="00453D85">
        <w:rPr>
          <w:rFonts w:ascii="Calibri" w:hAnsi="Calibri"/>
          <w:b/>
        </w:rPr>
        <w:t>ure</w:t>
      </w:r>
      <w:r w:rsidRPr="00453D85">
        <w:rPr>
          <w:rFonts w:ascii="Calibri" w:hAnsi="Calibri"/>
          <w:b/>
        </w:rPr>
        <w:t xml:space="preserve"> </w:t>
      </w:r>
      <w:r w:rsidR="0032217D" w:rsidRPr="00453D85">
        <w:rPr>
          <w:rFonts w:ascii="Calibri" w:hAnsi="Calibri"/>
          <w:b/>
        </w:rPr>
        <w:t>1</w:t>
      </w:r>
      <w:r w:rsidR="00453D85" w:rsidRPr="00453D85">
        <w:rPr>
          <w:rFonts w:ascii="Calibri" w:hAnsi="Calibri"/>
          <w:b/>
        </w:rPr>
        <w:t>7</w:t>
      </w:r>
      <w:r w:rsidR="009224AB" w:rsidRPr="00453D85">
        <w:rPr>
          <w:rFonts w:ascii="Calibri" w:hAnsi="Calibri"/>
        </w:rPr>
        <w:t xml:space="preserve">. </w:t>
      </w:r>
      <w:r w:rsidRPr="00453D85">
        <w:rPr>
          <w:rFonts w:ascii="Calibri" w:hAnsi="Calibri"/>
        </w:rPr>
        <w:t xml:space="preserve"> Relation</w:t>
      </w:r>
      <w:r w:rsidRPr="00DB1D7C">
        <w:rPr>
          <w:rFonts w:ascii="Calibri" w:hAnsi="Calibri"/>
        </w:rPr>
        <w:t xml:space="preserve"> between the 10-year probability of a major osteoporotic fracture and the 10-year probability of a hip fracture in women aged 50 years from the UK. Each point represents a particular combination of BMD and clinical risk factors.  From </w:t>
      </w:r>
      <w:r w:rsidR="0030753F" w:rsidRPr="0083739E">
        <w:rPr>
          <w:rFonts w:ascii="Calibri" w:hAnsi="Calibri"/>
          <w:sz w:val="24"/>
          <w:szCs w:val="24"/>
        </w:rPr>
        <w:t>[140</w:t>
      </w:r>
      <w:r w:rsidR="0083739E" w:rsidRPr="0083739E">
        <w:rPr>
          <w:rFonts w:ascii="Calibri" w:hAnsi="Calibri"/>
          <w:sz w:val="24"/>
          <w:szCs w:val="24"/>
        </w:rPr>
        <w:t>]</w:t>
      </w:r>
      <w:r w:rsidR="0083739E" w:rsidRPr="0083739E">
        <w:rPr>
          <w:rFonts w:ascii="Calibri" w:hAnsi="Calibri"/>
        </w:rPr>
        <w:t xml:space="preserve"> with</w:t>
      </w:r>
      <w:r w:rsidR="002F2CD8" w:rsidRPr="00DB1D7C">
        <w:rPr>
          <w:rFonts w:ascii="Calibri" w:hAnsi="Calibri"/>
        </w:rPr>
        <w:t xml:space="preserve"> kind permission from Springer Science and Business Media.</w:t>
      </w:r>
    </w:p>
    <w:p w14:paraId="3041523D" w14:textId="0F896526" w:rsidR="002C1077" w:rsidRPr="00DB1D7C" w:rsidRDefault="00943ED0" w:rsidP="00367B34">
      <w:pPr>
        <w:rPr>
          <w:rFonts w:ascii="Calibri" w:hAnsi="Calibri"/>
          <w:sz w:val="24"/>
          <w:szCs w:val="24"/>
        </w:rPr>
      </w:pPr>
      <w:r w:rsidRPr="00DB1D7C">
        <w:rPr>
          <w:rFonts w:ascii="Calibri" w:hAnsi="Calibri"/>
          <w:sz w:val="24"/>
          <w:szCs w:val="24"/>
        </w:rPr>
        <w:t xml:space="preserve"> </w:t>
      </w:r>
    </w:p>
    <w:p w14:paraId="4055AEC0" w14:textId="106261DE" w:rsidR="00527367" w:rsidRDefault="00527367" w:rsidP="003A589D">
      <w:pPr>
        <w:rPr>
          <w:rFonts w:ascii="Calibri" w:hAnsi="Calibri"/>
          <w:sz w:val="24"/>
          <w:szCs w:val="24"/>
        </w:rPr>
      </w:pPr>
      <w:r>
        <w:rPr>
          <w:rFonts w:ascii="Calibri" w:hAnsi="Calibri"/>
          <w:sz w:val="24"/>
          <w:szCs w:val="24"/>
        </w:rPr>
        <w:t>A fixed th</w:t>
      </w:r>
      <w:r w:rsidR="001507B1">
        <w:rPr>
          <w:rFonts w:ascii="Calibri" w:hAnsi="Calibri"/>
          <w:sz w:val="24"/>
          <w:szCs w:val="24"/>
        </w:rPr>
        <w:t>r</w:t>
      </w:r>
      <w:r>
        <w:rPr>
          <w:rFonts w:ascii="Calibri" w:hAnsi="Calibri"/>
          <w:sz w:val="24"/>
          <w:szCs w:val="24"/>
        </w:rPr>
        <w:t>e</w:t>
      </w:r>
      <w:r w:rsidR="001507B1">
        <w:rPr>
          <w:rFonts w:ascii="Calibri" w:hAnsi="Calibri"/>
          <w:sz w:val="24"/>
          <w:szCs w:val="24"/>
        </w:rPr>
        <w:t>shold</w:t>
      </w:r>
      <w:r>
        <w:rPr>
          <w:rFonts w:ascii="Calibri" w:hAnsi="Calibri"/>
          <w:sz w:val="24"/>
          <w:szCs w:val="24"/>
        </w:rPr>
        <w:t xml:space="preserve"> was also evaluated in a Spanish population</w:t>
      </w:r>
      <w:r w:rsidR="001507B1">
        <w:rPr>
          <w:rFonts w:ascii="Calibri" w:hAnsi="Calibri"/>
          <w:sz w:val="24"/>
          <w:szCs w:val="24"/>
        </w:rPr>
        <w:t xml:space="preserve"> and compared with the use of BMD as a gateway to </w:t>
      </w:r>
      <w:r w:rsidR="001507B1" w:rsidRPr="0083739E">
        <w:rPr>
          <w:rFonts w:ascii="Calibri" w:hAnsi="Calibri"/>
          <w:sz w:val="24"/>
          <w:szCs w:val="24"/>
        </w:rPr>
        <w:t xml:space="preserve">treatment </w:t>
      </w:r>
      <w:r w:rsidR="00A81C83" w:rsidRPr="0083739E">
        <w:rPr>
          <w:rFonts w:ascii="Calibri" w:hAnsi="Calibri"/>
          <w:sz w:val="24"/>
          <w:szCs w:val="24"/>
        </w:rPr>
        <w:t>[171]</w:t>
      </w:r>
      <w:r w:rsidR="001507B1" w:rsidRPr="0083739E">
        <w:rPr>
          <w:rFonts w:ascii="Calibri" w:hAnsi="Calibri"/>
          <w:sz w:val="24"/>
          <w:szCs w:val="24"/>
        </w:rPr>
        <w:t>. The</w:t>
      </w:r>
      <w:r w:rsidR="001507B1">
        <w:rPr>
          <w:rFonts w:ascii="Calibri" w:hAnsi="Calibri"/>
          <w:sz w:val="24"/>
          <w:szCs w:val="24"/>
        </w:rPr>
        <w:t xml:space="preserve"> use of a 7.5% threshold for a major osteoporotic fracture decreased markedly the requirements for BMD testing and the cost/fracture averted.</w:t>
      </w:r>
    </w:p>
    <w:p w14:paraId="06FE97C1" w14:textId="7D435EC1" w:rsidR="00CA076F" w:rsidRPr="00DB1D7C" w:rsidRDefault="00CA076F" w:rsidP="003A589D">
      <w:pPr>
        <w:rPr>
          <w:rFonts w:ascii="Calibri" w:hAnsi="Calibri"/>
          <w:sz w:val="24"/>
          <w:szCs w:val="24"/>
        </w:rPr>
      </w:pPr>
      <w:r w:rsidRPr="00DB1D7C">
        <w:rPr>
          <w:rFonts w:ascii="Calibri" w:hAnsi="Calibri"/>
          <w:sz w:val="24"/>
          <w:szCs w:val="24"/>
        </w:rPr>
        <w:lastRenderedPageBreak/>
        <w:t xml:space="preserve">National Institute for </w:t>
      </w:r>
      <w:r w:rsidR="00F16EDA">
        <w:rPr>
          <w:rFonts w:ascii="Calibri" w:hAnsi="Calibri"/>
          <w:sz w:val="24"/>
          <w:szCs w:val="24"/>
        </w:rPr>
        <w:t>H</w:t>
      </w:r>
      <w:r w:rsidRPr="00DB1D7C">
        <w:rPr>
          <w:rFonts w:ascii="Calibri" w:hAnsi="Calibri"/>
          <w:sz w:val="24"/>
          <w:szCs w:val="24"/>
        </w:rPr>
        <w:t>ealth and C</w:t>
      </w:r>
      <w:r w:rsidR="004D0DA5">
        <w:rPr>
          <w:rFonts w:ascii="Calibri" w:hAnsi="Calibri"/>
          <w:sz w:val="24"/>
          <w:szCs w:val="24"/>
        </w:rPr>
        <w:t>are</w:t>
      </w:r>
      <w:r w:rsidRPr="00DB1D7C">
        <w:rPr>
          <w:rFonts w:ascii="Calibri" w:hAnsi="Calibri"/>
          <w:sz w:val="24"/>
          <w:szCs w:val="24"/>
        </w:rPr>
        <w:t xml:space="preserve"> Excellence</w:t>
      </w:r>
      <w:r w:rsidR="00F16EDA">
        <w:rPr>
          <w:rFonts w:ascii="Calibri" w:hAnsi="Calibri"/>
          <w:sz w:val="24"/>
          <w:szCs w:val="24"/>
        </w:rPr>
        <w:t xml:space="preserve"> (NICE)</w:t>
      </w:r>
      <w:r w:rsidRPr="00DB1D7C">
        <w:rPr>
          <w:rFonts w:ascii="Calibri" w:hAnsi="Calibri"/>
          <w:sz w:val="24"/>
          <w:szCs w:val="24"/>
        </w:rPr>
        <w:t xml:space="preserve"> </w:t>
      </w:r>
    </w:p>
    <w:p w14:paraId="369FEA08" w14:textId="7BF62959" w:rsidR="0031380E" w:rsidRPr="00DB1D7C" w:rsidRDefault="0046305C" w:rsidP="003A589D">
      <w:pPr>
        <w:rPr>
          <w:rFonts w:ascii="Calibri" w:hAnsi="Calibri"/>
          <w:sz w:val="24"/>
          <w:szCs w:val="24"/>
        </w:rPr>
      </w:pPr>
      <w:r w:rsidRPr="00DB1D7C">
        <w:rPr>
          <w:rFonts w:ascii="Calibri" w:hAnsi="Calibri"/>
          <w:sz w:val="24"/>
          <w:szCs w:val="24"/>
        </w:rPr>
        <w:t xml:space="preserve">Although the FRAX algorithm was </w:t>
      </w:r>
      <w:r w:rsidR="00C3207A" w:rsidRPr="00DB1D7C">
        <w:rPr>
          <w:rFonts w:ascii="Calibri" w:hAnsi="Calibri"/>
          <w:sz w:val="24"/>
          <w:szCs w:val="24"/>
        </w:rPr>
        <w:t>used in</w:t>
      </w:r>
      <w:r w:rsidRPr="00DB1D7C">
        <w:rPr>
          <w:rFonts w:ascii="Calibri" w:hAnsi="Calibri"/>
          <w:sz w:val="24"/>
          <w:szCs w:val="24"/>
        </w:rPr>
        <w:t xml:space="preserve"> </w:t>
      </w:r>
      <w:r w:rsidR="00C3207A" w:rsidRPr="00DB1D7C">
        <w:rPr>
          <w:rFonts w:ascii="Calibri" w:hAnsi="Calibri"/>
          <w:sz w:val="24"/>
          <w:szCs w:val="24"/>
        </w:rPr>
        <w:t>early</w:t>
      </w:r>
      <w:r w:rsidRPr="00DB1D7C">
        <w:rPr>
          <w:rFonts w:ascii="Calibri" w:hAnsi="Calibri"/>
          <w:sz w:val="24"/>
          <w:szCs w:val="24"/>
        </w:rPr>
        <w:t xml:space="preserve"> appraisals by NICE, the output was to determine the </w:t>
      </w:r>
      <w:r w:rsidR="00C3207A" w:rsidRPr="00DB1D7C">
        <w:rPr>
          <w:rFonts w:ascii="Calibri" w:hAnsi="Calibri"/>
          <w:sz w:val="24"/>
          <w:szCs w:val="24"/>
        </w:rPr>
        <w:t xml:space="preserve">cost-effectiveness of individual agents according to </w:t>
      </w:r>
      <w:r w:rsidRPr="00DB1D7C">
        <w:rPr>
          <w:rFonts w:ascii="Calibri" w:hAnsi="Calibri"/>
          <w:sz w:val="24"/>
          <w:szCs w:val="24"/>
        </w:rPr>
        <w:t>clinical characteristics (T-score</w:t>
      </w:r>
      <w:r w:rsidR="00C3207A" w:rsidRPr="00DB1D7C">
        <w:rPr>
          <w:rFonts w:ascii="Calibri" w:hAnsi="Calibri"/>
          <w:sz w:val="24"/>
          <w:szCs w:val="24"/>
        </w:rPr>
        <w:t xml:space="preserve"> at -2.5 SD</w:t>
      </w:r>
      <w:r w:rsidR="00C3207A" w:rsidRPr="0083739E">
        <w:rPr>
          <w:rFonts w:ascii="Calibri" w:hAnsi="Calibri"/>
          <w:sz w:val="24"/>
          <w:szCs w:val="24"/>
        </w:rPr>
        <w:t>, prior fracture</w:t>
      </w:r>
      <w:r w:rsidRPr="0083739E">
        <w:rPr>
          <w:rFonts w:ascii="Calibri" w:hAnsi="Calibri"/>
          <w:sz w:val="24"/>
          <w:szCs w:val="24"/>
        </w:rPr>
        <w:t xml:space="preserve"> </w:t>
      </w:r>
      <w:r w:rsidR="0083739E" w:rsidRPr="0083739E">
        <w:rPr>
          <w:rFonts w:ascii="Calibri" w:hAnsi="Calibri"/>
          <w:sz w:val="24"/>
          <w:szCs w:val="24"/>
        </w:rPr>
        <w:t>etc.</w:t>
      </w:r>
      <w:r w:rsidR="00A81C83" w:rsidRPr="0083739E">
        <w:rPr>
          <w:rFonts w:ascii="Calibri" w:hAnsi="Calibri"/>
          <w:sz w:val="24"/>
          <w:szCs w:val="24"/>
        </w:rPr>
        <w:t xml:space="preserve"> [172-174</w:t>
      </w:r>
      <w:r w:rsidR="0083739E" w:rsidRPr="0083739E">
        <w:rPr>
          <w:rFonts w:ascii="Calibri" w:hAnsi="Calibri"/>
          <w:sz w:val="24"/>
          <w:szCs w:val="24"/>
        </w:rPr>
        <w:t>].</w:t>
      </w:r>
      <w:r w:rsidRPr="0083739E">
        <w:rPr>
          <w:rFonts w:ascii="Calibri" w:hAnsi="Calibri"/>
          <w:sz w:val="24"/>
          <w:szCs w:val="24"/>
        </w:rPr>
        <w:t xml:space="preserve"> </w:t>
      </w:r>
      <w:r w:rsidR="00C3207A" w:rsidRPr="0083739E">
        <w:rPr>
          <w:rFonts w:ascii="Calibri" w:hAnsi="Calibri"/>
          <w:sz w:val="24"/>
          <w:szCs w:val="24"/>
        </w:rPr>
        <w:t xml:space="preserve"> The resulting guidance was complex and not without some controversy </w:t>
      </w:r>
      <w:r w:rsidR="00A81C83" w:rsidRPr="0083739E">
        <w:rPr>
          <w:rFonts w:ascii="Calibri" w:hAnsi="Calibri"/>
          <w:sz w:val="24"/>
          <w:szCs w:val="24"/>
        </w:rPr>
        <w:t>[175]</w:t>
      </w:r>
      <w:r w:rsidR="00C3207A" w:rsidRPr="0083739E">
        <w:rPr>
          <w:rFonts w:ascii="Calibri" w:hAnsi="Calibri"/>
          <w:sz w:val="24"/>
          <w:szCs w:val="24"/>
        </w:rPr>
        <w:t>. More recently</w:t>
      </w:r>
      <w:r w:rsidRPr="0083739E">
        <w:rPr>
          <w:rFonts w:ascii="Calibri" w:hAnsi="Calibri"/>
          <w:sz w:val="24"/>
          <w:szCs w:val="24"/>
        </w:rPr>
        <w:t xml:space="preserve"> </w:t>
      </w:r>
      <w:r w:rsidR="005305F5" w:rsidRPr="0083739E">
        <w:rPr>
          <w:rFonts w:ascii="Calibri" w:hAnsi="Calibri"/>
          <w:sz w:val="24"/>
          <w:szCs w:val="24"/>
        </w:rPr>
        <w:t xml:space="preserve">a draft appraisal from NICE has been released for consultation </w:t>
      </w:r>
      <w:r w:rsidR="003B6595" w:rsidRPr="0083739E">
        <w:rPr>
          <w:rFonts w:ascii="Calibri" w:hAnsi="Calibri"/>
          <w:sz w:val="24"/>
          <w:szCs w:val="24"/>
        </w:rPr>
        <w:t>[108]</w:t>
      </w:r>
      <w:r w:rsidR="005305F5" w:rsidRPr="0083739E">
        <w:rPr>
          <w:rFonts w:ascii="Calibri" w:hAnsi="Calibri"/>
          <w:sz w:val="24"/>
          <w:szCs w:val="24"/>
        </w:rPr>
        <w:t xml:space="preserve"> that incorporates</w:t>
      </w:r>
      <w:r w:rsidR="005305F5" w:rsidRPr="00DB1D7C">
        <w:rPr>
          <w:rFonts w:ascii="Calibri" w:hAnsi="Calibri"/>
          <w:sz w:val="24"/>
          <w:szCs w:val="24"/>
        </w:rPr>
        <w:t xml:space="preserve"> fracture probability as an output variable.  For the bisphosphonates</w:t>
      </w:r>
      <w:r w:rsidR="00295756" w:rsidRPr="00DB1D7C">
        <w:rPr>
          <w:rFonts w:ascii="Calibri" w:hAnsi="Calibri"/>
          <w:sz w:val="24"/>
          <w:szCs w:val="24"/>
        </w:rPr>
        <w:t xml:space="preserve"> alendronate and risedronate</w:t>
      </w:r>
      <w:r w:rsidR="005305F5" w:rsidRPr="00DB1D7C">
        <w:rPr>
          <w:rFonts w:ascii="Calibri" w:hAnsi="Calibri"/>
          <w:sz w:val="24"/>
          <w:szCs w:val="24"/>
        </w:rPr>
        <w:t xml:space="preserve">, the incremental net benefit with a willingness to pay of £20,000/QALY gained was positive over the range of fracture probabilities that were studied.  </w:t>
      </w:r>
      <w:r w:rsidR="0031380E" w:rsidRPr="00DB1D7C">
        <w:rPr>
          <w:rFonts w:ascii="Calibri" w:hAnsi="Calibri"/>
          <w:sz w:val="24"/>
          <w:szCs w:val="24"/>
        </w:rPr>
        <w:t xml:space="preserve">  </w:t>
      </w:r>
    </w:p>
    <w:p w14:paraId="56A6F3AD" w14:textId="2CB603E2" w:rsidR="00E9577B" w:rsidRPr="00DB1D7C" w:rsidRDefault="00D96C43" w:rsidP="005D4352">
      <w:pPr>
        <w:rPr>
          <w:rFonts w:ascii="Calibri" w:hAnsi="Calibri"/>
          <w:sz w:val="24"/>
          <w:szCs w:val="24"/>
        </w:rPr>
      </w:pPr>
      <w:r w:rsidRPr="00DB1D7C">
        <w:rPr>
          <w:rFonts w:ascii="Calibri" w:hAnsi="Calibri"/>
          <w:sz w:val="24"/>
          <w:szCs w:val="24"/>
        </w:rPr>
        <w:t>Hybrid thresholds (UK)</w:t>
      </w:r>
    </w:p>
    <w:p w14:paraId="40E1ACFC" w14:textId="580C2D07" w:rsidR="00D96C43" w:rsidRPr="00DB1D7C" w:rsidRDefault="00D96C43" w:rsidP="005D4352">
      <w:pPr>
        <w:rPr>
          <w:rFonts w:ascii="Calibri" w:hAnsi="Calibri"/>
          <w:sz w:val="24"/>
          <w:szCs w:val="24"/>
        </w:rPr>
      </w:pPr>
      <w:r w:rsidRPr="00DB1D7C">
        <w:rPr>
          <w:rFonts w:ascii="Calibri" w:hAnsi="Calibri"/>
          <w:sz w:val="24"/>
          <w:szCs w:val="24"/>
        </w:rPr>
        <w:t>There has been no formal health economic assessment of the UK hybrid variant where an age-dependent intervention threshold is used up to the age of 70 years and, thereafter, a fixed threshold is employed. Up to the age of 70 years, the threshold is identical to that used by NOGG</w:t>
      </w:r>
      <w:r w:rsidR="00AA28C4" w:rsidRPr="00DB1D7C">
        <w:rPr>
          <w:rFonts w:ascii="Calibri" w:hAnsi="Calibri"/>
          <w:sz w:val="24"/>
          <w:szCs w:val="24"/>
        </w:rPr>
        <w:t>.  In the economic analysis from NOGG, intervention with generic alendronate was cost-effective at fracture probabilities for a major osteoporotic fracture that exceeded 7-8</w:t>
      </w:r>
      <w:r w:rsidR="00E8657B">
        <w:rPr>
          <w:rFonts w:ascii="Calibri" w:hAnsi="Calibri"/>
          <w:sz w:val="24"/>
          <w:szCs w:val="24"/>
        </w:rPr>
        <w:t xml:space="preserve"> </w:t>
      </w:r>
      <w:r w:rsidR="00AA28C4" w:rsidRPr="00DB1D7C">
        <w:rPr>
          <w:rFonts w:ascii="Calibri" w:hAnsi="Calibri"/>
          <w:sz w:val="24"/>
          <w:szCs w:val="24"/>
        </w:rPr>
        <w:t xml:space="preserve">% </w:t>
      </w:r>
      <w:r w:rsidR="0030753F" w:rsidRPr="0083739E">
        <w:rPr>
          <w:rFonts w:ascii="Calibri" w:hAnsi="Calibri"/>
          <w:sz w:val="24"/>
          <w:szCs w:val="24"/>
        </w:rPr>
        <w:t>[140]</w:t>
      </w:r>
      <w:r w:rsidR="00AA28C4" w:rsidRPr="0083739E">
        <w:rPr>
          <w:rFonts w:ascii="Calibri" w:hAnsi="Calibri"/>
          <w:sz w:val="24"/>
          <w:szCs w:val="24"/>
        </w:rPr>
        <w:t>, significantly far removed from the 20</w:t>
      </w:r>
      <w:r w:rsidR="00E8657B" w:rsidRPr="0083739E">
        <w:rPr>
          <w:rFonts w:ascii="Calibri" w:hAnsi="Calibri"/>
          <w:sz w:val="24"/>
          <w:szCs w:val="24"/>
        </w:rPr>
        <w:t xml:space="preserve"> </w:t>
      </w:r>
      <w:r w:rsidR="00AA28C4" w:rsidRPr="0083739E">
        <w:rPr>
          <w:rFonts w:ascii="Calibri" w:hAnsi="Calibri"/>
          <w:sz w:val="24"/>
          <w:szCs w:val="24"/>
        </w:rPr>
        <w:t>% threshold provided in the hybrid model.  A similar analysis with risedronate, which cost £264 at the time, showed cost-effectiveness at a probability threshold of 1</w:t>
      </w:r>
      <w:r w:rsidR="00E314E3" w:rsidRPr="0083739E">
        <w:rPr>
          <w:rFonts w:ascii="Calibri" w:hAnsi="Calibri"/>
          <w:sz w:val="24"/>
          <w:szCs w:val="24"/>
        </w:rPr>
        <w:t>8</w:t>
      </w:r>
      <w:r w:rsidR="00E8657B" w:rsidRPr="0083739E">
        <w:rPr>
          <w:rFonts w:ascii="Calibri" w:hAnsi="Calibri"/>
          <w:sz w:val="24"/>
          <w:szCs w:val="24"/>
        </w:rPr>
        <w:t xml:space="preserve"> </w:t>
      </w:r>
      <w:r w:rsidR="00AA28C4" w:rsidRPr="0083739E">
        <w:rPr>
          <w:rFonts w:ascii="Calibri" w:hAnsi="Calibri"/>
          <w:sz w:val="24"/>
          <w:szCs w:val="24"/>
        </w:rPr>
        <w:t xml:space="preserve">% </w:t>
      </w:r>
      <w:r w:rsidR="003B6595" w:rsidRPr="0083739E">
        <w:rPr>
          <w:rFonts w:ascii="Calibri" w:hAnsi="Calibri"/>
          <w:sz w:val="24"/>
          <w:szCs w:val="24"/>
        </w:rPr>
        <w:t>[166]</w:t>
      </w:r>
      <w:r w:rsidR="00AA28C4" w:rsidRPr="0083739E">
        <w:rPr>
          <w:rFonts w:ascii="Calibri" w:hAnsi="Calibri"/>
          <w:sz w:val="24"/>
          <w:szCs w:val="24"/>
        </w:rPr>
        <w:t>, close to the alternative intervention threshold studied in this paper.  The 8-fold reduction in the cost</w:t>
      </w:r>
      <w:r w:rsidR="00AA28C4" w:rsidRPr="00DB1D7C">
        <w:rPr>
          <w:rFonts w:ascii="Calibri" w:hAnsi="Calibri"/>
          <w:sz w:val="24"/>
          <w:szCs w:val="24"/>
        </w:rPr>
        <w:t xml:space="preserve"> of </w:t>
      </w:r>
      <w:proofErr w:type="spellStart"/>
      <w:r w:rsidR="00AA28C4" w:rsidRPr="00DB1D7C">
        <w:rPr>
          <w:rFonts w:ascii="Calibri" w:hAnsi="Calibri"/>
          <w:sz w:val="24"/>
          <w:szCs w:val="24"/>
        </w:rPr>
        <w:t>alendronic</w:t>
      </w:r>
      <w:proofErr w:type="spellEnd"/>
      <w:r w:rsidR="00AA28C4" w:rsidRPr="00DB1D7C">
        <w:rPr>
          <w:rFonts w:ascii="Calibri" w:hAnsi="Calibri"/>
          <w:sz w:val="24"/>
          <w:szCs w:val="24"/>
        </w:rPr>
        <w:t xml:space="preserve"> acid since then and the more recent availability of cheap generic forms of other osteoporosis agents including risedronate, </w:t>
      </w:r>
      <w:proofErr w:type="spellStart"/>
      <w:r w:rsidR="00AA28C4" w:rsidRPr="00DB1D7C">
        <w:rPr>
          <w:rFonts w:ascii="Calibri" w:hAnsi="Calibri"/>
          <w:sz w:val="24"/>
          <w:szCs w:val="24"/>
        </w:rPr>
        <w:t>ibandronic</w:t>
      </w:r>
      <w:proofErr w:type="spellEnd"/>
      <w:r w:rsidR="00AA28C4" w:rsidRPr="00DB1D7C">
        <w:rPr>
          <w:rFonts w:ascii="Calibri" w:hAnsi="Calibri"/>
          <w:sz w:val="24"/>
          <w:szCs w:val="24"/>
        </w:rPr>
        <w:t xml:space="preserve"> acid and </w:t>
      </w:r>
      <w:proofErr w:type="spellStart"/>
      <w:r w:rsidR="00AA28C4" w:rsidRPr="00DB1D7C">
        <w:rPr>
          <w:rFonts w:ascii="Calibri" w:hAnsi="Calibri"/>
          <w:sz w:val="24"/>
          <w:szCs w:val="24"/>
        </w:rPr>
        <w:t>zoledronic</w:t>
      </w:r>
      <w:proofErr w:type="spellEnd"/>
      <w:r w:rsidR="00AA28C4" w:rsidRPr="00DB1D7C">
        <w:rPr>
          <w:rFonts w:ascii="Calibri" w:hAnsi="Calibri"/>
          <w:sz w:val="24"/>
          <w:szCs w:val="24"/>
        </w:rPr>
        <w:t xml:space="preserve"> acid support the notion that the fixed intervention threshold comfortably represent cost-effective scenarios.  </w:t>
      </w:r>
    </w:p>
    <w:p w14:paraId="04E62793" w14:textId="7C7FE80B" w:rsidR="0080518B" w:rsidRPr="00DB1D7C" w:rsidRDefault="0080518B" w:rsidP="00AE3A66">
      <w:pPr>
        <w:rPr>
          <w:rFonts w:ascii="Calibri" w:hAnsi="Calibri"/>
          <w:sz w:val="24"/>
          <w:szCs w:val="24"/>
        </w:rPr>
      </w:pPr>
      <w:r w:rsidRPr="00DB1D7C">
        <w:rPr>
          <w:rFonts w:ascii="Calibri" w:hAnsi="Calibri"/>
          <w:sz w:val="24"/>
          <w:szCs w:val="24"/>
        </w:rPr>
        <w:t>Greece</w:t>
      </w:r>
    </w:p>
    <w:p w14:paraId="097722FC" w14:textId="1AB4989E" w:rsidR="00C33DBF" w:rsidRPr="00DB1D7C" w:rsidRDefault="00AE3A66" w:rsidP="00C33DBF">
      <w:pPr>
        <w:rPr>
          <w:rFonts w:ascii="Calibri" w:hAnsi="Calibri"/>
          <w:sz w:val="24"/>
          <w:szCs w:val="24"/>
        </w:rPr>
      </w:pPr>
      <w:r w:rsidRPr="00DB1D7C">
        <w:rPr>
          <w:rFonts w:ascii="Calibri" w:hAnsi="Calibri"/>
          <w:sz w:val="24"/>
          <w:szCs w:val="24"/>
        </w:rPr>
        <w:t xml:space="preserve">In a health </w:t>
      </w:r>
      <w:r w:rsidRPr="0083739E">
        <w:rPr>
          <w:rFonts w:ascii="Calibri" w:hAnsi="Calibri"/>
          <w:sz w:val="24"/>
          <w:szCs w:val="24"/>
        </w:rPr>
        <w:t xml:space="preserve">economic assessment </w:t>
      </w:r>
      <w:r w:rsidR="0080518B" w:rsidRPr="0083739E">
        <w:rPr>
          <w:rFonts w:ascii="Calibri" w:hAnsi="Calibri"/>
          <w:sz w:val="24"/>
          <w:szCs w:val="24"/>
        </w:rPr>
        <w:t>from</w:t>
      </w:r>
      <w:r w:rsidRPr="0083739E">
        <w:rPr>
          <w:rFonts w:ascii="Calibri" w:hAnsi="Calibri"/>
          <w:sz w:val="24"/>
          <w:szCs w:val="24"/>
        </w:rPr>
        <w:t xml:space="preserve"> Greece </w:t>
      </w:r>
      <w:r w:rsidR="003B6595" w:rsidRPr="0083739E">
        <w:rPr>
          <w:rFonts w:ascii="Calibri" w:hAnsi="Calibri"/>
          <w:sz w:val="24"/>
          <w:szCs w:val="24"/>
        </w:rPr>
        <w:t>[80]</w:t>
      </w:r>
      <w:r w:rsidR="00141E3F" w:rsidRPr="0083739E">
        <w:rPr>
          <w:rFonts w:ascii="Calibri" w:hAnsi="Calibri"/>
          <w:sz w:val="24"/>
          <w:szCs w:val="24"/>
        </w:rPr>
        <w:t xml:space="preserve"> proposed a biphasic intervention threshold based on </w:t>
      </w:r>
      <w:r w:rsidR="0080518B" w:rsidRPr="0083739E">
        <w:rPr>
          <w:rFonts w:ascii="Calibri" w:hAnsi="Calibri"/>
          <w:sz w:val="24"/>
          <w:szCs w:val="24"/>
        </w:rPr>
        <w:t>c</w:t>
      </w:r>
      <w:r w:rsidRPr="0083739E">
        <w:rPr>
          <w:rFonts w:ascii="Calibri" w:hAnsi="Calibri"/>
          <w:sz w:val="24"/>
          <w:szCs w:val="24"/>
        </w:rPr>
        <w:t>ost-</w:t>
      </w:r>
      <w:r w:rsidR="00141E3F" w:rsidRPr="0083739E">
        <w:rPr>
          <w:rFonts w:ascii="Calibri" w:hAnsi="Calibri"/>
          <w:sz w:val="24"/>
          <w:szCs w:val="24"/>
        </w:rPr>
        <w:t>utility</w:t>
      </w:r>
      <w:r w:rsidR="006025C5" w:rsidRPr="0083739E">
        <w:rPr>
          <w:rFonts w:ascii="Calibri" w:hAnsi="Calibri"/>
          <w:sz w:val="24"/>
          <w:szCs w:val="24"/>
        </w:rPr>
        <w:t xml:space="preserve"> derived from</w:t>
      </w:r>
      <w:r w:rsidR="0080518B" w:rsidRPr="0083739E">
        <w:rPr>
          <w:rFonts w:ascii="Calibri" w:hAnsi="Calibri"/>
          <w:sz w:val="24"/>
          <w:szCs w:val="24"/>
        </w:rPr>
        <w:t xml:space="preserve"> on a previously developed state transition Markov cohort model developed for the International Osteoporosis Foundation </w:t>
      </w:r>
      <w:r w:rsidR="003B6595" w:rsidRPr="0083739E">
        <w:rPr>
          <w:rFonts w:ascii="Calibri" w:hAnsi="Calibri"/>
          <w:sz w:val="24"/>
          <w:szCs w:val="24"/>
        </w:rPr>
        <w:t>[176]</w:t>
      </w:r>
      <w:r w:rsidR="009B13A9" w:rsidRPr="0083739E">
        <w:rPr>
          <w:rFonts w:ascii="Calibri" w:hAnsi="Calibri"/>
          <w:sz w:val="24"/>
          <w:szCs w:val="24"/>
        </w:rPr>
        <w:t xml:space="preserve">.  The model was used to determine fracture probabilities at which intervention became </w:t>
      </w:r>
      <w:r w:rsidR="0080518B" w:rsidRPr="0083739E">
        <w:rPr>
          <w:rFonts w:ascii="Calibri" w:hAnsi="Calibri"/>
          <w:sz w:val="24"/>
          <w:szCs w:val="24"/>
        </w:rPr>
        <w:t>cost-effective</w:t>
      </w:r>
      <w:r w:rsidR="009B13A9" w:rsidRPr="0083739E">
        <w:rPr>
          <w:rFonts w:ascii="Calibri" w:hAnsi="Calibri"/>
          <w:sz w:val="24"/>
          <w:szCs w:val="24"/>
        </w:rPr>
        <w:t>.  The model was used in</w:t>
      </w:r>
      <w:r w:rsidR="0080518B" w:rsidRPr="0083739E">
        <w:rPr>
          <w:rFonts w:ascii="Calibri" w:hAnsi="Calibri"/>
          <w:sz w:val="24"/>
          <w:szCs w:val="24"/>
        </w:rPr>
        <w:t xml:space="preserve"> </w:t>
      </w:r>
      <w:r w:rsidR="009B13A9" w:rsidRPr="0083739E">
        <w:rPr>
          <w:rFonts w:ascii="Calibri" w:hAnsi="Calibri"/>
          <w:sz w:val="24"/>
          <w:szCs w:val="24"/>
        </w:rPr>
        <w:t xml:space="preserve">the Greek healthcare setting and economic thresholds determined </w:t>
      </w:r>
      <w:r w:rsidR="0080518B" w:rsidRPr="0083739E">
        <w:rPr>
          <w:rFonts w:ascii="Calibri" w:hAnsi="Calibri"/>
          <w:sz w:val="24"/>
          <w:szCs w:val="24"/>
        </w:rPr>
        <w:t>employing the</w:t>
      </w:r>
      <w:r w:rsidR="009B13A9" w:rsidRPr="0083739E">
        <w:rPr>
          <w:rFonts w:ascii="Calibri" w:hAnsi="Calibri"/>
          <w:sz w:val="24"/>
          <w:szCs w:val="24"/>
        </w:rPr>
        <w:t xml:space="preserve"> </w:t>
      </w:r>
      <w:r w:rsidR="0080518B" w:rsidRPr="0083739E">
        <w:rPr>
          <w:rFonts w:ascii="Calibri" w:hAnsi="Calibri"/>
          <w:sz w:val="24"/>
          <w:szCs w:val="24"/>
        </w:rPr>
        <w:t>FRAX tool, recently calibrated for</w:t>
      </w:r>
      <w:r w:rsidR="009B13A9" w:rsidRPr="0083739E">
        <w:rPr>
          <w:rFonts w:ascii="Calibri" w:hAnsi="Calibri"/>
          <w:sz w:val="24"/>
          <w:szCs w:val="24"/>
        </w:rPr>
        <w:t xml:space="preserve"> Greece</w:t>
      </w:r>
      <w:r w:rsidR="0080518B" w:rsidRPr="0083739E">
        <w:rPr>
          <w:rFonts w:ascii="Calibri" w:hAnsi="Calibri"/>
          <w:sz w:val="24"/>
          <w:szCs w:val="24"/>
        </w:rPr>
        <w:t xml:space="preserve">. </w:t>
      </w:r>
      <w:r w:rsidR="009B13A9" w:rsidRPr="0083739E">
        <w:rPr>
          <w:rFonts w:ascii="Calibri" w:hAnsi="Calibri"/>
          <w:sz w:val="24"/>
          <w:szCs w:val="24"/>
        </w:rPr>
        <w:t xml:space="preserve"> </w:t>
      </w:r>
      <w:r w:rsidR="00C33DBF" w:rsidRPr="0083739E">
        <w:rPr>
          <w:rFonts w:ascii="Calibri" w:hAnsi="Calibri"/>
          <w:sz w:val="24"/>
          <w:szCs w:val="24"/>
        </w:rPr>
        <w:t xml:space="preserve">A bisphosphonate-like intervention for 5 years </w:t>
      </w:r>
      <w:r w:rsidR="009B13A9" w:rsidRPr="0083739E">
        <w:rPr>
          <w:rFonts w:ascii="Calibri" w:hAnsi="Calibri"/>
          <w:sz w:val="24"/>
          <w:szCs w:val="24"/>
        </w:rPr>
        <w:t>was</w:t>
      </w:r>
      <w:r w:rsidR="00C33DBF" w:rsidRPr="0083739E">
        <w:rPr>
          <w:rFonts w:ascii="Calibri" w:hAnsi="Calibri"/>
          <w:sz w:val="24"/>
          <w:szCs w:val="24"/>
        </w:rPr>
        <w:t xml:space="preserve"> </w:t>
      </w:r>
      <w:r w:rsidR="009B13A9" w:rsidRPr="0083739E">
        <w:rPr>
          <w:rFonts w:ascii="Calibri" w:hAnsi="Calibri"/>
          <w:sz w:val="24"/>
          <w:szCs w:val="24"/>
        </w:rPr>
        <w:t>modelled</w:t>
      </w:r>
      <w:r w:rsidR="00C33DBF" w:rsidRPr="0083739E">
        <w:rPr>
          <w:rFonts w:ascii="Calibri" w:hAnsi="Calibri"/>
          <w:sz w:val="24"/>
          <w:szCs w:val="24"/>
        </w:rPr>
        <w:t xml:space="preserve"> using the weighted average </w:t>
      </w:r>
      <w:r w:rsidR="009B13A9" w:rsidRPr="0083739E">
        <w:rPr>
          <w:rFonts w:ascii="Calibri" w:hAnsi="Calibri"/>
          <w:sz w:val="24"/>
          <w:szCs w:val="24"/>
        </w:rPr>
        <w:t xml:space="preserve">cost </w:t>
      </w:r>
      <w:r w:rsidR="00C33DBF" w:rsidRPr="0083739E">
        <w:rPr>
          <w:rFonts w:ascii="Calibri" w:hAnsi="Calibri"/>
          <w:sz w:val="24"/>
          <w:szCs w:val="24"/>
        </w:rPr>
        <w:t>o</w:t>
      </w:r>
      <w:r w:rsidR="009B13A9" w:rsidRPr="0083739E">
        <w:rPr>
          <w:rFonts w:ascii="Calibri" w:hAnsi="Calibri"/>
          <w:sz w:val="24"/>
          <w:szCs w:val="24"/>
        </w:rPr>
        <w:t>f</w:t>
      </w:r>
      <w:r w:rsidR="00C33DBF" w:rsidRPr="0083739E">
        <w:rPr>
          <w:rFonts w:ascii="Calibri" w:hAnsi="Calibri"/>
          <w:sz w:val="24"/>
          <w:szCs w:val="24"/>
        </w:rPr>
        <w:t xml:space="preserve"> treatments offered in Greece</w:t>
      </w:r>
      <w:r w:rsidR="009B13A9" w:rsidRPr="0083739E">
        <w:rPr>
          <w:rFonts w:ascii="Calibri" w:hAnsi="Calibri"/>
          <w:sz w:val="24"/>
          <w:szCs w:val="24"/>
        </w:rPr>
        <w:t>.</w:t>
      </w:r>
      <w:r w:rsidR="008F0858" w:rsidRPr="0083739E">
        <w:rPr>
          <w:rFonts w:ascii="Calibri" w:hAnsi="Calibri"/>
          <w:sz w:val="24"/>
          <w:szCs w:val="24"/>
        </w:rPr>
        <w:t xml:space="preserve">  From the results (Table</w:t>
      </w:r>
      <w:r w:rsidR="000305D7" w:rsidRPr="0083739E">
        <w:rPr>
          <w:rFonts w:ascii="Calibri" w:hAnsi="Calibri"/>
          <w:sz w:val="24"/>
          <w:szCs w:val="24"/>
        </w:rPr>
        <w:t xml:space="preserve"> 9</w:t>
      </w:r>
      <w:r w:rsidR="008F0858" w:rsidRPr="0083739E">
        <w:rPr>
          <w:rFonts w:ascii="Calibri" w:hAnsi="Calibri"/>
          <w:sz w:val="24"/>
          <w:szCs w:val="24"/>
        </w:rPr>
        <w:t xml:space="preserve">) a “biphasic” economic probability threshold was proposed using 10-year probabilities for hip and major osteoporotic fractures of 2.5 and 10 %, </w:t>
      </w:r>
      <w:r w:rsidR="006025C5" w:rsidRPr="0083739E">
        <w:rPr>
          <w:rFonts w:ascii="Calibri" w:hAnsi="Calibri"/>
          <w:sz w:val="24"/>
          <w:szCs w:val="24"/>
        </w:rPr>
        <w:t xml:space="preserve">respectively, </w:t>
      </w:r>
      <w:r w:rsidR="008F0858" w:rsidRPr="0083739E">
        <w:rPr>
          <w:rFonts w:ascii="Calibri" w:hAnsi="Calibri"/>
          <w:sz w:val="24"/>
          <w:szCs w:val="24"/>
        </w:rPr>
        <w:t xml:space="preserve">under the age of 75 years, and 5 and 15 %, respectively from the age of 75 years.  The authors indicate that the proposed thresholds are consistent with the present guidelines for Greece which recommend treatment based on BMD defined osteoporosis or a prior fragility fracture </w:t>
      </w:r>
      <w:r w:rsidR="003B6595" w:rsidRPr="0083739E">
        <w:rPr>
          <w:rFonts w:ascii="Calibri" w:hAnsi="Calibri"/>
          <w:sz w:val="24"/>
          <w:szCs w:val="24"/>
        </w:rPr>
        <w:t>[79]</w:t>
      </w:r>
      <w:r w:rsidR="008F0858" w:rsidRPr="0083739E">
        <w:rPr>
          <w:rFonts w:ascii="Calibri" w:hAnsi="Calibri"/>
          <w:sz w:val="24"/>
          <w:szCs w:val="24"/>
        </w:rPr>
        <w:t>.</w:t>
      </w:r>
    </w:p>
    <w:p w14:paraId="3C613307" w14:textId="77777777" w:rsidR="009B13A9" w:rsidRPr="00DB1D7C" w:rsidRDefault="009B13A9" w:rsidP="00C33DBF">
      <w:pPr>
        <w:rPr>
          <w:rFonts w:ascii="Calibri" w:hAnsi="Calibri"/>
          <w:sz w:val="24"/>
          <w:szCs w:val="24"/>
        </w:rPr>
      </w:pPr>
    </w:p>
    <w:p w14:paraId="39B876B2" w14:textId="1D4FB49A" w:rsidR="00C25D41" w:rsidRPr="00DB1D7C" w:rsidRDefault="00C25D41" w:rsidP="00C25D41">
      <w:r w:rsidRPr="002A1E50">
        <w:rPr>
          <w:b/>
        </w:rPr>
        <w:t xml:space="preserve">Table </w:t>
      </w:r>
      <w:r w:rsidR="000305D7" w:rsidRPr="002A1E50">
        <w:rPr>
          <w:b/>
        </w:rPr>
        <w:t>9</w:t>
      </w:r>
      <w:r w:rsidRPr="002A1E50">
        <w:rPr>
          <w:b/>
        </w:rPr>
        <w:t>.</w:t>
      </w:r>
      <w:r w:rsidRPr="002A1E50">
        <w:t xml:space="preserve"> Probability</w:t>
      </w:r>
      <w:r w:rsidRPr="00DB1D7C">
        <w:t xml:space="preserve"> thresholds at which treatment in men and women from Greece became cost effective determined for the 10-year probability of hip fracture or a major osteoporotic fracture (MOF).  Data extracted </w:t>
      </w:r>
      <w:r w:rsidRPr="0083739E">
        <w:t>from</w:t>
      </w:r>
      <w:r w:rsidR="003B6595" w:rsidRPr="0083739E">
        <w:t xml:space="preserve"> [80]</w:t>
      </w:r>
      <w:r w:rsidRPr="0083739E">
        <w: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283"/>
        <w:gridCol w:w="1559"/>
        <w:gridCol w:w="1559"/>
      </w:tblGrid>
      <w:tr w:rsidR="00C25D41" w:rsidRPr="00DB1D7C" w14:paraId="5B35DC87" w14:textId="77777777" w:rsidTr="008F0858">
        <w:tc>
          <w:tcPr>
            <w:tcW w:w="1558" w:type="dxa"/>
            <w:tcBorders>
              <w:top w:val="single" w:sz="4" w:space="0" w:color="auto"/>
            </w:tcBorders>
          </w:tcPr>
          <w:p w14:paraId="74AE4EB2" w14:textId="77777777" w:rsidR="00C25D41" w:rsidRPr="00DB1D7C" w:rsidRDefault="00C25D41" w:rsidP="00C25D41">
            <w:pPr>
              <w:spacing w:line="276" w:lineRule="auto"/>
            </w:pPr>
          </w:p>
        </w:tc>
        <w:tc>
          <w:tcPr>
            <w:tcW w:w="3116" w:type="dxa"/>
            <w:gridSpan w:val="2"/>
            <w:tcBorders>
              <w:top w:val="single" w:sz="4" w:space="0" w:color="auto"/>
              <w:bottom w:val="single" w:sz="4" w:space="0" w:color="auto"/>
            </w:tcBorders>
          </w:tcPr>
          <w:p w14:paraId="5E0E002B" w14:textId="77777777" w:rsidR="00C25D41" w:rsidRPr="00DB1D7C" w:rsidRDefault="00C25D41" w:rsidP="00C25D41">
            <w:pPr>
              <w:spacing w:line="276" w:lineRule="auto"/>
              <w:jc w:val="center"/>
            </w:pPr>
            <w:r w:rsidRPr="00DB1D7C">
              <w:t>Women</w:t>
            </w:r>
          </w:p>
        </w:tc>
        <w:tc>
          <w:tcPr>
            <w:tcW w:w="283" w:type="dxa"/>
            <w:tcBorders>
              <w:top w:val="single" w:sz="4" w:space="0" w:color="auto"/>
            </w:tcBorders>
          </w:tcPr>
          <w:p w14:paraId="5A29550D" w14:textId="77777777" w:rsidR="00C25D41" w:rsidRPr="00DB1D7C" w:rsidRDefault="00C25D41" w:rsidP="00C25D41">
            <w:pPr>
              <w:spacing w:line="276" w:lineRule="auto"/>
              <w:jc w:val="center"/>
            </w:pPr>
          </w:p>
        </w:tc>
        <w:tc>
          <w:tcPr>
            <w:tcW w:w="3118" w:type="dxa"/>
            <w:gridSpan w:val="2"/>
            <w:tcBorders>
              <w:top w:val="single" w:sz="4" w:space="0" w:color="auto"/>
              <w:bottom w:val="single" w:sz="4" w:space="0" w:color="auto"/>
            </w:tcBorders>
          </w:tcPr>
          <w:p w14:paraId="7EB0AEFB" w14:textId="77777777" w:rsidR="00C25D41" w:rsidRPr="00DB1D7C" w:rsidRDefault="00C25D41" w:rsidP="00C25D41">
            <w:pPr>
              <w:spacing w:line="276" w:lineRule="auto"/>
              <w:jc w:val="center"/>
            </w:pPr>
            <w:r w:rsidRPr="00DB1D7C">
              <w:t>Men</w:t>
            </w:r>
          </w:p>
        </w:tc>
      </w:tr>
      <w:tr w:rsidR="00C25D41" w:rsidRPr="00DB1D7C" w14:paraId="3EA33A4D" w14:textId="77777777" w:rsidTr="008F0858">
        <w:tc>
          <w:tcPr>
            <w:tcW w:w="1558" w:type="dxa"/>
            <w:tcBorders>
              <w:bottom w:val="single" w:sz="4" w:space="0" w:color="auto"/>
            </w:tcBorders>
          </w:tcPr>
          <w:p w14:paraId="3C59FEEF" w14:textId="77777777" w:rsidR="00C25D41" w:rsidRPr="00DB1D7C" w:rsidRDefault="00C25D41" w:rsidP="00C25D41">
            <w:pPr>
              <w:spacing w:line="276" w:lineRule="auto"/>
            </w:pPr>
            <w:r w:rsidRPr="00DB1D7C">
              <w:t>Age (years)</w:t>
            </w:r>
          </w:p>
        </w:tc>
        <w:tc>
          <w:tcPr>
            <w:tcW w:w="1558" w:type="dxa"/>
            <w:tcBorders>
              <w:top w:val="single" w:sz="4" w:space="0" w:color="auto"/>
              <w:bottom w:val="single" w:sz="4" w:space="0" w:color="auto"/>
            </w:tcBorders>
          </w:tcPr>
          <w:p w14:paraId="6395F322" w14:textId="77777777" w:rsidR="00C25D41" w:rsidRPr="00DB1D7C" w:rsidRDefault="00C25D41" w:rsidP="00C25D41">
            <w:pPr>
              <w:spacing w:line="276" w:lineRule="auto"/>
              <w:jc w:val="center"/>
            </w:pPr>
            <w:r w:rsidRPr="00DB1D7C">
              <w:t>Threshold</w:t>
            </w:r>
          </w:p>
        </w:tc>
        <w:tc>
          <w:tcPr>
            <w:tcW w:w="1558" w:type="dxa"/>
            <w:tcBorders>
              <w:top w:val="single" w:sz="4" w:space="0" w:color="auto"/>
              <w:bottom w:val="single" w:sz="4" w:space="0" w:color="auto"/>
            </w:tcBorders>
          </w:tcPr>
          <w:p w14:paraId="0A9D572A" w14:textId="77777777" w:rsidR="00C25D41" w:rsidRPr="00DB1D7C" w:rsidRDefault="00C25D41" w:rsidP="00C25D41">
            <w:pPr>
              <w:spacing w:line="276" w:lineRule="auto"/>
              <w:jc w:val="center"/>
            </w:pPr>
            <w:r w:rsidRPr="00DB1D7C">
              <w:t>Range</w:t>
            </w:r>
          </w:p>
        </w:tc>
        <w:tc>
          <w:tcPr>
            <w:tcW w:w="283" w:type="dxa"/>
            <w:tcBorders>
              <w:bottom w:val="single" w:sz="4" w:space="0" w:color="auto"/>
            </w:tcBorders>
          </w:tcPr>
          <w:p w14:paraId="5125AABE" w14:textId="77777777" w:rsidR="00C25D41" w:rsidRPr="00DB1D7C" w:rsidRDefault="00C25D41" w:rsidP="00C25D41">
            <w:pPr>
              <w:spacing w:line="276" w:lineRule="auto"/>
              <w:jc w:val="center"/>
            </w:pPr>
          </w:p>
        </w:tc>
        <w:tc>
          <w:tcPr>
            <w:tcW w:w="1559" w:type="dxa"/>
            <w:tcBorders>
              <w:top w:val="single" w:sz="4" w:space="0" w:color="auto"/>
              <w:bottom w:val="single" w:sz="4" w:space="0" w:color="auto"/>
            </w:tcBorders>
          </w:tcPr>
          <w:p w14:paraId="2D14159D" w14:textId="77777777" w:rsidR="00C25D41" w:rsidRPr="00DB1D7C" w:rsidRDefault="00C25D41" w:rsidP="00C25D41">
            <w:pPr>
              <w:spacing w:line="276" w:lineRule="auto"/>
              <w:jc w:val="center"/>
            </w:pPr>
            <w:r w:rsidRPr="00DB1D7C">
              <w:t>Threshold</w:t>
            </w:r>
          </w:p>
        </w:tc>
        <w:tc>
          <w:tcPr>
            <w:tcW w:w="1559" w:type="dxa"/>
            <w:tcBorders>
              <w:top w:val="single" w:sz="4" w:space="0" w:color="auto"/>
              <w:bottom w:val="single" w:sz="4" w:space="0" w:color="auto"/>
            </w:tcBorders>
          </w:tcPr>
          <w:p w14:paraId="768DF2A9" w14:textId="77777777" w:rsidR="00C25D41" w:rsidRPr="00DB1D7C" w:rsidRDefault="00C25D41" w:rsidP="00C25D41">
            <w:pPr>
              <w:spacing w:line="276" w:lineRule="auto"/>
              <w:jc w:val="center"/>
            </w:pPr>
            <w:r w:rsidRPr="00DB1D7C">
              <w:t>Range</w:t>
            </w:r>
          </w:p>
        </w:tc>
      </w:tr>
      <w:tr w:rsidR="00C25D41" w:rsidRPr="00DB1D7C" w14:paraId="3F39797F" w14:textId="77777777" w:rsidTr="008F0858">
        <w:tc>
          <w:tcPr>
            <w:tcW w:w="1558" w:type="dxa"/>
            <w:tcBorders>
              <w:top w:val="single" w:sz="4" w:space="0" w:color="auto"/>
            </w:tcBorders>
          </w:tcPr>
          <w:p w14:paraId="17006E06" w14:textId="77777777" w:rsidR="00C25D41" w:rsidRPr="00DB1D7C" w:rsidRDefault="00C25D41" w:rsidP="00C25D41">
            <w:pPr>
              <w:spacing w:line="276" w:lineRule="auto"/>
              <w:rPr>
                <w:i/>
              </w:rPr>
            </w:pPr>
            <w:r w:rsidRPr="00DB1D7C">
              <w:rPr>
                <w:i/>
              </w:rPr>
              <w:t>MOF</w:t>
            </w:r>
          </w:p>
        </w:tc>
        <w:tc>
          <w:tcPr>
            <w:tcW w:w="1558" w:type="dxa"/>
            <w:tcBorders>
              <w:top w:val="single" w:sz="4" w:space="0" w:color="auto"/>
            </w:tcBorders>
          </w:tcPr>
          <w:p w14:paraId="06898BB0" w14:textId="77777777" w:rsidR="00C25D41" w:rsidRPr="00DB1D7C" w:rsidRDefault="00C25D41" w:rsidP="00C25D41">
            <w:pPr>
              <w:spacing w:line="276" w:lineRule="auto"/>
              <w:jc w:val="center"/>
            </w:pPr>
          </w:p>
        </w:tc>
        <w:tc>
          <w:tcPr>
            <w:tcW w:w="1558" w:type="dxa"/>
            <w:tcBorders>
              <w:top w:val="single" w:sz="4" w:space="0" w:color="auto"/>
            </w:tcBorders>
          </w:tcPr>
          <w:p w14:paraId="65C0988E" w14:textId="77777777" w:rsidR="00C25D41" w:rsidRPr="00DB1D7C" w:rsidRDefault="00C25D41" w:rsidP="00C25D41">
            <w:pPr>
              <w:spacing w:line="276" w:lineRule="auto"/>
              <w:jc w:val="center"/>
            </w:pPr>
          </w:p>
        </w:tc>
        <w:tc>
          <w:tcPr>
            <w:tcW w:w="283" w:type="dxa"/>
            <w:tcBorders>
              <w:top w:val="single" w:sz="4" w:space="0" w:color="auto"/>
            </w:tcBorders>
          </w:tcPr>
          <w:p w14:paraId="28A97394" w14:textId="77777777" w:rsidR="00C25D41" w:rsidRPr="00DB1D7C" w:rsidRDefault="00C25D41" w:rsidP="00C25D41">
            <w:pPr>
              <w:spacing w:line="276" w:lineRule="auto"/>
              <w:jc w:val="center"/>
            </w:pPr>
          </w:p>
        </w:tc>
        <w:tc>
          <w:tcPr>
            <w:tcW w:w="1559" w:type="dxa"/>
            <w:tcBorders>
              <w:top w:val="single" w:sz="4" w:space="0" w:color="auto"/>
            </w:tcBorders>
          </w:tcPr>
          <w:p w14:paraId="07C3AF23" w14:textId="77777777" w:rsidR="00C25D41" w:rsidRPr="00DB1D7C" w:rsidRDefault="00C25D41" w:rsidP="00C25D41">
            <w:pPr>
              <w:spacing w:line="276" w:lineRule="auto"/>
              <w:jc w:val="center"/>
            </w:pPr>
          </w:p>
        </w:tc>
        <w:tc>
          <w:tcPr>
            <w:tcW w:w="1559" w:type="dxa"/>
            <w:tcBorders>
              <w:top w:val="single" w:sz="4" w:space="0" w:color="auto"/>
            </w:tcBorders>
          </w:tcPr>
          <w:p w14:paraId="7922984B" w14:textId="77777777" w:rsidR="00C25D41" w:rsidRPr="00DB1D7C" w:rsidRDefault="00C25D41" w:rsidP="00C25D41">
            <w:pPr>
              <w:spacing w:line="276" w:lineRule="auto"/>
              <w:jc w:val="center"/>
            </w:pPr>
          </w:p>
        </w:tc>
      </w:tr>
      <w:tr w:rsidR="00C25D41" w:rsidRPr="00DB1D7C" w14:paraId="39CB66CA" w14:textId="77777777" w:rsidTr="008F0858">
        <w:tc>
          <w:tcPr>
            <w:tcW w:w="1558" w:type="dxa"/>
          </w:tcPr>
          <w:p w14:paraId="1AF6C78B" w14:textId="77777777" w:rsidR="00C25D41" w:rsidRPr="00DB1D7C" w:rsidRDefault="00C25D41" w:rsidP="00C25D41">
            <w:pPr>
              <w:spacing w:line="276" w:lineRule="auto"/>
            </w:pPr>
            <w:r w:rsidRPr="00DB1D7C">
              <w:t>50-54</w:t>
            </w:r>
          </w:p>
        </w:tc>
        <w:tc>
          <w:tcPr>
            <w:tcW w:w="1558" w:type="dxa"/>
          </w:tcPr>
          <w:p w14:paraId="0851E123" w14:textId="77777777" w:rsidR="00C25D41" w:rsidRPr="00DB1D7C" w:rsidRDefault="00C25D41" w:rsidP="00C25D41">
            <w:pPr>
              <w:spacing w:line="276" w:lineRule="auto"/>
              <w:jc w:val="center"/>
            </w:pPr>
            <w:r w:rsidRPr="00DB1D7C">
              <w:t>13</w:t>
            </w:r>
          </w:p>
        </w:tc>
        <w:tc>
          <w:tcPr>
            <w:tcW w:w="1558" w:type="dxa"/>
          </w:tcPr>
          <w:p w14:paraId="4836B3B0" w14:textId="77777777" w:rsidR="00C25D41" w:rsidRPr="00DB1D7C" w:rsidRDefault="00C25D41" w:rsidP="00C25D41">
            <w:pPr>
              <w:spacing w:line="276" w:lineRule="auto"/>
              <w:jc w:val="center"/>
            </w:pPr>
            <w:r w:rsidRPr="00DB1D7C">
              <w:t>8.9-20</w:t>
            </w:r>
          </w:p>
        </w:tc>
        <w:tc>
          <w:tcPr>
            <w:tcW w:w="283" w:type="dxa"/>
          </w:tcPr>
          <w:p w14:paraId="759834B6" w14:textId="77777777" w:rsidR="00C25D41" w:rsidRPr="00DB1D7C" w:rsidRDefault="00C25D41" w:rsidP="00C25D41">
            <w:pPr>
              <w:spacing w:line="276" w:lineRule="auto"/>
              <w:jc w:val="center"/>
            </w:pPr>
          </w:p>
        </w:tc>
        <w:tc>
          <w:tcPr>
            <w:tcW w:w="1559" w:type="dxa"/>
          </w:tcPr>
          <w:p w14:paraId="6B2B18C9" w14:textId="77777777" w:rsidR="00C25D41" w:rsidRPr="00DB1D7C" w:rsidRDefault="00C25D41" w:rsidP="00C25D41">
            <w:pPr>
              <w:spacing w:line="276" w:lineRule="auto"/>
              <w:jc w:val="center"/>
            </w:pPr>
            <w:r w:rsidRPr="00DB1D7C">
              <w:t>20</w:t>
            </w:r>
          </w:p>
        </w:tc>
        <w:tc>
          <w:tcPr>
            <w:tcW w:w="1559" w:type="dxa"/>
          </w:tcPr>
          <w:p w14:paraId="6F62BBCC" w14:textId="77777777" w:rsidR="00C25D41" w:rsidRPr="00DB1D7C" w:rsidRDefault="00C25D41" w:rsidP="00C25D41">
            <w:pPr>
              <w:spacing w:line="276" w:lineRule="auto"/>
              <w:jc w:val="center"/>
            </w:pPr>
            <w:r w:rsidRPr="00DB1D7C">
              <w:t>11-34</w:t>
            </w:r>
          </w:p>
        </w:tc>
      </w:tr>
      <w:tr w:rsidR="00C25D41" w:rsidRPr="00DB1D7C" w14:paraId="4A6216DA" w14:textId="77777777" w:rsidTr="008F0858">
        <w:tc>
          <w:tcPr>
            <w:tcW w:w="1558" w:type="dxa"/>
          </w:tcPr>
          <w:p w14:paraId="4B331997" w14:textId="77777777" w:rsidR="00C25D41" w:rsidRPr="00DB1D7C" w:rsidRDefault="00C25D41" w:rsidP="00C25D41">
            <w:pPr>
              <w:spacing w:line="276" w:lineRule="auto"/>
            </w:pPr>
            <w:r w:rsidRPr="00DB1D7C">
              <w:t>55-64</w:t>
            </w:r>
          </w:p>
        </w:tc>
        <w:tc>
          <w:tcPr>
            <w:tcW w:w="1558" w:type="dxa"/>
          </w:tcPr>
          <w:p w14:paraId="02699744" w14:textId="77777777" w:rsidR="00C25D41" w:rsidRPr="00DB1D7C" w:rsidRDefault="00C25D41" w:rsidP="00C25D41">
            <w:pPr>
              <w:spacing w:line="276" w:lineRule="auto"/>
              <w:jc w:val="center"/>
            </w:pPr>
            <w:r w:rsidRPr="00DB1D7C">
              <w:t>8.5</w:t>
            </w:r>
          </w:p>
        </w:tc>
        <w:tc>
          <w:tcPr>
            <w:tcW w:w="1558" w:type="dxa"/>
          </w:tcPr>
          <w:p w14:paraId="27DCC447" w14:textId="77777777" w:rsidR="00C25D41" w:rsidRPr="00DB1D7C" w:rsidRDefault="00C25D41" w:rsidP="00C25D41">
            <w:pPr>
              <w:spacing w:line="276" w:lineRule="auto"/>
              <w:jc w:val="center"/>
            </w:pPr>
            <w:r w:rsidRPr="00DB1D7C">
              <w:t>7.8-9.1</w:t>
            </w:r>
          </w:p>
        </w:tc>
        <w:tc>
          <w:tcPr>
            <w:tcW w:w="283" w:type="dxa"/>
          </w:tcPr>
          <w:p w14:paraId="5B629097" w14:textId="77777777" w:rsidR="00C25D41" w:rsidRPr="00DB1D7C" w:rsidRDefault="00C25D41" w:rsidP="00C25D41">
            <w:pPr>
              <w:spacing w:line="276" w:lineRule="auto"/>
              <w:jc w:val="center"/>
            </w:pPr>
          </w:p>
        </w:tc>
        <w:tc>
          <w:tcPr>
            <w:tcW w:w="1559" w:type="dxa"/>
          </w:tcPr>
          <w:p w14:paraId="6F51D58E" w14:textId="77777777" w:rsidR="00C25D41" w:rsidRPr="00DB1D7C" w:rsidRDefault="00C25D41" w:rsidP="00C25D41">
            <w:pPr>
              <w:spacing w:line="276" w:lineRule="auto"/>
              <w:jc w:val="center"/>
            </w:pPr>
            <w:r w:rsidRPr="00DB1D7C">
              <w:t>9.5</w:t>
            </w:r>
          </w:p>
        </w:tc>
        <w:tc>
          <w:tcPr>
            <w:tcW w:w="1559" w:type="dxa"/>
          </w:tcPr>
          <w:p w14:paraId="317AAD96" w14:textId="77777777" w:rsidR="00C25D41" w:rsidRPr="00DB1D7C" w:rsidRDefault="00C25D41" w:rsidP="00C25D41">
            <w:pPr>
              <w:spacing w:line="276" w:lineRule="auto"/>
              <w:jc w:val="center"/>
            </w:pPr>
            <w:r w:rsidRPr="00DB1D7C">
              <w:t>9.3-9.6</w:t>
            </w:r>
          </w:p>
        </w:tc>
      </w:tr>
      <w:tr w:rsidR="00C25D41" w:rsidRPr="00DB1D7C" w14:paraId="7F62E556" w14:textId="77777777" w:rsidTr="008F0858">
        <w:tc>
          <w:tcPr>
            <w:tcW w:w="1558" w:type="dxa"/>
          </w:tcPr>
          <w:p w14:paraId="30138E5A" w14:textId="77777777" w:rsidR="00C25D41" w:rsidRPr="00DB1D7C" w:rsidRDefault="00C25D41" w:rsidP="00C25D41">
            <w:pPr>
              <w:spacing w:line="276" w:lineRule="auto"/>
            </w:pPr>
            <w:r w:rsidRPr="00DB1D7C">
              <w:t>65-74</w:t>
            </w:r>
          </w:p>
        </w:tc>
        <w:tc>
          <w:tcPr>
            <w:tcW w:w="1558" w:type="dxa"/>
          </w:tcPr>
          <w:p w14:paraId="7948CE69" w14:textId="77777777" w:rsidR="00C25D41" w:rsidRPr="00DB1D7C" w:rsidRDefault="00C25D41" w:rsidP="00C25D41">
            <w:pPr>
              <w:spacing w:line="276" w:lineRule="auto"/>
              <w:jc w:val="center"/>
            </w:pPr>
            <w:r w:rsidRPr="00DB1D7C">
              <w:t>8.9</w:t>
            </w:r>
          </w:p>
        </w:tc>
        <w:tc>
          <w:tcPr>
            <w:tcW w:w="1558" w:type="dxa"/>
          </w:tcPr>
          <w:p w14:paraId="7923896D" w14:textId="77777777" w:rsidR="00C25D41" w:rsidRPr="00DB1D7C" w:rsidRDefault="00C25D41" w:rsidP="00C25D41">
            <w:pPr>
              <w:spacing w:line="276" w:lineRule="auto"/>
              <w:jc w:val="center"/>
            </w:pPr>
            <w:r w:rsidRPr="00DB1D7C">
              <w:t>8.5-9.2</w:t>
            </w:r>
          </w:p>
        </w:tc>
        <w:tc>
          <w:tcPr>
            <w:tcW w:w="283" w:type="dxa"/>
          </w:tcPr>
          <w:p w14:paraId="635C2164" w14:textId="77777777" w:rsidR="00C25D41" w:rsidRPr="00DB1D7C" w:rsidRDefault="00C25D41" w:rsidP="00C25D41">
            <w:pPr>
              <w:spacing w:line="276" w:lineRule="auto"/>
              <w:jc w:val="center"/>
            </w:pPr>
          </w:p>
        </w:tc>
        <w:tc>
          <w:tcPr>
            <w:tcW w:w="1559" w:type="dxa"/>
          </w:tcPr>
          <w:p w14:paraId="6079F0D6" w14:textId="77777777" w:rsidR="00C25D41" w:rsidRPr="00DB1D7C" w:rsidRDefault="00C25D41" w:rsidP="00C25D41">
            <w:pPr>
              <w:spacing w:line="276" w:lineRule="auto"/>
              <w:jc w:val="center"/>
            </w:pPr>
            <w:r w:rsidRPr="00DB1D7C">
              <w:t>9.5</w:t>
            </w:r>
          </w:p>
        </w:tc>
        <w:tc>
          <w:tcPr>
            <w:tcW w:w="1559" w:type="dxa"/>
          </w:tcPr>
          <w:p w14:paraId="41193715" w14:textId="77777777" w:rsidR="00C25D41" w:rsidRPr="00DB1D7C" w:rsidRDefault="00C25D41" w:rsidP="00C25D41">
            <w:pPr>
              <w:spacing w:line="276" w:lineRule="auto"/>
              <w:jc w:val="center"/>
            </w:pPr>
            <w:r w:rsidRPr="00DB1D7C">
              <w:t>8.9-10</w:t>
            </w:r>
          </w:p>
        </w:tc>
      </w:tr>
      <w:tr w:rsidR="00C25D41" w:rsidRPr="00DB1D7C" w14:paraId="1D154503" w14:textId="77777777" w:rsidTr="008F0858">
        <w:tc>
          <w:tcPr>
            <w:tcW w:w="1558" w:type="dxa"/>
          </w:tcPr>
          <w:p w14:paraId="100503BD" w14:textId="77777777" w:rsidR="00C25D41" w:rsidRPr="00DB1D7C" w:rsidRDefault="00C25D41" w:rsidP="00C25D41">
            <w:pPr>
              <w:spacing w:line="276" w:lineRule="auto"/>
            </w:pPr>
            <w:r w:rsidRPr="00DB1D7C">
              <w:rPr>
                <w:u w:val="single"/>
              </w:rPr>
              <w:t>&gt;</w:t>
            </w:r>
            <w:r w:rsidRPr="00DB1D7C">
              <w:t>75</w:t>
            </w:r>
          </w:p>
        </w:tc>
        <w:tc>
          <w:tcPr>
            <w:tcW w:w="1558" w:type="dxa"/>
          </w:tcPr>
          <w:p w14:paraId="2B6D27ED" w14:textId="77777777" w:rsidR="00C25D41" w:rsidRPr="00DB1D7C" w:rsidRDefault="00C25D41" w:rsidP="00C25D41">
            <w:pPr>
              <w:spacing w:line="276" w:lineRule="auto"/>
              <w:jc w:val="center"/>
            </w:pPr>
            <w:r w:rsidRPr="00DB1D7C">
              <w:t>15</w:t>
            </w:r>
          </w:p>
        </w:tc>
        <w:tc>
          <w:tcPr>
            <w:tcW w:w="1558" w:type="dxa"/>
          </w:tcPr>
          <w:p w14:paraId="15A186C4" w14:textId="77777777" w:rsidR="00C25D41" w:rsidRPr="00DB1D7C" w:rsidRDefault="00C25D41" w:rsidP="00C25D41">
            <w:pPr>
              <w:spacing w:line="276" w:lineRule="auto"/>
              <w:jc w:val="center"/>
            </w:pPr>
            <w:r w:rsidRPr="00DB1D7C">
              <w:t>13-16</w:t>
            </w:r>
          </w:p>
        </w:tc>
        <w:tc>
          <w:tcPr>
            <w:tcW w:w="283" w:type="dxa"/>
          </w:tcPr>
          <w:p w14:paraId="70BBD49B" w14:textId="77777777" w:rsidR="00C25D41" w:rsidRPr="00DB1D7C" w:rsidRDefault="00C25D41" w:rsidP="00C25D41">
            <w:pPr>
              <w:spacing w:line="276" w:lineRule="auto"/>
              <w:jc w:val="center"/>
            </w:pPr>
          </w:p>
        </w:tc>
        <w:tc>
          <w:tcPr>
            <w:tcW w:w="1559" w:type="dxa"/>
          </w:tcPr>
          <w:p w14:paraId="70D8427B" w14:textId="77777777" w:rsidR="00C25D41" w:rsidRPr="00DB1D7C" w:rsidRDefault="00C25D41" w:rsidP="00C25D41">
            <w:pPr>
              <w:spacing w:line="276" w:lineRule="auto"/>
              <w:jc w:val="center"/>
            </w:pPr>
            <w:r w:rsidRPr="00DB1D7C">
              <w:t>11</w:t>
            </w:r>
          </w:p>
        </w:tc>
        <w:tc>
          <w:tcPr>
            <w:tcW w:w="1559" w:type="dxa"/>
          </w:tcPr>
          <w:p w14:paraId="337B5269" w14:textId="77777777" w:rsidR="00C25D41" w:rsidRPr="00DB1D7C" w:rsidRDefault="00C25D41" w:rsidP="00C25D41">
            <w:pPr>
              <w:spacing w:line="276" w:lineRule="auto"/>
              <w:jc w:val="center"/>
            </w:pPr>
            <w:r w:rsidRPr="00DB1D7C">
              <w:t>10-11</w:t>
            </w:r>
          </w:p>
        </w:tc>
      </w:tr>
      <w:tr w:rsidR="00C25D41" w:rsidRPr="00DB1D7C" w14:paraId="2144A4C3" w14:textId="77777777" w:rsidTr="008F0858">
        <w:tc>
          <w:tcPr>
            <w:tcW w:w="1558" w:type="dxa"/>
          </w:tcPr>
          <w:p w14:paraId="540546C6" w14:textId="77777777" w:rsidR="00C25D41" w:rsidRPr="00DB1D7C" w:rsidRDefault="00C25D41" w:rsidP="00C25D41">
            <w:pPr>
              <w:spacing w:line="276" w:lineRule="auto"/>
            </w:pPr>
          </w:p>
        </w:tc>
        <w:tc>
          <w:tcPr>
            <w:tcW w:w="1558" w:type="dxa"/>
          </w:tcPr>
          <w:p w14:paraId="69790D18" w14:textId="77777777" w:rsidR="00C25D41" w:rsidRPr="00DB1D7C" w:rsidRDefault="00C25D41" w:rsidP="00C25D41">
            <w:pPr>
              <w:spacing w:line="276" w:lineRule="auto"/>
              <w:jc w:val="center"/>
            </w:pPr>
          </w:p>
        </w:tc>
        <w:tc>
          <w:tcPr>
            <w:tcW w:w="1558" w:type="dxa"/>
          </w:tcPr>
          <w:p w14:paraId="63F83286" w14:textId="77777777" w:rsidR="00C25D41" w:rsidRPr="00DB1D7C" w:rsidRDefault="00C25D41" w:rsidP="00C25D41">
            <w:pPr>
              <w:spacing w:line="276" w:lineRule="auto"/>
              <w:jc w:val="center"/>
            </w:pPr>
          </w:p>
        </w:tc>
        <w:tc>
          <w:tcPr>
            <w:tcW w:w="283" w:type="dxa"/>
          </w:tcPr>
          <w:p w14:paraId="43B73298" w14:textId="77777777" w:rsidR="00C25D41" w:rsidRPr="00DB1D7C" w:rsidRDefault="00C25D41" w:rsidP="00C25D41">
            <w:pPr>
              <w:spacing w:line="276" w:lineRule="auto"/>
              <w:jc w:val="center"/>
            </w:pPr>
          </w:p>
        </w:tc>
        <w:tc>
          <w:tcPr>
            <w:tcW w:w="1559" w:type="dxa"/>
          </w:tcPr>
          <w:p w14:paraId="661CCAFB" w14:textId="77777777" w:rsidR="00C25D41" w:rsidRPr="00DB1D7C" w:rsidRDefault="00C25D41" w:rsidP="00C25D41">
            <w:pPr>
              <w:spacing w:line="276" w:lineRule="auto"/>
              <w:jc w:val="center"/>
            </w:pPr>
          </w:p>
        </w:tc>
        <w:tc>
          <w:tcPr>
            <w:tcW w:w="1559" w:type="dxa"/>
          </w:tcPr>
          <w:p w14:paraId="79A3F03F" w14:textId="77777777" w:rsidR="00C25D41" w:rsidRPr="00DB1D7C" w:rsidRDefault="00C25D41" w:rsidP="00C25D41">
            <w:pPr>
              <w:spacing w:line="276" w:lineRule="auto"/>
              <w:jc w:val="center"/>
            </w:pPr>
          </w:p>
        </w:tc>
      </w:tr>
      <w:tr w:rsidR="00C25D41" w:rsidRPr="00DB1D7C" w14:paraId="5AC7A1FD" w14:textId="77777777" w:rsidTr="008F0858">
        <w:tc>
          <w:tcPr>
            <w:tcW w:w="1558" w:type="dxa"/>
          </w:tcPr>
          <w:p w14:paraId="61719AB0" w14:textId="77777777" w:rsidR="00C25D41" w:rsidRPr="00DB1D7C" w:rsidRDefault="00C25D41" w:rsidP="00C25D41">
            <w:pPr>
              <w:spacing w:line="276" w:lineRule="auto"/>
              <w:rPr>
                <w:i/>
              </w:rPr>
            </w:pPr>
            <w:r w:rsidRPr="00DB1D7C">
              <w:rPr>
                <w:i/>
              </w:rPr>
              <w:t>Hip fracture</w:t>
            </w:r>
          </w:p>
        </w:tc>
        <w:tc>
          <w:tcPr>
            <w:tcW w:w="1558" w:type="dxa"/>
          </w:tcPr>
          <w:p w14:paraId="5E484793" w14:textId="77777777" w:rsidR="00C25D41" w:rsidRPr="00DB1D7C" w:rsidRDefault="00C25D41" w:rsidP="00C25D41">
            <w:pPr>
              <w:spacing w:line="276" w:lineRule="auto"/>
              <w:jc w:val="center"/>
            </w:pPr>
          </w:p>
        </w:tc>
        <w:tc>
          <w:tcPr>
            <w:tcW w:w="1558" w:type="dxa"/>
          </w:tcPr>
          <w:p w14:paraId="15EEB2FD" w14:textId="77777777" w:rsidR="00C25D41" w:rsidRPr="00DB1D7C" w:rsidRDefault="00C25D41" w:rsidP="00C25D41">
            <w:pPr>
              <w:spacing w:line="276" w:lineRule="auto"/>
              <w:jc w:val="center"/>
            </w:pPr>
          </w:p>
        </w:tc>
        <w:tc>
          <w:tcPr>
            <w:tcW w:w="283" w:type="dxa"/>
          </w:tcPr>
          <w:p w14:paraId="01554C8F" w14:textId="77777777" w:rsidR="00C25D41" w:rsidRPr="00DB1D7C" w:rsidRDefault="00C25D41" w:rsidP="00C25D41">
            <w:pPr>
              <w:spacing w:line="276" w:lineRule="auto"/>
              <w:jc w:val="center"/>
            </w:pPr>
          </w:p>
        </w:tc>
        <w:tc>
          <w:tcPr>
            <w:tcW w:w="1559" w:type="dxa"/>
          </w:tcPr>
          <w:p w14:paraId="4066C9B7" w14:textId="77777777" w:rsidR="00C25D41" w:rsidRPr="00DB1D7C" w:rsidRDefault="00C25D41" w:rsidP="00C25D41">
            <w:pPr>
              <w:spacing w:line="276" w:lineRule="auto"/>
              <w:jc w:val="center"/>
            </w:pPr>
          </w:p>
        </w:tc>
        <w:tc>
          <w:tcPr>
            <w:tcW w:w="1559" w:type="dxa"/>
          </w:tcPr>
          <w:p w14:paraId="42553B10" w14:textId="77777777" w:rsidR="00C25D41" w:rsidRPr="00DB1D7C" w:rsidRDefault="00C25D41" w:rsidP="00C25D41">
            <w:pPr>
              <w:spacing w:line="276" w:lineRule="auto"/>
              <w:jc w:val="center"/>
            </w:pPr>
          </w:p>
        </w:tc>
      </w:tr>
      <w:tr w:rsidR="00C25D41" w:rsidRPr="00DB1D7C" w14:paraId="705DE219" w14:textId="77777777" w:rsidTr="008F0858">
        <w:tc>
          <w:tcPr>
            <w:tcW w:w="1558" w:type="dxa"/>
          </w:tcPr>
          <w:p w14:paraId="379E4432" w14:textId="77777777" w:rsidR="00C25D41" w:rsidRPr="00DB1D7C" w:rsidRDefault="00C25D41" w:rsidP="00C25D41">
            <w:pPr>
              <w:spacing w:line="276" w:lineRule="auto"/>
            </w:pPr>
            <w:r w:rsidRPr="00DB1D7C">
              <w:t>50-54</w:t>
            </w:r>
          </w:p>
        </w:tc>
        <w:tc>
          <w:tcPr>
            <w:tcW w:w="1558" w:type="dxa"/>
          </w:tcPr>
          <w:p w14:paraId="4DAB1179" w14:textId="77777777" w:rsidR="00C25D41" w:rsidRPr="00DB1D7C" w:rsidRDefault="00C25D41" w:rsidP="00C25D41">
            <w:pPr>
              <w:spacing w:line="276" w:lineRule="auto"/>
              <w:jc w:val="center"/>
            </w:pPr>
            <w:r w:rsidRPr="00DB1D7C">
              <w:t>1.2</w:t>
            </w:r>
          </w:p>
        </w:tc>
        <w:tc>
          <w:tcPr>
            <w:tcW w:w="1558" w:type="dxa"/>
          </w:tcPr>
          <w:p w14:paraId="36CA2A98" w14:textId="77777777" w:rsidR="00C25D41" w:rsidRPr="00DB1D7C" w:rsidRDefault="00C25D41" w:rsidP="00C25D41">
            <w:pPr>
              <w:spacing w:line="276" w:lineRule="auto"/>
              <w:jc w:val="center"/>
            </w:pPr>
            <w:r w:rsidRPr="00DB1D7C">
              <w:t>0.9-1.</w:t>
            </w:r>
          </w:p>
        </w:tc>
        <w:tc>
          <w:tcPr>
            <w:tcW w:w="283" w:type="dxa"/>
          </w:tcPr>
          <w:p w14:paraId="04D0E8AE" w14:textId="77777777" w:rsidR="00C25D41" w:rsidRPr="00DB1D7C" w:rsidRDefault="00C25D41" w:rsidP="00C25D41">
            <w:pPr>
              <w:spacing w:line="276" w:lineRule="auto"/>
              <w:jc w:val="center"/>
            </w:pPr>
          </w:p>
        </w:tc>
        <w:tc>
          <w:tcPr>
            <w:tcW w:w="1559" w:type="dxa"/>
          </w:tcPr>
          <w:p w14:paraId="5D7B1E6C" w14:textId="77777777" w:rsidR="00C25D41" w:rsidRPr="00DB1D7C" w:rsidRDefault="00C25D41" w:rsidP="00C25D41">
            <w:pPr>
              <w:spacing w:line="276" w:lineRule="auto"/>
              <w:jc w:val="center"/>
            </w:pPr>
            <w:r w:rsidRPr="00DB1D7C">
              <w:t>1.4</w:t>
            </w:r>
          </w:p>
        </w:tc>
        <w:tc>
          <w:tcPr>
            <w:tcW w:w="1559" w:type="dxa"/>
          </w:tcPr>
          <w:p w14:paraId="574AEC73" w14:textId="77777777" w:rsidR="00C25D41" w:rsidRPr="00DB1D7C" w:rsidRDefault="00C25D41" w:rsidP="00C25D41">
            <w:pPr>
              <w:spacing w:line="276" w:lineRule="auto"/>
              <w:jc w:val="center"/>
            </w:pPr>
            <w:r w:rsidRPr="00DB1D7C">
              <w:t>1.0-1.8</w:t>
            </w:r>
          </w:p>
        </w:tc>
      </w:tr>
      <w:tr w:rsidR="00C25D41" w:rsidRPr="00DB1D7C" w14:paraId="34974243" w14:textId="77777777" w:rsidTr="008F0858">
        <w:tc>
          <w:tcPr>
            <w:tcW w:w="1558" w:type="dxa"/>
          </w:tcPr>
          <w:p w14:paraId="5CB7CF9E" w14:textId="77777777" w:rsidR="00C25D41" w:rsidRPr="00DB1D7C" w:rsidRDefault="00C25D41" w:rsidP="00C25D41">
            <w:pPr>
              <w:spacing w:line="276" w:lineRule="auto"/>
            </w:pPr>
            <w:r w:rsidRPr="00DB1D7C">
              <w:t>55-64</w:t>
            </w:r>
          </w:p>
        </w:tc>
        <w:tc>
          <w:tcPr>
            <w:tcW w:w="1558" w:type="dxa"/>
          </w:tcPr>
          <w:p w14:paraId="12A4C807" w14:textId="77777777" w:rsidR="00C25D41" w:rsidRPr="00DB1D7C" w:rsidRDefault="00C25D41" w:rsidP="00C25D41">
            <w:pPr>
              <w:spacing w:line="276" w:lineRule="auto"/>
              <w:jc w:val="center"/>
            </w:pPr>
            <w:r w:rsidRPr="00DB1D7C">
              <w:t>1.2</w:t>
            </w:r>
          </w:p>
        </w:tc>
        <w:tc>
          <w:tcPr>
            <w:tcW w:w="1558" w:type="dxa"/>
          </w:tcPr>
          <w:p w14:paraId="569A7009" w14:textId="77777777" w:rsidR="00C25D41" w:rsidRPr="00DB1D7C" w:rsidRDefault="00C25D41" w:rsidP="00C25D41">
            <w:pPr>
              <w:spacing w:line="276" w:lineRule="auto"/>
              <w:jc w:val="center"/>
            </w:pPr>
            <w:r w:rsidRPr="00DB1D7C">
              <w:t>1.0-1.5</w:t>
            </w:r>
          </w:p>
        </w:tc>
        <w:tc>
          <w:tcPr>
            <w:tcW w:w="283" w:type="dxa"/>
          </w:tcPr>
          <w:p w14:paraId="7DC8EBA6" w14:textId="77777777" w:rsidR="00C25D41" w:rsidRPr="00DB1D7C" w:rsidRDefault="00C25D41" w:rsidP="00C25D41">
            <w:pPr>
              <w:spacing w:line="276" w:lineRule="auto"/>
              <w:jc w:val="center"/>
            </w:pPr>
          </w:p>
        </w:tc>
        <w:tc>
          <w:tcPr>
            <w:tcW w:w="1559" w:type="dxa"/>
          </w:tcPr>
          <w:p w14:paraId="20052C1A" w14:textId="77777777" w:rsidR="00C25D41" w:rsidRPr="00DB1D7C" w:rsidRDefault="00C25D41" w:rsidP="00C25D41">
            <w:pPr>
              <w:spacing w:line="276" w:lineRule="auto"/>
              <w:jc w:val="center"/>
            </w:pPr>
            <w:r w:rsidRPr="00DB1D7C">
              <w:t>1.2</w:t>
            </w:r>
          </w:p>
        </w:tc>
        <w:tc>
          <w:tcPr>
            <w:tcW w:w="1559" w:type="dxa"/>
          </w:tcPr>
          <w:p w14:paraId="0179B166" w14:textId="77777777" w:rsidR="00C25D41" w:rsidRPr="00DB1D7C" w:rsidRDefault="00C25D41" w:rsidP="00C25D41">
            <w:pPr>
              <w:spacing w:line="276" w:lineRule="auto"/>
              <w:jc w:val="center"/>
            </w:pPr>
            <w:r w:rsidRPr="00DB1D7C">
              <w:t>1.2-1.5</w:t>
            </w:r>
          </w:p>
        </w:tc>
      </w:tr>
      <w:tr w:rsidR="00C25D41" w:rsidRPr="00DB1D7C" w14:paraId="2747914B" w14:textId="77777777" w:rsidTr="008F0858">
        <w:tc>
          <w:tcPr>
            <w:tcW w:w="1558" w:type="dxa"/>
          </w:tcPr>
          <w:p w14:paraId="29D5E4A0" w14:textId="77777777" w:rsidR="00C25D41" w:rsidRPr="00DB1D7C" w:rsidRDefault="00C25D41" w:rsidP="00C25D41">
            <w:pPr>
              <w:spacing w:line="276" w:lineRule="auto"/>
            </w:pPr>
            <w:r w:rsidRPr="00DB1D7C">
              <w:t>65-74</w:t>
            </w:r>
          </w:p>
        </w:tc>
        <w:tc>
          <w:tcPr>
            <w:tcW w:w="1558" w:type="dxa"/>
          </w:tcPr>
          <w:p w14:paraId="0DB09CC4" w14:textId="77777777" w:rsidR="00C25D41" w:rsidRPr="00DB1D7C" w:rsidRDefault="00C25D41" w:rsidP="00C25D41">
            <w:pPr>
              <w:spacing w:line="276" w:lineRule="auto"/>
              <w:jc w:val="center"/>
            </w:pPr>
            <w:r w:rsidRPr="00DB1D7C">
              <w:t>2.2</w:t>
            </w:r>
          </w:p>
        </w:tc>
        <w:tc>
          <w:tcPr>
            <w:tcW w:w="1558" w:type="dxa"/>
          </w:tcPr>
          <w:p w14:paraId="4B7AC3BC" w14:textId="77777777" w:rsidR="00C25D41" w:rsidRPr="00DB1D7C" w:rsidRDefault="00C25D41" w:rsidP="00C25D41">
            <w:pPr>
              <w:spacing w:line="276" w:lineRule="auto"/>
              <w:jc w:val="center"/>
            </w:pPr>
            <w:r w:rsidRPr="00DB1D7C">
              <w:t>1.8-2.6</w:t>
            </w:r>
          </w:p>
        </w:tc>
        <w:tc>
          <w:tcPr>
            <w:tcW w:w="283" w:type="dxa"/>
          </w:tcPr>
          <w:p w14:paraId="3FB3F227" w14:textId="77777777" w:rsidR="00C25D41" w:rsidRPr="00DB1D7C" w:rsidRDefault="00C25D41" w:rsidP="00C25D41">
            <w:pPr>
              <w:spacing w:line="276" w:lineRule="auto"/>
              <w:jc w:val="center"/>
            </w:pPr>
          </w:p>
        </w:tc>
        <w:tc>
          <w:tcPr>
            <w:tcW w:w="1559" w:type="dxa"/>
          </w:tcPr>
          <w:p w14:paraId="755DA512" w14:textId="77777777" w:rsidR="00C25D41" w:rsidRPr="00DB1D7C" w:rsidRDefault="00C25D41" w:rsidP="00C25D41">
            <w:pPr>
              <w:spacing w:line="276" w:lineRule="auto"/>
              <w:jc w:val="center"/>
            </w:pPr>
            <w:r w:rsidRPr="00DB1D7C">
              <w:t>2.3</w:t>
            </w:r>
          </w:p>
        </w:tc>
        <w:tc>
          <w:tcPr>
            <w:tcW w:w="1559" w:type="dxa"/>
          </w:tcPr>
          <w:p w14:paraId="24929AC1" w14:textId="77777777" w:rsidR="00C25D41" w:rsidRPr="00DB1D7C" w:rsidRDefault="00C25D41" w:rsidP="00C25D41">
            <w:pPr>
              <w:spacing w:line="276" w:lineRule="auto"/>
              <w:jc w:val="center"/>
            </w:pPr>
            <w:r w:rsidRPr="00DB1D7C">
              <w:t>2.3-2.4</w:t>
            </w:r>
          </w:p>
        </w:tc>
      </w:tr>
      <w:tr w:rsidR="00C25D41" w:rsidRPr="00DB1D7C" w14:paraId="7D9EDB77" w14:textId="77777777" w:rsidTr="008F0858">
        <w:tc>
          <w:tcPr>
            <w:tcW w:w="1558" w:type="dxa"/>
            <w:tcBorders>
              <w:bottom w:val="single" w:sz="4" w:space="0" w:color="auto"/>
            </w:tcBorders>
          </w:tcPr>
          <w:p w14:paraId="7F9DA00B" w14:textId="77777777" w:rsidR="00C25D41" w:rsidRPr="00DB1D7C" w:rsidRDefault="00C25D41" w:rsidP="00C25D41">
            <w:pPr>
              <w:spacing w:line="276" w:lineRule="auto"/>
            </w:pPr>
            <w:r w:rsidRPr="00DB1D7C">
              <w:rPr>
                <w:u w:val="single"/>
              </w:rPr>
              <w:t>&gt;</w:t>
            </w:r>
            <w:r w:rsidRPr="00DB1D7C">
              <w:t>75</w:t>
            </w:r>
          </w:p>
        </w:tc>
        <w:tc>
          <w:tcPr>
            <w:tcW w:w="1558" w:type="dxa"/>
            <w:tcBorders>
              <w:bottom w:val="single" w:sz="4" w:space="0" w:color="auto"/>
            </w:tcBorders>
          </w:tcPr>
          <w:p w14:paraId="5D11AFDE" w14:textId="77777777" w:rsidR="00C25D41" w:rsidRPr="00DB1D7C" w:rsidRDefault="00C25D41" w:rsidP="00C25D41">
            <w:pPr>
              <w:spacing w:line="276" w:lineRule="auto"/>
              <w:jc w:val="center"/>
            </w:pPr>
            <w:r w:rsidRPr="00DB1D7C">
              <w:t>6.5</w:t>
            </w:r>
          </w:p>
        </w:tc>
        <w:tc>
          <w:tcPr>
            <w:tcW w:w="1558" w:type="dxa"/>
            <w:tcBorders>
              <w:bottom w:val="single" w:sz="4" w:space="0" w:color="auto"/>
            </w:tcBorders>
          </w:tcPr>
          <w:p w14:paraId="0A94CAD1" w14:textId="77777777" w:rsidR="00C25D41" w:rsidRPr="00DB1D7C" w:rsidRDefault="00C25D41" w:rsidP="00C25D41">
            <w:pPr>
              <w:spacing w:line="276" w:lineRule="auto"/>
              <w:jc w:val="center"/>
            </w:pPr>
            <w:r w:rsidRPr="00DB1D7C">
              <w:t>4.7-7.8</w:t>
            </w:r>
          </w:p>
        </w:tc>
        <w:tc>
          <w:tcPr>
            <w:tcW w:w="283" w:type="dxa"/>
            <w:tcBorders>
              <w:bottom w:val="single" w:sz="4" w:space="0" w:color="auto"/>
            </w:tcBorders>
          </w:tcPr>
          <w:p w14:paraId="09356E60" w14:textId="77777777" w:rsidR="00C25D41" w:rsidRPr="00DB1D7C" w:rsidRDefault="00C25D41" w:rsidP="00C25D41">
            <w:pPr>
              <w:spacing w:line="276" w:lineRule="auto"/>
              <w:jc w:val="center"/>
            </w:pPr>
          </w:p>
        </w:tc>
        <w:tc>
          <w:tcPr>
            <w:tcW w:w="1559" w:type="dxa"/>
            <w:tcBorders>
              <w:bottom w:val="single" w:sz="4" w:space="0" w:color="auto"/>
            </w:tcBorders>
          </w:tcPr>
          <w:p w14:paraId="61D80010" w14:textId="77777777" w:rsidR="00C25D41" w:rsidRPr="00DB1D7C" w:rsidRDefault="00C25D41" w:rsidP="00C25D41">
            <w:pPr>
              <w:spacing w:line="276" w:lineRule="auto"/>
              <w:jc w:val="center"/>
            </w:pPr>
            <w:r w:rsidRPr="00DB1D7C">
              <w:t>5.7</w:t>
            </w:r>
          </w:p>
        </w:tc>
        <w:tc>
          <w:tcPr>
            <w:tcW w:w="1559" w:type="dxa"/>
            <w:tcBorders>
              <w:bottom w:val="single" w:sz="4" w:space="0" w:color="auto"/>
            </w:tcBorders>
          </w:tcPr>
          <w:p w14:paraId="36873F94" w14:textId="77777777" w:rsidR="00C25D41" w:rsidRPr="00DB1D7C" w:rsidRDefault="00C25D41" w:rsidP="00C25D41">
            <w:pPr>
              <w:spacing w:line="276" w:lineRule="auto"/>
              <w:jc w:val="center"/>
            </w:pPr>
            <w:r w:rsidRPr="00DB1D7C">
              <w:t>4.5-6.6</w:t>
            </w:r>
          </w:p>
        </w:tc>
      </w:tr>
    </w:tbl>
    <w:p w14:paraId="5256681A" w14:textId="77777777" w:rsidR="00C25D41" w:rsidRPr="00DB1D7C" w:rsidRDefault="00C25D41" w:rsidP="00C25D41"/>
    <w:p w14:paraId="4E2698DD" w14:textId="77777777" w:rsidR="00C25D41" w:rsidRPr="00DB1D7C" w:rsidRDefault="00C25D41" w:rsidP="00D87350">
      <w:pPr>
        <w:rPr>
          <w:rFonts w:ascii="Calibri" w:hAnsi="Calibri"/>
          <w:sz w:val="24"/>
          <w:szCs w:val="24"/>
        </w:rPr>
      </w:pPr>
    </w:p>
    <w:p w14:paraId="2054147B" w14:textId="2D2E6406" w:rsidR="00DF64F0" w:rsidRPr="00DB1D7C" w:rsidRDefault="00EE1884" w:rsidP="00BE76AA">
      <w:pPr>
        <w:spacing w:line="276" w:lineRule="auto"/>
        <w:rPr>
          <w:rFonts w:ascii="Calibri" w:hAnsi="Calibri"/>
          <w:b/>
          <w:sz w:val="24"/>
          <w:szCs w:val="24"/>
        </w:rPr>
      </w:pPr>
      <w:r w:rsidRPr="00DB1D7C">
        <w:rPr>
          <w:rFonts w:ascii="Calibri" w:hAnsi="Calibri"/>
          <w:b/>
          <w:sz w:val="24"/>
          <w:szCs w:val="24"/>
        </w:rPr>
        <w:t>D</w:t>
      </w:r>
      <w:r w:rsidR="003626E0" w:rsidRPr="00DB1D7C">
        <w:rPr>
          <w:rFonts w:ascii="Calibri" w:hAnsi="Calibri"/>
          <w:b/>
          <w:sz w:val="24"/>
          <w:szCs w:val="24"/>
        </w:rPr>
        <w:t>iscrimination</w:t>
      </w:r>
      <w:r w:rsidR="00DF64F0" w:rsidRPr="00DB1D7C">
        <w:rPr>
          <w:rFonts w:ascii="Calibri" w:hAnsi="Calibri"/>
          <w:b/>
          <w:sz w:val="24"/>
          <w:szCs w:val="24"/>
        </w:rPr>
        <w:t xml:space="preserve"> of FRAX </w:t>
      </w:r>
    </w:p>
    <w:p w14:paraId="67BFF6CB" w14:textId="5D1622FF" w:rsidR="00EE1884" w:rsidRPr="002A1E50" w:rsidRDefault="003626E0" w:rsidP="00BE76AA">
      <w:pPr>
        <w:spacing w:line="276" w:lineRule="auto"/>
        <w:rPr>
          <w:rFonts w:ascii="Calibri" w:hAnsi="Calibri"/>
          <w:sz w:val="24"/>
          <w:szCs w:val="24"/>
        </w:rPr>
      </w:pPr>
      <w:r w:rsidRPr="00DB1D7C">
        <w:rPr>
          <w:rFonts w:ascii="Calibri" w:hAnsi="Calibri"/>
          <w:sz w:val="24"/>
          <w:szCs w:val="24"/>
        </w:rPr>
        <w:t>Discrimination is the ability to distinguish people at high risk from people at low risk.</w:t>
      </w:r>
      <w:r w:rsidR="00EE1884" w:rsidRPr="00DB1D7C">
        <w:rPr>
          <w:rFonts w:ascii="Calibri" w:hAnsi="Calibri"/>
          <w:sz w:val="24"/>
          <w:szCs w:val="24"/>
        </w:rPr>
        <w:t xml:space="preserve">  The performance characteristics of FRAX </w:t>
      </w:r>
      <w:r w:rsidR="009831DE" w:rsidRPr="00DB1D7C">
        <w:rPr>
          <w:rFonts w:ascii="Calibri" w:hAnsi="Calibri"/>
          <w:sz w:val="24"/>
          <w:szCs w:val="24"/>
        </w:rPr>
        <w:t>were</w:t>
      </w:r>
      <w:r w:rsidR="002271BE" w:rsidRPr="00DB1D7C">
        <w:rPr>
          <w:rFonts w:ascii="Calibri" w:hAnsi="Calibri"/>
          <w:sz w:val="24"/>
          <w:szCs w:val="24"/>
        </w:rPr>
        <w:t xml:space="preserve"> validated </w:t>
      </w:r>
      <w:r w:rsidR="009831DE" w:rsidRPr="00DB1D7C">
        <w:rPr>
          <w:rFonts w:ascii="Calibri" w:hAnsi="Calibri"/>
          <w:sz w:val="24"/>
          <w:szCs w:val="24"/>
        </w:rPr>
        <w:t xml:space="preserve">prior to its launch </w:t>
      </w:r>
      <w:r w:rsidR="002271BE" w:rsidRPr="00DB1D7C">
        <w:rPr>
          <w:rFonts w:ascii="Calibri" w:hAnsi="Calibri"/>
          <w:sz w:val="24"/>
          <w:szCs w:val="24"/>
        </w:rPr>
        <w:t xml:space="preserve">by comparing the increase in fracture risk per SD of change in the risk score (termed the gradient of </w:t>
      </w:r>
      <w:r w:rsidR="002271BE" w:rsidRPr="0083739E">
        <w:rPr>
          <w:rFonts w:ascii="Calibri" w:hAnsi="Calibri"/>
          <w:sz w:val="24"/>
          <w:szCs w:val="24"/>
        </w:rPr>
        <w:t>risk)</w:t>
      </w:r>
      <w:r w:rsidRPr="0083739E">
        <w:rPr>
          <w:rFonts w:ascii="Calibri" w:hAnsi="Calibri"/>
          <w:sz w:val="24"/>
          <w:szCs w:val="24"/>
        </w:rPr>
        <w:t xml:space="preserve"> </w:t>
      </w:r>
      <w:r w:rsidR="003E244A" w:rsidRPr="0083739E">
        <w:rPr>
          <w:rFonts w:ascii="Calibri" w:hAnsi="Calibri"/>
          <w:sz w:val="24"/>
          <w:szCs w:val="24"/>
        </w:rPr>
        <w:t>[14]</w:t>
      </w:r>
      <w:r w:rsidR="00FF503B" w:rsidRPr="0083739E">
        <w:rPr>
          <w:rFonts w:ascii="Calibri" w:hAnsi="Calibri"/>
          <w:sz w:val="24"/>
          <w:szCs w:val="24"/>
        </w:rPr>
        <w:t>.</w:t>
      </w:r>
      <w:r w:rsidR="00FF503B" w:rsidRPr="00DB1D7C">
        <w:rPr>
          <w:rFonts w:ascii="Calibri" w:hAnsi="Calibri"/>
          <w:sz w:val="24"/>
          <w:szCs w:val="24"/>
        </w:rPr>
        <w:t xml:space="preserve">  The gradient</w:t>
      </w:r>
      <w:r w:rsidR="00DF29F5">
        <w:rPr>
          <w:rFonts w:ascii="Calibri" w:hAnsi="Calibri"/>
          <w:sz w:val="24"/>
          <w:szCs w:val="24"/>
        </w:rPr>
        <w:t>s</w:t>
      </w:r>
      <w:r w:rsidR="00FF503B" w:rsidRPr="00DB1D7C">
        <w:rPr>
          <w:rFonts w:ascii="Calibri" w:hAnsi="Calibri"/>
          <w:sz w:val="24"/>
          <w:szCs w:val="24"/>
        </w:rPr>
        <w:t xml:space="preserve"> of risk in the nine cohorts used to construct FRAX were compared with </w:t>
      </w:r>
      <w:r w:rsidR="00DF29F5">
        <w:rPr>
          <w:rFonts w:ascii="Calibri" w:hAnsi="Calibri"/>
          <w:sz w:val="24"/>
          <w:szCs w:val="24"/>
        </w:rPr>
        <w:t>those</w:t>
      </w:r>
      <w:r w:rsidR="00FF503B" w:rsidRPr="00DB1D7C">
        <w:rPr>
          <w:rFonts w:ascii="Calibri" w:hAnsi="Calibri"/>
          <w:sz w:val="24"/>
          <w:szCs w:val="24"/>
        </w:rPr>
        <w:t xml:space="preserve"> determined in 11 validation cohorts comprising 230,486 men and women studied for 1,208,528 person years.  During follow-up, there were 18,543 osteoporotic fractures, 3360 of which were hip fractures.  Gradients of risk </w:t>
      </w:r>
      <w:r w:rsidR="0007526E" w:rsidRPr="00DB1D7C">
        <w:rPr>
          <w:rFonts w:ascii="Calibri" w:hAnsi="Calibri"/>
          <w:sz w:val="24"/>
          <w:szCs w:val="24"/>
        </w:rPr>
        <w:t>did not differ from the</w:t>
      </w:r>
      <w:r w:rsidR="00FF503B" w:rsidRPr="00DB1D7C">
        <w:rPr>
          <w:rFonts w:ascii="Calibri" w:hAnsi="Calibri"/>
          <w:sz w:val="24"/>
          <w:szCs w:val="24"/>
        </w:rPr>
        <w:t xml:space="preserve"> original cohorts </w:t>
      </w:r>
      <w:r w:rsidR="00FF503B" w:rsidRPr="002A1E50">
        <w:rPr>
          <w:rFonts w:ascii="Calibri" w:hAnsi="Calibri"/>
          <w:sz w:val="24"/>
          <w:szCs w:val="24"/>
        </w:rPr>
        <w:t>used for model building</w:t>
      </w:r>
      <w:r w:rsidR="00315D7E" w:rsidRPr="002A1E50">
        <w:rPr>
          <w:rFonts w:ascii="Calibri" w:hAnsi="Calibri"/>
          <w:sz w:val="24"/>
          <w:szCs w:val="24"/>
        </w:rPr>
        <w:t xml:space="preserve"> (Table </w:t>
      </w:r>
      <w:r w:rsidR="000305D7" w:rsidRPr="002A1E50">
        <w:rPr>
          <w:rFonts w:ascii="Calibri" w:hAnsi="Calibri"/>
          <w:sz w:val="24"/>
          <w:szCs w:val="24"/>
        </w:rPr>
        <w:t>10</w:t>
      </w:r>
      <w:r w:rsidR="00315D7E" w:rsidRPr="002A1E50">
        <w:rPr>
          <w:rFonts w:ascii="Calibri" w:hAnsi="Calibri"/>
          <w:sz w:val="24"/>
          <w:szCs w:val="24"/>
        </w:rPr>
        <w:t>)</w:t>
      </w:r>
      <w:r w:rsidR="000305D7" w:rsidRPr="002A1E50">
        <w:rPr>
          <w:rFonts w:ascii="Calibri" w:hAnsi="Calibri"/>
          <w:sz w:val="24"/>
          <w:szCs w:val="24"/>
        </w:rPr>
        <w:t xml:space="preserve">.  </w:t>
      </w:r>
      <w:r w:rsidR="00315D7E" w:rsidRPr="002A1E50">
        <w:rPr>
          <w:rFonts w:ascii="Calibri" w:hAnsi="Calibri"/>
          <w:sz w:val="24"/>
          <w:szCs w:val="24"/>
        </w:rPr>
        <w:t xml:space="preserve">Whereas both BMD and the clinical risk factors alone provide significant gradients of risk for fracture, the highest gradients of risk are seen when BMD is co-entered into the FRAX model. </w:t>
      </w:r>
      <w:r w:rsidR="00FF503B" w:rsidRPr="002A1E50">
        <w:rPr>
          <w:rFonts w:ascii="Calibri" w:hAnsi="Calibri"/>
          <w:sz w:val="24"/>
          <w:szCs w:val="24"/>
        </w:rPr>
        <w:t>These data give some credence to the view that the original algorithms may be widely applicable, though further validation is required in men and in ethnic groups not covered in these analyses.</w:t>
      </w:r>
      <w:r w:rsidR="00315D7E" w:rsidRPr="002A1E50">
        <w:rPr>
          <w:rFonts w:ascii="Calibri" w:hAnsi="Calibri"/>
          <w:sz w:val="24"/>
          <w:szCs w:val="24"/>
        </w:rPr>
        <w:t xml:space="preserve">  An important observation </w:t>
      </w:r>
      <w:r w:rsidR="0007526E" w:rsidRPr="002A1E50">
        <w:rPr>
          <w:rFonts w:ascii="Calibri" w:hAnsi="Calibri"/>
          <w:sz w:val="24"/>
          <w:szCs w:val="24"/>
        </w:rPr>
        <w:t>was</w:t>
      </w:r>
      <w:r w:rsidR="00315D7E" w:rsidRPr="002A1E50">
        <w:rPr>
          <w:rFonts w:ascii="Calibri" w:hAnsi="Calibri"/>
          <w:sz w:val="24"/>
          <w:szCs w:val="24"/>
        </w:rPr>
        <w:t xml:space="preserve"> that gradients of risk were markedly age-dependent making cross-comparison not possible with studies that do not adjust for age.</w:t>
      </w:r>
    </w:p>
    <w:p w14:paraId="32A018CD" w14:textId="77777777" w:rsidR="00BE76AA" w:rsidRPr="002A1E50" w:rsidRDefault="00BE76AA" w:rsidP="00BE76AA">
      <w:pPr>
        <w:spacing w:line="276" w:lineRule="auto"/>
        <w:rPr>
          <w:rFonts w:ascii="Calibri" w:hAnsi="Calibri"/>
          <w:sz w:val="24"/>
          <w:szCs w:val="24"/>
        </w:rPr>
      </w:pPr>
    </w:p>
    <w:p w14:paraId="5B7D6614" w14:textId="7DE5EA1F" w:rsidR="00FF503B" w:rsidRPr="00DB1D7C" w:rsidRDefault="00FF503B" w:rsidP="00FF503B">
      <w:pPr>
        <w:rPr>
          <w:b/>
        </w:rPr>
      </w:pPr>
      <w:r w:rsidRPr="002A1E50">
        <w:rPr>
          <w:b/>
          <w:bCs/>
        </w:rPr>
        <w:t xml:space="preserve">Table </w:t>
      </w:r>
      <w:r w:rsidR="000305D7" w:rsidRPr="002A1E50">
        <w:rPr>
          <w:b/>
          <w:bCs/>
        </w:rPr>
        <w:t>10.</w:t>
      </w:r>
      <w:r w:rsidRPr="002A1E50">
        <w:rPr>
          <w:b/>
        </w:rPr>
        <w:t xml:space="preserve">  </w:t>
      </w:r>
      <w:r w:rsidRPr="002A1E50">
        <w:t>Gradients of risk (RR per SD change in with 95</w:t>
      </w:r>
      <w:r w:rsidR="00E8657B" w:rsidRPr="002A1E50">
        <w:t xml:space="preserve"> </w:t>
      </w:r>
      <w:r w:rsidRPr="002A1E50">
        <w:t xml:space="preserve">% confidence intervals) </w:t>
      </w:r>
      <w:r w:rsidR="00F16EDA">
        <w:t xml:space="preserve">in men and women </w:t>
      </w:r>
      <w:r w:rsidRPr="002A1E50">
        <w:t>with the use of BMD at the femoral neck, clinical risk</w:t>
      </w:r>
      <w:r w:rsidRPr="00DB1D7C">
        <w:t xml:space="preserve"> factors or the combination</w:t>
      </w:r>
      <w:r w:rsidR="0083739E">
        <w:t>. Source</w:t>
      </w:r>
      <w:r w:rsidR="0083739E" w:rsidRPr="0083739E">
        <w:rPr>
          <w:rFonts w:ascii="Calibri" w:hAnsi="Calibri"/>
          <w:sz w:val="24"/>
          <w:szCs w:val="24"/>
        </w:rPr>
        <w:t xml:space="preserve"> [</w:t>
      </w:r>
      <w:r w:rsidR="003E244A" w:rsidRPr="0083739E">
        <w:rPr>
          <w:rFonts w:ascii="Calibri" w:hAnsi="Calibri"/>
          <w:sz w:val="24"/>
          <w:szCs w:val="24"/>
        </w:rPr>
        <w:t>14]</w:t>
      </w:r>
      <w:r w:rsidRPr="00DB1D7C">
        <w:rPr>
          <w:bCs/>
        </w:rPr>
        <w:t xml:space="preserve"> with kind permission from Springer </w:t>
      </w:r>
      <w:proofErr w:type="spellStart"/>
      <w:r w:rsidRPr="00DB1D7C">
        <w:rPr>
          <w:bCs/>
        </w:rPr>
        <w:t>Science+Business</w:t>
      </w:r>
      <w:proofErr w:type="spellEnd"/>
      <w:r w:rsidRPr="00DB1D7C">
        <w:rPr>
          <w:bCs/>
        </w:rPr>
        <w:t xml:space="preserve"> Media B.V</w:t>
      </w:r>
      <w:r w:rsidRPr="00DB1D7C">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8"/>
        <w:gridCol w:w="2138"/>
        <w:gridCol w:w="2138"/>
        <w:gridCol w:w="2138"/>
      </w:tblGrid>
      <w:tr w:rsidR="00FF503B" w:rsidRPr="00DB1D7C" w14:paraId="7657C1A9" w14:textId="77777777" w:rsidTr="008821DA">
        <w:tc>
          <w:tcPr>
            <w:tcW w:w="1728" w:type="dxa"/>
            <w:tcBorders>
              <w:top w:val="single" w:sz="12" w:space="0" w:color="auto"/>
            </w:tcBorders>
          </w:tcPr>
          <w:p w14:paraId="74C1EB99" w14:textId="77777777" w:rsidR="00FF503B" w:rsidRPr="00DB1D7C" w:rsidRDefault="00FF503B" w:rsidP="008821DA">
            <w:pPr>
              <w:spacing w:after="160" w:line="259" w:lineRule="auto"/>
            </w:pPr>
          </w:p>
        </w:tc>
        <w:tc>
          <w:tcPr>
            <w:tcW w:w="6414" w:type="dxa"/>
            <w:gridSpan w:val="3"/>
            <w:tcBorders>
              <w:top w:val="single" w:sz="12" w:space="0" w:color="auto"/>
              <w:bottom w:val="single" w:sz="12" w:space="0" w:color="auto"/>
            </w:tcBorders>
          </w:tcPr>
          <w:p w14:paraId="4E7840B8" w14:textId="77777777" w:rsidR="00FF503B" w:rsidRPr="00DB1D7C" w:rsidRDefault="00FF503B" w:rsidP="008821DA">
            <w:pPr>
              <w:spacing w:after="160" w:line="259" w:lineRule="auto"/>
            </w:pPr>
            <w:r w:rsidRPr="00DB1D7C">
              <w:t>Gradient of risk</w:t>
            </w:r>
          </w:p>
        </w:tc>
      </w:tr>
      <w:tr w:rsidR="00FF503B" w:rsidRPr="00DB1D7C" w14:paraId="25DD010C" w14:textId="77777777" w:rsidTr="008821DA">
        <w:tc>
          <w:tcPr>
            <w:tcW w:w="1728" w:type="dxa"/>
            <w:tcBorders>
              <w:bottom w:val="single" w:sz="12" w:space="0" w:color="auto"/>
            </w:tcBorders>
          </w:tcPr>
          <w:p w14:paraId="1FAD630A" w14:textId="77777777" w:rsidR="00FF503B" w:rsidRPr="00DB1D7C" w:rsidRDefault="00FF503B" w:rsidP="008821DA">
            <w:pPr>
              <w:spacing w:after="160" w:line="259" w:lineRule="auto"/>
            </w:pPr>
            <w:r w:rsidRPr="00DB1D7C">
              <w:t>Age (years)</w:t>
            </w:r>
          </w:p>
        </w:tc>
        <w:tc>
          <w:tcPr>
            <w:tcW w:w="2138" w:type="dxa"/>
            <w:tcBorders>
              <w:top w:val="single" w:sz="12" w:space="0" w:color="auto"/>
              <w:bottom w:val="single" w:sz="12" w:space="0" w:color="auto"/>
            </w:tcBorders>
          </w:tcPr>
          <w:p w14:paraId="59BD26CF" w14:textId="77777777" w:rsidR="00FF503B" w:rsidRPr="00DB1D7C" w:rsidRDefault="00FF503B" w:rsidP="008821DA">
            <w:pPr>
              <w:spacing w:after="160" w:line="259" w:lineRule="auto"/>
            </w:pPr>
            <w:r w:rsidRPr="00DB1D7C">
              <w:t>BMD only</w:t>
            </w:r>
          </w:p>
        </w:tc>
        <w:tc>
          <w:tcPr>
            <w:tcW w:w="2138" w:type="dxa"/>
            <w:tcBorders>
              <w:top w:val="single" w:sz="12" w:space="0" w:color="auto"/>
              <w:bottom w:val="single" w:sz="12" w:space="0" w:color="auto"/>
            </w:tcBorders>
          </w:tcPr>
          <w:p w14:paraId="4886CB89" w14:textId="77777777" w:rsidR="00FF503B" w:rsidRPr="00DB1D7C" w:rsidRDefault="00FF503B" w:rsidP="008821DA">
            <w:pPr>
              <w:spacing w:after="160" w:line="259" w:lineRule="auto"/>
            </w:pPr>
            <w:r w:rsidRPr="00DB1D7C">
              <w:t>Clinical risk</w:t>
            </w:r>
          </w:p>
          <w:p w14:paraId="763B15AB" w14:textId="77777777" w:rsidR="00FF503B" w:rsidRPr="00DB1D7C" w:rsidRDefault="00FF503B" w:rsidP="008821DA">
            <w:pPr>
              <w:spacing w:after="160" w:line="259" w:lineRule="auto"/>
            </w:pPr>
            <w:r w:rsidRPr="00DB1D7C">
              <w:t>factors alone</w:t>
            </w:r>
          </w:p>
        </w:tc>
        <w:tc>
          <w:tcPr>
            <w:tcW w:w="2138" w:type="dxa"/>
            <w:tcBorders>
              <w:top w:val="single" w:sz="12" w:space="0" w:color="auto"/>
              <w:bottom w:val="single" w:sz="12" w:space="0" w:color="auto"/>
            </w:tcBorders>
          </w:tcPr>
          <w:p w14:paraId="53BB2539" w14:textId="77777777" w:rsidR="00FF503B" w:rsidRPr="00DB1D7C" w:rsidRDefault="00FF503B" w:rsidP="008821DA">
            <w:pPr>
              <w:spacing w:after="160" w:line="259" w:lineRule="auto"/>
            </w:pPr>
            <w:r w:rsidRPr="00DB1D7C">
              <w:t>Clinical risk</w:t>
            </w:r>
          </w:p>
          <w:p w14:paraId="4D8FEF52" w14:textId="77777777" w:rsidR="00FF503B" w:rsidRPr="00DB1D7C" w:rsidRDefault="00FF503B" w:rsidP="008821DA">
            <w:pPr>
              <w:spacing w:after="160" w:line="259" w:lineRule="auto"/>
            </w:pPr>
            <w:r w:rsidRPr="00DB1D7C">
              <w:t>factors + BMD</w:t>
            </w:r>
          </w:p>
        </w:tc>
      </w:tr>
      <w:tr w:rsidR="00FF503B" w:rsidRPr="00DB1D7C" w14:paraId="01FED80E" w14:textId="77777777" w:rsidTr="008821DA">
        <w:tc>
          <w:tcPr>
            <w:tcW w:w="1728" w:type="dxa"/>
            <w:tcBorders>
              <w:top w:val="single" w:sz="12" w:space="0" w:color="auto"/>
            </w:tcBorders>
          </w:tcPr>
          <w:p w14:paraId="2A7DDE2F" w14:textId="77777777" w:rsidR="00FF503B" w:rsidRPr="00DB1D7C" w:rsidRDefault="00FF503B" w:rsidP="008821DA">
            <w:pPr>
              <w:spacing w:after="160" w:line="259" w:lineRule="auto"/>
              <w:rPr>
                <w:i/>
                <w:iCs/>
              </w:rPr>
            </w:pPr>
            <w:r w:rsidRPr="00DB1D7C">
              <w:rPr>
                <w:i/>
                <w:iCs/>
              </w:rPr>
              <w:t>(a) Hip fracture</w:t>
            </w:r>
          </w:p>
        </w:tc>
        <w:tc>
          <w:tcPr>
            <w:tcW w:w="2138" w:type="dxa"/>
            <w:tcBorders>
              <w:top w:val="single" w:sz="12" w:space="0" w:color="auto"/>
            </w:tcBorders>
          </w:tcPr>
          <w:p w14:paraId="39C18D16" w14:textId="77777777" w:rsidR="00FF503B" w:rsidRPr="00DB1D7C" w:rsidRDefault="00FF503B" w:rsidP="008821DA">
            <w:pPr>
              <w:spacing w:after="160" w:line="259" w:lineRule="auto"/>
            </w:pPr>
          </w:p>
        </w:tc>
        <w:tc>
          <w:tcPr>
            <w:tcW w:w="2138" w:type="dxa"/>
            <w:tcBorders>
              <w:top w:val="single" w:sz="12" w:space="0" w:color="auto"/>
            </w:tcBorders>
          </w:tcPr>
          <w:p w14:paraId="514E60EE" w14:textId="77777777" w:rsidR="00FF503B" w:rsidRPr="00DB1D7C" w:rsidRDefault="00FF503B" w:rsidP="008821DA">
            <w:pPr>
              <w:spacing w:after="160" w:line="259" w:lineRule="auto"/>
            </w:pPr>
          </w:p>
        </w:tc>
        <w:tc>
          <w:tcPr>
            <w:tcW w:w="2138" w:type="dxa"/>
            <w:tcBorders>
              <w:top w:val="single" w:sz="12" w:space="0" w:color="auto"/>
            </w:tcBorders>
          </w:tcPr>
          <w:p w14:paraId="46E95F6E" w14:textId="77777777" w:rsidR="00FF503B" w:rsidRPr="00DB1D7C" w:rsidRDefault="00FF503B" w:rsidP="008821DA">
            <w:pPr>
              <w:spacing w:after="160" w:line="259" w:lineRule="auto"/>
            </w:pPr>
          </w:p>
        </w:tc>
      </w:tr>
      <w:tr w:rsidR="00FF503B" w:rsidRPr="00DB1D7C" w14:paraId="3049A48C" w14:textId="77777777" w:rsidTr="008821DA">
        <w:tc>
          <w:tcPr>
            <w:tcW w:w="1728" w:type="dxa"/>
          </w:tcPr>
          <w:p w14:paraId="28B34371" w14:textId="77777777" w:rsidR="00FF503B" w:rsidRPr="00DB1D7C" w:rsidRDefault="00FF503B" w:rsidP="008821DA">
            <w:pPr>
              <w:spacing w:after="160" w:line="259" w:lineRule="auto"/>
            </w:pPr>
            <w:r w:rsidRPr="00DB1D7C">
              <w:lastRenderedPageBreak/>
              <w:t>50</w:t>
            </w:r>
          </w:p>
        </w:tc>
        <w:tc>
          <w:tcPr>
            <w:tcW w:w="2138" w:type="dxa"/>
          </w:tcPr>
          <w:p w14:paraId="002EFBEE" w14:textId="77777777" w:rsidR="00FF503B" w:rsidRPr="00DB1D7C" w:rsidRDefault="00FF503B" w:rsidP="008821DA">
            <w:pPr>
              <w:spacing w:after="160" w:line="259" w:lineRule="auto"/>
            </w:pPr>
            <w:r w:rsidRPr="00DB1D7C">
              <w:t>3.68 (2.61–5.19)</w:t>
            </w:r>
          </w:p>
        </w:tc>
        <w:tc>
          <w:tcPr>
            <w:tcW w:w="2138" w:type="dxa"/>
          </w:tcPr>
          <w:p w14:paraId="25839495" w14:textId="77777777" w:rsidR="00FF503B" w:rsidRPr="00DB1D7C" w:rsidRDefault="00FF503B" w:rsidP="008821DA">
            <w:pPr>
              <w:spacing w:after="160" w:line="259" w:lineRule="auto"/>
            </w:pPr>
            <w:r w:rsidRPr="00DB1D7C">
              <w:t>2.05 (1.58–2.65)</w:t>
            </w:r>
          </w:p>
        </w:tc>
        <w:tc>
          <w:tcPr>
            <w:tcW w:w="2138" w:type="dxa"/>
          </w:tcPr>
          <w:p w14:paraId="43E7D7AB" w14:textId="77777777" w:rsidR="00FF503B" w:rsidRPr="00DB1D7C" w:rsidRDefault="00FF503B" w:rsidP="008821DA">
            <w:pPr>
              <w:spacing w:after="160" w:line="259" w:lineRule="auto"/>
            </w:pPr>
            <w:r w:rsidRPr="00DB1D7C">
              <w:t>4.23 (3.12–5.73)</w:t>
            </w:r>
          </w:p>
        </w:tc>
      </w:tr>
      <w:tr w:rsidR="00FF503B" w:rsidRPr="00DB1D7C" w14:paraId="2329E14A" w14:textId="77777777" w:rsidTr="008821DA">
        <w:tc>
          <w:tcPr>
            <w:tcW w:w="1728" w:type="dxa"/>
          </w:tcPr>
          <w:p w14:paraId="143A5824" w14:textId="77777777" w:rsidR="00FF503B" w:rsidRPr="00DB1D7C" w:rsidRDefault="00FF503B" w:rsidP="008821DA">
            <w:pPr>
              <w:spacing w:after="160" w:line="259" w:lineRule="auto"/>
            </w:pPr>
            <w:r w:rsidRPr="00DB1D7C">
              <w:t>60</w:t>
            </w:r>
          </w:p>
        </w:tc>
        <w:tc>
          <w:tcPr>
            <w:tcW w:w="2138" w:type="dxa"/>
          </w:tcPr>
          <w:p w14:paraId="1D542948" w14:textId="77777777" w:rsidR="00FF503B" w:rsidRPr="00DB1D7C" w:rsidRDefault="00FF503B" w:rsidP="008821DA">
            <w:pPr>
              <w:spacing w:after="160" w:line="259" w:lineRule="auto"/>
            </w:pPr>
            <w:r w:rsidRPr="00DB1D7C">
              <w:t>3.07 (2.42–3.89)</w:t>
            </w:r>
          </w:p>
        </w:tc>
        <w:tc>
          <w:tcPr>
            <w:tcW w:w="2138" w:type="dxa"/>
          </w:tcPr>
          <w:p w14:paraId="40C07E95" w14:textId="77777777" w:rsidR="00FF503B" w:rsidRPr="00DB1D7C" w:rsidRDefault="00FF503B" w:rsidP="008821DA">
            <w:pPr>
              <w:spacing w:after="160" w:line="259" w:lineRule="auto"/>
            </w:pPr>
            <w:r w:rsidRPr="00DB1D7C">
              <w:t>1.95 (1.63–2.33)</w:t>
            </w:r>
          </w:p>
        </w:tc>
        <w:tc>
          <w:tcPr>
            <w:tcW w:w="2138" w:type="dxa"/>
          </w:tcPr>
          <w:p w14:paraId="33C4E249" w14:textId="77777777" w:rsidR="00FF503B" w:rsidRPr="00DB1D7C" w:rsidRDefault="00FF503B" w:rsidP="008821DA">
            <w:pPr>
              <w:spacing w:after="160" w:line="259" w:lineRule="auto"/>
            </w:pPr>
            <w:r w:rsidRPr="00DB1D7C">
              <w:t>3.51 (2.85–4.33)</w:t>
            </w:r>
          </w:p>
        </w:tc>
      </w:tr>
      <w:tr w:rsidR="00FF503B" w:rsidRPr="00DB1D7C" w14:paraId="28FF3704" w14:textId="77777777" w:rsidTr="008821DA">
        <w:tc>
          <w:tcPr>
            <w:tcW w:w="1728" w:type="dxa"/>
          </w:tcPr>
          <w:p w14:paraId="18B49466" w14:textId="77777777" w:rsidR="00FF503B" w:rsidRPr="00DB1D7C" w:rsidRDefault="00FF503B" w:rsidP="008821DA">
            <w:pPr>
              <w:spacing w:after="160" w:line="259" w:lineRule="auto"/>
            </w:pPr>
            <w:r w:rsidRPr="00DB1D7C">
              <w:t>70</w:t>
            </w:r>
          </w:p>
        </w:tc>
        <w:tc>
          <w:tcPr>
            <w:tcW w:w="2138" w:type="dxa"/>
          </w:tcPr>
          <w:p w14:paraId="62ADCF97" w14:textId="77777777" w:rsidR="00FF503B" w:rsidRPr="00DB1D7C" w:rsidRDefault="00FF503B" w:rsidP="008821DA">
            <w:pPr>
              <w:spacing w:after="160" w:line="259" w:lineRule="auto"/>
            </w:pPr>
            <w:r w:rsidRPr="00DB1D7C">
              <w:t>2.78 (2.39–3.23)</w:t>
            </w:r>
          </w:p>
        </w:tc>
        <w:tc>
          <w:tcPr>
            <w:tcW w:w="2138" w:type="dxa"/>
          </w:tcPr>
          <w:p w14:paraId="4101B915" w14:textId="77777777" w:rsidR="00FF503B" w:rsidRPr="00DB1D7C" w:rsidRDefault="00FF503B" w:rsidP="008821DA">
            <w:pPr>
              <w:spacing w:after="160" w:line="259" w:lineRule="auto"/>
            </w:pPr>
            <w:r w:rsidRPr="00DB1D7C">
              <w:t>1.84 (1.65–2.05)</w:t>
            </w:r>
          </w:p>
        </w:tc>
        <w:tc>
          <w:tcPr>
            <w:tcW w:w="2138" w:type="dxa"/>
          </w:tcPr>
          <w:p w14:paraId="7A2643AD" w14:textId="77777777" w:rsidR="00FF503B" w:rsidRPr="00DB1D7C" w:rsidRDefault="00FF503B" w:rsidP="008821DA">
            <w:pPr>
              <w:spacing w:after="160" w:line="259" w:lineRule="auto"/>
            </w:pPr>
            <w:r w:rsidRPr="00DB1D7C">
              <w:t>2.91 (2.56–3.31)</w:t>
            </w:r>
          </w:p>
        </w:tc>
      </w:tr>
      <w:tr w:rsidR="00FF503B" w:rsidRPr="00DB1D7C" w14:paraId="269CDED7" w14:textId="77777777" w:rsidTr="008821DA">
        <w:tc>
          <w:tcPr>
            <w:tcW w:w="1728" w:type="dxa"/>
          </w:tcPr>
          <w:p w14:paraId="61EE4EF8" w14:textId="77777777" w:rsidR="00FF503B" w:rsidRPr="00DB1D7C" w:rsidRDefault="00FF503B" w:rsidP="008821DA">
            <w:pPr>
              <w:spacing w:after="160" w:line="259" w:lineRule="auto"/>
            </w:pPr>
            <w:r w:rsidRPr="00DB1D7C">
              <w:t>80</w:t>
            </w:r>
          </w:p>
        </w:tc>
        <w:tc>
          <w:tcPr>
            <w:tcW w:w="2138" w:type="dxa"/>
          </w:tcPr>
          <w:p w14:paraId="0E587AFB" w14:textId="77777777" w:rsidR="00FF503B" w:rsidRPr="00DB1D7C" w:rsidRDefault="00FF503B" w:rsidP="008821DA">
            <w:pPr>
              <w:spacing w:after="160" w:line="259" w:lineRule="auto"/>
            </w:pPr>
            <w:r w:rsidRPr="00DB1D7C">
              <w:t>2.28 (2.09–2.50)</w:t>
            </w:r>
          </w:p>
        </w:tc>
        <w:tc>
          <w:tcPr>
            <w:tcW w:w="2138" w:type="dxa"/>
          </w:tcPr>
          <w:p w14:paraId="73729E76" w14:textId="77777777" w:rsidR="00FF503B" w:rsidRPr="00DB1D7C" w:rsidRDefault="00FF503B" w:rsidP="008821DA">
            <w:pPr>
              <w:spacing w:after="160" w:line="259" w:lineRule="auto"/>
            </w:pPr>
            <w:r w:rsidRPr="00DB1D7C">
              <w:t>1.75 (1.62–1.90)</w:t>
            </w:r>
          </w:p>
        </w:tc>
        <w:tc>
          <w:tcPr>
            <w:tcW w:w="2138" w:type="dxa"/>
          </w:tcPr>
          <w:p w14:paraId="0F360650" w14:textId="77777777" w:rsidR="00FF503B" w:rsidRPr="00DB1D7C" w:rsidRDefault="00FF503B" w:rsidP="008821DA">
            <w:pPr>
              <w:spacing w:after="160" w:line="259" w:lineRule="auto"/>
            </w:pPr>
            <w:r w:rsidRPr="00DB1D7C">
              <w:t>2.42 (2.18–2.69)</w:t>
            </w:r>
          </w:p>
        </w:tc>
      </w:tr>
      <w:tr w:rsidR="00FF503B" w:rsidRPr="00DB1D7C" w14:paraId="2BB1A827" w14:textId="77777777" w:rsidTr="008821DA">
        <w:tc>
          <w:tcPr>
            <w:tcW w:w="1728" w:type="dxa"/>
          </w:tcPr>
          <w:p w14:paraId="6B1DA549" w14:textId="77777777" w:rsidR="00FF503B" w:rsidRPr="00DB1D7C" w:rsidRDefault="00FF503B" w:rsidP="008821DA">
            <w:pPr>
              <w:spacing w:after="160" w:line="259" w:lineRule="auto"/>
            </w:pPr>
            <w:r w:rsidRPr="00DB1D7C">
              <w:t>90</w:t>
            </w:r>
          </w:p>
        </w:tc>
        <w:tc>
          <w:tcPr>
            <w:tcW w:w="2138" w:type="dxa"/>
          </w:tcPr>
          <w:p w14:paraId="6B5AD0C9" w14:textId="77777777" w:rsidR="00FF503B" w:rsidRPr="00DB1D7C" w:rsidRDefault="00FF503B" w:rsidP="008821DA">
            <w:pPr>
              <w:spacing w:after="160" w:line="259" w:lineRule="auto"/>
            </w:pPr>
            <w:r w:rsidRPr="00DB1D7C">
              <w:t>1.70 (1.50–1.93)</w:t>
            </w:r>
          </w:p>
        </w:tc>
        <w:tc>
          <w:tcPr>
            <w:tcW w:w="2138" w:type="dxa"/>
          </w:tcPr>
          <w:p w14:paraId="1608A52F" w14:textId="77777777" w:rsidR="00FF503B" w:rsidRPr="00DB1D7C" w:rsidRDefault="00FF503B" w:rsidP="008821DA">
            <w:pPr>
              <w:spacing w:after="160" w:line="259" w:lineRule="auto"/>
            </w:pPr>
            <w:r w:rsidRPr="00DB1D7C">
              <w:t>1.66 (1.47–1.87)</w:t>
            </w:r>
          </w:p>
        </w:tc>
        <w:tc>
          <w:tcPr>
            <w:tcW w:w="2138" w:type="dxa"/>
          </w:tcPr>
          <w:p w14:paraId="64B5C0C8" w14:textId="77777777" w:rsidR="00FF503B" w:rsidRPr="00DB1D7C" w:rsidRDefault="00FF503B" w:rsidP="008821DA">
            <w:pPr>
              <w:spacing w:after="160" w:line="259" w:lineRule="auto"/>
            </w:pPr>
            <w:r w:rsidRPr="00DB1D7C">
              <w:t>2.02 (1.71–2.38)</w:t>
            </w:r>
          </w:p>
        </w:tc>
      </w:tr>
      <w:tr w:rsidR="00FF503B" w:rsidRPr="00DB1D7C" w14:paraId="31312306" w14:textId="77777777" w:rsidTr="008821DA">
        <w:tc>
          <w:tcPr>
            <w:tcW w:w="3866" w:type="dxa"/>
            <w:gridSpan w:val="2"/>
          </w:tcPr>
          <w:p w14:paraId="598C9E6F" w14:textId="77777777" w:rsidR="00FF503B" w:rsidRPr="00DB1D7C" w:rsidRDefault="00FF503B" w:rsidP="008821DA">
            <w:pPr>
              <w:spacing w:after="160" w:line="259" w:lineRule="auto"/>
              <w:rPr>
                <w:i/>
                <w:iCs/>
              </w:rPr>
            </w:pPr>
            <w:r w:rsidRPr="00DB1D7C">
              <w:rPr>
                <w:i/>
                <w:iCs/>
              </w:rPr>
              <w:t>(b) Other osteoporotic fractures</w:t>
            </w:r>
          </w:p>
        </w:tc>
        <w:tc>
          <w:tcPr>
            <w:tcW w:w="2138" w:type="dxa"/>
          </w:tcPr>
          <w:p w14:paraId="02A6DFFF" w14:textId="77777777" w:rsidR="00FF503B" w:rsidRPr="00DB1D7C" w:rsidRDefault="00FF503B" w:rsidP="008821DA">
            <w:pPr>
              <w:spacing w:after="160" w:line="259" w:lineRule="auto"/>
            </w:pPr>
          </w:p>
        </w:tc>
        <w:tc>
          <w:tcPr>
            <w:tcW w:w="2138" w:type="dxa"/>
          </w:tcPr>
          <w:p w14:paraId="56EBDAAE" w14:textId="77777777" w:rsidR="00FF503B" w:rsidRPr="00DB1D7C" w:rsidRDefault="00FF503B" w:rsidP="008821DA">
            <w:pPr>
              <w:spacing w:after="160" w:line="259" w:lineRule="auto"/>
            </w:pPr>
          </w:p>
        </w:tc>
      </w:tr>
      <w:tr w:rsidR="00FF503B" w:rsidRPr="00DB1D7C" w14:paraId="5287605D" w14:textId="77777777" w:rsidTr="008821DA">
        <w:tc>
          <w:tcPr>
            <w:tcW w:w="1728" w:type="dxa"/>
          </w:tcPr>
          <w:p w14:paraId="4519778B" w14:textId="77777777" w:rsidR="00FF503B" w:rsidRPr="00DB1D7C" w:rsidRDefault="00FF503B" w:rsidP="008821DA">
            <w:pPr>
              <w:spacing w:after="160" w:line="259" w:lineRule="auto"/>
            </w:pPr>
            <w:r w:rsidRPr="00DB1D7C">
              <w:t>50</w:t>
            </w:r>
          </w:p>
        </w:tc>
        <w:tc>
          <w:tcPr>
            <w:tcW w:w="2138" w:type="dxa"/>
          </w:tcPr>
          <w:p w14:paraId="7D0BEB94" w14:textId="77777777" w:rsidR="00FF503B" w:rsidRPr="00DB1D7C" w:rsidRDefault="00FF503B" w:rsidP="008821DA">
            <w:pPr>
              <w:spacing w:after="160" w:line="259" w:lineRule="auto"/>
            </w:pPr>
            <w:r w:rsidRPr="00DB1D7C">
              <w:t>1.19 (1.05–1.34)</w:t>
            </w:r>
          </w:p>
        </w:tc>
        <w:tc>
          <w:tcPr>
            <w:tcW w:w="2138" w:type="dxa"/>
          </w:tcPr>
          <w:p w14:paraId="4D599609" w14:textId="77777777" w:rsidR="00FF503B" w:rsidRPr="00DB1D7C" w:rsidRDefault="00FF503B" w:rsidP="008821DA">
            <w:pPr>
              <w:spacing w:after="160" w:line="259" w:lineRule="auto"/>
            </w:pPr>
            <w:r w:rsidRPr="00DB1D7C">
              <w:t>1.41 (1.28–1.56)</w:t>
            </w:r>
          </w:p>
        </w:tc>
        <w:tc>
          <w:tcPr>
            <w:tcW w:w="2138" w:type="dxa"/>
          </w:tcPr>
          <w:p w14:paraId="00DDA81F" w14:textId="77777777" w:rsidR="00FF503B" w:rsidRPr="00DB1D7C" w:rsidRDefault="00FF503B" w:rsidP="008821DA">
            <w:pPr>
              <w:spacing w:after="160" w:line="259" w:lineRule="auto"/>
            </w:pPr>
            <w:r w:rsidRPr="00DB1D7C">
              <w:t>1.44 (1.30–1.59)</w:t>
            </w:r>
          </w:p>
        </w:tc>
      </w:tr>
      <w:tr w:rsidR="00FF503B" w:rsidRPr="00DB1D7C" w14:paraId="7BCDF077" w14:textId="77777777" w:rsidTr="008821DA">
        <w:tc>
          <w:tcPr>
            <w:tcW w:w="1728" w:type="dxa"/>
          </w:tcPr>
          <w:p w14:paraId="2E88A4FB" w14:textId="77777777" w:rsidR="00FF503B" w:rsidRPr="00DB1D7C" w:rsidRDefault="00FF503B" w:rsidP="008821DA">
            <w:pPr>
              <w:spacing w:after="160" w:line="259" w:lineRule="auto"/>
            </w:pPr>
            <w:r w:rsidRPr="00DB1D7C">
              <w:t>60</w:t>
            </w:r>
          </w:p>
        </w:tc>
        <w:tc>
          <w:tcPr>
            <w:tcW w:w="2138" w:type="dxa"/>
          </w:tcPr>
          <w:p w14:paraId="4B2E0447" w14:textId="77777777" w:rsidR="00FF503B" w:rsidRPr="00DB1D7C" w:rsidRDefault="00FF503B" w:rsidP="008821DA">
            <w:pPr>
              <w:spacing w:after="160" w:line="259" w:lineRule="auto"/>
            </w:pPr>
            <w:r w:rsidRPr="00DB1D7C">
              <w:t>1.28 (1.18–1.39)</w:t>
            </w:r>
          </w:p>
        </w:tc>
        <w:tc>
          <w:tcPr>
            <w:tcW w:w="2138" w:type="dxa"/>
          </w:tcPr>
          <w:p w14:paraId="3F67027E" w14:textId="77777777" w:rsidR="00FF503B" w:rsidRPr="00DB1D7C" w:rsidRDefault="00FF503B" w:rsidP="008821DA">
            <w:pPr>
              <w:spacing w:after="160" w:line="259" w:lineRule="auto"/>
            </w:pPr>
            <w:r w:rsidRPr="00DB1D7C">
              <w:t>1.48 (1.39–1.58)</w:t>
            </w:r>
          </w:p>
        </w:tc>
        <w:tc>
          <w:tcPr>
            <w:tcW w:w="2138" w:type="dxa"/>
          </w:tcPr>
          <w:p w14:paraId="6DD7686C" w14:textId="77777777" w:rsidR="00FF503B" w:rsidRPr="00DB1D7C" w:rsidRDefault="00FF503B" w:rsidP="008821DA">
            <w:pPr>
              <w:spacing w:after="160" w:line="259" w:lineRule="auto"/>
            </w:pPr>
            <w:r w:rsidRPr="00DB1D7C">
              <w:t>1.52 (1.42–1.62)</w:t>
            </w:r>
          </w:p>
        </w:tc>
      </w:tr>
      <w:tr w:rsidR="00FF503B" w:rsidRPr="00DB1D7C" w14:paraId="1E47F856" w14:textId="77777777" w:rsidTr="008821DA">
        <w:tc>
          <w:tcPr>
            <w:tcW w:w="1728" w:type="dxa"/>
          </w:tcPr>
          <w:p w14:paraId="268F018A" w14:textId="77777777" w:rsidR="00FF503B" w:rsidRPr="00DB1D7C" w:rsidRDefault="00FF503B" w:rsidP="008821DA">
            <w:pPr>
              <w:spacing w:after="160" w:line="259" w:lineRule="auto"/>
            </w:pPr>
            <w:r w:rsidRPr="00DB1D7C">
              <w:t>70</w:t>
            </w:r>
          </w:p>
        </w:tc>
        <w:tc>
          <w:tcPr>
            <w:tcW w:w="2138" w:type="dxa"/>
          </w:tcPr>
          <w:p w14:paraId="573ACBCB" w14:textId="77777777" w:rsidR="00FF503B" w:rsidRPr="00DB1D7C" w:rsidRDefault="00FF503B" w:rsidP="008821DA">
            <w:pPr>
              <w:spacing w:after="160" w:line="259" w:lineRule="auto"/>
            </w:pPr>
            <w:r w:rsidRPr="00DB1D7C">
              <w:t>1.39 (1.30–1.48)</w:t>
            </w:r>
          </w:p>
        </w:tc>
        <w:tc>
          <w:tcPr>
            <w:tcW w:w="2138" w:type="dxa"/>
          </w:tcPr>
          <w:p w14:paraId="05A92196" w14:textId="77777777" w:rsidR="00FF503B" w:rsidRPr="00DB1D7C" w:rsidRDefault="00FF503B" w:rsidP="008821DA">
            <w:pPr>
              <w:spacing w:after="160" w:line="259" w:lineRule="auto"/>
            </w:pPr>
            <w:r w:rsidRPr="00DB1D7C">
              <w:t>1.55 (1.48–1.62)</w:t>
            </w:r>
          </w:p>
        </w:tc>
        <w:tc>
          <w:tcPr>
            <w:tcW w:w="2138" w:type="dxa"/>
          </w:tcPr>
          <w:p w14:paraId="447A2E1D" w14:textId="77777777" w:rsidR="00FF503B" w:rsidRPr="00DB1D7C" w:rsidRDefault="00FF503B" w:rsidP="008821DA">
            <w:pPr>
              <w:spacing w:after="160" w:line="259" w:lineRule="auto"/>
            </w:pPr>
            <w:r w:rsidRPr="00DB1D7C">
              <w:t>1.61 (1.54–1.68)</w:t>
            </w:r>
          </w:p>
        </w:tc>
      </w:tr>
      <w:tr w:rsidR="00FF503B" w:rsidRPr="00DB1D7C" w14:paraId="42EA40F4" w14:textId="77777777" w:rsidTr="008821DA">
        <w:tc>
          <w:tcPr>
            <w:tcW w:w="1728" w:type="dxa"/>
          </w:tcPr>
          <w:p w14:paraId="4A0EC100" w14:textId="77777777" w:rsidR="00FF503B" w:rsidRPr="00DB1D7C" w:rsidRDefault="00FF503B" w:rsidP="008821DA">
            <w:pPr>
              <w:spacing w:after="160" w:line="259" w:lineRule="auto"/>
            </w:pPr>
            <w:r w:rsidRPr="00DB1D7C">
              <w:t>80</w:t>
            </w:r>
          </w:p>
        </w:tc>
        <w:tc>
          <w:tcPr>
            <w:tcW w:w="2138" w:type="dxa"/>
          </w:tcPr>
          <w:p w14:paraId="330EFAF6" w14:textId="77777777" w:rsidR="00FF503B" w:rsidRPr="00DB1D7C" w:rsidRDefault="00FF503B" w:rsidP="008821DA">
            <w:pPr>
              <w:spacing w:after="160" w:line="259" w:lineRule="auto"/>
            </w:pPr>
            <w:r w:rsidRPr="00DB1D7C">
              <w:t>1.54 (1.44–1.65)</w:t>
            </w:r>
          </w:p>
        </w:tc>
        <w:tc>
          <w:tcPr>
            <w:tcW w:w="2138" w:type="dxa"/>
          </w:tcPr>
          <w:p w14:paraId="60BE80AA" w14:textId="77777777" w:rsidR="00FF503B" w:rsidRPr="00DB1D7C" w:rsidRDefault="00FF503B" w:rsidP="008821DA">
            <w:pPr>
              <w:spacing w:after="160" w:line="259" w:lineRule="auto"/>
            </w:pPr>
            <w:r w:rsidRPr="00DB1D7C">
              <w:t>1.63 (1.54–1.72)</w:t>
            </w:r>
          </w:p>
        </w:tc>
        <w:tc>
          <w:tcPr>
            <w:tcW w:w="2138" w:type="dxa"/>
          </w:tcPr>
          <w:p w14:paraId="075AD6AC" w14:textId="77777777" w:rsidR="00FF503B" w:rsidRPr="00DB1D7C" w:rsidRDefault="00FF503B" w:rsidP="008821DA">
            <w:pPr>
              <w:spacing w:after="160" w:line="259" w:lineRule="auto"/>
            </w:pPr>
            <w:r w:rsidRPr="00DB1D7C">
              <w:t>1.71 (1.62–1.80)</w:t>
            </w:r>
          </w:p>
        </w:tc>
      </w:tr>
      <w:tr w:rsidR="00FF503B" w:rsidRPr="00DB1D7C" w14:paraId="406DC885" w14:textId="77777777" w:rsidTr="008821DA">
        <w:tc>
          <w:tcPr>
            <w:tcW w:w="1728" w:type="dxa"/>
            <w:tcBorders>
              <w:bottom w:val="single" w:sz="12" w:space="0" w:color="auto"/>
            </w:tcBorders>
          </w:tcPr>
          <w:p w14:paraId="2FCA9A85" w14:textId="77777777" w:rsidR="00FF503B" w:rsidRPr="00DB1D7C" w:rsidRDefault="00FF503B" w:rsidP="008821DA">
            <w:pPr>
              <w:spacing w:after="160" w:line="259" w:lineRule="auto"/>
            </w:pPr>
            <w:r w:rsidRPr="00DB1D7C">
              <w:t>90</w:t>
            </w:r>
          </w:p>
        </w:tc>
        <w:tc>
          <w:tcPr>
            <w:tcW w:w="2138" w:type="dxa"/>
            <w:tcBorders>
              <w:bottom w:val="single" w:sz="12" w:space="0" w:color="auto"/>
            </w:tcBorders>
          </w:tcPr>
          <w:p w14:paraId="0A96BDE8" w14:textId="77777777" w:rsidR="00FF503B" w:rsidRPr="00DB1D7C" w:rsidRDefault="00FF503B" w:rsidP="008821DA">
            <w:pPr>
              <w:spacing w:after="160" w:line="259" w:lineRule="auto"/>
            </w:pPr>
            <w:r w:rsidRPr="00DB1D7C">
              <w:t>1.56 (1.40–1.75)</w:t>
            </w:r>
          </w:p>
        </w:tc>
        <w:tc>
          <w:tcPr>
            <w:tcW w:w="2138" w:type="dxa"/>
            <w:tcBorders>
              <w:bottom w:val="single" w:sz="12" w:space="0" w:color="auto"/>
            </w:tcBorders>
          </w:tcPr>
          <w:p w14:paraId="54001BBC" w14:textId="77777777" w:rsidR="00FF503B" w:rsidRPr="00DB1D7C" w:rsidRDefault="00FF503B" w:rsidP="008821DA">
            <w:pPr>
              <w:spacing w:after="160" w:line="259" w:lineRule="auto"/>
            </w:pPr>
            <w:r w:rsidRPr="00DB1D7C">
              <w:t>1.72 (1.58–1.88)</w:t>
            </w:r>
          </w:p>
        </w:tc>
        <w:tc>
          <w:tcPr>
            <w:tcW w:w="2138" w:type="dxa"/>
            <w:tcBorders>
              <w:bottom w:val="single" w:sz="12" w:space="0" w:color="auto"/>
            </w:tcBorders>
          </w:tcPr>
          <w:p w14:paraId="2334ECD1" w14:textId="77777777" w:rsidR="00FF503B" w:rsidRPr="00DB1D7C" w:rsidRDefault="00FF503B" w:rsidP="008821DA">
            <w:pPr>
              <w:spacing w:after="160" w:line="259" w:lineRule="auto"/>
            </w:pPr>
            <w:r w:rsidRPr="00DB1D7C">
              <w:t>1.81 (1.67–1.97)</w:t>
            </w:r>
          </w:p>
        </w:tc>
      </w:tr>
    </w:tbl>
    <w:p w14:paraId="4EB271CE" w14:textId="77777777" w:rsidR="00FF503B" w:rsidRPr="00DB1D7C" w:rsidRDefault="00FF503B" w:rsidP="00FF503B">
      <w:pPr>
        <w:rPr>
          <w:b/>
        </w:rPr>
      </w:pPr>
    </w:p>
    <w:p w14:paraId="61B2972E" w14:textId="591E5C7B" w:rsidR="003626E0" w:rsidRPr="00201A24" w:rsidRDefault="00315D7E" w:rsidP="00BE76AA">
      <w:pPr>
        <w:spacing w:line="276" w:lineRule="auto"/>
        <w:rPr>
          <w:rFonts w:ascii="Calibri" w:hAnsi="Calibri"/>
          <w:sz w:val="24"/>
          <w:szCs w:val="24"/>
        </w:rPr>
      </w:pPr>
      <w:r w:rsidRPr="00DB1D7C">
        <w:rPr>
          <w:rFonts w:ascii="Calibri" w:hAnsi="Calibri"/>
          <w:sz w:val="24"/>
          <w:szCs w:val="24"/>
        </w:rPr>
        <w:t>In this context</w:t>
      </w:r>
      <w:r w:rsidR="00660E48" w:rsidRPr="00DB1D7C">
        <w:rPr>
          <w:rFonts w:ascii="Calibri" w:hAnsi="Calibri"/>
          <w:sz w:val="24"/>
          <w:szCs w:val="24"/>
        </w:rPr>
        <w:t>, there</w:t>
      </w:r>
      <w:r w:rsidR="003626E0" w:rsidRPr="00DB1D7C">
        <w:rPr>
          <w:rFonts w:ascii="Calibri" w:hAnsi="Calibri"/>
          <w:sz w:val="24"/>
          <w:szCs w:val="24"/>
        </w:rPr>
        <w:t xml:space="preserve"> was a rash of so-called validation studies </w:t>
      </w:r>
      <w:r w:rsidRPr="00DB1D7C">
        <w:rPr>
          <w:rFonts w:ascii="Calibri" w:hAnsi="Calibri"/>
          <w:sz w:val="24"/>
          <w:szCs w:val="24"/>
        </w:rPr>
        <w:t>between 2009 and 201</w:t>
      </w:r>
      <w:r w:rsidR="00D61278" w:rsidRPr="00DB1D7C">
        <w:rPr>
          <w:rFonts w:ascii="Calibri" w:hAnsi="Calibri"/>
          <w:sz w:val="24"/>
          <w:szCs w:val="24"/>
        </w:rPr>
        <w:t>2</w:t>
      </w:r>
      <w:r w:rsidRPr="00DB1D7C">
        <w:rPr>
          <w:rFonts w:ascii="Calibri" w:hAnsi="Calibri"/>
          <w:sz w:val="24"/>
          <w:szCs w:val="24"/>
        </w:rPr>
        <w:t xml:space="preserve">, </w:t>
      </w:r>
      <w:r w:rsidR="003626E0" w:rsidRPr="00DB1D7C">
        <w:rPr>
          <w:rFonts w:ascii="Calibri" w:hAnsi="Calibri"/>
          <w:sz w:val="24"/>
          <w:szCs w:val="24"/>
        </w:rPr>
        <w:t xml:space="preserve">that reported the performance characteristics of FRAX using ROC </w:t>
      </w:r>
      <w:r w:rsidR="003626E0" w:rsidRPr="0083739E">
        <w:rPr>
          <w:rFonts w:ascii="Calibri" w:hAnsi="Calibri"/>
          <w:sz w:val="24"/>
          <w:szCs w:val="24"/>
        </w:rPr>
        <w:t>curves</w:t>
      </w:r>
      <w:r w:rsidR="00EC1785" w:rsidRPr="0083739E">
        <w:rPr>
          <w:rFonts w:ascii="Calibri" w:hAnsi="Calibri"/>
          <w:sz w:val="24"/>
          <w:szCs w:val="24"/>
        </w:rPr>
        <w:t xml:space="preserve"> </w:t>
      </w:r>
      <w:r w:rsidR="003B6595" w:rsidRPr="0083739E">
        <w:rPr>
          <w:sz w:val="24"/>
          <w:szCs w:val="24"/>
        </w:rPr>
        <w:t>[177</w:t>
      </w:r>
      <w:r w:rsidR="0083739E" w:rsidRPr="0083739E">
        <w:rPr>
          <w:sz w:val="24"/>
          <w:szCs w:val="24"/>
        </w:rPr>
        <w:t>-</w:t>
      </w:r>
      <w:r w:rsidR="00AF1DC8" w:rsidRPr="0083739E">
        <w:rPr>
          <w:sz w:val="24"/>
          <w:szCs w:val="24"/>
        </w:rPr>
        <w:t>188]</w:t>
      </w:r>
      <w:r w:rsidR="00A464E4" w:rsidRPr="0083739E">
        <w:rPr>
          <w:sz w:val="24"/>
          <w:szCs w:val="24"/>
        </w:rPr>
        <w:t xml:space="preserve"> to</w:t>
      </w:r>
      <w:r w:rsidR="00A464E4" w:rsidRPr="00DB1D7C">
        <w:rPr>
          <w:sz w:val="24"/>
          <w:szCs w:val="24"/>
        </w:rPr>
        <w:t xml:space="preserve"> give but a few</w:t>
      </w:r>
      <w:r w:rsidR="003626E0" w:rsidRPr="00DB1D7C">
        <w:rPr>
          <w:rFonts w:ascii="Calibri" w:hAnsi="Calibri"/>
          <w:sz w:val="24"/>
          <w:szCs w:val="24"/>
        </w:rPr>
        <w:t xml:space="preserve">.  </w:t>
      </w:r>
      <w:r w:rsidR="00A464E4" w:rsidRPr="00DB1D7C">
        <w:rPr>
          <w:rFonts w:ascii="Calibri" w:hAnsi="Calibri"/>
          <w:sz w:val="24"/>
          <w:szCs w:val="24"/>
        </w:rPr>
        <w:t xml:space="preserve">Other examples </w:t>
      </w:r>
      <w:r w:rsidR="00A464E4" w:rsidRPr="00201A24">
        <w:rPr>
          <w:rFonts w:ascii="Calibri" w:hAnsi="Calibri"/>
          <w:sz w:val="24"/>
          <w:szCs w:val="24"/>
        </w:rPr>
        <w:t xml:space="preserve">are given elsewhere </w:t>
      </w:r>
      <w:r w:rsidR="00AF1DC8" w:rsidRPr="00201A24">
        <w:rPr>
          <w:rFonts w:ascii="Calibri" w:hAnsi="Calibri"/>
          <w:sz w:val="24"/>
          <w:szCs w:val="24"/>
        </w:rPr>
        <w:t>[189]</w:t>
      </w:r>
      <w:r w:rsidR="00A464E4" w:rsidRPr="00201A24">
        <w:rPr>
          <w:rFonts w:ascii="Calibri" w:hAnsi="Calibri"/>
          <w:sz w:val="24"/>
          <w:szCs w:val="24"/>
        </w:rPr>
        <w:t xml:space="preserve">. </w:t>
      </w:r>
      <w:r w:rsidR="00BE76AA" w:rsidRPr="00201A24">
        <w:rPr>
          <w:rFonts w:ascii="Calibri" w:hAnsi="Calibri"/>
          <w:sz w:val="24"/>
          <w:szCs w:val="24"/>
        </w:rPr>
        <w:t>Some of these</w:t>
      </w:r>
      <w:r w:rsidR="003626E0" w:rsidRPr="00201A24">
        <w:rPr>
          <w:rFonts w:ascii="Calibri" w:hAnsi="Calibri"/>
          <w:sz w:val="24"/>
          <w:szCs w:val="24"/>
        </w:rPr>
        <w:t xml:space="preserve"> were summarised and reported by the National Clinical Guideline Centre </w:t>
      </w:r>
      <w:r w:rsidR="00AF1DC8" w:rsidRPr="00201A24">
        <w:rPr>
          <w:rFonts w:ascii="Calibri" w:hAnsi="Calibri"/>
          <w:sz w:val="24"/>
          <w:szCs w:val="24"/>
        </w:rPr>
        <w:t>[161]</w:t>
      </w:r>
      <w:r w:rsidR="003626E0" w:rsidRPr="00201A24">
        <w:rPr>
          <w:rFonts w:ascii="Calibri" w:hAnsi="Calibri"/>
          <w:sz w:val="24"/>
          <w:szCs w:val="24"/>
        </w:rPr>
        <w:t xml:space="preserve"> though, for unknown reasons, the validation studies </w:t>
      </w:r>
      <w:r w:rsidR="00660E48" w:rsidRPr="00201A24">
        <w:rPr>
          <w:rFonts w:ascii="Calibri" w:hAnsi="Calibri"/>
          <w:sz w:val="24"/>
          <w:szCs w:val="24"/>
        </w:rPr>
        <w:t xml:space="preserve">in Table </w:t>
      </w:r>
      <w:r w:rsidR="000305D7" w:rsidRPr="00201A24">
        <w:rPr>
          <w:rFonts w:ascii="Calibri" w:hAnsi="Calibri"/>
          <w:sz w:val="24"/>
          <w:szCs w:val="24"/>
        </w:rPr>
        <w:t>10</w:t>
      </w:r>
      <w:r w:rsidR="003626E0" w:rsidRPr="00201A24">
        <w:rPr>
          <w:rFonts w:ascii="Calibri" w:hAnsi="Calibri"/>
          <w:sz w:val="24"/>
          <w:szCs w:val="24"/>
        </w:rPr>
        <w:t xml:space="preserve"> were omitted.  The same paper reported sensitivities and specificities at a fixed but inappropriate threshold. For a variety of reasons, it is inappropriate to compare performance characteristics using ROC curves across studies </w:t>
      </w:r>
      <w:r w:rsidR="00AF1DC8" w:rsidRPr="00201A24">
        <w:rPr>
          <w:rFonts w:ascii="Calibri" w:hAnsi="Calibri"/>
          <w:sz w:val="24"/>
          <w:szCs w:val="24"/>
        </w:rPr>
        <w:t>[190]</w:t>
      </w:r>
      <w:r w:rsidR="003626E0" w:rsidRPr="00201A24">
        <w:rPr>
          <w:rFonts w:ascii="Calibri" w:hAnsi="Calibri"/>
          <w:sz w:val="24"/>
          <w:szCs w:val="24"/>
        </w:rPr>
        <w:t xml:space="preserve">.  Reasons include the variable follow up of different cohorts and the need to standardise by age </w:t>
      </w:r>
      <w:r w:rsidR="003E244A" w:rsidRPr="00201A24">
        <w:rPr>
          <w:rFonts w:ascii="Calibri" w:hAnsi="Calibri"/>
          <w:sz w:val="24"/>
          <w:szCs w:val="24"/>
        </w:rPr>
        <w:t>[14]</w:t>
      </w:r>
      <w:r w:rsidR="003626E0" w:rsidRPr="00201A24">
        <w:rPr>
          <w:rFonts w:ascii="Calibri" w:hAnsi="Calibri"/>
          <w:sz w:val="24"/>
          <w:szCs w:val="24"/>
        </w:rPr>
        <w:t xml:space="preserve">. </w:t>
      </w:r>
      <w:r w:rsidR="00EF00D3" w:rsidRPr="00201A24">
        <w:rPr>
          <w:rFonts w:ascii="Calibri" w:hAnsi="Calibri"/>
          <w:sz w:val="24"/>
          <w:szCs w:val="24"/>
        </w:rPr>
        <w:t xml:space="preserve">Fewer such analyses have been reported recently although those listed above regrettably still appear in systematic reviews </w:t>
      </w:r>
      <w:r w:rsidR="00AF1DC8" w:rsidRPr="00201A24">
        <w:rPr>
          <w:rFonts w:ascii="Calibri" w:hAnsi="Calibri"/>
          <w:sz w:val="24"/>
          <w:szCs w:val="24"/>
        </w:rPr>
        <w:t>[161</w:t>
      </w:r>
      <w:r w:rsidR="00EF00D3" w:rsidRPr="00201A24">
        <w:rPr>
          <w:rFonts w:ascii="Calibri" w:hAnsi="Calibri"/>
          <w:sz w:val="24"/>
          <w:szCs w:val="24"/>
        </w:rPr>
        <w:t xml:space="preserve">, </w:t>
      </w:r>
      <w:r w:rsidR="00AF1DC8" w:rsidRPr="00201A24">
        <w:rPr>
          <w:rFonts w:ascii="Calibri" w:hAnsi="Calibri"/>
          <w:sz w:val="24"/>
          <w:szCs w:val="24"/>
        </w:rPr>
        <w:t>191</w:t>
      </w:r>
      <w:r w:rsidR="00EF00D3" w:rsidRPr="00201A24">
        <w:rPr>
          <w:rFonts w:ascii="Calibri" w:hAnsi="Calibri"/>
          <w:sz w:val="24"/>
          <w:szCs w:val="24"/>
        </w:rPr>
        <w:t xml:space="preserve">, </w:t>
      </w:r>
      <w:proofErr w:type="gramStart"/>
      <w:r w:rsidR="00AF1DC8" w:rsidRPr="00201A24">
        <w:rPr>
          <w:rFonts w:ascii="Calibri" w:hAnsi="Calibri"/>
          <w:sz w:val="24"/>
          <w:szCs w:val="24"/>
        </w:rPr>
        <w:t>192</w:t>
      </w:r>
      <w:proofErr w:type="gramEnd"/>
      <w:r w:rsidR="00EF00D3" w:rsidRPr="00201A24">
        <w:rPr>
          <w:rFonts w:ascii="Calibri" w:hAnsi="Calibri"/>
          <w:sz w:val="24"/>
          <w:szCs w:val="24"/>
        </w:rPr>
        <w:t xml:space="preserve">].  For the reasons given above, we prefer the use of gradients of risk as given in Table 10. </w:t>
      </w:r>
      <w:r w:rsidR="00A464E4" w:rsidRPr="00201A24">
        <w:rPr>
          <w:rFonts w:ascii="Calibri" w:hAnsi="Calibri"/>
          <w:sz w:val="24"/>
          <w:szCs w:val="24"/>
        </w:rPr>
        <w:t xml:space="preserve">  </w:t>
      </w:r>
    </w:p>
    <w:p w14:paraId="1B5EA23F" w14:textId="7D49413E" w:rsidR="003626E0" w:rsidRPr="00201A24" w:rsidRDefault="00012D21" w:rsidP="0007526E">
      <w:pPr>
        <w:spacing w:line="276" w:lineRule="auto"/>
        <w:rPr>
          <w:rFonts w:ascii="Calibri" w:hAnsi="Calibri"/>
          <w:i/>
          <w:sz w:val="24"/>
          <w:szCs w:val="24"/>
        </w:rPr>
      </w:pPr>
      <w:r w:rsidRPr="00201A24">
        <w:rPr>
          <w:rFonts w:ascii="Calibri" w:hAnsi="Calibri"/>
          <w:i/>
          <w:sz w:val="24"/>
          <w:szCs w:val="24"/>
        </w:rPr>
        <w:t xml:space="preserve">Comparing </w:t>
      </w:r>
      <w:r w:rsidR="0007526E" w:rsidRPr="00201A24">
        <w:rPr>
          <w:rFonts w:ascii="Calibri" w:hAnsi="Calibri"/>
          <w:i/>
          <w:sz w:val="24"/>
          <w:szCs w:val="24"/>
        </w:rPr>
        <w:t>cohort-specific</w:t>
      </w:r>
      <w:r w:rsidRPr="00201A24">
        <w:rPr>
          <w:rFonts w:ascii="Calibri" w:hAnsi="Calibri"/>
          <w:i/>
          <w:sz w:val="24"/>
          <w:szCs w:val="24"/>
        </w:rPr>
        <w:t xml:space="preserve"> models with FRAX</w:t>
      </w:r>
    </w:p>
    <w:p w14:paraId="5323EBEE" w14:textId="7FD980E5" w:rsidR="008821DA" w:rsidRPr="00DB1D7C" w:rsidRDefault="00EF00D3" w:rsidP="0007526E">
      <w:pPr>
        <w:spacing w:line="276" w:lineRule="auto"/>
        <w:rPr>
          <w:sz w:val="24"/>
          <w:szCs w:val="24"/>
        </w:rPr>
      </w:pPr>
      <w:r w:rsidRPr="00201A24">
        <w:rPr>
          <w:sz w:val="24"/>
          <w:szCs w:val="24"/>
        </w:rPr>
        <w:t>Omission of CRFs from fracture prediction models has been suggested in a number of publications,</w:t>
      </w:r>
      <w:r w:rsidR="008821DA" w:rsidRPr="00201A24">
        <w:rPr>
          <w:sz w:val="24"/>
          <w:szCs w:val="24"/>
        </w:rPr>
        <w:t xml:space="preserve"> since alternative and simpler models discriminate as well as or better than FRAX</w:t>
      </w:r>
      <w:r w:rsidR="005509DC" w:rsidRPr="00201A24">
        <w:rPr>
          <w:sz w:val="24"/>
          <w:szCs w:val="24"/>
        </w:rPr>
        <w:t xml:space="preserve"> [178</w:t>
      </w:r>
      <w:r w:rsidR="0083739E" w:rsidRPr="00201A24">
        <w:rPr>
          <w:sz w:val="24"/>
          <w:szCs w:val="24"/>
        </w:rPr>
        <w:t>-</w:t>
      </w:r>
      <w:r w:rsidR="008821DA" w:rsidRPr="00201A24">
        <w:rPr>
          <w:sz w:val="24"/>
          <w:szCs w:val="24"/>
        </w:rPr>
        <w:t xml:space="preserve"> </w:t>
      </w:r>
      <w:r w:rsidR="005509DC" w:rsidRPr="00201A24">
        <w:rPr>
          <w:sz w:val="24"/>
          <w:szCs w:val="24"/>
        </w:rPr>
        <w:t>184]</w:t>
      </w:r>
      <w:r w:rsidR="00DF29F5" w:rsidRPr="00201A24">
        <w:rPr>
          <w:sz w:val="24"/>
          <w:szCs w:val="24"/>
        </w:rPr>
        <w:t>.</w:t>
      </w:r>
      <w:r w:rsidR="008821DA" w:rsidRPr="00201A24">
        <w:rPr>
          <w:sz w:val="24"/>
          <w:szCs w:val="24"/>
        </w:rPr>
        <w:t xml:space="preserve"> </w:t>
      </w:r>
      <w:r w:rsidR="00DF29F5" w:rsidRPr="00201A24">
        <w:rPr>
          <w:sz w:val="24"/>
          <w:szCs w:val="24"/>
        </w:rPr>
        <w:t xml:space="preserve"> </w:t>
      </w:r>
      <w:r w:rsidR="008821DA" w:rsidRPr="00201A24">
        <w:rPr>
          <w:sz w:val="24"/>
          <w:szCs w:val="24"/>
        </w:rPr>
        <w:t xml:space="preserve">The attraction for the deletion of CRFs is either to convert a complex model into a simpler tool </w:t>
      </w:r>
      <w:r w:rsidRPr="00201A24">
        <w:rPr>
          <w:sz w:val="24"/>
          <w:szCs w:val="24"/>
        </w:rPr>
        <w:t>that is easier to</w:t>
      </w:r>
      <w:r w:rsidR="008821DA" w:rsidRPr="00201A24">
        <w:rPr>
          <w:sz w:val="24"/>
          <w:szCs w:val="24"/>
        </w:rPr>
        <w:t xml:space="preserve"> use in routine clinical practice, or to have a more accurate tool for a local population.  The argument runs that the application of an independent ‘home grown’ model to an index cohort with fewer risk factors gives the same or better discrimination of cases and controls than does the more complex FRAX model.  Irrespective of the reasoning, the logic is faulty as are the methodological approaches </w:t>
      </w:r>
      <w:r w:rsidR="005509DC" w:rsidRPr="00201A24">
        <w:rPr>
          <w:sz w:val="24"/>
          <w:szCs w:val="24"/>
        </w:rPr>
        <w:t>[193]</w:t>
      </w:r>
      <w:r w:rsidR="008821DA" w:rsidRPr="00201A24">
        <w:rPr>
          <w:sz w:val="24"/>
          <w:szCs w:val="24"/>
        </w:rPr>
        <w:t>.</w:t>
      </w:r>
      <w:r w:rsidR="008821DA" w:rsidRPr="00DB1D7C">
        <w:rPr>
          <w:sz w:val="24"/>
          <w:szCs w:val="24"/>
        </w:rPr>
        <w:t xml:space="preserve"> An internal model will almost invariably provide higher gradients of risk (or fracture discrimination) than models that are derived externally. This arises because the internal model is constructed to best fit the data within the index cohort, whereas an external model is necessarily derived from other sources.  It follows that any assessment of predictive value </w:t>
      </w:r>
      <w:r w:rsidR="008821DA" w:rsidRPr="00DB1D7C">
        <w:rPr>
          <w:sz w:val="24"/>
          <w:szCs w:val="24"/>
        </w:rPr>
        <w:lastRenderedPageBreak/>
        <w:t>within a single cohort will not necessarily be identical to the predictive value for the future.  In the context of fracture risk prediction, the internal model is un-validated and only of retrospective value to the population studied.</w:t>
      </w:r>
    </w:p>
    <w:p w14:paraId="241EEED7" w14:textId="5632CC5F" w:rsidR="008821DA" w:rsidRDefault="008821DA" w:rsidP="0007526E">
      <w:pPr>
        <w:spacing w:line="276" w:lineRule="auto"/>
        <w:rPr>
          <w:sz w:val="24"/>
          <w:szCs w:val="24"/>
        </w:rPr>
      </w:pPr>
      <w:r w:rsidRPr="00DB1D7C">
        <w:rPr>
          <w:sz w:val="24"/>
          <w:szCs w:val="24"/>
        </w:rPr>
        <w:t xml:space="preserve">The fallacy of comparing internal with external models is shown in a report by </w:t>
      </w:r>
      <w:proofErr w:type="spellStart"/>
      <w:r w:rsidRPr="00DB1D7C">
        <w:rPr>
          <w:sz w:val="24"/>
          <w:szCs w:val="24"/>
        </w:rPr>
        <w:t>Bolland</w:t>
      </w:r>
      <w:proofErr w:type="spellEnd"/>
      <w:r w:rsidRPr="00DB1D7C">
        <w:rPr>
          <w:sz w:val="24"/>
          <w:szCs w:val="24"/>
        </w:rPr>
        <w:t xml:space="preserve"> and </w:t>
      </w:r>
      <w:r w:rsidRPr="00201A24">
        <w:rPr>
          <w:sz w:val="24"/>
          <w:szCs w:val="24"/>
        </w:rPr>
        <w:t xml:space="preserve">colleagues </w:t>
      </w:r>
      <w:r w:rsidR="005509DC" w:rsidRPr="00201A24">
        <w:rPr>
          <w:sz w:val="24"/>
          <w:szCs w:val="24"/>
        </w:rPr>
        <w:t>[180]</w:t>
      </w:r>
      <w:r w:rsidRPr="00201A24">
        <w:rPr>
          <w:sz w:val="24"/>
          <w:szCs w:val="24"/>
        </w:rPr>
        <w:t xml:space="preserve"> who</w:t>
      </w:r>
      <w:r w:rsidRPr="00DB1D7C">
        <w:rPr>
          <w:sz w:val="24"/>
          <w:szCs w:val="24"/>
        </w:rPr>
        <w:t xml:space="preserve"> studied a cohort of healthy women from New Zealand enrolled in a 5</w:t>
      </w:r>
      <w:r w:rsidR="00DF29F5">
        <w:rPr>
          <w:sz w:val="24"/>
          <w:szCs w:val="24"/>
        </w:rPr>
        <w:t>-</w:t>
      </w:r>
      <w:r w:rsidRPr="00DB1D7C">
        <w:rPr>
          <w:sz w:val="24"/>
          <w:szCs w:val="24"/>
        </w:rPr>
        <w:t>year trial of calcium supplements, and followed on average for 8.8 years. The area under the curve (AUC) for receiver operating characteristic curves (ROC) curve for hip fracture was 0.69-0.70 with FRAX.  The AUC was similar in the cohort –specific model that only used age.</w:t>
      </w:r>
      <w:r w:rsidR="004C2B7A" w:rsidRPr="00DB1D7C">
        <w:rPr>
          <w:sz w:val="24"/>
          <w:szCs w:val="24"/>
        </w:rPr>
        <w:t xml:space="preserve"> </w:t>
      </w:r>
    </w:p>
    <w:p w14:paraId="5824E534" w14:textId="77777777" w:rsidR="004C2B7A" w:rsidRPr="00DB1D7C" w:rsidRDefault="004C2B7A" w:rsidP="0007526E">
      <w:pPr>
        <w:spacing w:line="276" w:lineRule="auto"/>
        <w:rPr>
          <w:sz w:val="24"/>
          <w:szCs w:val="24"/>
        </w:rPr>
      </w:pPr>
    </w:p>
    <w:p w14:paraId="268E83E1" w14:textId="387F7C91" w:rsidR="00EE1884" w:rsidRPr="00DB1D7C" w:rsidRDefault="00EE1884" w:rsidP="003626E0">
      <w:pPr>
        <w:rPr>
          <w:rFonts w:ascii="Calibri" w:hAnsi="Calibri"/>
          <w:b/>
          <w:sz w:val="24"/>
          <w:szCs w:val="24"/>
        </w:rPr>
      </w:pPr>
      <w:r w:rsidRPr="00DB1D7C">
        <w:rPr>
          <w:rFonts w:ascii="Calibri" w:hAnsi="Calibri"/>
          <w:b/>
          <w:sz w:val="24"/>
          <w:szCs w:val="24"/>
        </w:rPr>
        <w:t xml:space="preserve">Calibration of FRAX </w:t>
      </w:r>
    </w:p>
    <w:p w14:paraId="51DB8ACF" w14:textId="5B97F8EF" w:rsidR="003626E0" w:rsidRPr="00DB1D7C" w:rsidRDefault="003626E0" w:rsidP="001958CF">
      <w:pPr>
        <w:spacing w:line="276" w:lineRule="auto"/>
        <w:rPr>
          <w:rFonts w:ascii="Calibri" w:hAnsi="Calibri"/>
          <w:sz w:val="24"/>
          <w:szCs w:val="24"/>
        </w:rPr>
      </w:pPr>
      <w:r w:rsidRPr="00201A24">
        <w:rPr>
          <w:rFonts w:ascii="Calibri" w:hAnsi="Calibri"/>
          <w:sz w:val="24"/>
          <w:szCs w:val="24"/>
        </w:rPr>
        <w:t xml:space="preserve">Several sources have reported that there are limited studies of the calibration available for FRAX </w:t>
      </w:r>
      <w:r w:rsidR="005509DC" w:rsidRPr="00201A24">
        <w:rPr>
          <w:rFonts w:ascii="Calibri" w:hAnsi="Calibri"/>
          <w:sz w:val="24"/>
          <w:szCs w:val="24"/>
        </w:rPr>
        <w:t>[161</w:t>
      </w:r>
      <w:r w:rsidRPr="00201A24">
        <w:rPr>
          <w:rFonts w:ascii="Calibri" w:hAnsi="Calibri"/>
          <w:sz w:val="24"/>
          <w:szCs w:val="24"/>
        </w:rPr>
        <w:t>,</w:t>
      </w:r>
      <w:r w:rsidR="00201A24" w:rsidRPr="00201A24">
        <w:rPr>
          <w:rFonts w:ascii="Calibri" w:hAnsi="Calibri"/>
          <w:sz w:val="24"/>
          <w:szCs w:val="24"/>
        </w:rPr>
        <w:t xml:space="preserve"> </w:t>
      </w:r>
      <w:r w:rsidR="005509DC" w:rsidRPr="00201A24">
        <w:rPr>
          <w:rFonts w:ascii="Calibri" w:hAnsi="Calibri"/>
          <w:sz w:val="24"/>
          <w:szCs w:val="24"/>
        </w:rPr>
        <w:t>192]</w:t>
      </w:r>
      <w:r w:rsidRPr="00201A24">
        <w:rPr>
          <w:rFonts w:ascii="Calibri" w:hAnsi="Calibri"/>
          <w:sz w:val="24"/>
          <w:szCs w:val="24"/>
        </w:rPr>
        <w:t xml:space="preserve">.  However, the view is somewhat misplaced in that each FRAX model goes through an </w:t>
      </w:r>
      <w:r w:rsidRPr="00201A24">
        <w:rPr>
          <w:rFonts w:ascii="Calibri" w:hAnsi="Calibri"/>
          <w:i/>
          <w:sz w:val="24"/>
          <w:szCs w:val="24"/>
        </w:rPr>
        <w:t>internal</w:t>
      </w:r>
      <w:r w:rsidRPr="00201A24">
        <w:rPr>
          <w:rFonts w:ascii="Calibri" w:hAnsi="Calibri"/>
          <w:sz w:val="24"/>
          <w:szCs w:val="24"/>
        </w:rPr>
        <w:t xml:space="preserve"> calibration step </w:t>
      </w:r>
      <w:r w:rsidR="00755086" w:rsidRPr="00201A24">
        <w:rPr>
          <w:rFonts w:ascii="Calibri" w:hAnsi="Calibri"/>
          <w:sz w:val="24"/>
          <w:szCs w:val="24"/>
        </w:rPr>
        <w:t>[8]</w:t>
      </w:r>
      <w:r w:rsidRPr="00201A24">
        <w:rPr>
          <w:rFonts w:ascii="Calibri" w:hAnsi="Calibri"/>
          <w:sz w:val="24"/>
          <w:szCs w:val="24"/>
        </w:rPr>
        <w:t>.  Thus</w:t>
      </w:r>
      <w:r w:rsidRPr="00DB1D7C">
        <w:rPr>
          <w:rFonts w:ascii="Calibri" w:hAnsi="Calibri"/>
          <w:sz w:val="24"/>
          <w:szCs w:val="24"/>
        </w:rPr>
        <w:t xml:space="preserve">, if the whole population of a country were to be </w:t>
      </w:r>
      <w:proofErr w:type="spellStart"/>
      <w:r w:rsidRPr="00DB1D7C">
        <w:rPr>
          <w:rFonts w:ascii="Calibri" w:hAnsi="Calibri"/>
          <w:sz w:val="24"/>
          <w:szCs w:val="24"/>
        </w:rPr>
        <w:t>FRAXed</w:t>
      </w:r>
      <w:proofErr w:type="spellEnd"/>
      <w:r w:rsidRPr="00DB1D7C">
        <w:rPr>
          <w:rFonts w:ascii="Calibri" w:hAnsi="Calibri"/>
          <w:sz w:val="24"/>
          <w:szCs w:val="24"/>
        </w:rPr>
        <w:t xml:space="preserve"> with the country-specific model, the number of deaths and </w:t>
      </w:r>
      <w:r w:rsidR="00212E4F">
        <w:rPr>
          <w:rFonts w:ascii="Calibri" w:hAnsi="Calibri"/>
          <w:sz w:val="24"/>
          <w:szCs w:val="24"/>
        </w:rPr>
        <w:t xml:space="preserve">hip </w:t>
      </w:r>
      <w:r w:rsidRPr="00DB1D7C">
        <w:rPr>
          <w:rFonts w:ascii="Calibri" w:hAnsi="Calibri"/>
          <w:sz w:val="24"/>
          <w:szCs w:val="24"/>
        </w:rPr>
        <w:t>fractures would match those predicted by FRAX.  The calibration is, however, dependent on the accuracy of the fracture hazard and death hazard for each country or ethnicity.  For this reason, where possible, FRAX models are built on national data.</w:t>
      </w:r>
    </w:p>
    <w:p w14:paraId="63B85809" w14:textId="4F8E689B" w:rsidR="004B506B" w:rsidRPr="00DB1D7C" w:rsidRDefault="004B506B" w:rsidP="001958CF">
      <w:pPr>
        <w:spacing w:line="276" w:lineRule="auto"/>
        <w:rPr>
          <w:rFonts w:ascii="Calibri" w:hAnsi="Calibri"/>
          <w:sz w:val="24"/>
          <w:szCs w:val="24"/>
        </w:rPr>
      </w:pPr>
      <w:r w:rsidRPr="00DB1D7C">
        <w:rPr>
          <w:rFonts w:ascii="Calibri" w:hAnsi="Calibri"/>
          <w:sz w:val="24"/>
          <w:szCs w:val="24"/>
        </w:rPr>
        <w:t xml:space="preserve">Additionally any validation exercise will be critically dependent on the representativeness of the population tested for the index country.  There are </w:t>
      </w:r>
      <w:r w:rsidR="00F35170" w:rsidRPr="00DB1D7C">
        <w:rPr>
          <w:rFonts w:ascii="Calibri" w:hAnsi="Calibri"/>
          <w:sz w:val="24"/>
          <w:szCs w:val="24"/>
        </w:rPr>
        <w:t>several</w:t>
      </w:r>
      <w:r w:rsidRPr="00DB1D7C">
        <w:rPr>
          <w:rFonts w:ascii="Calibri" w:hAnsi="Calibri"/>
          <w:sz w:val="24"/>
          <w:szCs w:val="24"/>
        </w:rPr>
        <w:t xml:space="preserve"> studies that have studied populations that represent national populations. </w:t>
      </w:r>
    </w:p>
    <w:p w14:paraId="48891F9B" w14:textId="68BDC3B2" w:rsidR="00852373" w:rsidRPr="00DB1D7C" w:rsidRDefault="00852373" w:rsidP="001958CF">
      <w:pPr>
        <w:spacing w:line="276" w:lineRule="auto"/>
        <w:rPr>
          <w:rFonts w:ascii="Calibri" w:hAnsi="Calibri"/>
          <w:i/>
          <w:sz w:val="24"/>
          <w:szCs w:val="24"/>
        </w:rPr>
      </w:pPr>
      <w:r w:rsidRPr="00DB1D7C">
        <w:rPr>
          <w:rFonts w:ascii="Calibri" w:hAnsi="Calibri"/>
          <w:i/>
          <w:sz w:val="24"/>
          <w:szCs w:val="24"/>
        </w:rPr>
        <w:t>England</w:t>
      </w:r>
    </w:p>
    <w:p w14:paraId="34C8CD92" w14:textId="3B2BDE40" w:rsidR="00564199" w:rsidRPr="00DB1D7C" w:rsidRDefault="004B506B" w:rsidP="001958CF">
      <w:pPr>
        <w:spacing w:line="276" w:lineRule="auto"/>
        <w:rPr>
          <w:rFonts w:ascii="Calibri" w:hAnsi="Calibri"/>
          <w:sz w:val="24"/>
          <w:szCs w:val="24"/>
        </w:rPr>
      </w:pPr>
      <w:r w:rsidRPr="00DB1D7C">
        <w:rPr>
          <w:rFonts w:ascii="Calibri" w:hAnsi="Calibri"/>
          <w:sz w:val="24"/>
          <w:szCs w:val="24"/>
        </w:rPr>
        <w:t xml:space="preserve">The first was based on a UK prospective open cohort study of routinely collected data from 357 general practices on over 2 million men and women aged 30-85 years. The area under the ROC curve for the FRAX algorithm in hip fracture prediction was 0.85 for women and 0.82 for men.  Given the small differences in the incidence of hip fracture assumed by FRAX and </w:t>
      </w:r>
      <w:r w:rsidRPr="00201A24">
        <w:rPr>
          <w:rFonts w:ascii="Calibri" w:hAnsi="Calibri"/>
          <w:sz w:val="24"/>
          <w:szCs w:val="24"/>
        </w:rPr>
        <w:t>that observed in the cohort, FRAX appears well calibrated</w:t>
      </w:r>
      <w:r w:rsidR="00502789" w:rsidRPr="00201A24">
        <w:rPr>
          <w:rFonts w:ascii="Calibri" w:hAnsi="Calibri"/>
          <w:sz w:val="24"/>
          <w:szCs w:val="24"/>
        </w:rPr>
        <w:t xml:space="preserve"> for hip fracture</w:t>
      </w:r>
      <w:r w:rsidRPr="00201A24">
        <w:rPr>
          <w:rFonts w:ascii="Calibri" w:hAnsi="Calibri"/>
          <w:sz w:val="24"/>
          <w:szCs w:val="24"/>
        </w:rPr>
        <w:t xml:space="preserve"> </w:t>
      </w:r>
      <w:r w:rsidR="00502789" w:rsidRPr="00201A24">
        <w:rPr>
          <w:rFonts w:ascii="Calibri" w:hAnsi="Calibri"/>
          <w:sz w:val="24"/>
          <w:szCs w:val="24"/>
        </w:rPr>
        <w:t xml:space="preserve">in </w:t>
      </w:r>
      <w:r w:rsidRPr="00201A24">
        <w:rPr>
          <w:rFonts w:ascii="Calibri" w:hAnsi="Calibri"/>
          <w:sz w:val="24"/>
          <w:szCs w:val="24"/>
        </w:rPr>
        <w:t>the UK.</w:t>
      </w:r>
      <w:r w:rsidR="00502789" w:rsidRPr="00201A24">
        <w:rPr>
          <w:rFonts w:ascii="Calibri" w:hAnsi="Calibri"/>
          <w:sz w:val="24"/>
          <w:szCs w:val="24"/>
        </w:rPr>
        <w:t xml:space="preserve"> The calibration of major osteoporotic fractures differs markedly when compared with Q fracture </w:t>
      </w:r>
      <w:r w:rsidR="00315672" w:rsidRPr="00201A24">
        <w:rPr>
          <w:rFonts w:ascii="Calibri" w:hAnsi="Calibri"/>
          <w:sz w:val="24"/>
          <w:szCs w:val="24"/>
        </w:rPr>
        <w:t xml:space="preserve">[9] </w:t>
      </w:r>
      <w:r w:rsidR="00570897" w:rsidRPr="00201A24">
        <w:rPr>
          <w:rFonts w:ascii="Calibri" w:hAnsi="Calibri"/>
          <w:sz w:val="24"/>
          <w:szCs w:val="24"/>
        </w:rPr>
        <w:t xml:space="preserve">(Figure </w:t>
      </w:r>
      <w:r w:rsidR="0032217D" w:rsidRPr="00201A24">
        <w:rPr>
          <w:rFonts w:ascii="Calibri" w:hAnsi="Calibri"/>
          <w:sz w:val="24"/>
          <w:szCs w:val="24"/>
        </w:rPr>
        <w:t>1</w:t>
      </w:r>
      <w:r w:rsidR="00453D85" w:rsidRPr="00201A24">
        <w:rPr>
          <w:rFonts w:ascii="Calibri" w:hAnsi="Calibri"/>
          <w:sz w:val="24"/>
          <w:szCs w:val="24"/>
        </w:rPr>
        <w:t>8</w:t>
      </w:r>
      <w:r w:rsidR="00DF29F5" w:rsidRPr="00201A24">
        <w:rPr>
          <w:rFonts w:ascii="Calibri" w:hAnsi="Calibri"/>
          <w:sz w:val="24"/>
          <w:szCs w:val="24"/>
        </w:rPr>
        <w:t xml:space="preserve">), which has been attributed </w:t>
      </w:r>
      <w:r w:rsidR="00502789" w:rsidRPr="00201A24">
        <w:rPr>
          <w:rFonts w:ascii="Calibri" w:hAnsi="Calibri"/>
          <w:sz w:val="24"/>
          <w:szCs w:val="24"/>
        </w:rPr>
        <w:t xml:space="preserve">to a greater accuracy of QFracture compared with FRAX </w:t>
      </w:r>
      <w:r w:rsidR="00315672" w:rsidRPr="00201A24">
        <w:rPr>
          <w:rFonts w:ascii="Calibri" w:hAnsi="Calibri"/>
          <w:sz w:val="24"/>
          <w:szCs w:val="24"/>
        </w:rPr>
        <w:t>[11</w:t>
      </w:r>
      <w:r w:rsidR="00201A24" w:rsidRPr="00201A24">
        <w:rPr>
          <w:rFonts w:ascii="Calibri" w:hAnsi="Calibri"/>
          <w:sz w:val="24"/>
          <w:szCs w:val="24"/>
        </w:rPr>
        <w:t>,</w:t>
      </w:r>
      <w:r w:rsidR="00502789" w:rsidRPr="00201A24">
        <w:rPr>
          <w:rFonts w:ascii="Calibri" w:hAnsi="Calibri"/>
          <w:sz w:val="24"/>
          <w:szCs w:val="24"/>
        </w:rPr>
        <w:t xml:space="preserve"> </w:t>
      </w:r>
      <w:r w:rsidR="008546A7" w:rsidRPr="00201A24">
        <w:rPr>
          <w:rFonts w:ascii="Calibri" w:hAnsi="Calibri"/>
          <w:sz w:val="24"/>
          <w:szCs w:val="24"/>
        </w:rPr>
        <w:t>32]</w:t>
      </w:r>
      <w:r w:rsidR="00502789" w:rsidRPr="00201A24">
        <w:rPr>
          <w:rFonts w:ascii="Calibri" w:hAnsi="Calibri"/>
          <w:sz w:val="24"/>
          <w:szCs w:val="24"/>
        </w:rPr>
        <w:t xml:space="preserve">.  </w:t>
      </w:r>
      <w:r w:rsidR="00DF29F5" w:rsidRPr="00201A24">
        <w:rPr>
          <w:rFonts w:ascii="Calibri" w:hAnsi="Calibri"/>
          <w:sz w:val="24"/>
          <w:szCs w:val="24"/>
        </w:rPr>
        <w:t xml:space="preserve">However, the available evidence indicates that the converse is more likely, and that QFracture is poorly calibrated for this fracture outcome, probably because of the low quality of computerised general practitioner records </w:t>
      </w:r>
      <w:r w:rsidR="003E244A" w:rsidRPr="00201A24">
        <w:rPr>
          <w:sz w:val="24"/>
          <w:szCs w:val="24"/>
        </w:rPr>
        <w:t>[13]</w:t>
      </w:r>
      <w:r w:rsidR="00DF29F5" w:rsidRPr="00201A24">
        <w:rPr>
          <w:rFonts w:ascii="Calibri" w:hAnsi="Calibri"/>
          <w:sz w:val="24"/>
          <w:szCs w:val="24"/>
        </w:rPr>
        <w:t>.</w:t>
      </w:r>
    </w:p>
    <w:p w14:paraId="1009B088" w14:textId="77777777" w:rsidR="00BE76AA" w:rsidRPr="00DB1D7C" w:rsidRDefault="00BE76AA" w:rsidP="00BE76AA">
      <w:pPr>
        <w:autoSpaceDE w:val="0"/>
        <w:autoSpaceDN w:val="0"/>
        <w:adjustRightInd w:val="0"/>
        <w:spacing w:line="240" w:lineRule="auto"/>
        <w:jc w:val="center"/>
        <w:rPr>
          <w:rFonts w:cs="MyriadPro-Regular"/>
          <w:sz w:val="24"/>
          <w:szCs w:val="24"/>
        </w:rPr>
      </w:pPr>
      <w:r w:rsidRPr="00DB1D7C">
        <w:rPr>
          <w:rFonts w:cs="Times New Roman"/>
          <w:noProof/>
          <w:color w:val="FF0000"/>
          <w:lang w:eastAsia="en-GB"/>
        </w:rPr>
        <w:lastRenderedPageBreak/>
        <w:drawing>
          <wp:inline distT="0" distB="0" distL="0" distR="0" wp14:anchorId="6BF2D813" wp14:editId="5E584B7C">
            <wp:extent cx="4571999" cy="2581275"/>
            <wp:effectExtent l="0" t="0" r="63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a:srcRect t="24722"/>
                    <a:stretch/>
                  </pic:blipFill>
                  <pic:spPr bwMode="auto">
                    <a:xfrm>
                      <a:off x="0" y="0"/>
                      <a:ext cx="4572638" cy="2581636"/>
                    </a:xfrm>
                    <a:prstGeom prst="rect">
                      <a:avLst/>
                    </a:prstGeom>
                    <a:ln>
                      <a:noFill/>
                    </a:ln>
                    <a:extLst>
                      <a:ext uri="{53640926-AAD7-44D8-BBD7-CCE9431645EC}">
                        <a14:shadowObscured xmlns:a14="http://schemas.microsoft.com/office/drawing/2010/main"/>
                      </a:ext>
                    </a:extLst>
                  </pic:spPr>
                </pic:pic>
              </a:graphicData>
            </a:graphic>
          </wp:inline>
        </w:drawing>
      </w:r>
    </w:p>
    <w:p w14:paraId="5EC5F91E" w14:textId="09391F35" w:rsidR="00BE76AA" w:rsidRPr="00DB1D7C" w:rsidRDefault="00570897" w:rsidP="00570897">
      <w:pPr>
        <w:autoSpaceDE w:val="0"/>
        <w:autoSpaceDN w:val="0"/>
        <w:adjustRightInd w:val="0"/>
        <w:spacing w:line="240" w:lineRule="auto"/>
        <w:ind w:left="709" w:right="804"/>
        <w:rPr>
          <w:rFonts w:cs="MyriadPro-Regular"/>
        </w:rPr>
      </w:pPr>
      <w:r w:rsidRPr="00DB1D7C">
        <w:rPr>
          <w:rFonts w:cs="MyriadPro-Regular"/>
          <w:b/>
        </w:rPr>
        <w:t xml:space="preserve">Figure </w:t>
      </w:r>
      <w:r w:rsidR="0032217D" w:rsidRPr="00DB1D7C">
        <w:rPr>
          <w:rFonts w:cs="MyriadPro-Regular"/>
          <w:b/>
        </w:rPr>
        <w:t>1</w:t>
      </w:r>
      <w:r w:rsidR="00453D85">
        <w:rPr>
          <w:rFonts w:cs="MyriadPro-Regular"/>
          <w:b/>
        </w:rPr>
        <w:t>8</w:t>
      </w:r>
      <w:r w:rsidR="00DF29F5">
        <w:rPr>
          <w:rFonts w:cs="MyriadPro-Regular"/>
          <w:b/>
        </w:rPr>
        <w:t>.</w:t>
      </w:r>
      <w:r w:rsidR="00BE76AA" w:rsidRPr="00DB1D7C">
        <w:rPr>
          <w:rFonts w:cs="MyriadPro-Regular"/>
        </w:rPr>
        <w:t xml:space="preserve">  Comparison of the distribution of FRAX and QFracture (QF) model output by decile of risk in women for hip fracture (left panel</w:t>
      </w:r>
      <w:r w:rsidR="0052078A" w:rsidRPr="00DB1D7C">
        <w:rPr>
          <w:rFonts w:cs="MyriadPro-Regular"/>
        </w:rPr>
        <w:t>)</w:t>
      </w:r>
      <w:r w:rsidR="00BE76AA" w:rsidRPr="00DB1D7C">
        <w:rPr>
          <w:rFonts w:cs="MyriadPro-Regular"/>
        </w:rPr>
        <w:t xml:space="preserve"> and major fracture (right panel).  The diagonal line shows the line of identity</w:t>
      </w:r>
      <w:r w:rsidR="002F2CD8" w:rsidRPr="00DB1D7C">
        <w:rPr>
          <w:rFonts w:cs="MyriadPro-Regular"/>
        </w:rPr>
        <w:t>.</w:t>
      </w:r>
      <w:r w:rsidR="00BE76AA" w:rsidRPr="00DB1D7C">
        <w:rPr>
          <w:rFonts w:cs="MyriadPro-Regular"/>
        </w:rPr>
        <w:t xml:space="preserve"> </w:t>
      </w:r>
      <w:r w:rsidR="00201A24" w:rsidRPr="00201A24">
        <w:rPr>
          <w:rFonts w:cs="MyriadPro-Regular"/>
        </w:rPr>
        <w:t>From</w:t>
      </w:r>
      <w:r w:rsidR="003E244A" w:rsidRPr="00201A24">
        <w:rPr>
          <w:sz w:val="24"/>
          <w:szCs w:val="24"/>
        </w:rPr>
        <w:t xml:space="preserve"> [13]</w:t>
      </w:r>
      <w:r w:rsidR="002F2CD8" w:rsidRPr="00201A24">
        <w:rPr>
          <w:rFonts w:cs="MyriadPro-Regular"/>
        </w:rPr>
        <w:t xml:space="preserve"> with</w:t>
      </w:r>
      <w:r w:rsidR="002F2CD8" w:rsidRPr="00DB1D7C">
        <w:rPr>
          <w:rFonts w:cs="MyriadPro-Regular"/>
        </w:rPr>
        <w:t xml:space="preserve"> kind permission from Springer Science and Business Media.</w:t>
      </w:r>
    </w:p>
    <w:p w14:paraId="59BE79FB" w14:textId="77777777" w:rsidR="00BE76AA" w:rsidRPr="00DB1D7C" w:rsidRDefault="00BE76AA" w:rsidP="003626E0">
      <w:pPr>
        <w:rPr>
          <w:rFonts w:ascii="Calibri" w:hAnsi="Calibri"/>
          <w:sz w:val="24"/>
          <w:szCs w:val="24"/>
        </w:rPr>
      </w:pPr>
    </w:p>
    <w:p w14:paraId="1CADA938" w14:textId="275DBBC8" w:rsidR="00852373" w:rsidRPr="00DB1D7C" w:rsidRDefault="00852373" w:rsidP="001958CF">
      <w:pPr>
        <w:autoSpaceDE w:val="0"/>
        <w:autoSpaceDN w:val="0"/>
        <w:adjustRightInd w:val="0"/>
        <w:spacing w:after="240" w:line="276" w:lineRule="auto"/>
        <w:rPr>
          <w:rFonts w:cs="AdvP9B22"/>
          <w:i/>
          <w:sz w:val="24"/>
          <w:szCs w:val="24"/>
        </w:rPr>
      </w:pPr>
      <w:r w:rsidRPr="00DB1D7C">
        <w:rPr>
          <w:rFonts w:cs="AdvP9B22"/>
          <w:i/>
          <w:sz w:val="24"/>
          <w:szCs w:val="24"/>
        </w:rPr>
        <w:t>Canada</w:t>
      </w:r>
    </w:p>
    <w:p w14:paraId="13556B86" w14:textId="7FD1EC68" w:rsidR="00A40493" w:rsidRPr="00DB1D7C" w:rsidRDefault="00A40493" w:rsidP="00C1314A">
      <w:pPr>
        <w:autoSpaceDE w:val="0"/>
        <w:autoSpaceDN w:val="0"/>
        <w:adjustRightInd w:val="0"/>
        <w:spacing w:after="240" w:line="276" w:lineRule="auto"/>
        <w:rPr>
          <w:sz w:val="24"/>
          <w:szCs w:val="24"/>
        </w:rPr>
      </w:pPr>
      <w:r w:rsidRPr="00DB1D7C">
        <w:rPr>
          <w:rFonts w:cs="AdvP9B22"/>
          <w:sz w:val="24"/>
          <w:szCs w:val="24"/>
        </w:rPr>
        <w:t xml:space="preserve">The second study was from </w:t>
      </w:r>
      <w:r w:rsidRPr="00201A24">
        <w:rPr>
          <w:rFonts w:cs="AdvP9B22"/>
          <w:sz w:val="24"/>
          <w:szCs w:val="24"/>
        </w:rPr>
        <w:t xml:space="preserve">Canada </w:t>
      </w:r>
      <w:r w:rsidR="005509DC" w:rsidRPr="00201A24">
        <w:rPr>
          <w:rFonts w:cs="AdvP9B22"/>
          <w:sz w:val="24"/>
          <w:szCs w:val="24"/>
        </w:rPr>
        <w:t>[194]</w:t>
      </w:r>
      <w:r w:rsidRPr="00201A24">
        <w:rPr>
          <w:rFonts w:cs="AdvP9B22"/>
          <w:sz w:val="24"/>
          <w:szCs w:val="24"/>
        </w:rPr>
        <w:t>.</w:t>
      </w:r>
      <w:r w:rsidRPr="00DB1D7C">
        <w:rPr>
          <w:rFonts w:cs="AdvP9B22"/>
          <w:sz w:val="24"/>
          <w:szCs w:val="24"/>
        </w:rPr>
        <w:t xml:space="preserve">  Observed</w:t>
      </w:r>
      <w:r w:rsidRPr="00DB1D7C">
        <w:rPr>
          <w:iCs/>
          <w:sz w:val="24"/>
          <w:szCs w:val="24"/>
        </w:rPr>
        <w:t xml:space="preserve"> ten</w:t>
      </w:r>
      <w:r w:rsidR="00DF29F5">
        <w:rPr>
          <w:iCs/>
          <w:sz w:val="24"/>
          <w:szCs w:val="24"/>
        </w:rPr>
        <w:t>-</w:t>
      </w:r>
      <w:r w:rsidRPr="00DB1D7C">
        <w:rPr>
          <w:iCs/>
          <w:sz w:val="24"/>
          <w:szCs w:val="24"/>
        </w:rPr>
        <w:t xml:space="preserve">year fracture incidence from men and women in the </w:t>
      </w:r>
      <w:proofErr w:type="spellStart"/>
      <w:r w:rsidRPr="00DB1D7C">
        <w:rPr>
          <w:iCs/>
          <w:sz w:val="24"/>
          <w:szCs w:val="24"/>
        </w:rPr>
        <w:t>CaMos</w:t>
      </w:r>
      <w:proofErr w:type="spellEnd"/>
      <w:r w:rsidRPr="00DB1D7C">
        <w:rPr>
          <w:iCs/>
          <w:sz w:val="24"/>
          <w:szCs w:val="24"/>
        </w:rPr>
        <w:t xml:space="preserve"> study (n = 1,919 and 4,778, respectively) </w:t>
      </w:r>
      <w:r w:rsidR="00212E4F">
        <w:rPr>
          <w:iCs/>
          <w:sz w:val="24"/>
          <w:szCs w:val="24"/>
        </w:rPr>
        <w:t>was</w:t>
      </w:r>
      <w:r w:rsidRPr="00DB1D7C">
        <w:rPr>
          <w:iCs/>
          <w:sz w:val="24"/>
          <w:szCs w:val="24"/>
        </w:rPr>
        <w:t xml:space="preserve"> compared with fracture probabilities based on the Canadian FRAX tool (both without and with BMD)</w:t>
      </w:r>
      <w:r w:rsidR="00EF00D3">
        <w:rPr>
          <w:iCs/>
          <w:sz w:val="24"/>
          <w:szCs w:val="24"/>
        </w:rPr>
        <w:t>.</w:t>
      </w:r>
      <w:r w:rsidRPr="00DB1D7C">
        <w:rPr>
          <w:iCs/>
          <w:sz w:val="24"/>
          <w:szCs w:val="24"/>
        </w:rPr>
        <w:t xml:space="preserve"> </w:t>
      </w:r>
      <w:r w:rsidRPr="00DB1D7C">
        <w:rPr>
          <w:sz w:val="24"/>
          <w:szCs w:val="24"/>
        </w:rPr>
        <w:t xml:space="preserve">FRAX-estimated </w:t>
      </w:r>
      <w:r w:rsidR="00212E4F">
        <w:rPr>
          <w:sz w:val="24"/>
          <w:szCs w:val="24"/>
        </w:rPr>
        <w:t>10</w:t>
      </w:r>
      <w:r w:rsidR="00DF29F5">
        <w:rPr>
          <w:sz w:val="24"/>
          <w:szCs w:val="24"/>
        </w:rPr>
        <w:t>-</w:t>
      </w:r>
      <w:r w:rsidR="00212E4F">
        <w:rPr>
          <w:sz w:val="24"/>
          <w:szCs w:val="24"/>
        </w:rPr>
        <w:t>y</w:t>
      </w:r>
      <w:r w:rsidRPr="00DB1D7C">
        <w:rPr>
          <w:sz w:val="24"/>
          <w:szCs w:val="24"/>
        </w:rPr>
        <w:t>ear probabilit</w:t>
      </w:r>
      <w:r w:rsidR="00DF29F5">
        <w:rPr>
          <w:sz w:val="24"/>
          <w:szCs w:val="24"/>
        </w:rPr>
        <w:t>ies</w:t>
      </w:r>
      <w:r w:rsidRPr="00DB1D7C">
        <w:rPr>
          <w:sz w:val="24"/>
          <w:szCs w:val="24"/>
        </w:rPr>
        <w:t xml:space="preserve"> for a major osteoporotic fracture </w:t>
      </w:r>
      <w:r w:rsidR="00DF29F5">
        <w:rPr>
          <w:sz w:val="24"/>
          <w:szCs w:val="24"/>
        </w:rPr>
        <w:t>w</w:t>
      </w:r>
      <w:r w:rsidR="00EF00D3">
        <w:rPr>
          <w:sz w:val="24"/>
          <w:szCs w:val="24"/>
        </w:rPr>
        <w:t>ere</w:t>
      </w:r>
      <w:r w:rsidRPr="00DB1D7C">
        <w:rPr>
          <w:sz w:val="24"/>
          <w:szCs w:val="24"/>
        </w:rPr>
        <w:t xml:space="preserve"> </w:t>
      </w:r>
      <w:r w:rsidR="00DF29F5">
        <w:rPr>
          <w:sz w:val="24"/>
          <w:szCs w:val="24"/>
        </w:rPr>
        <w:t>similar to</w:t>
      </w:r>
      <w:r w:rsidRPr="00DB1D7C">
        <w:rPr>
          <w:sz w:val="24"/>
          <w:szCs w:val="24"/>
        </w:rPr>
        <w:t xml:space="preserve"> the incidence rates in men (5.4</w:t>
      </w:r>
      <w:r w:rsidR="00E8657B">
        <w:rPr>
          <w:sz w:val="24"/>
          <w:szCs w:val="24"/>
        </w:rPr>
        <w:t xml:space="preserve"> </w:t>
      </w:r>
      <w:r w:rsidRPr="00DB1D7C">
        <w:rPr>
          <w:sz w:val="24"/>
          <w:szCs w:val="24"/>
        </w:rPr>
        <w:t>% vs. 6.4</w:t>
      </w:r>
      <w:r w:rsidR="00E8657B">
        <w:rPr>
          <w:sz w:val="24"/>
          <w:szCs w:val="24"/>
        </w:rPr>
        <w:t xml:space="preserve"> </w:t>
      </w:r>
      <w:r w:rsidRPr="00DB1D7C">
        <w:rPr>
          <w:sz w:val="24"/>
          <w:szCs w:val="24"/>
        </w:rPr>
        <w:t>%, respectively) and in women (10.8% vs. 12.0%).  Similar findings were reported for hip fracture risk. Comparable finding</w:t>
      </w:r>
      <w:r w:rsidR="00DF29F5">
        <w:rPr>
          <w:sz w:val="24"/>
          <w:szCs w:val="24"/>
        </w:rPr>
        <w:t>s</w:t>
      </w:r>
      <w:r w:rsidRPr="00DB1D7C">
        <w:rPr>
          <w:sz w:val="24"/>
          <w:szCs w:val="24"/>
        </w:rPr>
        <w:t xml:space="preserve"> were </w:t>
      </w:r>
      <w:r w:rsidR="00570897" w:rsidRPr="00DB1D7C">
        <w:rPr>
          <w:sz w:val="24"/>
          <w:szCs w:val="24"/>
        </w:rPr>
        <w:t xml:space="preserve">also </w:t>
      </w:r>
      <w:r w:rsidRPr="00DB1D7C">
        <w:rPr>
          <w:sz w:val="24"/>
          <w:szCs w:val="24"/>
        </w:rPr>
        <w:t xml:space="preserve">reported in a large Canadian BMD referral population from </w:t>
      </w:r>
      <w:r w:rsidRPr="00DB6399">
        <w:rPr>
          <w:sz w:val="24"/>
          <w:szCs w:val="24"/>
        </w:rPr>
        <w:t>Manitoba</w:t>
      </w:r>
      <w:r w:rsidR="00201A24" w:rsidRPr="00DB6399">
        <w:rPr>
          <w:sz w:val="24"/>
          <w:szCs w:val="24"/>
        </w:rPr>
        <w:t xml:space="preserve"> </w:t>
      </w:r>
      <w:r w:rsidR="00B15005" w:rsidRPr="00DB6399">
        <w:rPr>
          <w:sz w:val="24"/>
          <w:szCs w:val="24"/>
        </w:rPr>
        <w:t>[195]</w:t>
      </w:r>
      <w:r w:rsidRPr="00DB6399">
        <w:rPr>
          <w:sz w:val="24"/>
          <w:szCs w:val="24"/>
        </w:rPr>
        <w:t xml:space="preserve"> (Figure</w:t>
      </w:r>
      <w:r w:rsidRPr="00453D85">
        <w:rPr>
          <w:sz w:val="24"/>
          <w:szCs w:val="24"/>
        </w:rPr>
        <w:t xml:space="preserve"> </w:t>
      </w:r>
      <w:r w:rsidR="0052078A" w:rsidRPr="00453D85">
        <w:rPr>
          <w:sz w:val="24"/>
          <w:szCs w:val="24"/>
        </w:rPr>
        <w:t>1</w:t>
      </w:r>
      <w:r w:rsidR="00453D85" w:rsidRPr="00453D85">
        <w:rPr>
          <w:sz w:val="24"/>
          <w:szCs w:val="24"/>
        </w:rPr>
        <w:t>9</w:t>
      </w:r>
      <w:r w:rsidRPr="00453D85">
        <w:rPr>
          <w:sz w:val="24"/>
          <w:szCs w:val="24"/>
        </w:rPr>
        <w:t>).</w:t>
      </w:r>
      <w:r w:rsidRPr="00DB1D7C">
        <w:rPr>
          <w:sz w:val="24"/>
          <w:szCs w:val="24"/>
        </w:rPr>
        <w:t xml:space="preserve">  Note however, that incidence is compared with probability so that, as expected, incidence values are higher than probability values. </w:t>
      </w:r>
      <w:r w:rsidR="00C1314A">
        <w:rPr>
          <w:sz w:val="24"/>
          <w:szCs w:val="24"/>
        </w:rPr>
        <w:t>In a subsequent analysis in untreated women</w:t>
      </w:r>
      <w:r w:rsidR="00C44063">
        <w:rPr>
          <w:sz w:val="24"/>
          <w:szCs w:val="24"/>
        </w:rPr>
        <w:t xml:space="preserve">, </w:t>
      </w:r>
      <w:r w:rsidR="00C1314A" w:rsidRPr="00C1314A">
        <w:rPr>
          <w:sz w:val="24"/>
          <w:szCs w:val="24"/>
        </w:rPr>
        <w:t xml:space="preserve">FRAX estimates </w:t>
      </w:r>
      <w:r w:rsidR="00C44063">
        <w:rPr>
          <w:sz w:val="24"/>
          <w:szCs w:val="24"/>
        </w:rPr>
        <w:t xml:space="preserve">of </w:t>
      </w:r>
      <w:r w:rsidR="00C1314A" w:rsidRPr="00C1314A">
        <w:rPr>
          <w:sz w:val="24"/>
          <w:szCs w:val="24"/>
        </w:rPr>
        <w:t xml:space="preserve">fracture probability </w:t>
      </w:r>
      <w:r w:rsidR="00C44063">
        <w:rPr>
          <w:sz w:val="24"/>
          <w:szCs w:val="24"/>
        </w:rPr>
        <w:t xml:space="preserve">were very closely matched with those observed when </w:t>
      </w:r>
      <w:r w:rsidR="00C1314A" w:rsidRPr="00C1314A">
        <w:rPr>
          <w:sz w:val="24"/>
          <w:szCs w:val="24"/>
        </w:rPr>
        <w:t>adjusted</w:t>
      </w:r>
      <w:r w:rsidR="00C44063">
        <w:rPr>
          <w:sz w:val="24"/>
          <w:szCs w:val="24"/>
        </w:rPr>
        <w:t xml:space="preserve"> </w:t>
      </w:r>
      <w:r w:rsidR="00C1314A" w:rsidRPr="00C1314A">
        <w:rPr>
          <w:sz w:val="24"/>
          <w:szCs w:val="24"/>
        </w:rPr>
        <w:t>for competing mortality</w:t>
      </w:r>
      <w:r w:rsidR="00C44063">
        <w:rPr>
          <w:sz w:val="24"/>
          <w:szCs w:val="24"/>
        </w:rPr>
        <w:t xml:space="preserve">; for hip fracture, the mean predicted probability was 1.9% and that observed </w:t>
      </w:r>
      <w:r w:rsidR="00C44063" w:rsidRPr="00C1314A">
        <w:rPr>
          <w:sz w:val="24"/>
          <w:szCs w:val="24"/>
        </w:rPr>
        <w:t>was</w:t>
      </w:r>
      <w:r w:rsidR="00C44063">
        <w:rPr>
          <w:sz w:val="24"/>
          <w:szCs w:val="24"/>
        </w:rPr>
        <w:t xml:space="preserve"> 1.9%.  For major fractures, the respective values were 10.9% and 10.0% (95% CI, 8.8-11.2)</w:t>
      </w:r>
      <w:r w:rsidR="00267A0E">
        <w:rPr>
          <w:sz w:val="24"/>
          <w:szCs w:val="24"/>
        </w:rPr>
        <w:t xml:space="preserve"> [</w:t>
      </w:r>
      <w:r w:rsidR="00DB6399">
        <w:rPr>
          <w:sz w:val="24"/>
          <w:szCs w:val="24"/>
        </w:rPr>
        <w:t>197</w:t>
      </w:r>
      <w:r w:rsidR="00267A0E">
        <w:rPr>
          <w:sz w:val="24"/>
          <w:szCs w:val="24"/>
        </w:rPr>
        <w:t>]</w:t>
      </w:r>
      <w:r w:rsidR="00C44063">
        <w:rPr>
          <w:sz w:val="24"/>
          <w:szCs w:val="24"/>
        </w:rPr>
        <w:t>.</w:t>
      </w:r>
      <w:r w:rsidR="00267A0E">
        <w:rPr>
          <w:sz w:val="24"/>
          <w:szCs w:val="24"/>
        </w:rPr>
        <w:t xml:space="preserve"> Thus, </w:t>
      </w:r>
      <w:r w:rsidRPr="00DB1D7C">
        <w:rPr>
          <w:rFonts w:cs="AdvP9B22"/>
          <w:sz w:val="24"/>
          <w:szCs w:val="24"/>
        </w:rPr>
        <w:t>FRAX appears well calibrated for Canada.</w:t>
      </w:r>
      <w:r w:rsidR="00C44063" w:rsidRPr="00C44063">
        <w:rPr>
          <w:sz w:val="24"/>
          <w:szCs w:val="24"/>
        </w:rPr>
        <w:t xml:space="preserve"> </w:t>
      </w:r>
      <w:r w:rsidR="00C44063" w:rsidRPr="00C44063">
        <w:rPr>
          <w:rFonts w:cs="AdvP9B22"/>
          <w:sz w:val="24"/>
          <w:szCs w:val="24"/>
        </w:rPr>
        <w:t>A strength of these studies is that fracture incidence was collected over 10 years and only the first major fracture taken into account.</w:t>
      </w:r>
    </w:p>
    <w:p w14:paraId="4F0A9FE3" w14:textId="68CB8D84" w:rsidR="00A40493" w:rsidRPr="00DB1D7C" w:rsidRDefault="00B6422F" w:rsidP="00570897">
      <w:pPr>
        <w:autoSpaceDE w:val="0"/>
        <w:autoSpaceDN w:val="0"/>
        <w:adjustRightInd w:val="0"/>
        <w:spacing w:after="240" w:line="360" w:lineRule="auto"/>
        <w:jc w:val="center"/>
      </w:pPr>
      <w:r>
        <w:lastRenderedPageBreak/>
        <w:pict w14:anchorId="5D1BEC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46.6pt">
            <v:imagedata r:id="rId35" o:title="" croptop="3834f" cropbottom="1643f"/>
          </v:shape>
        </w:pict>
      </w:r>
    </w:p>
    <w:p w14:paraId="65A4A7BF" w14:textId="47ABF5CF" w:rsidR="00A40493" w:rsidRPr="00DB1D7C" w:rsidRDefault="00A40493" w:rsidP="00201CCF">
      <w:pPr>
        <w:tabs>
          <w:tab w:val="right" w:pos="360"/>
          <w:tab w:val="left" w:pos="540"/>
        </w:tabs>
        <w:spacing w:line="276" w:lineRule="auto"/>
        <w:ind w:left="709" w:right="662"/>
      </w:pPr>
      <w:r w:rsidRPr="00453D85">
        <w:rPr>
          <w:b/>
          <w:bCs/>
        </w:rPr>
        <w:t xml:space="preserve">Figure </w:t>
      </w:r>
      <w:r w:rsidR="0052078A" w:rsidRPr="00453D85">
        <w:rPr>
          <w:b/>
          <w:bCs/>
        </w:rPr>
        <w:t>1</w:t>
      </w:r>
      <w:r w:rsidR="00453D85" w:rsidRPr="00453D85">
        <w:rPr>
          <w:b/>
          <w:bCs/>
        </w:rPr>
        <w:t>9.</w:t>
      </w:r>
      <w:r w:rsidRPr="00453D85">
        <w:t xml:space="preserve">  10</w:t>
      </w:r>
      <w:r w:rsidR="00DF29F5" w:rsidRPr="00453D85">
        <w:t>-</w:t>
      </w:r>
      <w:r w:rsidRPr="00453D85">
        <w:t>year</w:t>
      </w:r>
      <w:r w:rsidRPr="00DB1D7C">
        <w:t xml:space="preserve"> fracture probability for a major fracture derived from the Canadian FRAX tool with and without BMD versus observed 10 year fracture rates (95</w:t>
      </w:r>
      <w:r w:rsidR="00E8657B">
        <w:t xml:space="preserve"> </w:t>
      </w:r>
      <w:r w:rsidRPr="00DB1D7C">
        <w:t>% confidence interval) by risk category (low, less than 10</w:t>
      </w:r>
      <w:r w:rsidR="00E8657B">
        <w:t xml:space="preserve"> </w:t>
      </w:r>
      <w:r w:rsidRPr="00DB1D7C">
        <w:t>%; moderate, 10-20</w:t>
      </w:r>
      <w:r w:rsidR="00E8657B">
        <w:t xml:space="preserve"> </w:t>
      </w:r>
      <w:r w:rsidRPr="00DB1D7C">
        <w:t>%; high, greater than 20</w:t>
      </w:r>
      <w:r w:rsidR="00E8657B">
        <w:t xml:space="preserve"> </w:t>
      </w:r>
      <w:r w:rsidRPr="00DB1D7C">
        <w:t xml:space="preserve">%) with BMD (solid line) and without BMD (dashed line).  The dashed line depicts the line of identity. Redrawn </w:t>
      </w:r>
      <w:r w:rsidRPr="00DB6399">
        <w:t>from</w:t>
      </w:r>
      <w:r w:rsidRPr="00DB6399">
        <w:rPr>
          <w:rFonts w:cs="AdvP9B22"/>
        </w:rPr>
        <w:t xml:space="preserve"> </w:t>
      </w:r>
      <w:r w:rsidR="00B15005" w:rsidRPr="00DB6399">
        <w:t>[195]</w:t>
      </w:r>
      <w:r w:rsidRPr="00DB6399">
        <w:t>.</w:t>
      </w:r>
      <w:r w:rsidRPr="00201A24">
        <w:t xml:space="preserve">  </w:t>
      </w:r>
    </w:p>
    <w:p w14:paraId="73E201B7" w14:textId="03B24EE5" w:rsidR="003626E0" w:rsidRPr="00DB1D7C" w:rsidRDefault="00852373" w:rsidP="003626E0">
      <w:pPr>
        <w:rPr>
          <w:rFonts w:ascii="Calibri" w:hAnsi="Calibri"/>
          <w:i/>
          <w:sz w:val="24"/>
          <w:szCs w:val="24"/>
        </w:rPr>
      </w:pPr>
      <w:r w:rsidRPr="00DB1D7C">
        <w:rPr>
          <w:rFonts w:ascii="Calibri" w:hAnsi="Calibri"/>
          <w:i/>
          <w:sz w:val="24"/>
          <w:szCs w:val="24"/>
        </w:rPr>
        <w:t>Denmark</w:t>
      </w:r>
    </w:p>
    <w:p w14:paraId="157CCA81" w14:textId="1D034AD5" w:rsidR="00EE1884" w:rsidRPr="00DB1D7C" w:rsidRDefault="00852373" w:rsidP="00852373">
      <w:pPr>
        <w:spacing w:line="276" w:lineRule="auto"/>
        <w:rPr>
          <w:rFonts w:ascii="Calibri" w:hAnsi="Calibri"/>
          <w:i/>
          <w:sz w:val="24"/>
          <w:szCs w:val="24"/>
        </w:rPr>
      </w:pPr>
      <w:r w:rsidRPr="00DB1D7C">
        <w:rPr>
          <w:sz w:val="24"/>
          <w:szCs w:val="24"/>
        </w:rPr>
        <w:t xml:space="preserve">A registry linkage study (Danish National Register of social security numbers) was undertaken to determine FRAX-based probabilities using baseline questionnaire data derived from a structured </w:t>
      </w:r>
      <w:r w:rsidRPr="00EA52A3">
        <w:rPr>
          <w:sz w:val="24"/>
          <w:szCs w:val="24"/>
        </w:rPr>
        <w:t xml:space="preserve">questionnaire </w:t>
      </w:r>
      <w:r w:rsidR="00B15005" w:rsidRPr="00EA52A3">
        <w:rPr>
          <w:sz w:val="24"/>
          <w:szCs w:val="24"/>
        </w:rPr>
        <w:t>[19</w:t>
      </w:r>
      <w:r w:rsidR="00DB6399" w:rsidRPr="00EA52A3">
        <w:rPr>
          <w:sz w:val="24"/>
          <w:szCs w:val="24"/>
        </w:rPr>
        <w:t>7</w:t>
      </w:r>
      <w:r w:rsidR="00B15005" w:rsidRPr="00EA52A3">
        <w:rPr>
          <w:sz w:val="24"/>
          <w:szCs w:val="24"/>
        </w:rPr>
        <w:t>]</w:t>
      </w:r>
      <w:r w:rsidRPr="00EA52A3">
        <w:rPr>
          <w:sz w:val="24"/>
          <w:szCs w:val="24"/>
        </w:rPr>
        <w:t>.</w:t>
      </w:r>
      <w:r w:rsidR="006025C5" w:rsidRPr="00EA52A3">
        <w:rPr>
          <w:sz w:val="24"/>
          <w:szCs w:val="24"/>
        </w:rPr>
        <w:t xml:space="preserve">  </w:t>
      </w:r>
      <w:r w:rsidR="00DF29F5" w:rsidRPr="00EA52A3">
        <w:rPr>
          <w:sz w:val="24"/>
          <w:szCs w:val="24"/>
        </w:rPr>
        <w:t>From</w:t>
      </w:r>
      <w:r w:rsidR="00DF29F5" w:rsidRPr="00DB1D7C">
        <w:rPr>
          <w:sz w:val="24"/>
          <w:szCs w:val="24"/>
        </w:rPr>
        <w:t xml:space="preserve"> a</w:t>
      </w:r>
      <w:r w:rsidRPr="00DB1D7C">
        <w:rPr>
          <w:sz w:val="24"/>
          <w:szCs w:val="24"/>
        </w:rPr>
        <w:t xml:space="preserve"> random sample of 5000 women, complete information was available for 3,636 women.  FRAX hip fracture probabilities were calculated without BMD using the Swedish tool. Predicted and observed risks estimates incorporated adjustment for 10-year survival rates. The predicted 10-year hip fracture risk was 7.6 % overall with observed risk also 7.6 %, ranging from 0.3 % at the age of 41–50 years (observed risk 0.4 %) to 25.0 % at the age of 81–90 years (observed risk 24.0 %).  There were no significant differences overall or by decade of age. For the closely related Scandinavian countries of Sweden and Denmark, a single FRAX tool may be sufficient.</w:t>
      </w:r>
    </w:p>
    <w:p w14:paraId="5644FB24" w14:textId="77777777" w:rsidR="00A62044" w:rsidRPr="00DB1D7C" w:rsidRDefault="00A62044" w:rsidP="001958CF">
      <w:pPr>
        <w:spacing w:line="276" w:lineRule="auto"/>
        <w:rPr>
          <w:rFonts w:ascii="Calibri" w:hAnsi="Calibri"/>
          <w:i/>
          <w:sz w:val="24"/>
          <w:szCs w:val="24"/>
        </w:rPr>
      </w:pPr>
    </w:p>
    <w:p w14:paraId="000601A1" w14:textId="2F01F8E1" w:rsidR="00564199" w:rsidRPr="00DB1D7C" w:rsidRDefault="00564199" w:rsidP="001958CF">
      <w:pPr>
        <w:spacing w:line="276" w:lineRule="auto"/>
        <w:rPr>
          <w:rFonts w:ascii="Calibri" w:hAnsi="Calibri"/>
          <w:i/>
          <w:sz w:val="24"/>
          <w:szCs w:val="24"/>
        </w:rPr>
      </w:pPr>
      <w:r w:rsidRPr="00DB1D7C">
        <w:rPr>
          <w:rFonts w:ascii="Calibri" w:hAnsi="Calibri"/>
          <w:i/>
          <w:sz w:val="24"/>
          <w:szCs w:val="24"/>
        </w:rPr>
        <w:t>Kuopio Osteoporosis Risk Factor and Prevention (OSTPRE) study</w:t>
      </w:r>
    </w:p>
    <w:p w14:paraId="45B07498" w14:textId="18C52B4C" w:rsidR="00564199" w:rsidRPr="00DB1D7C" w:rsidRDefault="00564199" w:rsidP="001958CF">
      <w:pPr>
        <w:spacing w:line="276" w:lineRule="auto"/>
        <w:rPr>
          <w:rFonts w:ascii="Calibri" w:hAnsi="Calibri"/>
          <w:sz w:val="24"/>
          <w:szCs w:val="24"/>
        </w:rPr>
      </w:pPr>
      <w:r w:rsidRPr="00DB1D7C">
        <w:rPr>
          <w:rFonts w:ascii="Calibri" w:hAnsi="Calibri"/>
          <w:sz w:val="24"/>
          <w:szCs w:val="24"/>
        </w:rPr>
        <w:t xml:space="preserve">The most thoughtful and revealing calibration study was undertaken in Finland using information from the Kuopio Osteoporosis Risk Factor and Prevention (OSTPRE) study cohort of postmenopausal women from the Kuopio Region of Finland. OSTPRE was one of the 12 cohorts used in the risk factor evaluation of osteoporotic fractures during the development of FRAX. The population included 13,917 </w:t>
      </w:r>
      <w:r w:rsidR="00212E4F">
        <w:rPr>
          <w:rFonts w:ascii="Calibri" w:hAnsi="Calibri"/>
          <w:sz w:val="24"/>
          <w:szCs w:val="24"/>
        </w:rPr>
        <w:t xml:space="preserve">women </w:t>
      </w:r>
      <w:r w:rsidRPr="00DB1D7C">
        <w:rPr>
          <w:rFonts w:ascii="Calibri" w:hAnsi="Calibri"/>
          <w:sz w:val="24"/>
          <w:szCs w:val="24"/>
        </w:rPr>
        <w:t xml:space="preserve">who were still alive after a </w:t>
      </w:r>
      <w:r w:rsidRPr="00DB1D7C">
        <w:rPr>
          <w:rFonts w:ascii="Calibri" w:hAnsi="Calibri"/>
          <w:sz w:val="24"/>
          <w:szCs w:val="24"/>
        </w:rPr>
        <w:lastRenderedPageBreak/>
        <w:t>10-year follow-up</w:t>
      </w:r>
      <w:r w:rsidR="00DF29F5">
        <w:rPr>
          <w:rFonts w:ascii="Calibri" w:hAnsi="Calibri"/>
          <w:sz w:val="24"/>
          <w:szCs w:val="24"/>
        </w:rPr>
        <w:t xml:space="preserve">, </w:t>
      </w:r>
      <w:r w:rsidR="00EF00D3">
        <w:rPr>
          <w:rFonts w:ascii="Calibri" w:hAnsi="Calibri"/>
          <w:sz w:val="24"/>
          <w:szCs w:val="24"/>
        </w:rPr>
        <w:t>and</w:t>
      </w:r>
      <w:r w:rsidRPr="00DB1D7C">
        <w:rPr>
          <w:rFonts w:ascii="Calibri" w:hAnsi="Calibri"/>
          <w:sz w:val="24"/>
          <w:szCs w:val="24"/>
        </w:rPr>
        <w:t xml:space="preserve"> exclud</w:t>
      </w:r>
      <w:r w:rsidR="00DF29F5">
        <w:rPr>
          <w:rFonts w:ascii="Calibri" w:hAnsi="Calibri"/>
          <w:sz w:val="24"/>
          <w:szCs w:val="24"/>
        </w:rPr>
        <w:t>ed</w:t>
      </w:r>
      <w:r w:rsidRPr="00DB1D7C">
        <w:rPr>
          <w:rFonts w:ascii="Calibri" w:hAnsi="Calibri"/>
          <w:sz w:val="24"/>
          <w:szCs w:val="24"/>
        </w:rPr>
        <w:t xml:space="preserve"> women who had sustained a previous hip fracture.  Observed hip fracture outcomes were compared with hip fractures expected using the Finnish FRAX </w:t>
      </w:r>
      <w:r w:rsidRPr="00EA52A3">
        <w:rPr>
          <w:rFonts w:ascii="Calibri" w:hAnsi="Calibri"/>
          <w:sz w:val="24"/>
          <w:szCs w:val="24"/>
        </w:rPr>
        <w:t>model</w:t>
      </w:r>
      <w:r w:rsidR="00AE4364" w:rsidRPr="00EA52A3">
        <w:rPr>
          <w:rFonts w:ascii="Calibri" w:hAnsi="Calibri"/>
          <w:sz w:val="24"/>
          <w:szCs w:val="24"/>
        </w:rPr>
        <w:t xml:space="preserve"> </w:t>
      </w:r>
      <w:r w:rsidR="00201A24" w:rsidRPr="00EA52A3">
        <w:rPr>
          <w:rFonts w:ascii="Calibri" w:hAnsi="Calibri"/>
          <w:sz w:val="24"/>
          <w:szCs w:val="24"/>
        </w:rPr>
        <w:t>[</w:t>
      </w:r>
      <w:r w:rsidR="00B15005" w:rsidRPr="00EA52A3">
        <w:rPr>
          <w:rFonts w:ascii="Calibri" w:hAnsi="Calibri"/>
          <w:sz w:val="24"/>
          <w:szCs w:val="24"/>
        </w:rPr>
        <w:t>19</w:t>
      </w:r>
      <w:r w:rsidR="00DB6399" w:rsidRPr="00EA52A3">
        <w:rPr>
          <w:rFonts w:ascii="Calibri" w:hAnsi="Calibri"/>
          <w:sz w:val="24"/>
          <w:szCs w:val="24"/>
        </w:rPr>
        <w:t>8</w:t>
      </w:r>
      <w:r w:rsidR="00B15005" w:rsidRPr="00EA52A3">
        <w:rPr>
          <w:rFonts w:ascii="Calibri" w:hAnsi="Calibri"/>
          <w:sz w:val="24"/>
          <w:szCs w:val="24"/>
        </w:rPr>
        <w:t>]</w:t>
      </w:r>
      <w:r w:rsidRPr="00EA52A3">
        <w:rPr>
          <w:rFonts w:ascii="Calibri" w:hAnsi="Calibri"/>
          <w:sz w:val="24"/>
          <w:szCs w:val="24"/>
        </w:rPr>
        <w:t xml:space="preserve">.  The Finnish FRAX model (version 3.6) was based on the national incidence of the first hip fracture for 2002 to </w:t>
      </w:r>
      <w:r w:rsidR="00201A24" w:rsidRPr="00EA52A3">
        <w:rPr>
          <w:rFonts w:ascii="Calibri" w:hAnsi="Calibri"/>
          <w:sz w:val="24"/>
          <w:szCs w:val="24"/>
        </w:rPr>
        <w:t>2006 [</w:t>
      </w:r>
      <w:r w:rsidR="00B15005" w:rsidRPr="00EA52A3">
        <w:rPr>
          <w:rFonts w:ascii="Calibri" w:hAnsi="Calibri"/>
          <w:sz w:val="24"/>
          <w:szCs w:val="24"/>
        </w:rPr>
        <w:t>19</w:t>
      </w:r>
      <w:r w:rsidR="00DB6399" w:rsidRPr="00EA52A3">
        <w:rPr>
          <w:rFonts w:ascii="Calibri" w:hAnsi="Calibri"/>
          <w:sz w:val="24"/>
          <w:szCs w:val="24"/>
        </w:rPr>
        <w:t>9</w:t>
      </w:r>
      <w:r w:rsidR="00B15005" w:rsidRPr="00EA52A3">
        <w:rPr>
          <w:rFonts w:ascii="Calibri" w:hAnsi="Calibri"/>
          <w:sz w:val="24"/>
          <w:szCs w:val="24"/>
        </w:rPr>
        <w:t>]</w:t>
      </w:r>
      <w:r w:rsidR="00201A24" w:rsidRPr="00EA52A3">
        <w:rPr>
          <w:rFonts w:ascii="Calibri" w:hAnsi="Calibri"/>
          <w:sz w:val="24"/>
          <w:szCs w:val="24"/>
        </w:rPr>
        <w:t xml:space="preserve"> </w:t>
      </w:r>
      <w:r w:rsidRPr="00EA52A3">
        <w:rPr>
          <w:rFonts w:ascii="Calibri" w:hAnsi="Calibri"/>
          <w:sz w:val="24"/>
          <w:szCs w:val="24"/>
        </w:rPr>
        <w:t>and national</w:t>
      </w:r>
      <w:r w:rsidRPr="00DB1D7C">
        <w:rPr>
          <w:rFonts w:ascii="Calibri" w:hAnsi="Calibri"/>
          <w:sz w:val="24"/>
          <w:szCs w:val="24"/>
        </w:rPr>
        <w:t xml:space="preserve"> mortality data supplied by the WHO.  FRAX without BMD was calculated in 11,182 women and femoral neck BMD information was available in a subset of 2,755 women for the calculation of hip fracture probability with BMD.</w:t>
      </w:r>
    </w:p>
    <w:p w14:paraId="1D75B507" w14:textId="61AA3860" w:rsidR="00564199" w:rsidRPr="00DB1D7C" w:rsidRDefault="00564199" w:rsidP="001958CF">
      <w:pPr>
        <w:spacing w:line="276" w:lineRule="auto"/>
        <w:rPr>
          <w:rFonts w:ascii="Calibri" w:hAnsi="Calibri"/>
          <w:sz w:val="24"/>
          <w:szCs w:val="24"/>
        </w:rPr>
      </w:pPr>
      <w:r w:rsidRPr="00DB1D7C">
        <w:rPr>
          <w:rFonts w:ascii="Calibri" w:hAnsi="Calibri"/>
          <w:sz w:val="24"/>
          <w:szCs w:val="24"/>
        </w:rPr>
        <w:t>The relationship between the FRAX probability of a hip fracture and the 10-year period prevalence of a hip fracture was examined by quintiles of hip fracture probability. The average predicted probability of a hip fracture during a 10-year period was 0.80 % (95 % CI</w:t>
      </w:r>
      <w:r w:rsidR="00DF29F5">
        <w:rPr>
          <w:rFonts w:ascii="Calibri" w:hAnsi="Calibri"/>
          <w:sz w:val="24"/>
          <w:szCs w:val="24"/>
        </w:rPr>
        <w:t>:</w:t>
      </w:r>
      <w:r w:rsidRPr="00DB1D7C">
        <w:rPr>
          <w:rFonts w:ascii="Calibri" w:hAnsi="Calibri"/>
          <w:sz w:val="24"/>
          <w:szCs w:val="24"/>
        </w:rPr>
        <w:t xml:space="preserve"> 0.78–0.81) when calculated without BMD and the same for the subset of women with BMD measurement. The similarity of predictions with and without BMD indicates that the subgroup studied was not preferentially enriched by women with low (or high) BMD for age. The 10-year period prevalence was lower than predicted (0.71 %), was even lower in women in whom FRAX without BMD had been calculated (0.66 %) and lowest in those in whom FRAX with BMD had been calculated (0.61 %).    </w:t>
      </w:r>
    </w:p>
    <w:p w14:paraId="47AE7DCC" w14:textId="2FBD23A1" w:rsidR="00564199" w:rsidRPr="00DB1D7C" w:rsidRDefault="00564199" w:rsidP="001958CF">
      <w:pPr>
        <w:spacing w:line="276" w:lineRule="auto"/>
        <w:rPr>
          <w:rFonts w:ascii="Calibri" w:hAnsi="Calibri"/>
          <w:sz w:val="24"/>
          <w:szCs w:val="24"/>
        </w:rPr>
      </w:pPr>
      <w:r w:rsidRPr="00DB1D7C">
        <w:rPr>
          <w:rFonts w:ascii="Calibri" w:hAnsi="Calibri"/>
          <w:sz w:val="24"/>
          <w:szCs w:val="24"/>
        </w:rPr>
        <w:t xml:space="preserve">The relatively moderate calibration might lead one to the view that the use of the Finnish FRAX model results in misleading information as a result of errors in accuracy.  Errors of accuracy in the FRAX model may, in principle, reside in the fracture hazards or the death hazards, both of which contribute to fracture probability but the model used national data and there is no reason to question the validity of these hazards, especially because it is known that regional variation in hip fracture incidence is small in </w:t>
      </w:r>
      <w:r w:rsidRPr="00201A24">
        <w:rPr>
          <w:rFonts w:ascii="Calibri" w:hAnsi="Calibri"/>
          <w:sz w:val="24"/>
          <w:szCs w:val="24"/>
        </w:rPr>
        <w:t xml:space="preserve">Finland </w:t>
      </w:r>
      <w:r w:rsidR="00B15005" w:rsidRPr="00201A24">
        <w:rPr>
          <w:rFonts w:ascii="Calibri" w:hAnsi="Calibri"/>
          <w:sz w:val="24"/>
          <w:szCs w:val="24"/>
        </w:rPr>
        <w:t>[</w:t>
      </w:r>
      <w:r w:rsidR="00DB6399">
        <w:rPr>
          <w:rFonts w:ascii="Calibri" w:hAnsi="Calibri"/>
          <w:sz w:val="24"/>
          <w:szCs w:val="24"/>
        </w:rPr>
        <w:t>200</w:t>
      </w:r>
      <w:r w:rsidR="00B15005" w:rsidRPr="00201A24">
        <w:rPr>
          <w:rFonts w:ascii="Calibri" w:hAnsi="Calibri"/>
          <w:sz w:val="24"/>
          <w:szCs w:val="24"/>
        </w:rPr>
        <w:t>]</w:t>
      </w:r>
      <w:r w:rsidRPr="00201A24">
        <w:rPr>
          <w:rFonts w:ascii="Calibri" w:hAnsi="Calibri"/>
          <w:sz w:val="24"/>
          <w:szCs w:val="24"/>
        </w:rPr>
        <w:t xml:space="preserve">. </w:t>
      </w:r>
    </w:p>
    <w:p w14:paraId="0C1CD40E" w14:textId="6CE4F990" w:rsidR="00564199" w:rsidRPr="00DB1D7C" w:rsidRDefault="00564199" w:rsidP="001958CF">
      <w:pPr>
        <w:spacing w:line="276" w:lineRule="auto"/>
        <w:rPr>
          <w:rFonts w:ascii="Calibri" w:hAnsi="Calibri"/>
          <w:sz w:val="24"/>
          <w:szCs w:val="24"/>
        </w:rPr>
      </w:pPr>
      <w:r w:rsidRPr="00DB1D7C">
        <w:rPr>
          <w:rFonts w:ascii="Calibri" w:hAnsi="Calibri"/>
          <w:sz w:val="24"/>
          <w:szCs w:val="24"/>
        </w:rPr>
        <w:t xml:space="preserve">However, these findings also showed that the 10-year period prevalence of the hip fracture (and thereby hip fracture incidence) varied according to observation status.  Thus the likely reason for poor calibration is the selection bias between those who did and did not respond. Women who had reported enough information for the calculation of a FRAX probability had a tendency for a </w:t>
      </w:r>
      <w:r w:rsidR="00BD6753">
        <w:rPr>
          <w:rFonts w:ascii="Calibri" w:hAnsi="Calibri"/>
          <w:sz w:val="24"/>
          <w:szCs w:val="24"/>
        </w:rPr>
        <w:t>lower</w:t>
      </w:r>
      <w:r w:rsidRPr="00DB1D7C">
        <w:rPr>
          <w:rFonts w:ascii="Calibri" w:hAnsi="Calibri"/>
          <w:sz w:val="24"/>
          <w:szCs w:val="24"/>
        </w:rPr>
        <w:t xml:space="preserve"> risk </w:t>
      </w:r>
      <w:r w:rsidR="00EF00D3">
        <w:rPr>
          <w:rFonts w:ascii="Calibri" w:hAnsi="Calibri"/>
          <w:sz w:val="24"/>
          <w:szCs w:val="24"/>
        </w:rPr>
        <w:t>of</w:t>
      </w:r>
      <w:r w:rsidRPr="00DB1D7C">
        <w:rPr>
          <w:rFonts w:ascii="Calibri" w:hAnsi="Calibri"/>
          <w:sz w:val="24"/>
          <w:szCs w:val="24"/>
        </w:rPr>
        <w:t xml:space="preserve"> hip fracture than women who did not respond; that is, many women with a high risk for a hip fracture may have been missing from the calibration calculations. This occurred in spite of the relatively high response rate of 84–88 % in each of the OSTPRE enquiries used. Thus, such bias is likely to be present in most of the corresponding study cohorts: not only do they not represent the whole population, but the people with the highest risks are missing. </w:t>
      </w:r>
    </w:p>
    <w:p w14:paraId="48FFC180" w14:textId="77777777" w:rsidR="00564199" w:rsidRPr="00DB1D7C" w:rsidRDefault="00564199" w:rsidP="001958CF">
      <w:pPr>
        <w:spacing w:line="276" w:lineRule="auto"/>
        <w:rPr>
          <w:rFonts w:ascii="Calibri" w:hAnsi="Calibri"/>
          <w:sz w:val="24"/>
          <w:szCs w:val="24"/>
        </w:rPr>
      </w:pPr>
      <w:r w:rsidRPr="00DB1D7C">
        <w:rPr>
          <w:rFonts w:ascii="Calibri" w:hAnsi="Calibri"/>
          <w:sz w:val="24"/>
          <w:szCs w:val="24"/>
        </w:rPr>
        <w:t>As an aside, self-reports missed 38 % of all hip fractures in the national register in women who responded and missed about 45 % of hip fractures in women who had a FRAX estimate.</w:t>
      </w:r>
    </w:p>
    <w:p w14:paraId="77D5F2E7" w14:textId="77777777" w:rsidR="0058395A" w:rsidRDefault="0058395A" w:rsidP="005C2DAD">
      <w:pPr>
        <w:rPr>
          <w:rFonts w:ascii="Calibri" w:hAnsi="Calibri"/>
          <w:i/>
          <w:sz w:val="24"/>
          <w:szCs w:val="24"/>
        </w:rPr>
      </w:pPr>
    </w:p>
    <w:p w14:paraId="65D47829" w14:textId="77777777" w:rsidR="0058395A" w:rsidRDefault="0058395A" w:rsidP="005C2DAD">
      <w:pPr>
        <w:rPr>
          <w:rFonts w:ascii="Calibri" w:hAnsi="Calibri"/>
          <w:i/>
          <w:sz w:val="24"/>
          <w:szCs w:val="24"/>
        </w:rPr>
      </w:pPr>
    </w:p>
    <w:p w14:paraId="23129AA2" w14:textId="77777777" w:rsidR="0058395A" w:rsidRDefault="0058395A" w:rsidP="005C2DAD">
      <w:pPr>
        <w:rPr>
          <w:rFonts w:ascii="Calibri" w:hAnsi="Calibri"/>
          <w:i/>
          <w:sz w:val="24"/>
          <w:szCs w:val="24"/>
        </w:rPr>
      </w:pPr>
    </w:p>
    <w:p w14:paraId="77373736" w14:textId="5F65842B" w:rsidR="005C2DAD" w:rsidRPr="00DB1D7C" w:rsidRDefault="001958CF" w:rsidP="005C2DAD">
      <w:pPr>
        <w:rPr>
          <w:rFonts w:ascii="Calibri" w:hAnsi="Calibri"/>
          <w:i/>
          <w:sz w:val="24"/>
          <w:szCs w:val="24"/>
        </w:rPr>
      </w:pPr>
      <w:r w:rsidRPr="00DB1D7C">
        <w:rPr>
          <w:rFonts w:ascii="Calibri" w:hAnsi="Calibri"/>
          <w:i/>
          <w:sz w:val="24"/>
          <w:szCs w:val="24"/>
        </w:rPr>
        <w:lastRenderedPageBreak/>
        <w:t>Difficulties</w:t>
      </w:r>
      <w:r w:rsidR="00155563" w:rsidRPr="00DB1D7C">
        <w:rPr>
          <w:rFonts w:ascii="Calibri" w:hAnsi="Calibri"/>
          <w:i/>
          <w:sz w:val="24"/>
          <w:szCs w:val="24"/>
        </w:rPr>
        <w:t xml:space="preserve"> in calibration of FRAX</w:t>
      </w:r>
    </w:p>
    <w:p w14:paraId="1F39433D" w14:textId="53794BD5" w:rsidR="005C2DAD" w:rsidRPr="00DB1D7C" w:rsidRDefault="00155563" w:rsidP="005C2DAD">
      <w:pPr>
        <w:rPr>
          <w:rFonts w:ascii="Calibri" w:hAnsi="Calibri"/>
          <w:sz w:val="24"/>
          <w:szCs w:val="24"/>
        </w:rPr>
      </w:pPr>
      <w:r w:rsidRPr="00DB1D7C">
        <w:rPr>
          <w:rFonts w:ascii="Calibri" w:hAnsi="Calibri"/>
          <w:sz w:val="24"/>
          <w:szCs w:val="24"/>
        </w:rPr>
        <w:t xml:space="preserve">The considerations above highlight intrinsic difficulties </w:t>
      </w:r>
      <w:r w:rsidR="004B506B" w:rsidRPr="00DB1D7C">
        <w:rPr>
          <w:rFonts w:ascii="Calibri" w:hAnsi="Calibri"/>
          <w:sz w:val="24"/>
          <w:szCs w:val="24"/>
        </w:rPr>
        <w:t>with</w:t>
      </w:r>
      <w:r w:rsidRPr="00DB1D7C">
        <w:rPr>
          <w:rFonts w:ascii="Calibri" w:hAnsi="Calibri"/>
          <w:sz w:val="24"/>
          <w:szCs w:val="24"/>
        </w:rPr>
        <w:t xml:space="preserve"> </w:t>
      </w:r>
      <w:r w:rsidR="004B506B" w:rsidRPr="00DB1D7C">
        <w:rPr>
          <w:rFonts w:ascii="Calibri" w:hAnsi="Calibri"/>
          <w:sz w:val="24"/>
          <w:szCs w:val="24"/>
        </w:rPr>
        <w:t>sampling</w:t>
      </w:r>
      <w:r w:rsidRPr="00DB1D7C">
        <w:rPr>
          <w:rFonts w:ascii="Calibri" w:hAnsi="Calibri"/>
          <w:sz w:val="24"/>
          <w:szCs w:val="24"/>
        </w:rPr>
        <w:t xml:space="preserve"> bias and incomplete fracture acquisition.  </w:t>
      </w:r>
      <w:r w:rsidR="005C2DAD" w:rsidRPr="00DB1D7C">
        <w:rPr>
          <w:rFonts w:ascii="Calibri" w:hAnsi="Calibri"/>
          <w:sz w:val="24"/>
          <w:szCs w:val="24"/>
        </w:rPr>
        <w:t xml:space="preserve">There are several </w:t>
      </w:r>
      <w:r w:rsidRPr="00DB1D7C">
        <w:rPr>
          <w:rFonts w:ascii="Calibri" w:hAnsi="Calibri"/>
          <w:sz w:val="24"/>
          <w:szCs w:val="24"/>
        </w:rPr>
        <w:t xml:space="preserve">additional </w:t>
      </w:r>
      <w:r w:rsidR="005C2DAD" w:rsidRPr="00DB1D7C">
        <w:rPr>
          <w:rFonts w:ascii="Calibri" w:hAnsi="Calibri"/>
          <w:sz w:val="24"/>
          <w:szCs w:val="24"/>
        </w:rPr>
        <w:t>problems to be faced with the external calibration of FRAX models</w:t>
      </w:r>
      <w:r w:rsidRPr="00DB1D7C">
        <w:rPr>
          <w:rFonts w:ascii="Calibri" w:hAnsi="Calibri"/>
          <w:sz w:val="24"/>
          <w:szCs w:val="24"/>
        </w:rPr>
        <w:t>.</w:t>
      </w:r>
      <w:r w:rsidR="005C2DAD" w:rsidRPr="00DB1D7C">
        <w:rPr>
          <w:rFonts w:ascii="Calibri" w:hAnsi="Calibri"/>
          <w:sz w:val="24"/>
          <w:szCs w:val="24"/>
        </w:rPr>
        <w:t xml:space="preserve"> </w:t>
      </w:r>
    </w:p>
    <w:p w14:paraId="05F56864" w14:textId="419EA492" w:rsidR="00F35170" w:rsidRPr="00DB1D7C" w:rsidRDefault="004B506B" w:rsidP="005C2DAD">
      <w:pPr>
        <w:rPr>
          <w:rFonts w:ascii="Calibri" w:hAnsi="Calibri"/>
          <w:sz w:val="24"/>
          <w:szCs w:val="24"/>
        </w:rPr>
      </w:pPr>
      <w:r w:rsidRPr="0011029E">
        <w:rPr>
          <w:rFonts w:ascii="Calibri" w:hAnsi="Calibri"/>
          <w:sz w:val="24"/>
          <w:szCs w:val="24"/>
        </w:rPr>
        <w:t xml:space="preserve">Difficulties arise when FRAX probabilities are compared with observed </w:t>
      </w:r>
      <w:r w:rsidR="0011029E" w:rsidRPr="0011029E">
        <w:rPr>
          <w:rFonts w:ascii="Calibri" w:hAnsi="Calibri"/>
          <w:sz w:val="24"/>
          <w:szCs w:val="24"/>
        </w:rPr>
        <w:t>incidences [</w:t>
      </w:r>
      <w:r w:rsidR="0055306C" w:rsidRPr="0011029E">
        <w:rPr>
          <w:rFonts w:ascii="Calibri" w:hAnsi="Calibri"/>
          <w:sz w:val="24"/>
          <w:szCs w:val="24"/>
        </w:rPr>
        <w:t>177</w:t>
      </w:r>
      <w:r w:rsidRPr="0011029E">
        <w:rPr>
          <w:rFonts w:ascii="Calibri" w:hAnsi="Calibri"/>
          <w:sz w:val="24"/>
          <w:szCs w:val="24"/>
        </w:rPr>
        <w:t xml:space="preserve">, </w:t>
      </w:r>
      <w:r w:rsidR="00201A24" w:rsidRPr="0011029E">
        <w:rPr>
          <w:rFonts w:ascii="Calibri" w:hAnsi="Calibri"/>
          <w:sz w:val="24"/>
          <w:szCs w:val="24"/>
        </w:rPr>
        <w:t>179-182, 184-</w:t>
      </w:r>
      <w:r w:rsidR="0055306C" w:rsidRPr="0011029E">
        <w:rPr>
          <w:rFonts w:ascii="Calibri" w:hAnsi="Calibri"/>
          <w:sz w:val="24"/>
          <w:szCs w:val="24"/>
        </w:rPr>
        <w:t>186</w:t>
      </w:r>
      <w:r w:rsidR="00F3003A" w:rsidRPr="0011029E">
        <w:rPr>
          <w:rFonts w:ascii="Calibri" w:hAnsi="Calibri"/>
          <w:sz w:val="24"/>
          <w:szCs w:val="24"/>
        </w:rPr>
        <w:t>,</w:t>
      </w:r>
      <w:r w:rsidR="00201A24" w:rsidRPr="0011029E">
        <w:rPr>
          <w:rFonts w:ascii="Calibri" w:hAnsi="Calibri"/>
          <w:sz w:val="24"/>
          <w:szCs w:val="24"/>
        </w:rPr>
        <w:t xml:space="preserve"> </w:t>
      </w:r>
      <w:r w:rsidR="00201A24" w:rsidRPr="00DB6399">
        <w:rPr>
          <w:rFonts w:ascii="Calibri" w:hAnsi="Calibri"/>
          <w:sz w:val="24"/>
          <w:szCs w:val="24"/>
        </w:rPr>
        <w:t>188, 20</w:t>
      </w:r>
      <w:r w:rsidR="00DB6399" w:rsidRPr="00DB6399">
        <w:rPr>
          <w:rFonts w:ascii="Calibri" w:hAnsi="Calibri"/>
          <w:sz w:val="24"/>
          <w:szCs w:val="24"/>
        </w:rPr>
        <w:t>1</w:t>
      </w:r>
      <w:r w:rsidR="00201A24" w:rsidRPr="00DB6399">
        <w:rPr>
          <w:rFonts w:ascii="Calibri" w:hAnsi="Calibri"/>
          <w:sz w:val="24"/>
          <w:szCs w:val="24"/>
        </w:rPr>
        <w:t xml:space="preserve">, </w:t>
      </w:r>
      <w:r w:rsidR="00B15005" w:rsidRPr="00DB6399">
        <w:rPr>
          <w:rFonts w:ascii="Calibri" w:hAnsi="Calibri"/>
          <w:sz w:val="24"/>
          <w:szCs w:val="24"/>
        </w:rPr>
        <w:t>20</w:t>
      </w:r>
      <w:r w:rsidR="00DB6399" w:rsidRPr="00DB6399">
        <w:rPr>
          <w:rFonts w:ascii="Calibri" w:hAnsi="Calibri"/>
          <w:sz w:val="24"/>
          <w:szCs w:val="24"/>
        </w:rPr>
        <w:t>2</w:t>
      </w:r>
      <w:r w:rsidR="00B15005" w:rsidRPr="00DB6399">
        <w:rPr>
          <w:rFonts w:ascii="Calibri" w:hAnsi="Calibri"/>
          <w:sz w:val="24"/>
          <w:szCs w:val="24"/>
        </w:rPr>
        <w:t>]</w:t>
      </w:r>
      <w:r w:rsidRPr="00DB6399">
        <w:rPr>
          <w:rFonts w:ascii="Calibri" w:hAnsi="Calibri"/>
          <w:sz w:val="24"/>
          <w:szCs w:val="24"/>
        </w:rPr>
        <w:t>.</w:t>
      </w:r>
      <w:r w:rsidRPr="0011029E">
        <w:rPr>
          <w:rFonts w:ascii="Calibri" w:hAnsi="Calibri"/>
          <w:sz w:val="24"/>
          <w:szCs w:val="24"/>
        </w:rPr>
        <w:t xml:space="preserve"> </w:t>
      </w:r>
      <w:r w:rsidR="00F35170" w:rsidRPr="0011029E">
        <w:rPr>
          <w:rFonts w:ascii="Calibri" w:hAnsi="Calibri"/>
          <w:sz w:val="24"/>
          <w:szCs w:val="24"/>
        </w:rPr>
        <w:t xml:space="preserve">Other examples are listed in Leslie and Lix </w:t>
      </w:r>
      <w:r w:rsidR="0055306C" w:rsidRPr="0011029E">
        <w:rPr>
          <w:rFonts w:ascii="Calibri" w:hAnsi="Calibri"/>
          <w:sz w:val="24"/>
          <w:szCs w:val="24"/>
        </w:rPr>
        <w:t>[189]</w:t>
      </w:r>
      <w:r w:rsidR="00F35170" w:rsidRPr="0011029E">
        <w:rPr>
          <w:rFonts w:ascii="Calibri" w:hAnsi="Calibri"/>
          <w:sz w:val="24"/>
          <w:szCs w:val="24"/>
        </w:rPr>
        <w:t xml:space="preserve">.  </w:t>
      </w:r>
      <w:r w:rsidRPr="0011029E">
        <w:rPr>
          <w:rFonts w:ascii="Calibri" w:hAnsi="Calibri"/>
          <w:sz w:val="24"/>
          <w:szCs w:val="24"/>
        </w:rPr>
        <w:t>In the case of FRAX, the algorithm computes a fracture probability (i.e. a metric that incorporates the death hazard)</w:t>
      </w:r>
      <w:r w:rsidR="004769A1" w:rsidRPr="0011029E">
        <w:rPr>
          <w:rFonts w:ascii="Calibri" w:hAnsi="Calibri"/>
          <w:sz w:val="24"/>
          <w:szCs w:val="24"/>
        </w:rPr>
        <w:t>,</w:t>
      </w:r>
      <w:r w:rsidRPr="0011029E">
        <w:rPr>
          <w:rFonts w:ascii="Calibri" w:hAnsi="Calibri"/>
          <w:sz w:val="24"/>
          <w:szCs w:val="24"/>
        </w:rPr>
        <w:t xml:space="preserve"> which is not synonymous</w:t>
      </w:r>
      <w:r w:rsidRPr="00DB1D7C">
        <w:rPr>
          <w:rFonts w:ascii="Calibri" w:hAnsi="Calibri"/>
          <w:sz w:val="24"/>
          <w:szCs w:val="24"/>
        </w:rPr>
        <w:t xml:space="preserve"> with simple fracture incidence.  As a result, the comparison is largely invalid, particularly at older ages, and it is wrong to conclude that </w:t>
      </w:r>
      <w:r w:rsidR="00082321" w:rsidRPr="00DB1D7C">
        <w:rPr>
          <w:rFonts w:ascii="Calibri" w:hAnsi="Calibri"/>
          <w:sz w:val="24"/>
          <w:szCs w:val="24"/>
        </w:rPr>
        <w:t>a FRAX</w:t>
      </w:r>
      <w:r w:rsidRPr="00DB1D7C">
        <w:rPr>
          <w:rFonts w:ascii="Calibri" w:hAnsi="Calibri"/>
          <w:sz w:val="24"/>
          <w:szCs w:val="24"/>
        </w:rPr>
        <w:t xml:space="preserve"> tool</w:t>
      </w:r>
      <w:r w:rsidR="00082321" w:rsidRPr="00DB1D7C">
        <w:rPr>
          <w:rFonts w:ascii="Calibri" w:hAnsi="Calibri"/>
          <w:sz w:val="24"/>
          <w:szCs w:val="24"/>
        </w:rPr>
        <w:t xml:space="preserve"> or comparator tool</w:t>
      </w:r>
      <w:r w:rsidRPr="00DB1D7C">
        <w:rPr>
          <w:rFonts w:ascii="Calibri" w:hAnsi="Calibri"/>
          <w:sz w:val="24"/>
          <w:szCs w:val="24"/>
        </w:rPr>
        <w:t xml:space="preserve"> is ill-calibrated.</w:t>
      </w:r>
      <w:r w:rsidR="004769A1">
        <w:rPr>
          <w:rFonts w:ascii="Calibri" w:hAnsi="Calibri"/>
          <w:sz w:val="24"/>
          <w:szCs w:val="24"/>
        </w:rPr>
        <w:t xml:space="preserve"> </w:t>
      </w:r>
    </w:p>
    <w:p w14:paraId="3414CCEA" w14:textId="3D9A1AA6" w:rsidR="004B506B" w:rsidRPr="00DB1D7C" w:rsidRDefault="00F35170" w:rsidP="005C2DAD">
      <w:pPr>
        <w:rPr>
          <w:rFonts w:ascii="Calibri" w:hAnsi="Calibri"/>
          <w:sz w:val="24"/>
          <w:szCs w:val="24"/>
        </w:rPr>
      </w:pPr>
      <w:r w:rsidRPr="004769A1">
        <w:rPr>
          <w:rFonts w:ascii="Calibri" w:hAnsi="Calibri"/>
          <w:sz w:val="24"/>
          <w:szCs w:val="24"/>
        </w:rPr>
        <w:t xml:space="preserve">One of the ways of checking bias is to compare calibration with and without the inclusion of BMD. </w:t>
      </w:r>
      <w:r w:rsidR="006025C5">
        <w:rPr>
          <w:rFonts w:ascii="Calibri" w:hAnsi="Calibri"/>
          <w:sz w:val="24"/>
          <w:szCs w:val="24"/>
        </w:rPr>
        <w:t xml:space="preserve"> </w:t>
      </w:r>
      <w:r w:rsidRPr="004769A1">
        <w:rPr>
          <w:rFonts w:ascii="Calibri" w:hAnsi="Calibri"/>
          <w:sz w:val="24"/>
          <w:szCs w:val="24"/>
        </w:rPr>
        <w:t>Because o</w:t>
      </w:r>
      <w:r w:rsidR="00F47F90" w:rsidRPr="004769A1">
        <w:rPr>
          <w:rFonts w:ascii="Calibri" w:hAnsi="Calibri"/>
          <w:sz w:val="24"/>
          <w:szCs w:val="24"/>
        </w:rPr>
        <w:t>f</w:t>
      </w:r>
      <w:r w:rsidRPr="004769A1">
        <w:rPr>
          <w:rFonts w:ascii="Calibri" w:hAnsi="Calibri"/>
          <w:sz w:val="24"/>
          <w:szCs w:val="24"/>
        </w:rPr>
        <w:t xml:space="preserve"> the internal calibration of </w:t>
      </w:r>
      <w:r w:rsidRPr="0011029E">
        <w:rPr>
          <w:rFonts w:ascii="Calibri" w:hAnsi="Calibri"/>
          <w:sz w:val="24"/>
          <w:szCs w:val="24"/>
        </w:rPr>
        <w:t xml:space="preserve">FRAX, </w:t>
      </w:r>
      <w:r w:rsidR="00F47F90" w:rsidRPr="0011029E">
        <w:rPr>
          <w:rFonts w:ascii="Calibri" w:hAnsi="Calibri"/>
          <w:sz w:val="24"/>
          <w:szCs w:val="24"/>
        </w:rPr>
        <w:t xml:space="preserve">fracture probabilities (particularly for hip fracture) will be the same in </w:t>
      </w:r>
      <w:r w:rsidRPr="0011029E">
        <w:rPr>
          <w:rFonts w:ascii="Calibri" w:hAnsi="Calibri"/>
          <w:sz w:val="24"/>
          <w:szCs w:val="24"/>
        </w:rPr>
        <w:t xml:space="preserve">a </w:t>
      </w:r>
      <w:r w:rsidR="00F47F90" w:rsidRPr="0011029E">
        <w:rPr>
          <w:rFonts w:ascii="Calibri" w:hAnsi="Calibri"/>
          <w:sz w:val="24"/>
          <w:szCs w:val="24"/>
        </w:rPr>
        <w:t xml:space="preserve">sample </w:t>
      </w:r>
      <w:r w:rsidRPr="0011029E">
        <w:rPr>
          <w:rFonts w:ascii="Calibri" w:hAnsi="Calibri"/>
          <w:sz w:val="24"/>
          <w:szCs w:val="24"/>
        </w:rPr>
        <w:t>represen</w:t>
      </w:r>
      <w:r w:rsidR="00F47F90" w:rsidRPr="0011029E">
        <w:rPr>
          <w:rFonts w:ascii="Calibri" w:hAnsi="Calibri"/>
          <w:sz w:val="24"/>
          <w:szCs w:val="24"/>
        </w:rPr>
        <w:t xml:space="preserve">tative of the national population. </w:t>
      </w:r>
      <w:r w:rsidRPr="0011029E">
        <w:rPr>
          <w:rFonts w:ascii="Calibri" w:hAnsi="Calibri"/>
          <w:sz w:val="24"/>
          <w:szCs w:val="24"/>
        </w:rPr>
        <w:t xml:space="preserve">  </w:t>
      </w:r>
      <w:r w:rsidR="004769A1" w:rsidRPr="0011029E">
        <w:rPr>
          <w:rFonts w:ascii="Calibri" w:hAnsi="Calibri"/>
          <w:sz w:val="24"/>
          <w:szCs w:val="24"/>
        </w:rPr>
        <w:t xml:space="preserve">The several studies that report differences in fracture probabilities with and without BMD </w:t>
      </w:r>
      <w:r w:rsidR="0055306C" w:rsidRPr="0011029E">
        <w:rPr>
          <w:rFonts w:ascii="Calibri" w:hAnsi="Calibri"/>
          <w:sz w:val="24"/>
          <w:szCs w:val="24"/>
        </w:rPr>
        <w:t>[182]</w:t>
      </w:r>
      <w:r w:rsidR="004769A1" w:rsidRPr="0011029E">
        <w:rPr>
          <w:rFonts w:ascii="Calibri" w:hAnsi="Calibri"/>
          <w:sz w:val="24"/>
          <w:szCs w:val="24"/>
        </w:rPr>
        <w:t xml:space="preserve">, </w:t>
      </w:r>
      <w:r w:rsidR="0055306C" w:rsidRPr="0011029E">
        <w:rPr>
          <w:rFonts w:ascii="Calibri" w:hAnsi="Calibri"/>
          <w:sz w:val="24"/>
          <w:szCs w:val="24"/>
        </w:rPr>
        <w:t>[181</w:t>
      </w:r>
      <w:r w:rsidR="0011029E" w:rsidRPr="0011029E">
        <w:rPr>
          <w:rFonts w:ascii="Calibri" w:hAnsi="Calibri"/>
          <w:sz w:val="24"/>
          <w:szCs w:val="24"/>
        </w:rPr>
        <w:t xml:space="preserve">, 182, </w:t>
      </w:r>
      <w:proofErr w:type="gramStart"/>
      <w:r w:rsidR="0055306C" w:rsidRPr="0011029E">
        <w:rPr>
          <w:rFonts w:ascii="Calibri" w:hAnsi="Calibri"/>
          <w:sz w:val="24"/>
          <w:szCs w:val="24"/>
        </w:rPr>
        <w:t>184</w:t>
      </w:r>
      <w:proofErr w:type="gramEnd"/>
      <w:r w:rsidR="0011029E" w:rsidRPr="00DB6399">
        <w:rPr>
          <w:rFonts w:ascii="Calibri" w:hAnsi="Calibri"/>
          <w:sz w:val="24"/>
          <w:szCs w:val="24"/>
        </w:rPr>
        <w:t>,</w:t>
      </w:r>
      <w:r w:rsidR="004769A1" w:rsidRPr="00DB6399">
        <w:rPr>
          <w:rFonts w:ascii="Calibri" w:hAnsi="Calibri"/>
          <w:sz w:val="24"/>
          <w:szCs w:val="24"/>
        </w:rPr>
        <w:t xml:space="preserve"> </w:t>
      </w:r>
      <w:r w:rsidR="00F91F35" w:rsidRPr="00DB6399">
        <w:rPr>
          <w:rFonts w:ascii="Calibri" w:hAnsi="Calibri"/>
          <w:sz w:val="24"/>
          <w:szCs w:val="24"/>
        </w:rPr>
        <w:t>20</w:t>
      </w:r>
      <w:r w:rsidR="00DB6399" w:rsidRPr="00DB6399">
        <w:rPr>
          <w:rFonts w:ascii="Calibri" w:hAnsi="Calibri"/>
          <w:sz w:val="24"/>
          <w:szCs w:val="24"/>
        </w:rPr>
        <w:t>2</w:t>
      </w:r>
      <w:r w:rsidR="0011029E" w:rsidRPr="00DB6399">
        <w:rPr>
          <w:rFonts w:ascii="Calibri" w:hAnsi="Calibri"/>
          <w:sz w:val="24"/>
          <w:szCs w:val="24"/>
        </w:rPr>
        <w:t>-20</w:t>
      </w:r>
      <w:r w:rsidR="00DB6399" w:rsidRPr="00DB6399">
        <w:rPr>
          <w:rFonts w:ascii="Calibri" w:hAnsi="Calibri"/>
          <w:sz w:val="24"/>
          <w:szCs w:val="24"/>
        </w:rPr>
        <w:t>6</w:t>
      </w:r>
      <w:r w:rsidR="00F91F35" w:rsidRPr="00DB6399">
        <w:rPr>
          <w:rFonts w:ascii="Calibri" w:hAnsi="Calibri"/>
          <w:sz w:val="24"/>
          <w:szCs w:val="24"/>
        </w:rPr>
        <w:t>]</w:t>
      </w:r>
      <w:r w:rsidR="004769A1" w:rsidRPr="00DB6399">
        <w:rPr>
          <w:rFonts w:ascii="Calibri" w:hAnsi="Calibri"/>
          <w:sz w:val="24"/>
          <w:szCs w:val="24"/>
        </w:rPr>
        <w:t xml:space="preserve"> should</w:t>
      </w:r>
      <w:r w:rsidR="004769A1" w:rsidRPr="0011029E">
        <w:rPr>
          <w:rFonts w:ascii="Calibri" w:hAnsi="Calibri"/>
          <w:sz w:val="24"/>
          <w:szCs w:val="24"/>
        </w:rPr>
        <w:t xml:space="preserve"> be treated with suspicion</w:t>
      </w:r>
      <w:r w:rsidR="004769A1" w:rsidRPr="004769A1">
        <w:rPr>
          <w:rFonts w:ascii="Calibri" w:hAnsi="Calibri"/>
          <w:sz w:val="24"/>
          <w:szCs w:val="24"/>
        </w:rPr>
        <w:t xml:space="preserve"> with regard to calibration. </w:t>
      </w:r>
    </w:p>
    <w:p w14:paraId="4068B8E6" w14:textId="738673D2" w:rsidR="003626E0" w:rsidRPr="00DB1D7C" w:rsidRDefault="00082321" w:rsidP="005C2DAD">
      <w:pPr>
        <w:rPr>
          <w:rFonts w:ascii="Calibri" w:hAnsi="Calibri"/>
          <w:sz w:val="24"/>
          <w:szCs w:val="24"/>
        </w:rPr>
      </w:pPr>
      <w:r w:rsidRPr="00DB1D7C">
        <w:rPr>
          <w:rFonts w:ascii="Calibri" w:hAnsi="Calibri"/>
          <w:sz w:val="24"/>
          <w:szCs w:val="24"/>
        </w:rPr>
        <w:t>Cohorts used for validation should be representative of the population because</w:t>
      </w:r>
      <w:r w:rsidR="005C2DAD" w:rsidRPr="00DB1D7C">
        <w:rPr>
          <w:rFonts w:ascii="Calibri" w:hAnsi="Calibri"/>
          <w:sz w:val="24"/>
          <w:szCs w:val="24"/>
        </w:rPr>
        <w:t xml:space="preserve"> fracture and death </w:t>
      </w:r>
      <w:r w:rsidR="005C2DAD" w:rsidRPr="0011029E">
        <w:rPr>
          <w:rFonts w:ascii="Calibri" w:hAnsi="Calibri"/>
          <w:sz w:val="24"/>
          <w:szCs w:val="24"/>
        </w:rPr>
        <w:t xml:space="preserve">rates </w:t>
      </w:r>
      <w:r w:rsidR="008C0317">
        <w:rPr>
          <w:rFonts w:ascii="Calibri" w:hAnsi="Calibri"/>
          <w:sz w:val="24"/>
          <w:szCs w:val="24"/>
        </w:rPr>
        <w:t xml:space="preserve">may </w:t>
      </w:r>
      <w:r w:rsidR="005C2DAD" w:rsidRPr="0011029E">
        <w:rPr>
          <w:rFonts w:ascii="Calibri" w:hAnsi="Calibri"/>
          <w:sz w:val="24"/>
          <w:szCs w:val="24"/>
        </w:rPr>
        <w:t xml:space="preserve">vary within countries.  For fracture risk, this may vary more than two-fold </w:t>
      </w:r>
      <w:r w:rsidR="005F1C25" w:rsidRPr="0011029E">
        <w:rPr>
          <w:rFonts w:ascii="Calibri" w:hAnsi="Calibri"/>
          <w:sz w:val="24"/>
          <w:szCs w:val="24"/>
        </w:rPr>
        <w:t>[18]</w:t>
      </w:r>
      <w:r w:rsidR="00DC5B0D" w:rsidRPr="0011029E">
        <w:rPr>
          <w:rFonts w:ascii="Calibri" w:hAnsi="Calibri"/>
          <w:sz w:val="24"/>
          <w:szCs w:val="24"/>
        </w:rPr>
        <w:t xml:space="preserve"> </w:t>
      </w:r>
      <w:r w:rsidRPr="0011029E">
        <w:rPr>
          <w:rFonts w:ascii="Calibri" w:hAnsi="Calibri"/>
          <w:sz w:val="24"/>
          <w:szCs w:val="24"/>
        </w:rPr>
        <w:t>so that the interpretation of non-representative cohorts is difficult.</w:t>
      </w:r>
    </w:p>
    <w:p w14:paraId="13C40205" w14:textId="5D158D1A" w:rsidR="005C2DAD" w:rsidRPr="00DB1D7C" w:rsidRDefault="00082321" w:rsidP="005C2DAD">
      <w:pPr>
        <w:rPr>
          <w:rFonts w:ascii="Calibri" w:hAnsi="Calibri"/>
          <w:sz w:val="24"/>
          <w:szCs w:val="24"/>
        </w:rPr>
      </w:pPr>
      <w:r w:rsidRPr="00DB1D7C">
        <w:rPr>
          <w:rFonts w:ascii="Calibri" w:hAnsi="Calibri"/>
          <w:sz w:val="24"/>
          <w:szCs w:val="24"/>
        </w:rPr>
        <w:t>In addition to geographic variation reported in the incidence of hip fracture within countries, the age-and sex-specific incidence of fracture is changing</w:t>
      </w:r>
      <w:r w:rsidR="00BD647D" w:rsidRPr="00DB1D7C">
        <w:rPr>
          <w:rFonts w:ascii="Calibri" w:hAnsi="Calibri"/>
          <w:sz w:val="24"/>
          <w:szCs w:val="24"/>
        </w:rPr>
        <w:t xml:space="preserve"> in several countries</w:t>
      </w:r>
      <w:r w:rsidRPr="00DB1D7C">
        <w:rPr>
          <w:rFonts w:ascii="Calibri" w:hAnsi="Calibri"/>
          <w:sz w:val="24"/>
          <w:szCs w:val="24"/>
        </w:rPr>
        <w:t xml:space="preserve">.  This has been well characterised for hip fracture, but also noted at other sites of fracture </w:t>
      </w:r>
      <w:r w:rsidR="00F91F35" w:rsidRPr="00DB6399">
        <w:rPr>
          <w:rFonts w:ascii="Calibri" w:hAnsi="Calibri"/>
          <w:sz w:val="24"/>
          <w:szCs w:val="24"/>
        </w:rPr>
        <w:t>[20</w:t>
      </w:r>
      <w:r w:rsidR="00DB6399" w:rsidRPr="00DB6399">
        <w:rPr>
          <w:rFonts w:ascii="Calibri" w:hAnsi="Calibri"/>
          <w:sz w:val="24"/>
          <w:szCs w:val="24"/>
        </w:rPr>
        <w:t>7</w:t>
      </w:r>
      <w:r w:rsidR="00BD647D" w:rsidRPr="00DB6399">
        <w:rPr>
          <w:rFonts w:ascii="Calibri" w:hAnsi="Calibri"/>
          <w:sz w:val="24"/>
          <w:szCs w:val="24"/>
        </w:rPr>
        <w:t xml:space="preserve">, </w:t>
      </w:r>
      <w:r w:rsidR="00F91F35" w:rsidRPr="00DB6399">
        <w:rPr>
          <w:rFonts w:ascii="Calibri" w:hAnsi="Calibri"/>
          <w:sz w:val="24"/>
          <w:szCs w:val="24"/>
        </w:rPr>
        <w:t>20</w:t>
      </w:r>
      <w:r w:rsidR="00DB6399" w:rsidRPr="00DB6399">
        <w:rPr>
          <w:rFonts w:ascii="Calibri" w:hAnsi="Calibri"/>
          <w:sz w:val="24"/>
          <w:szCs w:val="24"/>
        </w:rPr>
        <w:t>8</w:t>
      </w:r>
      <w:r w:rsidR="00F91F35" w:rsidRPr="00DB6399">
        <w:rPr>
          <w:rFonts w:ascii="Calibri" w:hAnsi="Calibri"/>
          <w:sz w:val="24"/>
          <w:szCs w:val="24"/>
        </w:rPr>
        <w:t>]</w:t>
      </w:r>
      <w:r w:rsidRPr="00DB6399">
        <w:rPr>
          <w:rFonts w:ascii="Calibri" w:hAnsi="Calibri"/>
          <w:sz w:val="24"/>
          <w:szCs w:val="24"/>
        </w:rPr>
        <w:t>.  Estimates</w:t>
      </w:r>
      <w:r w:rsidRPr="00DB1D7C">
        <w:rPr>
          <w:rFonts w:ascii="Calibri" w:hAnsi="Calibri"/>
          <w:sz w:val="24"/>
          <w:szCs w:val="24"/>
        </w:rPr>
        <w:t xml:space="preserve"> of incidence trends have varied widely and variously reported </w:t>
      </w:r>
      <w:r w:rsidR="007B5886">
        <w:rPr>
          <w:rFonts w:ascii="Calibri" w:hAnsi="Calibri"/>
          <w:sz w:val="24"/>
          <w:szCs w:val="24"/>
        </w:rPr>
        <w:t xml:space="preserve">as </w:t>
      </w:r>
      <w:r w:rsidRPr="00DB1D7C">
        <w:rPr>
          <w:rFonts w:ascii="Calibri" w:hAnsi="Calibri"/>
          <w:sz w:val="24"/>
          <w:szCs w:val="24"/>
        </w:rPr>
        <w:t>an increase, plateau, and decrease, in age-adjusted incidence rates for hip fracture among both men and women.  In contrast, the mortality hazard has continued to decrease in most regions of the world.</w:t>
      </w:r>
      <w:r w:rsidR="00BD647D" w:rsidRPr="00DB1D7C">
        <w:rPr>
          <w:rFonts w:ascii="Calibri" w:hAnsi="Calibri"/>
          <w:sz w:val="24"/>
          <w:szCs w:val="24"/>
        </w:rPr>
        <w:t xml:space="preserve"> FRAX is based on cohorts studied years prior to the launch of FRAX in 2008, so that there may 10+ years between the FRAX model and the cohort testing the calibration.  </w:t>
      </w:r>
      <w:r w:rsidR="00F25F9E" w:rsidRPr="00DB1D7C">
        <w:rPr>
          <w:rFonts w:ascii="Calibri" w:hAnsi="Calibri"/>
          <w:sz w:val="24"/>
          <w:szCs w:val="24"/>
        </w:rPr>
        <w:t xml:space="preserve">As noted above, the calibration of the FRAX algorithms is only as good as the epidemiology with which the tools are populated. Indeed the FRAX models have been updated where more recent or higher quality data have become available (e.g. Turkey and the US). </w:t>
      </w:r>
    </w:p>
    <w:p w14:paraId="0610B759" w14:textId="2D13CF5F" w:rsidR="005C2DAD" w:rsidRPr="00DB1D7C" w:rsidRDefault="005C2DAD" w:rsidP="0041620D">
      <w:pPr>
        <w:rPr>
          <w:rFonts w:ascii="Calibri" w:hAnsi="Calibri"/>
          <w:sz w:val="24"/>
          <w:szCs w:val="24"/>
        </w:rPr>
      </w:pPr>
      <w:r w:rsidRPr="00DB1D7C">
        <w:rPr>
          <w:rFonts w:ascii="Calibri" w:hAnsi="Calibri"/>
          <w:sz w:val="24"/>
          <w:szCs w:val="24"/>
        </w:rPr>
        <w:t xml:space="preserve">Regardless of the </w:t>
      </w:r>
      <w:r w:rsidR="00F25F9E" w:rsidRPr="00DB1D7C">
        <w:rPr>
          <w:rFonts w:ascii="Calibri" w:hAnsi="Calibri"/>
          <w:sz w:val="24"/>
          <w:szCs w:val="24"/>
        </w:rPr>
        <w:t>difficulties to be faced with calibration, it should be noted that any systematic errors have little</w:t>
      </w:r>
      <w:r w:rsidRPr="00DB1D7C">
        <w:rPr>
          <w:rFonts w:ascii="Calibri" w:hAnsi="Calibri"/>
          <w:sz w:val="24"/>
          <w:szCs w:val="24"/>
        </w:rPr>
        <w:t xml:space="preserve"> impact on the rank order of fracture probabilities produced by the FRAX tool. For example, the FRAX tool for the United States was revised to take into account changes in hip fracture and mortality </w:t>
      </w:r>
      <w:r w:rsidRPr="00DB6399">
        <w:rPr>
          <w:rFonts w:ascii="Calibri" w:hAnsi="Calibri"/>
          <w:sz w:val="24"/>
          <w:szCs w:val="24"/>
        </w:rPr>
        <w:t xml:space="preserve">risks </w:t>
      </w:r>
      <w:r w:rsidR="0011029E" w:rsidRPr="00DB6399">
        <w:rPr>
          <w:rFonts w:ascii="Calibri" w:hAnsi="Calibri"/>
          <w:sz w:val="24"/>
          <w:szCs w:val="24"/>
        </w:rPr>
        <w:t>[</w:t>
      </w:r>
      <w:r w:rsidR="00F91F35" w:rsidRPr="00DB6399">
        <w:rPr>
          <w:rFonts w:ascii="Calibri" w:hAnsi="Calibri"/>
          <w:sz w:val="24"/>
          <w:szCs w:val="24"/>
        </w:rPr>
        <w:t>20</w:t>
      </w:r>
      <w:r w:rsidR="00DB6399" w:rsidRPr="00DB6399">
        <w:rPr>
          <w:rFonts w:ascii="Calibri" w:hAnsi="Calibri"/>
          <w:sz w:val="24"/>
          <w:szCs w:val="24"/>
        </w:rPr>
        <w:t>9</w:t>
      </w:r>
      <w:r w:rsidR="00F91F35" w:rsidRPr="00DB6399">
        <w:rPr>
          <w:rFonts w:ascii="Calibri" w:hAnsi="Calibri"/>
          <w:sz w:val="24"/>
          <w:szCs w:val="24"/>
        </w:rPr>
        <w:t>]</w:t>
      </w:r>
      <w:r w:rsidRPr="00DB6399">
        <w:rPr>
          <w:rFonts w:ascii="Calibri" w:hAnsi="Calibri"/>
          <w:sz w:val="24"/>
          <w:szCs w:val="24"/>
        </w:rPr>
        <w:t xml:space="preserve">. </w:t>
      </w:r>
      <w:r w:rsidR="0041620D" w:rsidRPr="00DB6399">
        <w:rPr>
          <w:rFonts w:ascii="Calibri" w:hAnsi="Calibri"/>
          <w:sz w:val="24"/>
          <w:szCs w:val="24"/>
        </w:rPr>
        <w:t xml:space="preserve"> Importantly</w:t>
      </w:r>
      <w:r w:rsidR="0041620D" w:rsidRPr="00DB1D7C">
        <w:rPr>
          <w:rFonts w:ascii="Calibri" w:hAnsi="Calibri"/>
          <w:sz w:val="24"/>
          <w:szCs w:val="24"/>
        </w:rPr>
        <w:t>, the revisions have little impact on the stratification of fracture probabilities because the revisions do not change the rank order of fracture probability in any population.  In the US revision, the correlation coefficients between versions 2.0 and 3.0 probabilities exceeded</w:t>
      </w:r>
      <w:r w:rsidR="0041620D" w:rsidRPr="00DB1D7C">
        <w:t xml:space="preserve"> </w:t>
      </w:r>
      <w:r w:rsidR="0041620D" w:rsidRPr="00DB1D7C">
        <w:rPr>
          <w:rFonts w:ascii="Calibri" w:hAnsi="Calibri"/>
          <w:sz w:val="24"/>
          <w:szCs w:val="24"/>
        </w:rPr>
        <w:t xml:space="preserve">0.99, so that the one can be accurately predicted from the other. In other words, an individual at the 90th percentile of risk would still be at the 90th percentile of risk using the revised FRAX tool, though the probability of a major fracture </w:t>
      </w:r>
      <w:r w:rsidR="007B5886">
        <w:rPr>
          <w:rFonts w:ascii="Calibri" w:hAnsi="Calibri"/>
          <w:sz w:val="24"/>
          <w:szCs w:val="24"/>
        </w:rPr>
        <w:t xml:space="preserve">that </w:t>
      </w:r>
      <w:r w:rsidR="0041620D" w:rsidRPr="00DB1D7C">
        <w:rPr>
          <w:rFonts w:ascii="Calibri" w:hAnsi="Calibri"/>
          <w:sz w:val="24"/>
          <w:szCs w:val="24"/>
        </w:rPr>
        <w:t>was 53</w:t>
      </w:r>
      <w:r w:rsidR="00E8657B">
        <w:rPr>
          <w:rFonts w:ascii="Calibri" w:hAnsi="Calibri"/>
          <w:sz w:val="24"/>
          <w:szCs w:val="24"/>
        </w:rPr>
        <w:t xml:space="preserve"> </w:t>
      </w:r>
      <w:r w:rsidR="0018483F" w:rsidRPr="00DB1D7C">
        <w:rPr>
          <w:rFonts w:ascii="Calibri" w:hAnsi="Calibri"/>
          <w:sz w:val="24"/>
          <w:szCs w:val="24"/>
        </w:rPr>
        <w:t>% in</w:t>
      </w:r>
      <w:r w:rsidR="0041620D" w:rsidRPr="00DB1D7C">
        <w:rPr>
          <w:rFonts w:ascii="Calibri" w:hAnsi="Calibri"/>
          <w:sz w:val="24"/>
          <w:szCs w:val="24"/>
        </w:rPr>
        <w:t xml:space="preserve"> the original version</w:t>
      </w:r>
      <w:r w:rsidR="0018483F" w:rsidRPr="00DB1D7C">
        <w:rPr>
          <w:rFonts w:ascii="Calibri" w:hAnsi="Calibri"/>
          <w:sz w:val="24"/>
          <w:szCs w:val="24"/>
        </w:rPr>
        <w:t xml:space="preserve"> </w:t>
      </w:r>
      <w:r w:rsidR="007B5886">
        <w:rPr>
          <w:rFonts w:ascii="Calibri" w:hAnsi="Calibri"/>
          <w:sz w:val="24"/>
          <w:szCs w:val="24"/>
        </w:rPr>
        <w:t>was</w:t>
      </w:r>
      <w:r w:rsidR="0018483F" w:rsidRPr="00DB1D7C">
        <w:rPr>
          <w:rFonts w:ascii="Calibri" w:hAnsi="Calibri"/>
          <w:sz w:val="24"/>
          <w:szCs w:val="24"/>
        </w:rPr>
        <w:t xml:space="preserve"> </w:t>
      </w:r>
      <w:r w:rsidR="0041620D" w:rsidRPr="00DB1D7C">
        <w:rPr>
          <w:rFonts w:ascii="Calibri" w:hAnsi="Calibri"/>
          <w:sz w:val="24"/>
          <w:szCs w:val="24"/>
        </w:rPr>
        <w:t>44</w:t>
      </w:r>
      <w:r w:rsidR="00E8657B">
        <w:rPr>
          <w:rFonts w:ascii="Calibri" w:hAnsi="Calibri"/>
          <w:sz w:val="24"/>
          <w:szCs w:val="24"/>
        </w:rPr>
        <w:t xml:space="preserve"> </w:t>
      </w:r>
      <w:r w:rsidR="0041620D" w:rsidRPr="00DB1D7C">
        <w:rPr>
          <w:rFonts w:ascii="Calibri" w:hAnsi="Calibri"/>
          <w:sz w:val="24"/>
          <w:szCs w:val="24"/>
        </w:rPr>
        <w:t>%</w:t>
      </w:r>
      <w:r w:rsidR="0018483F" w:rsidRPr="00DB1D7C">
        <w:rPr>
          <w:rFonts w:ascii="Calibri" w:hAnsi="Calibri"/>
          <w:sz w:val="24"/>
          <w:szCs w:val="24"/>
        </w:rPr>
        <w:t xml:space="preserve"> in the revision. </w:t>
      </w:r>
      <w:r w:rsidR="0041620D" w:rsidRPr="00DB1D7C">
        <w:rPr>
          <w:rFonts w:ascii="Calibri" w:hAnsi="Calibri"/>
          <w:sz w:val="24"/>
          <w:szCs w:val="24"/>
        </w:rPr>
        <w:t xml:space="preserve"> Thus, the</w:t>
      </w:r>
      <w:r w:rsidR="0018483F" w:rsidRPr="00DB1D7C">
        <w:rPr>
          <w:rFonts w:ascii="Calibri" w:hAnsi="Calibri"/>
          <w:sz w:val="24"/>
          <w:szCs w:val="24"/>
        </w:rPr>
        <w:t xml:space="preserve"> </w:t>
      </w:r>
      <w:r w:rsidR="0041620D" w:rsidRPr="00DB1D7C">
        <w:rPr>
          <w:rFonts w:ascii="Calibri" w:hAnsi="Calibri"/>
          <w:sz w:val="24"/>
          <w:szCs w:val="24"/>
        </w:rPr>
        <w:t>consequences of improving accuracy reside in the absolute</w:t>
      </w:r>
      <w:r w:rsidR="0018483F" w:rsidRPr="00DB1D7C">
        <w:rPr>
          <w:rFonts w:ascii="Calibri" w:hAnsi="Calibri"/>
          <w:sz w:val="24"/>
          <w:szCs w:val="24"/>
        </w:rPr>
        <w:t xml:space="preserve"> </w:t>
      </w:r>
      <w:r w:rsidR="0041620D" w:rsidRPr="00DB1D7C">
        <w:rPr>
          <w:rFonts w:ascii="Calibri" w:hAnsi="Calibri"/>
          <w:sz w:val="24"/>
          <w:szCs w:val="24"/>
        </w:rPr>
        <w:lastRenderedPageBreak/>
        <w:t>number generated and not in the rank order of risk</w:t>
      </w:r>
      <w:r w:rsidR="0018483F" w:rsidRPr="00DB1D7C">
        <w:rPr>
          <w:rFonts w:ascii="Calibri" w:hAnsi="Calibri"/>
          <w:sz w:val="24"/>
          <w:szCs w:val="24"/>
        </w:rPr>
        <w:t xml:space="preserve"> so that</w:t>
      </w:r>
      <w:r w:rsidR="0018483F" w:rsidRPr="00DB1D7C">
        <w:t xml:space="preserve"> the consequences of inaccurate epidemiological </w:t>
      </w:r>
      <w:r w:rsidR="00EF00D3">
        <w:t xml:space="preserve">data </w:t>
      </w:r>
      <w:r w:rsidR="0018483F" w:rsidRPr="00DB1D7C">
        <w:t xml:space="preserve">are of minor consequence to daily clinical practice.  </w:t>
      </w:r>
      <w:r w:rsidR="0041620D" w:rsidRPr="00DB1D7C">
        <w:rPr>
          <w:rFonts w:ascii="Calibri" w:hAnsi="Calibri"/>
          <w:sz w:val="24"/>
          <w:szCs w:val="24"/>
        </w:rPr>
        <w:t>An exception arises when fracture probabilities are used</w:t>
      </w:r>
      <w:r w:rsidR="0018483F" w:rsidRPr="00DB1D7C">
        <w:rPr>
          <w:rFonts w:ascii="Calibri" w:hAnsi="Calibri"/>
          <w:sz w:val="24"/>
          <w:szCs w:val="24"/>
        </w:rPr>
        <w:t xml:space="preserve"> </w:t>
      </w:r>
      <w:r w:rsidR="0041620D" w:rsidRPr="00DB1D7C">
        <w:rPr>
          <w:rFonts w:ascii="Calibri" w:hAnsi="Calibri"/>
          <w:sz w:val="24"/>
          <w:szCs w:val="24"/>
        </w:rPr>
        <w:t>in health</w:t>
      </w:r>
      <w:r w:rsidR="004769A1">
        <w:rPr>
          <w:rFonts w:ascii="Calibri" w:hAnsi="Calibri"/>
          <w:sz w:val="24"/>
          <w:szCs w:val="24"/>
        </w:rPr>
        <w:t>-</w:t>
      </w:r>
      <w:r w:rsidR="0041620D" w:rsidRPr="00DB1D7C">
        <w:rPr>
          <w:rFonts w:ascii="Calibri" w:hAnsi="Calibri"/>
          <w:sz w:val="24"/>
          <w:szCs w:val="24"/>
        </w:rPr>
        <w:t>economic analysis to inform practice guidelines</w:t>
      </w:r>
      <w:r w:rsidR="0018483F" w:rsidRPr="00DB1D7C">
        <w:rPr>
          <w:rFonts w:ascii="Calibri" w:hAnsi="Calibri"/>
          <w:sz w:val="24"/>
          <w:szCs w:val="24"/>
        </w:rPr>
        <w:t xml:space="preserve"> where accuracy becomes a matter of importance</w:t>
      </w:r>
      <w:r w:rsidR="0041620D" w:rsidRPr="00DB1D7C">
        <w:rPr>
          <w:rFonts w:ascii="Calibri" w:hAnsi="Calibri"/>
          <w:sz w:val="24"/>
          <w:szCs w:val="24"/>
        </w:rPr>
        <w:t>.</w:t>
      </w:r>
    </w:p>
    <w:p w14:paraId="6E028D2F" w14:textId="7419705C" w:rsidR="003626E0" w:rsidRPr="00DB1D7C" w:rsidRDefault="00EE1884" w:rsidP="008819A0">
      <w:pPr>
        <w:rPr>
          <w:rFonts w:ascii="Calibri" w:hAnsi="Calibri"/>
          <w:i/>
          <w:sz w:val="24"/>
          <w:szCs w:val="24"/>
        </w:rPr>
      </w:pPr>
      <w:r w:rsidRPr="00DB1D7C">
        <w:rPr>
          <w:rFonts w:ascii="Calibri" w:hAnsi="Calibri"/>
          <w:i/>
          <w:sz w:val="24"/>
          <w:szCs w:val="24"/>
        </w:rPr>
        <w:t>Other determinants of accuracy</w:t>
      </w:r>
    </w:p>
    <w:p w14:paraId="07EA3F12" w14:textId="354E9378" w:rsidR="00842EA0" w:rsidRPr="00DB6399" w:rsidRDefault="0018483F" w:rsidP="008819A0">
      <w:pPr>
        <w:rPr>
          <w:rFonts w:ascii="Calibri" w:hAnsi="Calibri"/>
          <w:sz w:val="24"/>
          <w:szCs w:val="24"/>
        </w:rPr>
      </w:pPr>
      <w:r w:rsidRPr="00DB1D7C">
        <w:rPr>
          <w:rFonts w:ascii="Calibri" w:hAnsi="Calibri"/>
          <w:sz w:val="24"/>
          <w:szCs w:val="24"/>
        </w:rPr>
        <w:t xml:space="preserve">A number of studies have investigated potential errors of accuracy within populations.  The accuracy of FRAX does not appear to be affected by </w:t>
      </w:r>
      <w:r w:rsidR="00842EA0" w:rsidRPr="00DB1D7C">
        <w:rPr>
          <w:rFonts w:ascii="Calibri" w:hAnsi="Calibri"/>
          <w:sz w:val="24"/>
          <w:szCs w:val="24"/>
        </w:rPr>
        <w:t>socioeconomic status</w:t>
      </w:r>
      <w:r w:rsidRPr="00DB1D7C">
        <w:rPr>
          <w:rFonts w:ascii="Calibri" w:hAnsi="Calibri"/>
          <w:sz w:val="24"/>
          <w:szCs w:val="24"/>
        </w:rPr>
        <w:t xml:space="preserve"> – at least in </w:t>
      </w:r>
      <w:r w:rsidRPr="00DB6399">
        <w:rPr>
          <w:rFonts w:ascii="Calibri" w:hAnsi="Calibri"/>
          <w:sz w:val="24"/>
          <w:szCs w:val="24"/>
        </w:rPr>
        <w:t>Canada</w:t>
      </w:r>
      <w:r w:rsidR="00842EA0" w:rsidRPr="00DB6399">
        <w:rPr>
          <w:rFonts w:ascii="Calibri" w:hAnsi="Calibri"/>
          <w:sz w:val="24"/>
          <w:szCs w:val="24"/>
        </w:rPr>
        <w:t xml:space="preserve"> </w:t>
      </w:r>
      <w:r w:rsidR="00F91F35" w:rsidRPr="00DB6399">
        <w:rPr>
          <w:rFonts w:ascii="Calibri" w:hAnsi="Calibri"/>
          <w:sz w:val="24"/>
          <w:szCs w:val="24"/>
        </w:rPr>
        <w:t>[2</w:t>
      </w:r>
      <w:r w:rsidR="00DB6399" w:rsidRPr="00DB6399">
        <w:rPr>
          <w:rFonts w:ascii="Calibri" w:hAnsi="Calibri"/>
          <w:sz w:val="24"/>
          <w:szCs w:val="24"/>
        </w:rPr>
        <w:t>10</w:t>
      </w:r>
      <w:r w:rsidR="00F91F35" w:rsidRPr="00DB6399">
        <w:rPr>
          <w:rFonts w:ascii="Calibri" w:hAnsi="Calibri"/>
          <w:sz w:val="24"/>
          <w:szCs w:val="24"/>
        </w:rPr>
        <w:t>]</w:t>
      </w:r>
      <w:r w:rsidRPr="00DB6399">
        <w:rPr>
          <w:rFonts w:ascii="Calibri" w:hAnsi="Calibri"/>
          <w:sz w:val="24"/>
          <w:szCs w:val="24"/>
        </w:rPr>
        <w:t xml:space="preserve">. </w:t>
      </w:r>
      <w:r w:rsidR="00ED1F26" w:rsidRPr="00DB6399">
        <w:rPr>
          <w:rFonts w:ascii="Calibri" w:hAnsi="Calibri"/>
          <w:sz w:val="24"/>
          <w:szCs w:val="24"/>
        </w:rPr>
        <w:t xml:space="preserve"> A</w:t>
      </w:r>
      <w:r w:rsidR="00ED1F26" w:rsidRPr="0011029E">
        <w:rPr>
          <w:rFonts w:ascii="Calibri" w:hAnsi="Calibri"/>
          <w:sz w:val="24"/>
          <w:szCs w:val="24"/>
        </w:rPr>
        <w:t xml:space="preserve"> </w:t>
      </w:r>
      <w:r w:rsidR="00630135" w:rsidRPr="0011029E">
        <w:rPr>
          <w:rFonts w:ascii="Calibri" w:hAnsi="Calibri"/>
          <w:sz w:val="24"/>
          <w:szCs w:val="24"/>
        </w:rPr>
        <w:t xml:space="preserve">much smaller </w:t>
      </w:r>
      <w:r w:rsidR="00ED1F26" w:rsidRPr="0011029E">
        <w:rPr>
          <w:rFonts w:ascii="Calibri" w:hAnsi="Calibri"/>
          <w:sz w:val="24"/>
          <w:szCs w:val="24"/>
        </w:rPr>
        <w:t>study from Australia suggested no association</w:t>
      </w:r>
      <w:r w:rsidR="002C1B7F">
        <w:rPr>
          <w:rFonts w:ascii="Calibri" w:hAnsi="Calibri"/>
          <w:sz w:val="24"/>
          <w:szCs w:val="24"/>
        </w:rPr>
        <w:t xml:space="preserve"> of FRAX with</w:t>
      </w:r>
      <w:r w:rsidR="002C1B7F" w:rsidRPr="002C1B7F">
        <w:rPr>
          <w:rFonts w:ascii="Calibri" w:hAnsi="Calibri"/>
          <w:sz w:val="24"/>
          <w:szCs w:val="24"/>
        </w:rPr>
        <w:t xml:space="preserve"> socioeconomic status</w:t>
      </w:r>
      <w:r w:rsidR="002C1B7F">
        <w:rPr>
          <w:rFonts w:ascii="Calibri" w:hAnsi="Calibri"/>
          <w:sz w:val="24"/>
          <w:szCs w:val="24"/>
        </w:rPr>
        <w:t xml:space="preserve"> </w:t>
      </w:r>
      <w:r w:rsidR="00ED1F26" w:rsidRPr="0011029E">
        <w:rPr>
          <w:rFonts w:ascii="Calibri" w:hAnsi="Calibri"/>
          <w:sz w:val="24"/>
          <w:szCs w:val="24"/>
        </w:rPr>
        <w:t xml:space="preserve">in women with a history of prior fracture but </w:t>
      </w:r>
      <w:r w:rsidR="00630135" w:rsidRPr="0011029E">
        <w:rPr>
          <w:rFonts w:ascii="Calibri" w:hAnsi="Calibri"/>
          <w:sz w:val="24"/>
          <w:szCs w:val="24"/>
        </w:rPr>
        <w:t>surprisingly, a</w:t>
      </w:r>
      <w:r w:rsidR="00ED1F26" w:rsidRPr="0011029E">
        <w:rPr>
          <w:rFonts w:ascii="Calibri" w:hAnsi="Calibri"/>
          <w:sz w:val="24"/>
          <w:szCs w:val="24"/>
        </w:rPr>
        <w:t xml:space="preserve"> significant effect in women without a prior </w:t>
      </w:r>
      <w:r w:rsidR="00ED1F26" w:rsidRPr="00DB6399">
        <w:rPr>
          <w:rFonts w:ascii="Calibri" w:hAnsi="Calibri"/>
          <w:sz w:val="24"/>
          <w:szCs w:val="24"/>
        </w:rPr>
        <w:t>fracture</w:t>
      </w:r>
      <w:r w:rsidR="00630135" w:rsidRPr="00DB6399">
        <w:rPr>
          <w:rFonts w:ascii="Calibri" w:hAnsi="Calibri"/>
          <w:sz w:val="24"/>
          <w:szCs w:val="24"/>
        </w:rPr>
        <w:t xml:space="preserve"> </w:t>
      </w:r>
      <w:r w:rsidR="0011029E" w:rsidRPr="00DB6399">
        <w:rPr>
          <w:rFonts w:ascii="Calibri" w:hAnsi="Calibri"/>
          <w:sz w:val="24"/>
          <w:szCs w:val="24"/>
        </w:rPr>
        <w:t>[</w:t>
      </w:r>
      <w:r w:rsidR="009251FF">
        <w:rPr>
          <w:rFonts w:ascii="Calibri" w:hAnsi="Calibri"/>
          <w:sz w:val="24"/>
          <w:szCs w:val="24"/>
        </w:rPr>
        <w:t>197</w:t>
      </w:r>
      <w:r w:rsidR="00F91F35" w:rsidRPr="00DB6399">
        <w:rPr>
          <w:rFonts w:ascii="Calibri" w:hAnsi="Calibri"/>
          <w:sz w:val="24"/>
          <w:szCs w:val="24"/>
        </w:rPr>
        <w:t>]</w:t>
      </w:r>
      <w:r w:rsidR="00630135" w:rsidRPr="00DB6399">
        <w:rPr>
          <w:rFonts w:ascii="Calibri" w:hAnsi="Calibri"/>
          <w:sz w:val="24"/>
          <w:szCs w:val="24"/>
        </w:rPr>
        <w:t>.</w:t>
      </w:r>
      <w:r w:rsidR="00ED1F26" w:rsidRPr="00DB6399">
        <w:rPr>
          <w:rFonts w:ascii="Calibri" w:hAnsi="Calibri"/>
          <w:sz w:val="24"/>
          <w:szCs w:val="24"/>
        </w:rPr>
        <w:t xml:space="preserve"> </w:t>
      </w:r>
    </w:p>
    <w:p w14:paraId="59931788" w14:textId="23EB0B0F" w:rsidR="00842EA0" w:rsidRPr="00DB1D7C" w:rsidRDefault="00541BD6" w:rsidP="008819A0">
      <w:pPr>
        <w:rPr>
          <w:rFonts w:ascii="Calibri" w:hAnsi="Calibri"/>
          <w:sz w:val="24"/>
          <w:szCs w:val="24"/>
        </w:rPr>
      </w:pPr>
      <w:r w:rsidRPr="00306CB3">
        <w:rPr>
          <w:rFonts w:ascii="Calibri" w:hAnsi="Calibri"/>
          <w:sz w:val="24"/>
          <w:szCs w:val="24"/>
        </w:rPr>
        <w:t>It has been suggested that FRAX should not be used in patients</w:t>
      </w:r>
      <w:r w:rsidRPr="00DB6399">
        <w:rPr>
          <w:rFonts w:ascii="Calibri" w:hAnsi="Calibri"/>
          <w:sz w:val="24"/>
          <w:szCs w:val="24"/>
        </w:rPr>
        <w:t xml:space="preserve"> taking medication for osteoporosis.  </w:t>
      </w:r>
      <w:r w:rsidR="00EE1884" w:rsidRPr="00DB6399">
        <w:rPr>
          <w:rFonts w:ascii="Calibri" w:hAnsi="Calibri"/>
          <w:sz w:val="24"/>
          <w:szCs w:val="24"/>
        </w:rPr>
        <w:t xml:space="preserve">In </w:t>
      </w:r>
      <w:r w:rsidRPr="00DB6399">
        <w:rPr>
          <w:rFonts w:ascii="Calibri" w:hAnsi="Calibri"/>
          <w:sz w:val="24"/>
          <w:szCs w:val="24"/>
        </w:rPr>
        <w:t>a large</w:t>
      </w:r>
      <w:r w:rsidR="00EE1884" w:rsidRPr="00DB6399">
        <w:rPr>
          <w:rFonts w:ascii="Calibri" w:hAnsi="Calibri"/>
          <w:sz w:val="24"/>
          <w:szCs w:val="24"/>
        </w:rPr>
        <w:t xml:space="preserve"> stud</w:t>
      </w:r>
      <w:r w:rsidRPr="00DB6399">
        <w:rPr>
          <w:rFonts w:ascii="Calibri" w:hAnsi="Calibri"/>
          <w:sz w:val="24"/>
          <w:szCs w:val="24"/>
        </w:rPr>
        <w:t>y that addressed the question</w:t>
      </w:r>
      <w:r w:rsidR="00EE1884" w:rsidRPr="00DB6399">
        <w:rPr>
          <w:rFonts w:ascii="Calibri" w:hAnsi="Calibri"/>
          <w:sz w:val="24"/>
          <w:szCs w:val="24"/>
        </w:rPr>
        <w:t xml:space="preserve"> </w:t>
      </w:r>
      <w:r w:rsidR="00760198" w:rsidRPr="00DB6399">
        <w:rPr>
          <w:rFonts w:ascii="Calibri" w:hAnsi="Calibri"/>
          <w:sz w:val="24"/>
          <w:szCs w:val="24"/>
        </w:rPr>
        <w:t>[</w:t>
      </w:r>
      <w:r w:rsidR="009251FF">
        <w:rPr>
          <w:rFonts w:ascii="Calibri" w:hAnsi="Calibri"/>
          <w:sz w:val="24"/>
          <w:szCs w:val="24"/>
        </w:rPr>
        <w:t>211</w:t>
      </w:r>
      <w:r w:rsidR="00760198" w:rsidRPr="00DB6399">
        <w:rPr>
          <w:rFonts w:ascii="Calibri" w:hAnsi="Calibri"/>
          <w:sz w:val="24"/>
          <w:szCs w:val="24"/>
        </w:rPr>
        <w:t>]</w:t>
      </w:r>
      <w:r w:rsidRPr="00DB6399">
        <w:rPr>
          <w:rFonts w:ascii="Calibri" w:hAnsi="Calibri"/>
          <w:sz w:val="24"/>
          <w:szCs w:val="24"/>
        </w:rPr>
        <w:t>,</w:t>
      </w:r>
      <w:r w:rsidR="00EE1884" w:rsidRPr="00DB6399">
        <w:rPr>
          <w:rFonts w:ascii="Calibri" w:hAnsi="Calibri"/>
          <w:sz w:val="24"/>
          <w:szCs w:val="24"/>
        </w:rPr>
        <w:t xml:space="preserve"> the</w:t>
      </w:r>
      <w:r w:rsidR="00EE1884" w:rsidRPr="0011029E">
        <w:rPr>
          <w:rFonts w:ascii="Calibri" w:hAnsi="Calibri"/>
          <w:sz w:val="24"/>
          <w:szCs w:val="24"/>
        </w:rPr>
        <w:t xml:space="preserve"> impact</w:t>
      </w:r>
      <w:r w:rsidR="00EE1884" w:rsidRPr="00DB1D7C">
        <w:rPr>
          <w:rFonts w:ascii="Calibri" w:hAnsi="Calibri"/>
          <w:sz w:val="24"/>
          <w:szCs w:val="24"/>
        </w:rPr>
        <w:t xml:space="preserve"> of compliance to bisphosphonates on calibration </w:t>
      </w:r>
      <w:r w:rsidRPr="00DB1D7C">
        <w:rPr>
          <w:rFonts w:ascii="Calibri" w:hAnsi="Calibri"/>
          <w:sz w:val="24"/>
          <w:szCs w:val="24"/>
        </w:rPr>
        <w:t>was very modest and non-significant.  The study</w:t>
      </w:r>
      <w:r w:rsidR="00EE1884" w:rsidRPr="00DB1D7C">
        <w:rPr>
          <w:rFonts w:ascii="Calibri" w:hAnsi="Calibri"/>
          <w:sz w:val="24"/>
          <w:szCs w:val="24"/>
        </w:rPr>
        <w:t xml:space="preserve"> reported good concordance between observed and predicted major osteoporotic fractures in patients with high compliance, suggesting that FRAX is not invalid in patients exposed to </w:t>
      </w:r>
      <w:r w:rsidRPr="00DB1D7C">
        <w:rPr>
          <w:rFonts w:ascii="Calibri" w:hAnsi="Calibri"/>
          <w:sz w:val="24"/>
          <w:szCs w:val="24"/>
        </w:rPr>
        <w:t>treatment (</w:t>
      </w:r>
      <w:r w:rsidR="00EE1884" w:rsidRPr="00DB1D7C">
        <w:rPr>
          <w:rFonts w:ascii="Calibri" w:hAnsi="Calibri"/>
          <w:sz w:val="24"/>
          <w:szCs w:val="24"/>
        </w:rPr>
        <w:t>observed/predicted ratio 0.92, 95</w:t>
      </w:r>
      <w:r w:rsidR="00E8657B">
        <w:rPr>
          <w:rFonts w:ascii="Calibri" w:hAnsi="Calibri"/>
          <w:sz w:val="24"/>
          <w:szCs w:val="24"/>
        </w:rPr>
        <w:t xml:space="preserve"> </w:t>
      </w:r>
      <w:r w:rsidR="00EE1884" w:rsidRPr="00DB1D7C">
        <w:rPr>
          <w:rFonts w:ascii="Calibri" w:hAnsi="Calibri"/>
          <w:sz w:val="24"/>
          <w:szCs w:val="24"/>
        </w:rPr>
        <w:t xml:space="preserve">% CI 0.78-1.06).  </w:t>
      </w:r>
      <w:r w:rsidR="00306CB3" w:rsidRPr="00306CB3">
        <w:rPr>
          <w:rFonts w:ascii="Calibri" w:hAnsi="Calibri"/>
          <w:sz w:val="24"/>
          <w:szCs w:val="24"/>
        </w:rPr>
        <w:t xml:space="preserve">Only in the highest risk </w:t>
      </w:r>
      <w:proofErr w:type="spellStart"/>
      <w:r w:rsidR="00306CB3" w:rsidRPr="00306CB3">
        <w:rPr>
          <w:rFonts w:ascii="Calibri" w:hAnsi="Calibri"/>
          <w:sz w:val="24"/>
          <w:szCs w:val="24"/>
        </w:rPr>
        <w:t>tertile</w:t>
      </w:r>
      <w:proofErr w:type="spellEnd"/>
      <w:r w:rsidR="00306CB3" w:rsidRPr="00306CB3">
        <w:rPr>
          <w:rFonts w:ascii="Calibri" w:hAnsi="Calibri"/>
          <w:sz w:val="24"/>
          <w:szCs w:val="24"/>
        </w:rPr>
        <w:t xml:space="preserve"> of women highly adherent to at least 5 years of bisphosphonate </w:t>
      </w:r>
      <w:r w:rsidR="00306CB3">
        <w:rPr>
          <w:rFonts w:ascii="Calibri" w:hAnsi="Calibri"/>
          <w:sz w:val="24"/>
          <w:szCs w:val="24"/>
        </w:rPr>
        <w:t xml:space="preserve">treatment </w:t>
      </w:r>
      <w:r w:rsidR="00306CB3" w:rsidRPr="00306CB3">
        <w:rPr>
          <w:rFonts w:ascii="Calibri" w:hAnsi="Calibri"/>
          <w:sz w:val="24"/>
          <w:szCs w:val="24"/>
        </w:rPr>
        <w:t xml:space="preserve">was </w:t>
      </w:r>
      <w:r w:rsidR="00306CB3">
        <w:rPr>
          <w:rFonts w:ascii="Calibri" w:hAnsi="Calibri"/>
          <w:sz w:val="24"/>
          <w:szCs w:val="24"/>
        </w:rPr>
        <w:t xml:space="preserve">the </w:t>
      </w:r>
      <w:r w:rsidR="00306CB3" w:rsidRPr="00306CB3">
        <w:rPr>
          <w:rFonts w:ascii="Calibri" w:hAnsi="Calibri"/>
          <w:sz w:val="24"/>
          <w:szCs w:val="24"/>
        </w:rPr>
        <w:t>observed hip fracture risk significantly less than predicted</w:t>
      </w:r>
      <w:r w:rsidR="00306CB3">
        <w:rPr>
          <w:rFonts w:ascii="Calibri" w:hAnsi="Calibri"/>
          <w:sz w:val="24"/>
          <w:szCs w:val="24"/>
        </w:rPr>
        <w:t>.</w:t>
      </w:r>
      <w:r w:rsidR="00EE1884" w:rsidRPr="00DB1D7C">
        <w:rPr>
          <w:rFonts w:ascii="Calibri" w:hAnsi="Calibri"/>
          <w:sz w:val="24"/>
          <w:szCs w:val="24"/>
        </w:rPr>
        <w:t xml:space="preserve"> </w:t>
      </w:r>
    </w:p>
    <w:p w14:paraId="77E3168A" w14:textId="7A051A26" w:rsidR="00541BD6" w:rsidRPr="00DB1D7C" w:rsidRDefault="00541BD6" w:rsidP="00541BD6">
      <w:pPr>
        <w:rPr>
          <w:rFonts w:ascii="Calibri" w:hAnsi="Calibri"/>
          <w:sz w:val="24"/>
          <w:szCs w:val="24"/>
        </w:rPr>
      </w:pPr>
      <w:r w:rsidRPr="00DB1D7C">
        <w:rPr>
          <w:rFonts w:ascii="Calibri" w:hAnsi="Calibri"/>
          <w:sz w:val="24"/>
          <w:szCs w:val="24"/>
        </w:rPr>
        <w:t>A factor that appears to affect calibration is immigrant stat</w:t>
      </w:r>
      <w:r w:rsidR="00365307" w:rsidRPr="00DB1D7C">
        <w:rPr>
          <w:rFonts w:ascii="Calibri" w:hAnsi="Calibri"/>
          <w:sz w:val="24"/>
          <w:szCs w:val="24"/>
        </w:rPr>
        <w:t>u</w:t>
      </w:r>
      <w:r w:rsidRPr="00DB1D7C">
        <w:rPr>
          <w:rFonts w:ascii="Calibri" w:hAnsi="Calibri"/>
          <w:sz w:val="24"/>
          <w:szCs w:val="24"/>
        </w:rPr>
        <w:t xml:space="preserve">s.  The incidence of hip fracture in Sweden was reported to be substantially lower in immigrants than in the population native to </w:t>
      </w:r>
      <w:r w:rsidRPr="00DB6399">
        <w:rPr>
          <w:rFonts w:ascii="Calibri" w:hAnsi="Calibri"/>
          <w:sz w:val="24"/>
          <w:szCs w:val="24"/>
        </w:rPr>
        <w:t>Sweden</w:t>
      </w:r>
      <w:r w:rsidR="00365307" w:rsidRPr="00DB6399">
        <w:rPr>
          <w:rFonts w:ascii="Calibri" w:hAnsi="Calibri"/>
          <w:sz w:val="24"/>
          <w:szCs w:val="24"/>
        </w:rPr>
        <w:t xml:space="preserve"> </w:t>
      </w:r>
      <w:r w:rsidR="00760198" w:rsidRPr="00DB6399">
        <w:rPr>
          <w:rFonts w:ascii="Calibri" w:hAnsi="Calibri"/>
          <w:sz w:val="24"/>
          <w:szCs w:val="24"/>
        </w:rPr>
        <w:t>[212]</w:t>
      </w:r>
      <w:r w:rsidRPr="00DB6399">
        <w:rPr>
          <w:rFonts w:ascii="Calibri" w:hAnsi="Calibri"/>
          <w:sz w:val="24"/>
          <w:szCs w:val="24"/>
        </w:rPr>
        <w:t>.</w:t>
      </w:r>
      <w:r w:rsidR="00365307" w:rsidRPr="00DB6399">
        <w:rPr>
          <w:rFonts w:ascii="Calibri" w:hAnsi="Calibri"/>
          <w:sz w:val="24"/>
          <w:szCs w:val="24"/>
        </w:rPr>
        <w:t xml:space="preserve"> </w:t>
      </w:r>
      <w:r w:rsidRPr="00DB6399">
        <w:rPr>
          <w:rFonts w:ascii="Calibri" w:hAnsi="Calibri"/>
          <w:sz w:val="24"/>
          <w:szCs w:val="24"/>
        </w:rPr>
        <w:t xml:space="preserve"> Although</w:t>
      </w:r>
      <w:r w:rsidRPr="00DB1D7C">
        <w:rPr>
          <w:rFonts w:ascii="Calibri" w:hAnsi="Calibri"/>
          <w:sz w:val="24"/>
          <w:szCs w:val="24"/>
        </w:rPr>
        <w:t xml:space="preserve"> there was a small rise in age- and sex</w:t>
      </w:r>
      <w:r w:rsidR="004769A1">
        <w:rPr>
          <w:rFonts w:ascii="Calibri" w:hAnsi="Calibri"/>
          <w:sz w:val="24"/>
          <w:szCs w:val="24"/>
        </w:rPr>
        <w:t>-</w:t>
      </w:r>
      <w:r w:rsidRPr="00DB1D7C">
        <w:rPr>
          <w:rFonts w:ascii="Calibri" w:hAnsi="Calibri"/>
          <w:sz w:val="24"/>
          <w:szCs w:val="24"/>
        </w:rPr>
        <w:t>specific incidence after immigration, the incidence remained markedly lower than that observed in Swedish-born individuals</w:t>
      </w:r>
      <w:r w:rsidR="00365307" w:rsidRPr="00DB1D7C">
        <w:rPr>
          <w:rFonts w:ascii="Calibri" w:hAnsi="Calibri"/>
          <w:sz w:val="24"/>
          <w:szCs w:val="24"/>
        </w:rPr>
        <w:t xml:space="preserve"> even after 20 or more years</w:t>
      </w:r>
      <w:r w:rsidRPr="00DB1D7C">
        <w:rPr>
          <w:rFonts w:ascii="Calibri" w:hAnsi="Calibri"/>
          <w:sz w:val="24"/>
          <w:szCs w:val="24"/>
        </w:rPr>
        <w:t>. Thus, the use of a FRAX model for Sweden will overestimate</w:t>
      </w:r>
      <w:r w:rsidR="00365307" w:rsidRPr="00DB1D7C">
        <w:rPr>
          <w:rFonts w:ascii="Calibri" w:hAnsi="Calibri"/>
          <w:sz w:val="24"/>
          <w:szCs w:val="24"/>
        </w:rPr>
        <w:t xml:space="preserve"> </w:t>
      </w:r>
      <w:r w:rsidRPr="00DB1D7C">
        <w:rPr>
          <w:rFonts w:ascii="Calibri" w:hAnsi="Calibri"/>
          <w:sz w:val="24"/>
          <w:szCs w:val="24"/>
        </w:rPr>
        <w:t>the risk of fracture for foreign-born individuals living</w:t>
      </w:r>
      <w:r w:rsidR="00365307" w:rsidRPr="00DB1D7C">
        <w:rPr>
          <w:rFonts w:ascii="Calibri" w:hAnsi="Calibri"/>
          <w:sz w:val="24"/>
          <w:szCs w:val="24"/>
        </w:rPr>
        <w:t xml:space="preserve"> </w:t>
      </w:r>
      <w:r w:rsidRPr="00DB1D7C">
        <w:rPr>
          <w:rFonts w:ascii="Calibri" w:hAnsi="Calibri"/>
          <w:sz w:val="24"/>
          <w:szCs w:val="24"/>
        </w:rPr>
        <w:t>in Sweden.</w:t>
      </w:r>
      <w:r w:rsidR="00365307" w:rsidRPr="00DB1D7C">
        <w:rPr>
          <w:rFonts w:ascii="Calibri" w:hAnsi="Calibri"/>
          <w:sz w:val="24"/>
          <w:szCs w:val="24"/>
        </w:rPr>
        <w:t xml:space="preserve">  Sweden has one of the highest hip fracture rates worldwide and, if the findings in Sweden are replicated in other countries (with a lower indigenous fracture risk), the quantum of effect may be more modest.</w:t>
      </w:r>
    </w:p>
    <w:p w14:paraId="4541ECF1" w14:textId="77777777" w:rsidR="00FF503B" w:rsidRPr="00DB1D7C" w:rsidRDefault="00FF503B" w:rsidP="008819A0">
      <w:pPr>
        <w:rPr>
          <w:rFonts w:ascii="Calibri" w:hAnsi="Calibri"/>
          <w:bCs/>
          <w:i/>
          <w:sz w:val="24"/>
          <w:szCs w:val="24"/>
        </w:rPr>
      </w:pPr>
    </w:p>
    <w:p w14:paraId="329B2650" w14:textId="3A385C3C" w:rsidR="003626E0" w:rsidRPr="00DB1D7C" w:rsidRDefault="003626E0" w:rsidP="004665D8">
      <w:pPr>
        <w:spacing w:line="276" w:lineRule="auto"/>
        <w:rPr>
          <w:rFonts w:ascii="Calibri" w:hAnsi="Calibri"/>
          <w:bCs/>
          <w:i/>
          <w:sz w:val="24"/>
          <w:szCs w:val="24"/>
        </w:rPr>
      </w:pPr>
      <w:r w:rsidRPr="00DB1D7C">
        <w:rPr>
          <w:rFonts w:ascii="Calibri" w:hAnsi="Calibri"/>
          <w:bCs/>
          <w:i/>
          <w:sz w:val="24"/>
          <w:szCs w:val="24"/>
        </w:rPr>
        <w:t xml:space="preserve">Reclassification </w:t>
      </w:r>
    </w:p>
    <w:p w14:paraId="104107FC" w14:textId="467DEB3D" w:rsidR="003A55B4" w:rsidRPr="00DB1D7C" w:rsidRDefault="00DA3FD0" w:rsidP="004665D8">
      <w:pPr>
        <w:spacing w:line="276" w:lineRule="auto"/>
        <w:rPr>
          <w:sz w:val="24"/>
          <w:szCs w:val="24"/>
        </w:rPr>
      </w:pPr>
      <w:r w:rsidRPr="00DB1D7C">
        <w:rPr>
          <w:rFonts w:ascii="Calibri" w:hAnsi="Calibri"/>
          <w:sz w:val="24"/>
          <w:szCs w:val="24"/>
        </w:rPr>
        <w:t xml:space="preserve">The guidelines developed by NOGG and adopted </w:t>
      </w:r>
      <w:r w:rsidR="003A55B4" w:rsidRPr="00DB1D7C">
        <w:rPr>
          <w:rFonts w:ascii="Calibri" w:hAnsi="Calibri"/>
          <w:sz w:val="24"/>
          <w:szCs w:val="24"/>
        </w:rPr>
        <w:t>in several other countries has the characteristic that individuals may be eligible or otherwise without a BMD test.  Rather, the use o</w:t>
      </w:r>
      <w:r w:rsidR="00B547DD" w:rsidRPr="00DB1D7C">
        <w:rPr>
          <w:rFonts w:ascii="Calibri" w:hAnsi="Calibri"/>
          <w:sz w:val="24"/>
          <w:szCs w:val="24"/>
        </w:rPr>
        <w:t>f</w:t>
      </w:r>
      <w:r w:rsidR="003A55B4" w:rsidRPr="00DB1D7C">
        <w:rPr>
          <w:rFonts w:ascii="Calibri" w:hAnsi="Calibri"/>
          <w:sz w:val="24"/>
          <w:szCs w:val="24"/>
        </w:rPr>
        <w:t xml:space="preserve"> BMD is restricted to individuals that lie close to the age-dependent intervention threshold.  In turn decision rules are required to determine</w:t>
      </w:r>
      <w:r w:rsidRPr="00DB1D7C">
        <w:rPr>
          <w:rFonts w:ascii="Calibri" w:hAnsi="Calibri"/>
          <w:sz w:val="24"/>
          <w:szCs w:val="24"/>
        </w:rPr>
        <w:t xml:space="preserve"> </w:t>
      </w:r>
      <w:r w:rsidR="003A55B4" w:rsidRPr="00DB1D7C">
        <w:rPr>
          <w:rFonts w:ascii="Calibri" w:hAnsi="Calibri"/>
          <w:sz w:val="24"/>
          <w:szCs w:val="24"/>
        </w:rPr>
        <w:t xml:space="preserve">a </w:t>
      </w:r>
      <w:r w:rsidRPr="00DB1D7C">
        <w:rPr>
          <w:rFonts w:ascii="Calibri" w:hAnsi="Calibri"/>
          <w:sz w:val="24"/>
          <w:szCs w:val="24"/>
        </w:rPr>
        <w:t>threshold probability below which neither treatment nor a BMD test should be considered (lower assessment threshold)</w:t>
      </w:r>
      <w:r w:rsidR="003A55B4" w:rsidRPr="00DB1D7C">
        <w:rPr>
          <w:rFonts w:ascii="Calibri" w:hAnsi="Calibri"/>
          <w:sz w:val="24"/>
          <w:szCs w:val="24"/>
        </w:rPr>
        <w:t xml:space="preserve"> and </w:t>
      </w:r>
      <w:r w:rsidRPr="00DB1D7C">
        <w:rPr>
          <w:rFonts w:ascii="Calibri" w:hAnsi="Calibri"/>
          <w:sz w:val="24"/>
          <w:szCs w:val="24"/>
        </w:rPr>
        <w:t>a threshold probability above which treatment may be recommended irrespective of BMD (upper assessment threshold)</w:t>
      </w:r>
      <w:r w:rsidR="003A55B4" w:rsidRPr="00DB1D7C">
        <w:rPr>
          <w:rFonts w:ascii="Calibri" w:hAnsi="Calibri"/>
          <w:sz w:val="24"/>
          <w:szCs w:val="24"/>
        </w:rPr>
        <w:t xml:space="preserve">.  </w:t>
      </w:r>
      <w:r w:rsidRPr="00DB1D7C">
        <w:rPr>
          <w:sz w:val="24"/>
          <w:szCs w:val="24"/>
        </w:rPr>
        <w:t>The attraction of the approach is that efficient use is made of BMD testing</w:t>
      </w:r>
      <w:r w:rsidR="003A55B4" w:rsidRPr="00DB1D7C">
        <w:rPr>
          <w:sz w:val="24"/>
          <w:szCs w:val="24"/>
        </w:rPr>
        <w:t>.  The justification of these assessment thresholds depends on reclassification rates</w:t>
      </w:r>
      <w:r w:rsidR="00CF325E" w:rsidRPr="00DB1D7C">
        <w:rPr>
          <w:sz w:val="24"/>
          <w:szCs w:val="24"/>
        </w:rPr>
        <w:t xml:space="preserve"> when </w:t>
      </w:r>
      <w:r w:rsidR="00B0183B" w:rsidRPr="00DB1D7C">
        <w:rPr>
          <w:sz w:val="24"/>
          <w:szCs w:val="24"/>
        </w:rPr>
        <w:t>FRAX</w:t>
      </w:r>
      <w:r w:rsidR="00CF325E" w:rsidRPr="00DB1D7C">
        <w:rPr>
          <w:sz w:val="24"/>
          <w:szCs w:val="24"/>
        </w:rPr>
        <w:t xml:space="preserve"> is calculated with and without BMD.</w:t>
      </w:r>
      <w:r w:rsidRPr="00DB1D7C">
        <w:rPr>
          <w:sz w:val="24"/>
          <w:szCs w:val="24"/>
        </w:rPr>
        <w:t xml:space="preserve"> </w:t>
      </w:r>
    </w:p>
    <w:p w14:paraId="69F6A6C9" w14:textId="10E74FF6" w:rsidR="00DA3FD0" w:rsidRPr="00DB1D7C" w:rsidRDefault="00DA3FD0" w:rsidP="004665D8">
      <w:pPr>
        <w:spacing w:line="276" w:lineRule="auto"/>
        <w:rPr>
          <w:sz w:val="24"/>
          <w:szCs w:val="24"/>
        </w:rPr>
      </w:pPr>
      <w:r w:rsidRPr="00DB1D7C">
        <w:rPr>
          <w:sz w:val="24"/>
          <w:szCs w:val="24"/>
        </w:rPr>
        <w:lastRenderedPageBreak/>
        <w:t xml:space="preserve">An example of </w:t>
      </w:r>
      <w:r w:rsidR="00CF325E" w:rsidRPr="00DB1D7C">
        <w:rPr>
          <w:sz w:val="24"/>
          <w:szCs w:val="24"/>
        </w:rPr>
        <w:t>such an</w:t>
      </w:r>
      <w:r w:rsidRPr="00DB1D7C">
        <w:rPr>
          <w:sz w:val="24"/>
          <w:szCs w:val="24"/>
        </w:rPr>
        <w:t xml:space="preserve"> approach is </w:t>
      </w:r>
      <w:r w:rsidRPr="002A1E50">
        <w:rPr>
          <w:sz w:val="24"/>
          <w:szCs w:val="24"/>
        </w:rPr>
        <w:t xml:space="preserve">shown in Table </w:t>
      </w:r>
      <w:r w:rsidR="000305D7" w:rsidRPr="002A1E50">
        <w:rPr>
          <w:sz w:val="24"/>
          <w:szCs w:val="24"/>
        </w:rPr>
        <w:t>11</w:t>
      </w:r>
      <w:r w:rsidR="004769A1" w:rsidRPr="002A1E50">
        <w:rPr>
          <w:sz w:val="24"/>
          <w:szCs w:val="24"/>
        </w:rPr>
        <w:t>,</w:t>
      </w:r>
      <w:r w:rsidRPr="002A1E50">
        <w:rPr>
          <w:sz w:val="24"/>
          <w:szCs w:val="24"/>
        </w:rPr>
        <w:t xml:space="preserve"> which shows the distribution of fracture probability in a random sample of women aged 75 years or more drawn from the general population of </w:t>
      </w:r>
      <w:r w:rsidRPr="0011029E">
        <w:rPr>
          <w:sz w:val="24"/>
          <w:szCs w:val="24"/>
        </w:rPr>
        <w:t xml:space="preserve">Sheffield </w:t>
      </w:r>
      <w:r w:rsidR="008777D2" w:rsidRPr="0011029E">
        <w:rPr>
          <w:sz w:val="24"/>
          <w:szCs w:val="24"/>
        </w:rPr>
        <w:t>[142]</w:t>
      </w:r>
      <w:r w:rsidRPr="0011029E">
        <w:rPr>
          <w:sz w:val="24"/>
          <w:szCs w:val="24"/>
        </w:rPr>
        <w:t>.   With</w:t>
      </w:r>
      <w:r w:rsidRPr="002A1E50">
        <w:rPr>
          <w:sz w:val="24"/>
          <w:szCs w:val="24"/>
        </w:rPr>
        <w:t xml:space="preserve"> an arbitrary treatment threshold set at a probability of any fracture of 35</w:t>
      </w:r>
      <w:r w:rsidR="004769A1" w:rsidRPr="002A1E50">
        <w:rPr>
          <w:sz w:val="24"/>
          <w:szCs w:val="24"/>
        </w:rPr>
        <w:t xml:space="preserve"> </w:t>
      </w:r>
      <w:r w:rsidRPr="002A1E50">
        <w:rPr>
          <w:sz w:val="24"/>
          <w:szCs w:val="24"/>
        </w:rPr>
        <w:t>% (note, all fractures and not just a major fracture- this was a forerunner of FRAX), approximately 17</w:t>
      </w:r>
      <w:r w:rsidR="004769A1" w:rsidRPr="002A1E50">
        <w:rPr>
          <w:sz w:val="24"/>
          <w:szCs w:val="24"/>
        </w:rPr>
        <w:t xml:space="preserve"> </w:t>
      </w:r>
      <w:r w:rsidRPr="002A1E50">
        <w:rPr>
          <w:sz w:val="24"/>
          <w:szCs w:val="24"/>
        </w:rPr>
        <w:t>% of the 2113 women were classified at high risk when assessed in the absence of BMD.  When all women were reassessed with the inclusion of BMD, a total of 319 women (15</w:t>
      </w:r>
      <w:r w:rsidR="00E8657B" w:rsidRPr="002A1E50">
        <w:rPr>
          <w:sz w:val="24"/>
          <w:szCs w:val="24"/>
        </w:rPr>
        <w:t xml:space="preserve"> </w:t>
      </w:r>
      <w:r w:rsidRPr="002A1E50">
        <w:rPr>
          <w:sz w:val="24"/>
          <w:szCs w:val="24"/>
        </w:rPr>
        <w:t>%) w</w:t>
      </w:r>
      <w:r w:rsidR="004769A1" w:rsidRPr="002A1E50">
        <w:rPr>
          <w:sz w:val="24"/>
          <w:szCs w:val="24"/>
        </w:rPr>
        <w:t>ere</w:t>
      </w:r>
      <w:r w:rsidRPr="002A1E50">
        <w:rPr>
          <w:sz w:val="24"/>
          <w:szCs w:val="24"/>
        </w:rPr>
        <w:t xml:space="preserve"> reclassified from high risk to low risk and vice versa.  However reclassification was most frequent at probabilities close to the intervention threshold.  Indeed 96</w:t>
      </w:r>
      <w:r w:rsidR="00E8657B" w:rsidRPr="002A1E50">
        <w:rPr>
          <w:sz w:val="24"/>
          <w:szCs w:val="24"/>
        </w:rPr>
        <w:t xml:space="preserve"> </w:t>
      </w:r>
      <w:r w:rsidRPr="002A1E50">
        <w:rPr>
          <w:sz w:val="24"/>
          <w:szCs w:val="24"/>
        </w:rPr>
        <w:t>% (305 of 319) of women reclassified had probabilities without BMD within 10</w:t>
      </w:r>
      <w:r w:rsidR="00E8657B" w:rsidRPr="002A1E50">
        <w:rPr>
          <w:sz w:val="24"/>
          <w:szCs w:val="24"/>
        </w:rPr>
        <w:t xml:space="preserve"> </w:t>
      </w:r>
      <w:r w:rsidRPr="002A1E50">
        <w:rPr>
          <w:sz w:val="24"/>
          <w:szCs w:val="24"/>
        </w:rPr>
        <w:t xml:space="preserve">% of the treatment threshold (see Table </w:t>
      </w:r>
      <w:r w:rsidR="000305D7" w:rsidRPr="002A1E50">
        <w:rPr>
          <w:sz w:val="24"/>
          <w:szCs w:val="24"/>
        </w:rPr>
        <w:t>11</w:t>
      </w:r>
      <w:r w:rsidRPr="002A1E50">
        <w:rPr>
          <w:sz w:val="24"/>
          <w:szCs w:val="24"/>
        </w:rPr>
        <w:t xml:space="preserve">).  In other words, if BMD testing </w:t>
      </w:r>
      <w:r w:rsidR="00EF00D3">
        <w:rPr>
          <w:sz w:val="24"/>
          <w:szCs w:val="24"/>
        </w:rPr>
        <w:t>was</w:t>
      </w:r>
      <w:r w:rsidRPr="002A1E50">
        <w:rPr>
          <w:sz w:val="24"/>
          <w:szCs w:val="24"/>
        </w:rPr>
        <w:t xml:space="preserve"> confined to those with a probability between 25 and 45</w:t>
      </w:r>
      <w:r w:rsidR="004769A1" w:rsidRPr="002A1E50">
        <w:rPr>
          <w:sz w:val="24"/>
          <w:szCs w:val="24"/>
        </w:rPr>
        <w:t xml:space="preserve"> </w:t>
      </w:r>
      <w:r w:rsidRPr="002A1E50">
        <w:rPr>
          <w:sz w:val="24"/>
          <w:szCs w:val="24"/>
        </w:rPr>
        <w:t>% then almost</w:t>
      </w:r>
      <w:r w:rsidRPr="00DB1D7C">
        <w:rPr>
          <w:sz w:val="24"/>
          <w:szCs w:val="24"/>
        </w:rPr>
        <w:t xml:space="preserve"> no cases would be missed that would otherwise (using probabilities with BMD) have been detected.  Importantly, a BMD test would only be required in about 50</w:t>
      </w:r>
      <w:r w:rsidR="004769A1">
        <w:rPr>
          <w:sz w:val="24"/>
          <w:szCs w:val="24"/>
        </w:rPr>
        <w:t xml:space="preserve"> </w:t>
      </w:r>
      <w:r w:rsidRPr="00DB1D7C">
        <w:rPr>
          <w:sz w:val="24"/>
          <w:szCs w:val="24"/>
        </w:rPr>
        <w:t xml:space="preserve">% of the population. </w:t>
      </w:r>
      <w:r w:rsidR="00CF325E" w:rsidRPr="00DB1D7C">
        <w:rPr>
          <w:sz w:val="24"/>
          <w:szCs w:val="24"/>
        </w:rPr>
        <w:t>In practice, the NOGG upper assessment threshold is 20</w:t>
      </w:r>
      <w:r w:rsidR="004769A1">
        <w:rPr>
          <w:sz w:val="24"/>
          <w:szCs w:val="24"/>
        </w:rPr>
        <w:t xml:space="preserve"> </w:t>
      </w:r>
      <w:r w:rsidR="00CF325E" w:rsidRPr="00DB1D7C">
        <w:rPr>
          <w:sz w:val="24"/>
          <w:szCs w:val="24"/>
        </w:rPr>
        <w:t>% higher than the intervention threshold, so that almost all relevant cases are appropriately stratified.</w:t>
      </w:r>
    </w:p>
    <w:p w14:paraId="366955EC" w14:textId="77777777" w:rsidR="00DA3FD0" w:rsidRPr="00DB1D7C" w:rsidRDefault="00DA3FD0" w:rsidP="00DA3FD0">
      <w:pPr>
        <w:spacing w:line="360" w:lineRule="auto"/>
      </w:pPr>
    </w:p>
    <w:p w14:paraId="0211FD9A" w14:textId="1E9F0600" w:rsidR="00DA3FD0" w:rsidRPr="00DB1D7C" w:rsidRDefault="00DA3FD0" w:rsidP="00B0183B">
      <w:pPr>
        <w:autoSpaceDE w:val="0"/>
        <w:autoSpaceDN w:val="0"/>
        <w:adjustRightInd w:val="0"/>
        <w:spacing w:after="120" w:line="276" w:lineRule="auto"/>
        <w:rPr>
          <w:rFonts w:ascii="Calibri" w:hAnsi="Calibri"/>
        </w:rPr>
      </w:pPr>
      <w:r w:rsidRPr="002A1E50">
        <w:rPr>
          <w:rFonts w:ascii="Calibri" w:hAnsi="Calibri"/>
          <w:b/>
          <w:bCs/>
        </w:rPr>
        <w:t xml:space="preserve">Table </w:t>
      </w:r>
      <w:r w:rsidR="000305D7" w:rsidRPr="002A1E50">
        <w:rPr>
          <w:rFonts w:ascii="Calibri" w:hAnsi="Calibri"/>
          <w:b/>
          <w:bCs/>
        </w:rPr>
        <w:t>11</w:t>
      </w:r>
      <w:r w:rsidR="00301E85" w:rsidRPr="002A1E50">
        <w:rPr>
          <w:rFonts w:ascii="Calibri" w:hAnsi="Calibri"/>
          <w:b/>
          <w:bCs/>
        </w:rPr>
        <w:t>.</w:t>
      </w:r>
      <w:r w:rsidR="00301E85" w:rsidRPr="002A1E50">
        <w:rPr>
          <w:rFonts w:ascii="Calibri" w:hAnsi="Calibri"/>
        </w:rPr>
        <w:t xml:space="preserve"> Distribution</w:t>
      </w:r>
      <w:r w:rsidRPr="00DB1D7C">
        <w:rPr>
          <w:rFonts w:ascii="Calibri" w:hAnsi="Calibri"/>
        </w:rPr>
        <w:t xml:space="preserve"> of 10-year </w:t>
      </w:r>
      <w:r w:rsidRPr="0011029E">
        <w:rPr>
          <w:rFonts w:ascii="Calibri" w:hAnsi="Calibri"/>
        </w:rPr>
        <w:t>probabilities of a major fracture in 2113 elderly women assessed with and without BMD measurements</w:t>
      </w:r>
      <w:r w:rsidR="00CF325E" w:rsidRPr="0011029E">
        <w:rPr>
          <w:rFonts w:ascii="Calibri" w:hAnsi="Calibri"/>
        </w:rPr>
        <w:t>.  From</w:t>
      </w:r>
      <w:r w:rsidRPr="0011029E">
        <w:rPr>
          <w:rFonts w:ascii="Calibri" w:hAnsi="Calibri"/>
        </w:rPr>
        <w:t xml:space="preserve"> </w:t>
      </w:r>
      <w:r w:rsidR="008777D2" w:rsidRPr="0011029E">
        <w:t>[142]</w:t>
      </w:r>
      <w:r w:rsidRPr="0011029E">
        <w:rPr>
          <w:rFonts w:ascii="Calibri" w:hAnsi="Calibri"/>
        </w:rPr>
        <w:t xml:space="preserve">, </w:t>
      </w:r>
      <w:r w:rsidR="002F2CD8" w:rsidRPr="0011029E">
        <w:rPr>
          <w:rFonts w:ascii="Calibri" w:hAnsi="Calibri"/>
        </w:rPr>
        <w:t>with</w:t>
      </w:r>
      <w:r w:rsidR="002F2CD8" w:rsidRPr="00DB1D7C">
        <w:rPr>
          <w:rFonts w:ascii="Calibri" w:hAnsi="Calibri"/>
        </w:rPr>
        <w:t xml:space="preserve"> kind permission from Springer Science and Business Media.</w:t>
      </w:r>
    </w:p>
    <w:tbl>
      <w:tblPr>
        <w:tblStyle w:val="TableGrid"/>
        <w:tblW w:w="7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35"/>
        <w:gridCol w:w="1525"/>
        <w:gridCol w:w="312"/>
        <w:gridCol w:w="1715"/>
        <w:gridCol w:w="1484"/>
        <w:gridCol w:w="1481"/>
      </w:tblGrid>
      <w:tr w:rsidR="00DA3FD0" w:rsidRPr="00DB1D7C" w14:paraId="79EE8DE4" w14:textId="77777777" w:rsidTr="00F858B9">
        <w:tc>
          <w:tcPr>
            <w:tcW w:w="1234" w:type="dxa"/>
            <w:tcBorders>
              <w:top w:val="single" w:sz="12" w:space="0" w:color="auto"/>
            </w:tcBorders>
          </w:tcPr>
          <w:p w14:paraId="073ABFA3" w14:textId="77777777" w:rsidR="00DA3FD0" w:rsidRPr="00DB1D7C" w:rsidRDefault="00DA3FD0" w:rsidP="00F858B9">
            <w:pPr>
              <w:pStyle w:val="Header"/>
              <w:spacing w:before="120" w:after="120"/>
              <w:rPr>
                <w:rFonts w:eastAsia="MS Mincho" w:cs="TimesNRMT"/>
                <w:lang w:eastAsia="ja-JP"/>
              </w:rPr>
            </w:pPr>
          </w:p>
        </w:tc>
        <w:tc>
          <w:tcPr>
            <w:tcW w:w="3554" w:type="dxa"/>
            <w:gridSpan w:val="3"/>
            <w:tcBorders>
              <w:top w:val="single" w:sz="12" w:space="0" w:color="auto"/>
              <w:bottom w:val="single" w:sz="12" w:space="0" w:color="auto"/>
            </w:tcBorders>
          </w:tcPr>
          <w:p w14:paraId="73D676A7" w14:textId="77777777" w:rsidR="00DA3FD0" w:rsidRPr="00DB1D7C" w:rsidRDefault="00DA3FD0" w:rsidP="00F858B9">
            <w:pPr>
              <w:pStyle w:val="Header"/>
              <w:spacing w:before="120" w:after="120"/>
              <w:jc w:val="center"/>
              <w:rPr>
                <w:rFonts w:eastAsia="MS Mincho" w:cs="TimesNRMT"/>
                <w:highlight w:val="yellow"/>
                <w:lang w:eastAsia="ja-JP"/>
              </w:rPr>
            </w:pPr>
            <w:r w:rsidRPr="00DB1D7C">
              <w:rPr>
                <w:rFonts w:eastAsia="MS Mincho" w:cs="TimesNRMT"/>
                <w:lang w:eastAsia="ja-JP"/>
              </w:rPr>
              <w:t>Number of women categorised</w:t>
            </w:r>
          </w:p>
        </w:tc>
        <w:tc>
          <w:tcPr>
            <w:tcW w:w="1482" w:type="dxa"/>
            <w:tcBorders>
              <w:top w:val="single" w:sz="12" w:space="0" w:color="auto"/>
            </w:tcBorders>
          </w:tcPr>
          <w:p w14:paraId="0592DC79" w14:textId="77777777" w:rsidR="00DA3FD0" w:rsidRPr="00DB1D7C" w:rsidRDefault="00DA3FD0" w:rsidP="00F858B9">
            <w:pPr>
              <w:pStyle w:val="Header"/>
              <w:spacing w:before="120" w:after="120"/>
              <w:jc w:val="center"/>
              <w:rPr>
                <w:rFonts w:eastAsia="MS Mincho" w:cs="TimesNRMT"/>
                <w:lang w:eastAsia="ja-JP"/>
              </w:rPr>
            </w:pPr>
          </w:p>
        </w:tc>
        <w:tc>
          <w:tcPr>
            <w:tcW w:w="1482" w:type="dxa"/>
            <w:tcBorders>
              <w:top w:val="single" w:sz="12" w:space="0" w:color="auto"/>
            </w:tcBorders>
          </w:tcPr>
          <w:p w14:paraId="6E20C33B" w14:textId="77777777" w:rsidR="00DA3FD0" w:rsidRPr="00DB1D7C" w:rsidRDefault="00DA3FD0" w:rsidP="00F858B9">
            <w:pPr>
              <w:pStyle w:val="Header"/>
              <w:spacing w:before="120" w:after="120"/>
              <w:jc w:val="center"/>
              <w:rPr>
                <w:rFonts w:eastAsia="MS Mincho" w:cs="TimesNRMT"/>
                <w:lang w:eastAsia="ja-JP"/>
              </w:rPr>
            </w:pPr>
          </w:p>
        </w:tc>
      </w:tr>
      <w:tr w:rsidR="00DA3FD0" w:rsidRPr="00DB1D7C" w14:paraId="79FCCB7C" w14:textId="77777777" w:rsidTr="00F858B9">
        <w:tc>
          <w:tcPr>
            <w:tcW w:w="1234" w:type="dxa"/>
            <w:tcBorders>
              <w:bottom w:val="single" w:sz="12" w:space="0" w:color="auto"/>
            </w:tcBorders>
          </w:tcPr>
          <w:p w14:paraId="4FC64D8D" w14:textId="10BC50FB" w:rsidR="00DA3FD0" w:rsidRPr="00DB1D7C" w:rsidRDefault="00DA3FD0" w:rsidP="00F858B9">
            <w:pPr>
              <w:pStyle w:val="Header"/>
              <w:spacing w:before="120" w:after="120"/>
              <w:rPr>
                <w:rFonts w:eastAsia="MS Mincho" w:cs="TimesNRMT"/>
                <w:lang w:eastAsia="ja-JP"/>
              </w:rPr>
            </w:pPr>
            <w:r w:rsidRPr="00DB1D7C">
              <w:rPr>
                <w:rFonts w:eastAsia="MS Mincho" w:cs="HelveticaNeue-Roman"/>
                <w:lang w:eastAsia="ja-JP"/>
              </w:rPr>
              <w:t xml:space="preserve">Fracture </w:t>
            </w:r>
            <w:r w:rsidR="00EA52A3" w:rsidRPr="00DB1D7C">
              <w:rPr>
                <w:rFonts w:eastAsia="MS Mincho" w:cs="HelveticaNeue-Roman"/>
                <w:lang w:eastAsia="ja-JP"/>
              </w:rPr>
              <w:t xml:space="preserve">probability </w:t>
            </w:r>
            <w:r w:rsidRPr="00DB1D7C">
              <w:rPr>
                <w:rFonts w:eastAsia="MS Mincho" w:cs="HelveticaNeue-Roman"/>
                <w:lang w:eastAsia="ja-JP"/>
              </w:rPr>
              <w:br/>
              <w:t>(%)</w:t>
            </w:r>
          </w:p>
        </w:tc>
        <w:tc>
          <w:tcPr>
            <w:tcW w:w="1526" w:type="dxa"/>
            <w:tcBorders>
              <w:top w:val="single" w:sz="12" w:space="0" w:color="auto"/>
              <w:bottom w:val="single" w:sz="12" w:space="0" w:color="auto"/>
            </w:tcBorders>
          </w:tcPr>
          <w:p w14:paraId="0599FF74"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HelveticaNeue-Roman"/>
                <w:lang w:eastAsia="ja-JP"/>
              </w:rPr>
              <w:t>Without BMD</w:t>
            </w:r>
          </w:p>
        </w:tc>
        <w:tc>
          <w:tcPr>
            <w:tcW w:w="312" w:type="dxa"/>
            <w:tcBorders>
              <w:top w:val="single" w:sz="12" w:space="0" w:color="auto"/>
              <w:bottom w:val="single" w:sz="12" w:space="0" w:color="auto"/>
            </w:tcBorders>
          </w:tcPr>
          <w:p w14:paraId="7FE9C7D3" w14:textId="77777777" w:rsidR="00DA3FD0" w:rsidRPr="00DB1D7C" w:rsidRDefault="00DA3FD0" w:rsidP="00F858B9">
            <w:pPr>
              <w:spacing w:before="120" w:after="120"/>
            </w:pPr>
          </w:p>
        </w:tc>
        <w:tc>
          <w:tcPr>
            <w:tcW w:w="1716" w:type="dxa"/>
            <w:tcBorders>
              <w:top w:val="single" w:sz="12" w:space="0" w:color="auto"/>
              <w:bottom w:val="single" w:sz="12" w:space="0" w:color="auto"/>
            </w:tcBorders>
          </w:tcPr>
          <w:p w14:paraId="46A3DCD1" w14:textId="77777777" w:rsidR="00DA3FD0" w:rsidRPr="00DB1D7C" w:rsidRDefault="00DA3FD0" w:rsidP="00F858B9">
            <w:pPr>
              <w:spacing w:before="120" w:after="120"/>
              <w:jc w:val="center"/>
              <w:rPr>
                <w:rFonts w:eastAsia="MS Mincho" w:cs="HelveticaNeue-Roman"/>
              </w:rPr>
            </w:pPr>
            <w:r w:rsidRPr="00DB1D7C">
              <w:rPr>
                <w:rFonts w:eastAsia="MS Mincho" w:cs="HelveticaNeue-Roman"/>
              </w:rPr>
              <w:t>With BMD</w:t>
            </w:r>
          </w:p>
        </w:tc>
        <w:tc>
          <w:tcPr>
            <w:tcW w:w="1482" w:type="dxa"/>
            <w:tcBorders>
              <w:bottom w:val="single" w:sz="12" w:space="0" w:color="auto"/>
            </w:tcBorders>
          </w:tcPr>
          <w:p w14:paraId="175B1ED0" w14:textId="77777777" w:rsidR="00DA3FD0" w:rsidRPr="00DB1D7C" w:rsidRDefault="00DA3FD0" w:rsidP="00F858B9">
            <w:pPr>
              <w:spacing w:before="120" w:after="120"/>
              <w:jc w:val="center"/>
              <w:rPr>
                <w:rFonts w:eastAsia="MS Mincho" w:cs="HelveticaNeue-Roman"/>
              </w:rPr>
            </w:pPr>
            <w:r w:rsidRPr="00DB1D7C">
              <w:rPr>
                <w:rFonts w:eastAsia="MS Mincho" w:cs="HelveticaNeue-Roman"/>
              </w:rPr>
              <w:t>Number</w:t>
            </w:r>
            <w:r w:rsidRPr="00DB1D7C">
              <w:rPr>
                <w:rFonts w:eastAsia="MS Mincho" w:cs="HelveticaNeue-Roman"/>
              </w:rPr>
              <w:br/>
              <w:t>reclassified</w:t>
            </w:r>
          </w:p>
        </w:tc>
        <w:tc>
          <w:tcPr>
            <w:tcW w:w="1482" w:type="dxa"/>
            <w:tcBorders>
              <w:bottom w:val="single" w:sz="12" w:space="0" w:color="auto"/>
            </w:tcBorders>
          </w:tcPr>
          <w:p w14:paraId="1DB9BFB9" w14:textId="77777777" w:rsidR="00DA3FD0" w:rsidRPr="00DB1D7C" w:rsidRDefault="00DA3FD0" w:rsidP="00F858B9">
            <w:pPr>
              <w:spacing w:before="120" w:after="120"/>
              <w:jc w:val="center"/>
              <w:rPr>
                <w:rFonts w:eastAsia="MS Mincho" w:cs="HelveticaNeue-Roman"/>
              </w:rPr>
            </w:pPr>
            <w:r w:rsidRPr="00DB1D7C">
              <w:rPr>
                <w:rFonts w:eastAsia="MS Mincho" w:cs="HelveticaNeue-Roman"/>
              </w:rPr>
              <w:t>%</w:t>
            </w:r>
            <w:r w:rsidRPr="00DB1D7C">
              <w:rPr>
                <w:rFonts w:eastAsia="MS Mincho" w:cs="HelveticaNeue-Roman"/>
              </w:rPr>
              <w:br/>
            </w:r>
            <w:proofErr w:type="spellStart"/>
            <w:r w:rsidRPr="00DB1D7C">
              <w:rPr>
                <w:rFonts w:eastAsia="MS Mincho" w:cs="HelveticaNeue-Roman"/>
              </w:rPr>
              <w:t>reclassified</w:t>
            </w:r>
            <w:r w:rsidRPr="00DB1D7C">
              <w:rPr>
                <w:rFonts w:eastAsia="MS Mincho" w:cs="HelveticaNeue-Roman"/>
                <w:vertAlign w:val="superscript"/>
              </w:rPr>
              <w:t>a</w:t>
            </w:r>
            <w:proofErr w:type="spellEnd"/>
          </w:p>
        </w:tc>
      </w:tr>
      <w:tr w:rsidR="00DA3FD0" w:rsidRPr="00DB1D7C" w14:paraId="28B4BDAF" w14:textId="77777777" w:rsidTr="00F858B9">
        <w:tc>
          <w:tcPr>
            <w:tcW w:w="1234" w:type="dxa"/>
            <w:tcBorders>
              <w:top w:val="single" w:sz="12" w:space="0" w:color="auto"/>
            </w:tcBorders>
          </w:tcPr>
          <w:p w14:paraId="7217457C" w14:textId="77777777" w:rsidR="00DA3FD0" w:rsidRPr="00DB1D7C" w:rsidRDefault="00DA3FD0" w:rsidP="00F858B9">
            <w:pPr>
              <w:pStyle w:val="Header"/>
              <w:spacing w:before="120" w:after="120"/>
              <w:rPr>
                <w:rFonts w:eastAsia="MS Mincho" w:cs="TimesNRMT"/>
                <w:lang w:eastAsia="ja-JP"/>
              </w:rPr>
            </w:pPr>
            <w:r w:rsidRPr="00DB1D7C">
              <w:rPr>
                <w:rFonts w:eastAsia="MS Mincho" w:cs="TimesNRMT"/>
                <w:lang w:eastAsia="ja-JP"/>
              </w:rPr>
              <w:t>5-10</w:t>
            </w:r>
          </w:p>
        </w:tc>
        <w:tc>
          <w:tcPr>
            <w:tcW w:w="1526" w:type="dxa"/>
            <w:tcBorders>
              <w:top w:val="single" w:sz="12" w:space="0" w:color="auto"/>
            </w:tcBorders>
          </w:tcPr>
          <w:p w14:paraId="01D1A68E" w14:textId="77777777" w:rsidR="00DA3FD0" w:rsidRPr="00DB1D7C" w:rsidRDefault="00DA3FD0" w:rsidP="00F858B9">
            <w:pPr>
              <w:pStyle w:val="Header"/>
              <w:spacing w:before="120" w:after="120"/>
              <w:jc w:val="center"/>
              <w:rPr>
                <w:rFonts w:eastAsia="MS Mincho" w:cs="HelveticaNeue-Roman"/>
                <w:lang w:eastAsia="ja-JP"/>
              </w:rPr>
            </w:pPr>
            <w:r w:rsidRPr="00DB1D7C">
              <w:rPr>
                <w:rFonts w:eastAsia="MS Mincho" w:cs="HelveticaNeue-Roman"/>
                <w:lang w:eastAsia="ja-JP"/>
              </w:rPr>
              <w:t>0</w:t>
            </w:r>
          </w:p>
        </w:tc>
        <w:tc>
          <w:tcPr>
            <w:tcW w:w="312" w:type="dxa"/>
            <w:tcBorders>
              <w:top w:val="single" w:sz="12" w:space="0" w:color="auto"/>
            </w:tcBorders>
          </w:tcPr>
          <w:p w14:paraId="62EF367A" w14:textId="77777777" w:rsidR="00DA3FD0" w:rsidRPr="00DB1D7C" w:rsidRDefault="00DA3FD0" w:rsidP="00F858B9">
            <w:pPr>
              <w:spacing w:before="120" w:after="120"/>
              <w:jc w:val="center"/>
            </w:pPr>
          </w:p>
        </w:tc>
        <w:tc>
          <w:tcPr>
            <w:tcW w:w="1716" w:type="dxa"/>
            <w:tcBorders>
              <w:top w:val="single" w:sz="12" w:space="0" w:color="auto"/>
            </w:tcBorders>
          </w:tcPr>
          <w:p w14:paraId="0E09DC90" w14:textId="77777777" w:rsidR="00DA3FD0" w:rsidRPr="00DB1D7C" w:rsidRDefault="00DA3FD0" w:rsidP="00F858B9">
            <w:pPr>
              <w:spacing w:before="120" w:after="120"/>
              <w:jc w:val="center"/>
              <w:rPr>
                <w:rFonts w:eastAsia="MS Mincho" w:cs="HelveticaNeue-Roman"/>
              </w:rPr>
            </w:pPr>
            <w:r w:rsidRPr="00DB1D7C">
              <w:rPr>
                <w:rFonts w:eastAsia="MS Mincho" w:cs="HelveticaNeue-Roman"/>
              </w:rPr>
              <w:t>9</w:t>
            </w:r>
          </w:p>
        </w:tc>
        <w:tc>
          <w:tcPr>
            <w:tcW w:w="1482" w:type="dxa"/>
            <w:tcBorders>
              <w:top w:val="single" w:sz="12" w:space="0" w:color="auto"/>
            </w:tcBorders>
          </w:tcPr>
          <w:p w14:paraId="2B5F3C8E" w14:textId="77777777" w:rsidR="00DA3FD0" w:rsidRPr="00DB1D7C" w:rsidRDefault="00DA3FD0" w:rsidP="00F858B9">
            <w:pPr>
              <w:spacing w:before="120" w:after="120"/>
              <w:jc w:val="center"/>
              <w:rPr>
                <w:rFonts w:eastAsia="MS Mincho" w:cs="HelveticaNeue-Roman"/>
              </w:rPr>
            </w:pPr>
            <w:r w:rsidRPr="00DB1D7C">
              <w:rPr>
                <w:rFonts w:eastAsia="MS Mincho" w:cs="HelveticaNeue-Roman"/>
              </w:rPr>
              <w:t>0</w:t>
            </w:r>
          </w:p>
        </w:tc>
        <w:tc>
          <w:tcPr>
            <w:tcW w:w="1482" w:type="dxa"/>
            <w:tcBorders>
              <w:top w:val="single" w:sz="12" w:space="0" w:color="auto"/>
            </w:tcBorders>
          </w:tcPr>
          <w:p w14:paraId="7FA2EEEC" w14:textId="77777777" w:rsidR="00DA3FD0" w:rsidRPr="00DB1D7C" w:rsidRDefault="00DA3FD0" w:rsidP="00F858B9">
            <w:pPr>
              <w:spacing w:before="120" w:after="120"/>
              <w:jc w:val="center"/>
              <w:rPr>
                <w:rFonts w:eastAsia="MS Mincho" w:cs="HelveticaNeue-Roman"/>
              </w:rPr>
            </w:pPr>
            <w:r w:rsidRPr="00DB1D7C">
              <w:rPr>
                <w:rFonts w:eastAsia="MS Mincho" w:cs="HelveticaNeue-Roman"/>
              </w:rPr>
              <w:t>0</w:t>
            </w:r>
          </w:p>
        </w:tc>
      </w:tr>
      <w:tr w:rsidR="00DA3FD0" w:rsidRPr="00DB1D7C" w14:paraId="4726823E" w14:textId="77777777" w:rsidTr="00F858B9">
        <w:tc>
          <w:tcPr>
            <w:tcW w:w="1234" w:type="dxa"/>
          </w:tcPr>
          <w:p w14:paraId="38DDB66B" w14:textId="77777777" w:rsidR="00DA3FD0" w:rsidRPr="00DB1D7C" w:rsidRDefault="00DA3FD0" w:rsidP="00F858B9">
            <w:pPr>
              <w:pStyle w:val="Header"/>
              <w:spacing w:before="120" w:after="120"/>
              <w:rPr>
                <w:rFonts w:eastAsia="MS Mincho" w:cs="TimesNRMT"/>
                <w:lang w:eastAsia="ja-JP"/>
              </w:rPr>
            </w:pPr>
            <w:r w:rsidRPr="00DB1D7C">
              <w:rPr>
                <w:rFonts w:eastAsia="MS Mincho" w:cs="TimesNRMT"/>
                <w:lang w:eastAsia="ja-JP"/>
              </w:rPr>
              <w:t>10-15</w:t>
            </w:r>
          </w:p>
        </w:tc>
        <w:tc>
          <w:tcPr>
            <w:tcW w:w="1526" w:type="dxa"/>
          </w:tcPr>
          <w:p w14:paraId="2CAC0A87"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15</w:t>
            </w:r>
          </w:p>
        </w:tc>
        <w:tc>
          <w:tcPr>
            <w:tcW w:w="312" w:type="dxa"/>
          </w:tcPr>
          <w:p w14:paraId="5F1CA6D9" w14:textId="77777777" w:rsidR="00DA3FD0" w:rsidRPr="00DB1D7C" w:rsidRDefault="00DA3FD0" w:rsidP="00F858B9">
            <w:pPr>
              <w:pStyle w:val="Header"/>
              <w:spacing w:before="120" w:after="120"/>
              <w:jc w:val="center"/>
              <w:rPr>
                <w:rFonts w:eastAsia="MS Mincho" w:cs="TimesNRMT"/>
                <w:lang w:eastAsia="ja-JP"/>
              </w:rPr>
            </w:pPr>
          </w:p>
        </w:tc>
        <w:tc>
          <w:tcPr>
            <w:tcW w:w="1716" w:type="dxa"/>
          </w:tcPr>
          <w:p w14:paraId="6939A972"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76</w:t>
            </w:r>
          </w:p>
        </w:tc>
        <w:tc>
          <w:tcPr>
            <w:tcW w:w="1482" w:type="dxa"/>
          </w:tcPr>
          <w:p w14:paraId="642679B7"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0</w:t>
            </w:r>
          </w:p>
        </w:tc>
        <w:tc>
          <w:tcPr>
            <w:tcW w:w="1482" w:type="dxa"/>
          </w:tcPr>
          <w:p w14:paraId="331852A0"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0</w:t>
            </w:r>
          </w:p>
        </w:tc>
      </w:tr>
      <w:tr w:rsidR="00DA3FD0" w:rsidRPr="00DB1D7C" w14:paraId="67236A8D" w14:textId="77777777" w:rsidTr="00F858B9">
        <w:tc>
          <w:tcPr>
            <w:tcW w:w="1234" w:type="dxa"/>
          </w:tcPr>
          <w:p w14:paraId="2B5F4E41" w14:textId="77777777" w:rsidR="00DA3FD0" w:rsidRPr="00DB1D7C" w:rsidRDefault="00DA3FD0" w:rsidP="00F858B9">
            <w:pPr>
              <w:pStyle w:val="Header"/>
              <w:spacing w:before="120" w:after="120"/>
              <w:rPr>
                <w:rFonts w:eastAsia="MS Mincho" w:cs="TimesNRMT"/>
                <w:lang w:eastAsia="ja-JP"/>
              </w:rPr>
            </w:pPr>
            <w:r w:rsidRPr="00DB1D7C">
              <w:rPr>
                <w:rFonts w:eastAsia="MS Mincho" w:cs="TimesNRMT"/>
                <w:lang w:eastAsia="ja-JP"/>
              </w:rPr>
              <w:t>15-20</w:t>
            </w:r>
          </w:p>
        </w:tc>
        <w:tc>
          <w:tcPr>
            <w:tcW w:w="1526" w:type="dxa"/>
          </w:tcPr>
          <w:p w14:paraId="0249E344"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302</w:t>
            </w:r>
          </w:p>
        </w:tc>
        <w:tc>
          <w:tcPr>
            <w:tcW w:w="312" w:type="dxa"/>
          </w:tcPr>
          <w:p w14:paraId="67A05E66" w14:textId="77777777" w:rsidR="00DA3FD0" w:rsidRPr="00DB1D7C" w:rsidRDefault="00DA3FD0" w:rsidP="00F858B9">
            <w:pPr>
              <w:pStyle w:val="Header"/>
              <w:spacing w:before="120" w:after="120"/>
              <w:jc w:val="center"/>
              <w:rPr>
                <w:rFonts w:eastAsia="MS Mincho" w:cs="TimesNRMT"/>
                <w:lang w:eastAsia="ja-JP"/>
              </w:rPr>
            </w:pPr>
          </w:p>
        </w:tc>
        <w:tc>
          <w:tcPr>
            <w:tcW w:w="1716" w:type="dxa"/>
          </w:tcPr>
          <w:p w14:paraId="0E525FD4"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349</w:t>
            </w:r>
          </w:p>
        </w:tc>
        <w:tc>
          <w:tcPr>
            <w:tcW w:w="1482" w:type="dxa"/>
          </w:tcPr>
          <w:p w14:paraId="0932FA4C"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1</w:t>
            </w:r>
          </w:p>
        </w:tc>
        <w:tc>
          <w:tcPr>
            <w:tcW w:w="1482" w:type="dxa"/>
          </w:tcPr>
          <w:p w14:paraId="03B8E485"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0.05</w:t>
            </w:r>
          </w:p>
        </w:tc>
      </w:tr>
      <w:tr w:rsidR="00DA3FD0" w:rsidRPr="00DB1D7C" w14:paraId="2E832998" w14:textId="77777777" w:rsidTr="00F858B9">
        <w:tc>
          <w:tcPr>
            <w:tcW w:w="1234" w:type="dxa"/>
          </w:tcPr>
          <w:p w14:paraId="54BB91D1" w14:textId="77777777" w:rsidR="00DA3FD0" w:rsidRPr="00DB1D7C" w:rsidRDefault="00DA3FD0" w:rsidP="00F858B9">
            <w:pPr>
              <w:pStyle w:val="Header"/>
              <w:spacing w:before="120" w:after="120"/>
              <w:rPr>
                <w:rFonts w:eastAsia="MS Mincho" w:cs="TimesNRMT"/>
                <w:lang w:eastAsia="ja-JP"/>
              </w:rPr>
            </w:pPr>
            <w:r w:rsidRPr="00DB1D7C">
              <w:rPr>
                <w:rFonts w:eastAsia="MS Mincho" w:cs="TimesNRMT"/>
                <w:lang w:eastAsia="ja-JP"/>
              </w:rPr>
              <w:t>20-25</w:t>
            </w:r>
          </w:p>
        </w:tc>
        <w:tc>
          <w:tcPr>
            <w:tcW w:w="1526" w:type="dxa"/>
          </w:tcPr>
          <w:p w14:paraId="3AD5DCA9"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621</w:t>
            </w:r>
          </w:p>
        </w:tc>
        <w:tc>
          <w:tcPr>
            <w:tcW w:w="312" w:type="dxa"/>
          </w:tcPr>
          <w:p w14:paraId="397F2227" w14:textId="77777777" w:rsidR="00DA3FD0" w:rsidRPr="00DB1D7C" w:rsidRDefault="00DA3FD0" w:rsidP="00F858B9">
            <w:pPr>
              <w:pStyle w:val="Header"/>
              <w:spacing w:before="120" w:after="120"/>
              <w:jc w:val="center"/>
              <w:rPr>
                <w:rFonts w:eastAsia="MS Mincho" w:cs="TimesNRMT"/>
                <w:lang w:eastAsia="ja-JP"/>
              </w:rPr>
            </w:pPr>
          </w:p>
        </w:tc>
        <w:tc>
          <w:tcPr>
            <w:tcW w:w="1716" w:type="dxa"/>
          </w:tcPr>
          <w:p w14:paraId="5D4DF514"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502</w:t>
            </w:r>
          </w:p>
        </w:tc>
        <w:tc>
          <w:tcPr>
            <w:tcW w:w="1482" w:type="dxa"/>
          </w:tcPr>
          <w:p w14:paraId="12BFE1FA"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9</w:t>
            </w:r>
          </w:p>
        </w:tc>
        <w:tc>
          <w:tcPr>
            <w:tcW w:w="1482" w:type="dxa"/>
          </w:tcPr>
          <w:p w14:paraId="664CE1E6"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0.43</w:t>
            </w:r>
          </w:p>
        </w:tc>
      </w:tr>
      <w:tr w:rsidR="00DA3FD0" w:rsidRPr="00DB1D7C" w14:paraId="6ADBB9C6" w14:textId="77777777" w:rsidTr="00F858B9">
        <w:tc>
          <w:tcPr>
            <w:tcW w:w="1234" w:type="dxa"/>
          </w:tcPr>
          <w:p w14:paraId="78DF7B6A" w14:textId="77777777" w:rsidR="00DA3FD0" w:rsidRPr="00DB1D7C" w:rsidRDefault="00DA3FD0" w:rsidP="00F858B9">
            <w:pPr>
              <w:pStyle w:val="Header"/>
              <w:spacing w:before="120" w:after="120"/>
              <w:rPr>
                <w:rFonts w:eastAsia="MS Mincho" w:cs="TimesNRMT"/>
                <w:lang w:eastAsia="ja-JP"/>
              </w:rPr>
            </w:pPr>
            <w:r w:rsidRPr="00DB1D7C">
              <w:rPr>
                <w:rFonts w:eastAsia="MS Mincho" w:cs="TimesNRMT"/>
                <w:lang w:eastAsia="ja-JP"/>
              </w:rPr>
              <w:t>25-30</w:t>
            </w:r>
          </w:p>
        </w:tc>
        <w:tc>
          <w:tcPr>
            <w:tcW w:w="1526" w:type="dxa"/>
          </w:tcPr>
          <w:p w14:paraId="308E917D"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312</w:t>
            </w:r>
          </w:p>
        </w:tc>
        <w:tc>
          <w:tcPr>
            <w:tcW w:w="312" w:type="dxa"/>
          </w:tcPr>
          <w:p w14:paraId="6870252D" w14:textId="77777777" w:rsidR="00DA3FD0" w:rsidRPr="00DB1D7C" w:rsidRDefault="00DA3FD0" w:rsidP="00F858B9">
            <w:pPr>
              <w:pStyle w:val="Header"/>
              <w:spacing w:before="120" w:after="120"/>
              <w:jc w:val="center"/>
              <w:rPr>
                <w:rFonts w:eastAsia="MS Mincho" w:cs="TimesNRMT"/>
                <w:lang w:eastAsia="ja-JP"/>
              </w:rPr>
            </w:pPr>
          </w:p>
        </w:tc>
        <w:tc>
          <w:tcPr>
            <w:tcW w:w="1716" w:type="dxa"/>
          </w:tcPr>
          <w:p w14:paraId="314F151A"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399</w:t>
            </w:r>
          </w:p>
        </w:tc>
        <w:tc>
          <w:tcPr>
            <w:tcW w:w="1482" w:type="dxa"/>
          </w:tcPr>
          <w:p w14:paraId="41E9538C"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36</w:t>
            </w:r>
          </w:p>
        </w:tc>
        <w:tc>
          <w:tcPr>
            <w:tcW w:w="1482" w:type="dxa"/>
          </w:tcPr>
          <w:p w14:paraId="2F36F82E"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1.70</w:t>
            </w:r>
          </w:p>
        </w:tc>
      </w:tr>
      <w:tr w:rsidR="00DA3FD0" w:rsidRPr="00DB1D7C" w14:paraId="50900DB8" w14:textId="77777777" w:rsidTr="00F858B9">
        <w:tc>
          <w:tcPr>
            <w:tcW w:w="1234" w:type="dxa"/>
          </w:tcPr>
          <w:p w14:paraId="0A72E28F" w14:textId="77777777" w:rsidR="00DA3FD0" w:rsidRPr="00DB1D7C" w:rsidRDefault="00DA3FD0" w:rsidP="00F858B9">
            <w:pPr>
              <w:pStyle w:val="Header"/>
              <w:spacing w:before="120" w:after="120"/>
              <w:rPr>
                <w:rFonts w:eastAsia="MS Mincho" w:cs="TimesNRMT"/>
                <w:lang w:eastAsia="ja-JP"/>
              </w:rPr>
            </w:pPr>
            <w:r w:rsidRPr="00DB1D7C">
              <w:rPr>
                <w:rFonts w:eastAsia="MS Mincho" w:cs="TimesNRMT"/>
                <w:lang w:eastAsia="ja-JP"/>
              </w:rPr>
              <w:t>30-35</w:t>
            </w:r>
          </w:p>
        </w:tc>
        <w:tc>
          <w:tcPr>
            <w:tcW w:w="1526" w:type="dxa"/>
          </w:tcPr>
          <w:p w14:paraId="746A44B7"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509</w:t>
            </w:r>
          </w:p>
        </w:tc>
        <w:tc>
          <w:tcPr>
            <w:tcW w:w="312" w:type="dxa"/>
          </w:tcPr>
          <w:p w14:paraId="2BDB063C" w14:textId="77777777" w:rsidR="00DA3FD0" w:rsidRPr="00DB1D7C" w:rsidRDefault="00DA3FD0" w:rsidP="00F858B9">
            <w:pPr>
              <w:pStyle w:val="Header"/>
              <w:spacing w:before="120" w:after="120"/>
              <w:jc w:val="center"/>
              <w:rPr>
                <w:rFonts w:eastAsia="MS Mincho" w:cs="TimesNRMT"/>
                <w:lang w:eastAsia="ja-JP"/>
              </w:rPr>
            </w:pPr>
          </w:p>
        </w:tc>
        <w:tc>
          <w:tcPr>
            <w:tcW w:w="1716" w:type="dxa"/>
          </w:tcPr>
          <w:p w14:paraId="0C8AF90D"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323</w:t>
            </w:r>
          </w:p>
        </w:tc>
        <w:tc>
          <w:tcPr>
            <w:tcW w:w="1482" w:type="dxa"/>
          </w:tcPr>
          <w:p w14:paraId="4A81259D"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164</w:t>
            </w:r>
          </w:p>
        </w:tc>
        <w:tc>
          <w:tcPr>
            <w:tcW w:w="1482" w:type="dxa"/>
          </w:tcPr>
          <w:p w14:paraId="578CD339"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7.69</w:t>
            </w:r>
          </w:p>
        </w:tc>
      </w:tr>
      <w:tr w:rsidR="00DA3FD0" w:rsidRPr="00DB1D7C" w14:paraId="1C1ACA89" w14:textId="77777777" w:rsidTr="00F858B9">
        <w:tc>
          <w:tcPr>
            <w:tcW w:w="1234" w:type="dxa"/>
            <w:shd w:val="clear" w:color="auto" w:fill="E0E0E0"/>
          </w:tcPr>
          <w:p w14:paraId="416B27C8" w14:textId="77777777" w:rsidR="00DA3FD0" w:rsidRPr="00DB1D7C" w:rsidRDefault="00DA3FD0" w:rsidP="00F858B9">
            <w:pPr>
              <w:pStyle w:val="Header"/>
              <w:rPr>
                <w:rFonts w:eastAsia="MS Mincho" w:cs="TimesNRMT"/>
                <w:lang w:eastAsia="ja-JP"/>
              </w:rPr>
            </w:pPr>
          </w:p>
        </w:tc>
        <w:tc>
          <w:tcPr>
            <w:tcW w:w="1526" w:type="dxa"/>
            <w:shd w:val="clear" w:color="auto" w:fill="E0E0E0"/>
          </w:tcPr>
          <w:p w14:paraId="46E1F8A0" w14:textId="77777777" w:rsidR="00DA3FD0" w:rsidRPr="00DB1D7C" w:rsidRDefault="00DA3FD0" w:rsidP="00F858B9">
            <w:pPr>
              <w:pStyle w:val="Header"/>
              <w:jc w:val="center"/>
              <w:rPr>
                <w:rFonts w:eastAsia="MS Mincho" w:cs="TimesNRMT"/>
                <w:lang w:eastAsia="ja-JP"/>
              </w:rPr>
            </w:pPr>
          </w:p>
        </w:tc>
        <w:tc>
          <w:tcPr>
            <w:tcW w:w="312" w:type="dxa"/>
            <w:shd w:val="clear" w:color="auto" w:fill="E0E0E0"/>
          </w:tcPr>
          <w:p w14:paraId="660BEB36" w14:textId="77777777" w:rsidR="00DA3FD0" w:rsidRPr="00DB1D7C" w:rsidRDefault="00DA3FD0" w:rsidP="00F858B9">
            <w:pPr>
              <w:pStyle w:val="Header"/>
              <w:jc w:val="center"/>
              <w:rPr>
                <w:rFonts w:eastAsia="MS Mincho" w:cs="TimesNRMT"/>
                <w:lang w:eastAsia="ja-JP"/>
              </w:rPr>
            </w:pPr>
          </w:p>
        </w:tc>
        <w:tc>
          <w:tcPr>
            <w:tcW w:w="1716" w:type="dxa"/>
            <w:shd w:val="clear" w:color="auto" w:fill="E0E0E0"/>
          </w:tcPr>
          <w:p w14:paraId="724B75B1" w14:textId="77777777" w:rsidR="00DA3FD0" w:rsidRPr="00DB1D7C" w:rsidRDefault="00DA3FD0" w:rsidP="00F858B9">
            <w:pPr>
              <w:pStyle w:val="Header"/>
              <w:jc w:val="center"/>
              <w:rPr>
                <w:rFonts w:eastAsia="MS Mincho" w:cs="TimesNRMT"/>
                <w:lang w:eastAsia="ja-JP"/>
              </w:rPr>
            </w:pPr>
          </w:p>
        </w:tc>
        <w:tc>
          <w:tcPr>
            <w:tcW w:w="1482" w:type="dxa"/>
            <w:shd w:val="clear" w:color="auto" w:fill="E0E0E0"/>
          </w:tcPr>
          <w:p w14:paraId="53EF09E6" w14:textId="77777777" w:rsidR="00DA3FD0" w:rsidRPr="00DB1D7C" w:rsidRDefault="00DA3FD0" w:rsidP="00F858B9">
            <w:pPr>
              <w:pStyle w:val="Header"/>
              <w:jc w:val="center"/>
              <w:rPr>
                <w:rFonts w:eastAsia="MS Mincho" w:cs="TimesNRMT"/>
                <w:lang w:eastAsia="ja-JP"/>
              </w:rPr>
            </w:pPr>
          </w:p>
        </w:tc>
        <w:tc>
          <w:tcPr>
            <w:tcW w:w="1482" w:type="dxa"/>
            <w:shd w:val="clear" w:color="auto" w:fill="E0E0E0"/>
          </w:tcPr>
          <w:p w14:paraId="145BAD7A" w14:textId="77777777" w:rsidR="00DA3FD0" w:rsidRPr="00DB1D7C" w:rsidRDefault="00DA3FD0" w:rsidP="00F858B9">
            <w:pPr>
              <w:pStyle w:val="Header"/>
              <w:jc w:val="center"/>
              <w:rPr>
                <w:rFonts w:eastAsia="MS Mincho" w:cs="TimesNRMT"/>
                <w:lang w:eastAsia="ja-JP"/>
              </w:rPr>
            </w:pPr>
          </w:p>
        </w:tc>
      </w:tr>
      <w:tr w:rsidR="00DA3FD0" w:rsidRPr="00DB1D7C" w14:paraId="59BD1B9E" w14:textId="77777777" w:rsidTr="00F858B9">
        <w:tc>
          <w:tcPr>
            <w:tcW w:w="1234" w:type="dxa"/>
          </w:tcPr>
          <w:p w14:paraId="4AD89980" w14:textId="77777777" w:rsidR="00DA3FD0" w:rsidRPr="00DB1D7C" w:rsidRDefault="00DA3FD0" w:rsidP="00F858B9">
            <w:pPr>
              <w:pStyle w:val="Header"/>
              <w:spacing w:before="120" w:after="120"/>
              <w:rPr>
                <w:rFonts w:eastAsia="MS Mincho" w:cs="TimesNRMT"/>
                <w:lang w:eastAsia="ja-JP"/>
              </w:rPr>
            </w:pPr>
            <w:r w:rsidRPr="00DB1D7C">
              <w:rPr>
                <w:rFonts w:eastAsia="MS Mincho" w:cs="TimesNRMT"/>
                <w:lang w:eastAsia="ja-JP"/>
              </w:rPr>
              <w:t>35-40</w:t>
            </w:r>
          </w:p>
        </w:tc>
        <w:tc>
          <w:tcPr>
            <w:tcW w:w="1526" w:type="dxa"/>
          </w:tcPr>
          <w:p w14:paraId="72859206"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245</w:t>
            </w:r>
          </w:p>
        </w:tc>
        <w:tc>
          <w:tcPr>
            <w:tcW w:w="312" w:type="dxa"/>
          </w:tcPr>
          <w:p w14:paraId="093FD7CF" w14:textId="77777777" w:rsidR="00DA3FD0" w:rsidRPr="00DB1D7C" w:rsidRDefault="00DA3FD0" w:rsidP="00F858B9">
            <w:pPr>
              <w:pStyle w:val="Header"/>
              <w:spacing w:before="120" w:after="120"/>
              <w:jc w:val="center"/>
              <w:rPr>
                <w:rFonts w:eastAsia="MS Mincho" w:cs="TimesNRMT"/>
                <w:lang w:eastAsia="ja-JP"/>
              </w:rPr>
            </w:pPr>
          </w:p>
        </w:tc>
        <w:tc>
          <w:tcPr>
            <w:tcW w:w="1716" w:type="dxa"/>
          </w:tcPr>
          <w:p w14:paraId="7146DBC4"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218</w:t>
            </w:r>
          </w:p>
        </w:tc>
        <w:tc>
          <w:tcPr>
            <w:tcW w:w="1482" w:type="dxa"/>
          </w:tcPr>
          <w:p w14:paraId="4669D78D"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99</w:t>
            </w:r>
          </w:p>
        </w:tc>
        <w:tc>
          <w:tcPr>
            <w:tcW w:w="1482" w:type="dxa"/>
          </w:tcPr>
          <w:p w14:paraId="657F250C"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4.64</w:t>
            </w:r>
          </w:p>
        </w:tc>
      </w:tr>
      <w:tr w:rsidR="00DA3FD0" w:rsidRPr="00DB1D7C" w14:paraId="21B8AC0E" w14:textId="77777777" w:rsidTr="00F858B9">
        <w:tc>
          <w:tcPr>
            <w:tcW w:w="1234" w:type="dxa"/>
          </w:tcPr>
          <w:p w14:paraId="46D96992" w14:textId="77777777" w:rsidR="00DA3FD0" w:rsidRPr="00DB1D7C" w:rsidRDefault="00DA3FD0" w:rsidP="00F858B9">
            <w:pPr>
              <w:pStyle w:val="Header"/>
              <w:spacing w:before="120" w:after="120"/>
              <w:rPr>
                <w:rFonts w:eastAsia="MS Mincho" w:cs="TimesNRMT"/>
                <w:lang w:eastAsia="ja-JP"/>
              </w:rPr>
            </w:pPr>
            <w:r w:rsidRPr="00DB1D7C">
              <w:rPr>
                <w:rFonts w:eastAsia="MS Mincho" w:cs="TimesNRMT"/>
                <w:lang w:eastAsia="ja-JP"/>
              </w:rPr>
              <w:t>40-45</w:t>
            </w:r>
          </w:p>
        </w:tc>
        <w:tc>
          <w:tcPr>
            <w:tcW w:w="1526" w:type="dxa"/>
          </w:tcPr>
          <w:p w14:paraId="1DB3D278"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55</w:t>
            </w:r>
          </w:p>
        </w:tc>
        <w:tc>
          <w:tcPr>
            <w:tcW w:w="312" w:type="dxa"/>
          </w:tcPr>
          <w:p w14:paraId="169E0390" w14:textId="77777777" w:rsidR="00DA3FD0" w:rsidRPr="00DB1D7C" w:rsidRDefault="00DA3FD0" w:rsidP="00F858B9">
            <w:pPr>
              <w:pStyle w:val="Header"/>
              <w:spacing w:before="120" w:after="120"/>
              <w:jc w:val="center"/>
              <w:rPr>
                <w:rFonts w:eastAsia="MS Mincho" w:cs="TimesNRMT"/>
                <w:lang w:eastAsia="ja-JP"/>
              </w:rPr>
            </w:pPr>
          </w:p>
        </w:tc>
        <w:tc>
          <w:tcPr>
            <w:tcW w:w="1716" w:type="dxa"/>
          </w:tcPr>
          <w:p w14:paraId="46FB671B"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126</w:t>
            </w:r>
          </w:p>
        </w:tc>
        <w:tc>
          <w:tcPr>
            <w:tcW w:w="1482" w:type="dxa"/>
          </w:tcPr>
          <w:p w14:paraId="35AF4EB3"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8</w:t>
            </w:r>
          </w:p>
        </w:tc>
        <w:tc>
          <w:tcPr>
            <w:tcW w:w="1482" w:type="dxa"/>
          </w:tcPr>
          <w:p w14:paraId="216B0557"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0.38</w:t>
            </w:r>
          </w:p>
        </w:tc>
      </w:tr>
      <w:tr w:rsidR="00DA3FD0" w:rsidRPr="00DB1D7C" w14:paraId="3030EB43" w14:textId="77777777" w:rsidTr="00F858B9">
        <w:tc>
          <w:tcPr>
            <w:tcW w:w="1234" w:type="dxa"/>
          </w:tcPr>
          <w:p w14:paraId="44AD5992" w14:textId="77777777" w:rsidR="00DA3FD0" w:rsidRPr="00DB1D7C" w:rsidRDefault="00DA3FD0" w:rsidP="00F858B9">
            <w:pPr>
              <w:pStyle w:val="Header"/>
              <w:spacing w:before="120" w:after="120"/>
              <w:rPr>
                <w:rFonts w:eastAsia="MS Mincho" w:cs="TimesNRMT"/>
                <w:lang w:eastAsia="ja-JP"/>
              </w:rPr>
            </w:pPr>
            <w:r w:rsidRPr="00DB1D7C">
              <w:rPr>
                <w:rFonts w:eastAsia="MS Mincho" w:cs="TimesNRMT"/>
                <w:lang w:eastAsia="ja-JP"/>
              </w:rPr>
              <w:t>45-50</w:t>
            </w:r>
          </w:p>
        </w:tc>
        <w:tc>
          <w:tcPr>
            <w:tcW w:w="1526" w:type="dxa"/>
          </w:tcPr>
          <w:p w14:paraId="495210A1"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45</w:t>
            </w:r>
          </w:p>
        </w:tc>
        <w:tc>
          <w:tcPr>
            <w:tcW w:w="312" w:type="dxa"/>
          </w:tcPr>
          <w:p w14:paraId="6C54BB1D" w14:textId="77777777" w:rsidR="00DA3FD0" w:rsidRPr="00DB1D7C" w:rsidRDefault="00DA3FD0" w:rsidP="00F858B9">
            <w:pPr>
              <w:pStyle w:val="Header"/>
              <w:spacing w:before="120" w:after="120"/>
              <w:jc w:val="center"/>
              <w:rPr>
                <w:rFonts w:eastAsia="MS Mincho" w:cs="TimesNRMT"/>
                <w:lang w:eastAsia="ja-JP"/>
              </w:rPr>
            </w:pPr>
          </w:p>
        </w:tc>
        <w:tc>
          <w:tcPr>
            <w:tcW w:w="1716" w:type="dxa"/>
          </w:tcPr>
          <w:p w14:paraId="099B4472" w14:textId="77777777" w:rsidR="00DA3FD0" w:rsidRPr="00DB1D7C" w:rsidRDefault="00DA3FD0" w:rsidP="00F858B9">
            <w:pPr>
              <w:pStyle w:val="Header"/>
              <w:spacing w:before="120" w:after="120"/>
              <w:jc w:val="center"/>
              <w:rPr>
                <w:rFonts w:eastAsia="MS Mincho" w:cs="HelveticaNeue-Roman"/>
                <w:lang w:eastAsia="ja-JP"/>
              </w:rPr>
            </w:pPr>
            <w:r w:rsidRPr="00DB1D7C">
              <w:rPr>
                <w:rFonts w:eastAsia="MS Mincho" w:cs="HelveticaNeue-Roman"/>
                <w:lang w:eastAsia="ja-JP"/>
              </w:rPr>
              <w:t>59</w:t>
            </w:r>
          </w:p>
        </w:tc>
        <w:tc>
          <w:tcPr>
            <w:tcW w:w="1482" w:type="dxa"/>
          </w:tcPr>
          <w:p w14:paraId="249D7519" w14:textId="77777777" w:rsidR="00DA3FD0" w:rsidRPr="00DB1D7C" w:rsidRDefault="00DA3FD0" w:rsidP="00F858B9">
            <w:pPr>
              <w:pStyle w:val="Header"/>
              <w:spacing w:before="120" w:after="120"/>
              <w:jc w:val="center"/>
              <w:rPr>
                <w:rFonts w:eastAsia="MS Mincho" w:cs="HelveticaNeue-Roman"/>
                <w:lang w:eastAsia="ja-JP"/>
              </w:rPr>
            </w:pPr>
            <w:r w:rsidRPr="00DB1D7C">
              <w:rPr>
                <w:rFonts w:eastAsia="MS Mincho" w:cs="HelveticaNeue-Roman"/>
                <w:lang w:eastAsia="ja-JP"/>
              </w:rPr>
              <w:t>2</w:t>
            </w:r>
          </w:p>
        </w:tc>
        <w:tc>
          <w:tcPr>
            <w:tcW w:w="1482" w:type="dxa"/>
          </w:tcPr>
          <w:p w14:paraId="47A215F3"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0.09</w:t>
            </w:r>
          </w:p>
        </w:tc>
      </w:tr>
      <w:tr w:rsidR="00DA3FD0" w:rsidRPr="00DB1D7C" w14:paraId="4CAC9EA3" w14:textId="77777777" w:rsidTr="00F858B9">
        <w:tc>
          <w:tcPr>
            <w:tcW w:w="1234" w:type="dxa"/>
          </w:tcPr>
          <w:p w14:paraId="5FBE36F7" w14:textId="77777777" w:rsidR="00DA3FD0" w:rsidRPr="00DB1D7C" w:rsidRDefault="00DA3FD0" w:rsidP="00F858B9">
            <w:pPr>
              <w:pStyle w:val="Header"/>
              <w:spacing w:before="120" w:after="120"/>
              <w:rPr>
                <w:rFonts w:eastAsia="MS Mincho" w:cs="TimesNRMT"/>
                <w:lang w:eastAsia="ja-JP"/>
              </w:rPr>
            </w:pPr>
            <w:r w:rsidRPr="00DB1D7C">
              <w:rPr>
                <w:rFonts w:eastAsia="MS Mincho" w:cs="TimesNRMT"/>
                <w:lang w:eastAsia="ja-JP"/>
              </w:rPr>
              <w:t>50-55</w:t>
            </w:r>
          </w:p>
        </w:tc>
        <w:tc>
          <w:tcPr>
            <w:tcW w:w="1526" w:type="dxa"/>
          </w:tcPr>
          <w:p w14:paraId="1F4F8277"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9</w:t>
            </w:r>
          </w:p>
        </w:tc>
        <w:tc>
          <w:tcPr>
            <w:tcW w:w="312" w:type="dxa"/>
          </w:tcPr>
          <w:p w14:paraId="484CD5D0" w14:textId="77777777" w:rsidR="00DA3FD0" w:rsidRPr="00DB1D7C" w:rsidRDefault="00DA3FD0" w:rsidP="00F858B9">
            <w:pPr>
              <w:pStyle w:val="Header"/>
              <w:spacing w:before="120" w:after="120"/>
              <w:jc w:val="center"/>
              <w:rPr>
                <w:rFonts w:eastAsia="MS Mincho" w:cs="TimesNRMT"/>
                <w:lang w:eastAsia="ja-JP"/>
              </w:rPr>
            </w:pPr>
          </w:p>
        </w:tc>
        <w:tc>
          <w:tcPr>
            <w:tcW w:w="1716" w:type="dxa"/>
          </w:tcPr>
          <w:p w14:paraId="46B36A73"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35</w:t>
            </w:r>
          </w:p>
        </w:tc>
        <w:tc>
          <w:tcPr>
            <w:tcW w:w="1482" w:type="dxa"/>
          </w:tcPr>
          <w:p w14:paraId="6C07881B" w14:textId="77777777" w:rsidR="00DA3FD0" w:rsidRPr="00DB1D7C" w:rsidRDefault="00DA3FD0" w:rsidP="00F858B9">
            <w:pPr>
              <w:pStyle w:val="Header"/>
              <w:spacing w:before="120" w:after="120"/>
              <w:jc w:val="center"/>
              <w:rPr>
                <w:rFonts w:eastAsia="MS Mincho" w:cs="HelveticaNeue-Roman"/>
                <w:lang w:eastAsia="ja-JP"/>
              </w:rPr>
            </w:pPr>
            <w:r w:rsidRPr="00DB1D7C">
              <w:rPr>
                <w:rFonts w:eastAsia="MS Mincho" w:cs="HelveticaNeue-Roman"/>
                <w:lang w:eastAsia="ja-JP"/>
              </w:rPr>
              <w:t>0</w:t>
            </w:r>
          </w:p>
        </w:tc>
        <w:tc>
          <w:tcPr>
            <w:tcW w:w="1482" w:type="dxa"/>
          </w:tcPr>
          <w:p w14:paraId="77FD54D6" w14:textId="77777777" w:rsidR="00DA3FD0" w:rsidRPr="00DB1D7C" w:rsidRDefault="00DA3FD0" w:rsidP="00F858B9">
            <w:pPr>
              <w:pStyle w:val="Header"/>
              <w:spacing w:before="120" w:after="120"/>
              <w:jc w:val="center"/>
              <w:rPr>
                <w:rFonts w:eastAsia="MS Mincho" w:cs="HelveticaNeue-Roman"/>
                <w:lang w:eastAsia="ja-JP"/>
              </w:rPr>
            </w:pPr>
            <w:r w:rsidRPr="00DB1D7C">
              <w:rPr>
                <w:rFonts w:eastAsia="MS Mincho" w:cs="HelveticaNeue-Roman"/>
                <w:lang w:eastAsia="ja-JP"/>
              </w:rPr>
              <w:t>0</w:t>
            </w:r>
          </w:p>
        </w:tc>
      </w:tr>
      <w:tr w:rsidR="00DA3FD0" w:rsidRPr="00DB1D7C" w14:paraId="1F8D437F" w14:textId="77777777" w:rsidTr="00F858B9">
        <w:tc>
          <w:tcPr>
            <w:tcW w:w="1234" w:type="dxa"/>
          </w:tcPr>
          <w:p w14:paraId="154EA7A9" w14:textId="77777777" w:rsidR="00DA3FD0" w:rsidRPr="00DB1D7C" w:rsidRDefault="00DA3FD0" w:rsidP="00F858B9">
            <w:pPr>
              <w:pStyle w:val="Header"/>
              <w:spacing w:before="120" w:after="120"/>
              <w:rPr>
                <w:rFonts w:eastAsia="MS Mincho" w:cs="TimesNRMT"/>
                <w:lang w:eastAsia="ja-JP"/>
              </w:rPr>
            </w:pPr>
            <w:r w:rsidRPr="00DB1D7C">
              <w:rPr>
                <w:rFonts w:eastAsia="MS Mincho" w:cs="TimesNRMT"/>
                <w:lang w:eastAsia="ja-JP"/>
              </w:rPr>
              <w:lastRenderedPageBreak/>
              <w:t>55-60</w:t>
            </w:r>
          </w:p>
        </w:tc>
        <w:tc>
          <w:tcPr>
            <w:tcW w:w="1526" w:type="dxa"/>
          </w:tcPr>
          <w:p w14:paraId="0582CD13"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0</w:t>
            </w:r>
          </w:p>
        </w:tc>
        <w:tc>
          <w:tcPr>
            <w:tcW w:w="312" w:type="dxa"/>
          </w:tcPr>
          <w:p w14:paraId="0601FABE" w14:textId="77777777" w:rsidR="00DA3FD0" w:rsidRPr="00DB1D7C" w:rsidRDefault="00DA3FD0" w:rsidP="00F858B9">
            <w:pPr>
              <w:pStyle w:val="Header"/>
              <w:spacing w:before="120" w:after="120"/>
              <w:jc w:val="center"/>
              <w:rPr>
                <w:rFonts w:eastAsia="MS Mincho" w:cs="TimesNRMT"/>
                <w:lang w:eastAsia="ja-JP"/>
              </w:rPr>
            </w:pPr>
          </w:p>
        </w:tc>
        <w:tc>
          <w:tcPr>
            <w:tcW w:w="1716" w:type="dxa"/>
          </w:tcPr>
          <w:p w14:paraId="14FCFE47"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10</w:t>
            </w:r>
          </w:p>
        </w:tc>
        <w:tc>
          <w:tcPr>
            <w:tcW w:w="1482" w:type="dxa"/>
          </w:tcPr>
          <w:p w14:paraId="48B3A68F"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0</w:t>
            </w:r>
          </w:p>
        </w:tc>
        <w:tc>
          <w:tcPr>
            <w:tcW w:w="1482" w:type="dxa"/>
          </w:tcPr>
          <w:p w14:paraId="2F09A1B4"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0</w:t>
            </w:r>
          </w:p>
        </w:tc>
      </w:tr>
      <w:tr w:rsidR="00DA3FD0" w:rsidRPr="00DB1D7C" w14:paraId="44612251" w14:textId="77777777" w:rsidTr="00F858B9">
        <w:tc>
          <w:tcPr>
            <w:tcW w:w="1234" w:type="dxa"/>
          </w:tcPr>
          <w:p w14:paraId="09630F18" w14:textId="77777777" w:rsidR="00DA3FD0" w:rsidRPr="00DB1D7C" w:rsidRDefault="00DA3FD0" w:rsidP="00F858B9">
            <w:pPr>
              <w:pStyle w:val="Header"/>
              <w:spacing w:before="120" w:after="120"/>
              <w:rPr>
                <w:rFonts w:eastAsia="MS Mincho" w:cs="TimesNRMT"/>
                <w:lang w:eastAsia="ja-JP"/>
              </w:rPr>
            </w:pPr>
            <w:r w:rsidRPr="00DB1D7C">
              <w:rPr>
                <w:rFonts w:eastAsia="MS Mincho" w:cs="TimesNRMT"/>
                <w:lang w:eastAsia="ja-JP"/>
              </w:rPr>
              <w:t xml:space="preserve">60-65 </w:t>
            </w:r>
          </w:p>
        </w:tc>
        <w:tc>
          <w:tcPr>
            <w:tcW w:w="1526" w:type="dxa"/>
          </w:tcPr>
          <w:p w14:paraId="3846C8C9"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0</w:t>
            </w:r>
          </w:p>
        </w:tc>
        <w:tc>
          <w:tcPr>
            <w:tcW w:w="312" w:type="dxa"/>
          </w:tcPr>
          <w:p w14:paraId="0E91A249" w14:textId="77777777" w:rsidR="00DA3FD0" w:rsidRPr="00DB1D7C" w:rsidRDefault="00DA3FD0" w:rsidP="00F858B9">
            <w:pPr>
              <w:pStyle w:val="Header"/>
              <w:spacing w:before="120" w:after="120"/>
              <w:jc w:val="center"/>
              <w:rPr>
                <w:rFonts w:eastAsia="MS Mincho" w:cs="TimesNRMT"/>
                <w:lang w:eastAsia="ja-JP"/>
              </w:rPr>
            </w:pPr>
          </w:p>
        </w:tc>
        <w:tc>
          <w:tcPr>
            <w:tcW w:w="1716" w:type="dxa"/>
          </w:tcPr>
          <w:p w14:paraId="040B8724"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6</w:t>
            </w:r>
          </w:p>
        </w:tc>
        <w:tc>
          <w:tcPr>
            <w:tcW w:w="1482" w:type="dxa"/>
          </w:tcPr>
          <w:p w14:paraId="494C2188"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0</w:t>
            </w:r>
          </w:p>
        </w:tc>
        <w:tc>
          <w:tcPr>
            <w:tcW w:w="1482" w:type="dxa"/>
          </w:tcPr>
          <w:p w14:paraId="08AF33C1"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0</w:t>
            </w:r>
          </w:p>
        </w:tc>
      </w:tr>
      <w:tr w:rsidR="00DA3FD0" w:rsidRPr="00DB1D7C" w14:paraId="381FC074" w14:textId="77777777" w:rsidTr="00F858B9">
        <w:tc>
          <w:tcPr>
            <w:tcW w:w="1234" w:type="dxa"/>
          </w:tcPr>
          <w:p w14:paraId="5D6E67E6" w14:textId="77777777" w:rsidR="00DA3FD0" w:rsidRPr="00DB1D7C" w:rsidRDefault="00DA3FD0" w:rsidP="00F858B9">
            <w:pPr>
              <w:pStyle w:val="Header"/>
              <w:spacing w:before="120" w:after="120"/>
              <w:rPr>
                <w:rFonts w:eastAsia="MS Mincho" w:cs="TimesNRMT"/>
                <w:lang w:eastAsia="ja-JP"/>
              </w:rPr>
            </w:pPr>
            <w:r w:rsidRPr="00DB1D7C">
              <w:rPr>
                <w:rFonts w:eastAsia="MS Mincho" w:cs="TimesNRMT"/>
                <w:lang w:eastAsia="ja-JP"/>
              </w:rPr>
              <w:t>70-75</w:t>
            </w:r>
          </w:p>
        </w:tc>
        <w:tc>
          <w:tcPr>
            <w:tcW w:w="1526" w:type="dxa"/>
          </w:tcPr>
          <w:p w14:paraId="6F94C0A9"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0</w:t>
            </w:r>
          </w:p>
        </w:tc>
        <w:tc>
          <w:tcPr>
            <w:tcW w:w="312" w:type="dxa"/>
          </w:tcPr>
          <w:p w14:paraId="38B018FE" w14:textId="77777777" w:rsidR="00DA3FD0" w:rsidRPr="00DB1D7C" w:rsidRDefault="00DA3FD0" w:rsidP="00F858B9">
            <w:pPr>
              <w:pStyle w:val="Header"/>
              <w:spacing w:before="120" w:after="120"/>
              <w:jc w:val="center"/>
              <w:rPr>
                <w:rFonts w:eastAsia="MS Mincho" w:cs="TimesNRMT"/>
                <w:lang w:eastAsia="ja-JP"/>
              </w:rPr>
            </w:pPr>
          </w:p>
        </w:tc>
        <w:tc>
          <w:tcPr>
            <w:tcW w:w="1716" w:type="dxa"/>
          </w:tcPr>
          <w:p w14:paraId="56BB9D04"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1</w:t>
            </w:r>
          </w:p>
        </w:tc>
        <w:tc>
          <w:tcPr>
            <w:tcW w:w="1482" w:type="dxa"/>
          </w:tcPr>
          <w:p w14:paraId="76838D00"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0</w:t>
            </w:r>
          </w:p>
        </w:tc>
        <w:tc>
          <w:tcPr>
            <w:tcW w:w="1482" w:type="dxa"/>
          </w:tcPr>
          <w:p w14:paraId="2FC51E14"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t>0</w:t>
            </w:r>
          </w:p>
        </w:tc>
      </w:tr>
      <w:tr w:rsidR="00DA3FD0" w:rsidRPr="00DB1D7C" w14:paraId="28525562" w14:textId="77777777" w:rsidTr="00F858B9">
        <w:tc>
          <w:tcPr>
            <w:tcW w:w="4785" w:type="dxa"/>
            <w:gridSpan w:val="4"/>
            <w:tcBorders>
              <w:bottom w:val="single" w:sz="12" w:space="0" w:color="auto"/>
            </w:tcBorders>
          </w:tcPr>
          <w:p w14:paraId="3526FE27" w14:textId="77777777" w:rsidR="00DA3FD0" w:rsidRPr="00DB1D7C" w:rsidRDefault="00DA3FD0" w:rsidP="00F858B9">
            <w:pPr>
              <w:pStyle w:val="Header"/>
              <w:spacing w:before="120" w:after="120"/>
              <w:jc w:val="both"/>
              <w:rPr>
                <w:rFonts w:eastAsia="MS Mincho" w:cs="TimesNRMT"/>
                <w:lang w:eastAsia="ja-JP"/>
              </w:rPr>
            </w:pPr>
            <w:r w:rsidRPr="00DB1D7C">
              <w:rPr>
                <w:rFonts w:eastAsia="MS Mincho" w:cs="TimesNRMT"/>
                <w:lang w:eastAsia="ja-JP"/>
              </w:rPr>
              <w:t>Totals</w:t>
            </w:r>
          </w:p>
        </w:tc>
        <w:tc>
          <w:tcPr>
            <w:tcW w:w="1485" w:type="dxa"/>
            <w:tcBorders>
              <w:bottom w:val="single" w:sz="12" w:space="0" w:color="auto"/>
            </w:tcBorders>
          </w:tcPr>
          <w:p w14:paraId="33F0FA1B"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fldChar w:fldCharType="begin"/>
            </w:r>
            <w:r w:rsidRPr="00DB1D7C">
              <w:rPr>
                <w:rFonts w:eastAsia="MS Mincho" w:cs="TimesNRMT"/>
                <w:lang w:eastAsia="ja-JP"/>
              </w:rPr>
              <w:instrText xml:space="preserve"> =SUM(ABOVE) </w:instrText>
            </w:r>
            <w:r w:rsidRPr="00DB1D7C">
              <w:rPr>
                <w:rFonts w:eastAsia="MS Mincho" w:cs="TimesNRMT"/>
                <w:lang w:eastAsia="ja-JP"/>
              </w:rPr>
              <w:fldChar w:fldCharType="separate"/>
            </w:r>
            <w:r w:rsidRPr="00DB1D7C">
              <w:rPr>
                <w:rFonts w:eastAsia="MS Mincho" w:cs="TimesNRMT"/>
                <w:noProof/>
                <w:lang w:eastAsia="ja-JP"/>
              </w:rPr>
              <w:t>319</w:t>
            </w:r>
            <w:r w:rsidRPr="00DB1D7C">
              <w:rPr>
                <w:rFonts w:eastAsia="MS Mincho" w:cs="TimesNRMT"/>
                <w:lang w:eastAsia="ja-JP"/>
              </w:rPr>
              <w:fldChar w:fldCharType="end"/>
            </w:r>
          </w:p>
        </w:tc>
        <w:tc>
          <w:tcPr>
            <w:tcW w:w="1482" w:type="dxa"/>
            <w:tcBorders>
              <w:bottom w:val="single" w:sz="12" w:space="0" w:color="auto"/>
            </w:tcBorders>
          </w:tcPr>
          <w:p w14:paraId="3EB7B2C7" w14:textId="77777777" w:rsidR="00DA3FD0" w:rsidRPr="00DB1D7C" w:rsidRDefault="00DA3FD0" w:rsidP="00F858B9">
            <w:pPr>
              <w:pStyle w:val="Header"/>
              <w:spacing w:before="120" w:after="120"/>
              <w:jc w:val="center"/>
              <w:rPr>
                <w:rFonts w:eastAsia="MS Mincho" w:cs="TimesNRMT"/>
                <w:lang w:eastAsia="ja-JP"/>
              </w:rPr>
            </w:pPr>
            <w:r w:rsidRPr="00DB1D7C">
              <w:rPr>
                <w:rFonts w:eastAsia="MS Mincho" w:cs="TimesNRMT"/>
                <w:lang w:eastAsia="ja-JP"/>
              </w:rPr>
              <w:fldChar w:fldCharType="begin"/>
            </w:r>
            <w:r w:rsidRPr="00DB1D7C">
              <w:rPr>
                <w:rFonts w:eastAsia="MS Mincho" w:cs="TimesNRMT"/>
                <w:lang w:eastAsia="ja-JP"/>
              </w:rPr>
              <w:instrText xml:space="preserve"> =SUM(ABOVE) </w:instrText>
            </w:r>
            <w:r w:rsidRPr="00DB1D7C">
              <w:rPr>
                <w:rFonts w:eastAsia="MS Mincho" w:cs="TimesNRMT"/>
                <w:lang w:eastAsia="ja-JP"/>
              </w:rPr>
              <w:fldChar w:fldCharType="separate"/>
            </w:r>
            <w:r w:rsidRPr="00DB1D7C">
              <w:rPr>
                <w:rFonts w:eastAsia="MS Mincho" w:cs="TimesNRMT"/>
                <w:noProof/>
                <w:lang w:eastAsia="ja-JP"/>
              </w:rPr>
              <w:t>14.98</w:t>
            </w:r>
            <w:r w:rsidRPr="00DB1D7C">
              <w:rPr>
                <w:rFonts w:eastAsia="MS Mincho" w:cs="TimesNRMT"/>
                <w:lang w:eastAsia="ja-JP"/>
              </w:rPr>
              <w:fldChar w:fldCharType="end"/>
            </w:r>
          </w:p>
        </w:tc>
      </w:tr>
      <w:tr w:rsidR="00DA3FD0" w:rsidRPr="00DB1D7C" w14:paraId="6F2EC4A2" w14:textId="77777777" w:rsidTr="00F858B9">
        <w:tc>
          <w:tcPr>
            <w:tcW w:w="4785" w:type="dxa"/>
            <w:gridSpan w:val="4"/>
            <w:tcBorders>
              <w:top w:val="single" w:sz="12" w:space="0" w:color="auto"/>
            </w:tcBorders>
          </w:tcPr>
          <w:p w14:paraId="79A26950" w14:textId="77777777" w:rsidR="00DA3FD0" w:rsidRPr="00DB1D7C" w:rsidRDefault="00DA3FD0" w:rsidP="00F858B9">
            <w:pPr>
              <w:pStyle w:val="Header"/>
              <w:spacing w:before="120" w:after="120"/>
              <w:jc w:val="both"/>
              <w:rPr>
                <w:rFonts w:eastAsia="MS Mincho" w:cs="TimesNRMT"/>
                <w:vertAlign w:val="superscript"/>
                <w:lang w:eastAsia="ja-JP"/>
              </w:rPr>
            </w:pPr>
            <w:r w:rsidRPr="00DB1D7C">
              <w:rPr>
                <w:rFonts w:eastAsia="MS Mincho" w:cs="TimesNRMT"/>
                <w:vertAlign w:val="superscript"/>
                <w:lang w:eastAsia="ja-JP"/>
              </w:rPr>
              <w:t xml:space="preserve">    a</w:t>
            </w:r>
            <w:r w:rsidRPr="00DB1D7C">
              <w:rPr>
                <w:rFonts w:eastAsia="MS Mincho" w:cs="TimesNRMT"/>
                <w:lang w:eastAsia="ja-JP"/>
              </w:rPr>
              <w:t xml:space="preserve"> % of all women</w:t>
            </w:r>
          </w:p>
        </w:tc>
        <w:tc>
          <w:tcPr>
            <w:tcW w:w="1485" w:type="dxa"/>
            <w:tcBorders>
              <w:top w:val="single" w:sz="12" w:space="0" w:color="auto"/>
            </w:tcBorders>
          </w:tcPr>
          <w:p w14:paraId="66AF24A9" w14:textId="77777777" w:rsidR="00DA3FD0" w:rsidRPr="00DB1D7C" w:rsidRDefault="00DA3FD0" w:rsidP="00F858B9">
            <w:pPr>
              <w:pStyle w:val="Header"/>
              <w:spacing w:before="120" w:after="120"/>
              <w:jc w:val="center"/>
              <w:rPr>
                <w:rFonts w:eastAsia="MS Mincho" w:cs="TimesNRMT"/>
                <w:lang w:eastAsia="ja-JP"/>
              </w:rPr>
            </w:pPr>
          </w:p>
        </w:tc>
        <w:tc>
          <w:tcPr>
            <w:tcW w:w="1482" w:type="dxa"/>
            <w:tcBorders>
              <w:top w:val="single" w:sz="12" w:space="0" w:color="auto"/>
            </w:tcBorders>
          </w:tcPr>
          <w:p w14:paraId="681E584F" w14:textId="77777777" w:rsidR="00DA3FD0" w:rsidRPr="00DB1D7C" w:rsidRDefault="00DA3FD0" w:rsidP="00F858B9">
            <w:pPr>
              <w:pStyle w:val="Header"/>
              <w:spacing w:before="120" w:after="120"/>
              <w:jc w:val="center"/>
              <w:rPr>
                <w:rFonts w:eastAsia="MS Mincho" w:cs="TimesNRMT"/>
                <w:lang w:eastAsia="ja-JP"/>
              </w:rPr>
            </w:pPr>
          </w:p>
        </w:tc>
      </w:tr>
    </w:tbl>
    <w:p w14:paraId="703A774E" w14:textId="77777777" w:rsidR="00DA3FD0" w:rsidRPr="00DB1D7C" w:rsidRDefault="00DA3FD0" w:rsidP="00DA3FD0">
      <w:pPr>
        <w:autoSpaceDE w:val="0"/>
        <w:autoSpaceDN w:val="0"/>
        <w:adjustRightInd w:val="0"/>
        <w:spacing w:after="120" w:line="360" w:lineRule="auto"/>
        <w:rPr>
          <w:rFonts w:ascii="Arial" w:hAnsi="Arial"/>
          <w:sz w:val="20"/>
          <w:szCs w:val="20"/>
        </w:rPr>
      </w:pPr>
    </w:p>
    <w:p w14:paraId="2C4CB248" w14:textId="1C6B07F4" w:rsidR="00DA3FD0" w:rsidRPr="00DB1D7C" w:rsidRDefault="00DA3FD0" w:rsidP="00B0183B">
      <w:pPr>
        <w:spacing w:line="276" w:lineRule="auto"/>
        <w:rPr>
          <w:sz w:val="24"/>
          <w:szCs w:val="24"/>
        </w:rPr>
      </w:pPr>
      <w:r w:rsidRPr="00DB1D7C">
        <w:rPr>
          <w:sz w:val="24"/>
          <w:szCs w:val="24"/>
        </w:rPr>
        <w:t xml:space="preserve">Broadly similar conclusions have recently been reported in a large Canadian referral </w:t>
      </w:r>
      <w:r w:rsidRPr="0011029E">
        <w:rPr>
          <w:sz w:val="24"/>
          <w:szCs w:val="24"/>
        </w:rPr>
        <w:t xml:space="preserve">population </w:t>
      </w:r>
      <w:r w:rsidR="00760198" w:rsidRPr="0011029E">
        <w:rPr>
          <w:sz w:val="24"/>
          <w:szCs w:val="24"/>
        </w:rPr>
        <w:t>[213]</w:t>
      </w:r>
      <w:r w:rsidRPr="0011029E">
        <w:rPr>
          <w:sz w:val="24"/>
          <w:szCs w:val="24"/>
        </w:rPr>
        <w:t xml:space="preserve"> and in the UK, an analysis, using the finalised FRAX algorithm, to examine hip fracture outcomes </w:t>
      </w:r>
      <w:r w:rsidR="00760198" w:rsidRPr="0011029E">
        <w:rPr>
          <w:sz w:val="24"/>
          <w:szCs w:val="24"/>
        </w:rPr>
        <w:t>[214]</w:t>
      </w:r>
      <w:r w:rsidRPr="0011029E">
        <w:rPr>
          <w:sz w:val="24"/>
          <w:szCs w:val="24"/>
        </w:rPr>
        <w:t xml:space="preserve">.   </w:t>
      </w:r>
      <w:r w:rsidR="008E3630" w:rsidRPr="0011029E">
        <w:rPr>
          <w:sz w:val="24"/>
          <w:szCs w:val="24"/>
        </w:rPr>
        <w:t>These</w:t>
      </w:r>
      <w:r w:rsidR="008E3630" w:rsidRPr="00DB1D7C">
        <w:rPr>
          <w:sz w:val="24"/>
          <w:szCs w:val="24"/>
        </w:rPr>
        <w:t xml:space="preserve"> various studies examined reclassification rates within a single assessment algorithm</w:t>
      </w:r>
      <w:r w:rsidR="00B0183B" w:rsidRPr="00DB1D7C">
        <w:rPr>
          <w:sz w:val="24"/>
          <w:szCs w:val="24"/>
        </w:rPr>
        <w:t>; several</w:t>
      </w:r>
      <w:r w:rsidR="008E3630" w:rsidRPr="00DB1D7C">
        <w:rPr>
          <w:sz w:val="24"/>
          <w:szCs w:val="24"/>
        </w:rPr>
        <w:t xml:space="preserve"> publications have compared concordance or discordance following different guidelines.</w:t>
      </w:r>
    </w:p>
    <w:p w14:paraId="15603280" w14:textId="1F37346E" w:rsidR="00DA3FD0" w:rsidRPr="00DB1D7C" w:rsidRDefault="00A34B2B" w:rsidP="00B0183B">
      <w:pPr>
        <w:spacing w:line="276" w:lineRule="auto"/>
        <w:rPr>
          <w:i/>
          <w:sz w:val="24"/>
          <w:szCs w:val="24"/>
        </w:rPr>
      </w:pPr>
      <w:r w:rsidRPr="00DB1D7C">
        <w:rPr>
          <w:i/>
          <w:sz w:val="24"/>
          <w:szCs w:val="24"/>
        </w:rPr>
        <w:t>Comparison of guidelines</w:t>
      </w:r>
    </w:p>
    <w:p w14:paraId="21F89EEE" w14:textId="74D8CA8A" w:rsidR="007D4AE3" w:rsidRPr="002A1E50" w:rsidRDefault="00CE5522" w:rsidP="00B0183B">
      <w:pPr>
        <w:spacing w:line="276" w:lineRule="auto"/>
        <w:rPr>
          <w:bCs/>
          <w:sz w:val="24"/>
          <w:szCs w:val="24"/>
        </w:rPr>
      </w:pPr>
      <w:r w:rsidRPr="00DB1D7C">
        <w:rPr>
          <w:rFonts w:ascii="Calibri" w:hAnsi="Calibri"/>
          <w:sz w:val="24"/>
          <w:szCs w:val="24"/>
        </w:rPr>
        <w:t>It is axiomatic that different intervention thresholds will identify different patients at different risk.</w:t>
      </w:r>
      <w:r w:rsidRPr="00DB1D7C">
        <w:rPr>
          <w:sz w:val="24"/>
          <w:szCs w:val="24"/>
        </w:rPr>
        <w:t xml:space="preserve"> </w:t>
      </w:r>
      <w:r w:rsidR="007D4AE3" w:rsidRPr="00DB1D7C">
        <w:rPr>
          <w:sz w:val="24"/>
          <w:szCs w:val="24"/>
        </w:rPr>
        <w:t xml:space="preserve">However, empirical data examining the degree of concordance between high risk and low risk classification based upon FRAX probability estimates and thresholds based on BMD suggest that discordance rates are </w:t>
      </w:r>
      <w:r w:rsidR="007D4AE3" w:rsidRPr="00DB6399">
        <w:rPr>
          <w:sz w:val="24"/>
          <w:szCs w:val="24"/>
        </w:rPr>
        <w:t xml:space="preserve">low </w:t>
      </w:r>
      <w:r w:rsidR="00760198" w:rsidRPr="00DB6399">
        <w:rPr>
          <w:sz w:val="24"/>
          <w:szCs w:val="24"/>
        </w:rPr>
        <w:t>[</w:t>
      </w:r>
      <w:r w:rsidR="0011029E" w:rsidRPr="00DB6399">
        <w:rPr>
          <w:sz w:val="24"/>
          <w:szCs w:val="24"/>
        </w:rPr>
        <w:t xml:space="preserve">195, </w:t>
      </w:r>
      <w:r w:rsidR="00760198" w:rsidRPr="00DB6399">
        <w:rPr>
          <w:sz w:val="24"/>
          <w:szCs w:val="24"/>
        </w:rPr>
        <w:t>215</w:t>
      </w:r>
      <w:r w:rsidR="0011029E">
        <w:rPr>
          <w:sz w:val="24"/>
          <w:szCs w:val="24"/>
        </w:rPr>
        <w:t>]</w:t>
      </w:r>
      <w:r w:rsidR="007D4AE3" w:rsidRPr="00DB1D7C">
        <w:rPr>
          <w:sz w:val="24"/>
          <w:szCs w:val="24"/>
        </w:rPr>
        <w:t>.  Indeed, a</w:t>
      </w:r>
      <w:r w:rsidR="007D4AE3" w:rsidRPr="00DB1D7C">
        <w:rPr>
          <w:bCs/>
          <w:sz w:val="24"/>
          <w:szCs w:val="24"/>
        </w:rPr>
        <w:t xml:space="preserve"> large majority (85</w:t>
      </w:r>
      <w:r w:rsidR="004769A1">
        <w:rPr>
          <w:bCs/>
          <w:sz w:val="24"/>
          <w:szCs w:val="24"/>
        </w:rPr>
        <w:t xml:space="preserve"> </w:t>
      </w:r>
      <w:r w:rsidR="007D4AE3" w:rsidRPr="00DB1D7C">
        <w:rPr>
          <w:bCs/>
          <w:sz w:val="24"/>
          <w:szCs w:val="24"/>
        </w:rPr>
        <w:t xml:space="preserve">%) of individuals designated by FRAX as high risk, when BMD was not used in the </w:t>
      </w:r>
      <w:r w:rsidR="007D4AE3" w:rsidRPr="002A1E50">
        <w:rPr>
          <w:bCs/>
          <w:sz w:val="24"/>
          <w:szCs w:val="24"/>
        </w:rPr>
        <w:t xml:space="preserve">calculation, had a T-score in the osteoporotic range at one or more BMD measurement sites (Table </w:t>
      </w:r>
      <w:r w:rsidR="000305D7" w:rsidRPr="002A1E50">
        <w:rPr>
          <w:bCs/>
          <w:sz w:val="24"/>
          <w:szCs w:val="24"/>
        </w:rPr>
        <w:t>12</w:t>
      </w:r>
      <w:r w:rsidR="007D4AE3" w:rsidRPr="002A1E50">
        <w:rPr>
          <w:bCs/>
          <w:sz w:val="24"/>
          <w:szCs w:val="24"/>
        </w:rPr>
        <w:t>). Conversely, there were extremely few individuals (&lt;1</w:t>
      </w:r>
      <w:r w:rsidR="004769A1" w:rsidRPr="002A1E50">
        <w:rPr>
          <w:bCs/>
          <w:sz w:val="24"/>
          <w:szCs w:val="24"/>
        </w:rPr>
        <w:t xml:space="preserve"> </w:t>
      </w:r>
      <w:r w:rsidR="007D4AE3" w:rsidRPr="002A1E50">
        <w:rPr>
          <w:bCs/>
          <w:sz w:val="24"/>
          <w:szCs w:val="24"/>
        </w:rPr>
        <w:t>%) who were at high risk of major osteoporotic or hip fracture with normal T-scores at any BMD measurement sites.  Similar patterns were seen for hip fracture probability, when data were stratified by sex and age.</w:t>
      </w:r>
    </w:p>
    <w:p w14:paraId="59F5E0B5" w14:textId="77777777" w:rsidR="007D4AE3" w:rsidRPr="002A1E50" w:rsidRDefault="007D4AE3" w:rsidP="007D4AE3">
      <w:pPr>
        <w:spacing w:line="360" w:lineRule="auto"/>
        <w:rPr>
          <w:bCs/>
        </w:rPr>
      </w:pPr>
      <w:r w:rsidRPr="002A1E50">
        <w:rPr>
          <w:bCs/>
        </w:rPr>
        <w:t xml:space="preserve">  </w:t>
      </w:r>
    </w:p>
    <w:p w14:paraId="48BA6E33" w14:textId="4BF031FD" w:rsidR="007D4AE3" w:rsidRPr="00DB1D7C" w:rsidRDefault="007D4AE3" w:rsidP="00B0183B">
      <w:pPr>
        <w:spacing w:line="240" w:lineRule="auto"/>
      </w:pPr>
      <w:r w:rsidRPr="002A1E50">
        <w:rPr>
          <w:b/>
        </w:rPr>
        <w:t xml:space="preserve">Table </w:t>
      </w:r>
      <w:r w:rsidR="000305D7" w:rsidRPr="002A1E50">
        <w:rPr>
          <w:b/>
        </w:rPr>
        <w:t>12.</w:t>
      </w:r>
      <w:r w:rsidRPr="002A1E50">
        <w:rPr>
          <w:bCs/>
        </w:rPr>
        <w:t xml:space="preserve">   Number (percentage) of men and women predicted to have a low, intermediate and high risk of major osteoporotic fracture assessed by FRAX without the use of BMD (Canadian model, version 3.1) according</w:t>
      </w:r>
      <w:r w:rsidRPr="00DB1D7C">
        <w:rPr>
          <w:bCs/>
        </w:rPr>
        <w:t xml:space="preserve"> to diagnostic category based on the T-score</w:t>
      </w:r>
      <w:r w:rsidR="008E3630" w:rsidRPr="00DB1D7C">
        <w:rPr>
          <w:bCs/>
        </w:rPr>
        <w:t xml:space="preserve">.  </w:t>
      </w:r>
      <w:r w:rsidR="008E3630" w:rsidRPr="00DB6399">
        <w:rPr>
          <w:bCs/>
        </w:rPr>
        <w:t>From</w:t>
      </w:r>
      <w:r w:rsidRPr="00DB6399">
        <w:rPr>
          <w:bCs/>
        </w:rPr>
        <w:t xml:space="preserve"> </w:t>
      </w:r>
      <w:r w:rsidR="0011029E" w:rsidRPr="00DB6399">
        <w:rPr>
          <w:bCs/>
        </w:rPr>
        <w:t>[</w:t>
      </w:r>
      <w:r w:rsidR="00B15005" w:rsidRPr="00DB6399">
        <w:rPr>
          <w:bCs/>
        </w:rPr>
        <w:t>195</w:t>
      </w:r>
      <w:r w:rsidR="0011029E" w:rsidRPr="00DB6399">
        <w:rPr>
          <w:bCs/>
        </w:rPr>
        <w:t>]</w:t>
      </w:r>
      <w:r w:rsidRPr="00DB6399">
        <w:rPr>
          <w:rFonts w:cs="AdvTT5235d5a9"/>
          <w:bCs/>
          <w:color w:val="231F20"/>
        </w:rPr>
        <w:t xml:space="preserve"> with</w:t>
      </w:r>
      <w:r w:rsidRPr="00DB1D7C">
        <w:rPr>
          <w:rFonts w:cs="AdvTT5235d5a9"/>
          <w:bCs/>
          <w:color w:val="231F20"/>
        </w:rPr>
        <w:t xml:space="preserve"> kind permission from Springer </w:t>
      </w:r>
      <w:proofErr w:type="spellStart"/>
      <w:r w:rsidRPr="00DB1D7C">
        <w:rPr>
          <w:rFonts w:cs="AdvTT5235d5a9"/>
          <w:bCs/>
          <w:color w:val="231F20"/>
        </w:rPr>
        <w:t>Science+Business</w:t>
      </w:r>
      <w:proofErr w:type="spellEnd"/>
      <w:r w:rsidRPr="00DB1D7C">
        <w:rPr>
          <w:rFonts w:cs="AdvTT5235d5a9"/>
          <w:bCs/>
          <w:color w:val="231F20"/>
        </w:rPr>
        <w:t xml:space="preserve"> Media B.V</w:t>
      </w:r>
      <w:r w:rsidR="008E3630" w:rsidRPr="00DB1D7C">
        <w:t>.</w:t>
      </w:r>
    </w:p>
    <w:tbl>
      <w:tblPr>
        <w:tblW w:w="8370" w:type="dxa"/>
        <w:tblInd w:w="93" w:type="dxa"/>
        <w:tblLook w:val="0000" w:firstRow="0" w:lastRow="0" w:firstColumn="0" w:lastColumn="0" w:noHBand="0" w:noVBand="0"/>
      </w:tblPr>
      <w:tblGrid>
        <w:gridCol w:w="1695"/>
        <w:gridCol w:w="960"/>
        <w:gridCol w:w="1905"/>
        <w:gridCol w:w="1905"/>
        <w:gridCol w:w="1905"/>
      </w:tblGrid>
      <w:tr w:rsidR="007D4AE3" w:rsidRPr="00DB1D7C" w14:paraId="18B630BB" w14:textId="77777777" w:rsidTr="00F858B9">
        <w:trPr>
          <w:trHeight w:val="255"/>
        </w:trPr>
        <w:tc>
          <w:tcPr>
            <w:tcW w:w="1695" w:type="dxa"/>
            <w:tcBorders>
              <w:top w:val="single" w:sz="12" w:space="0" w:color="auto"/>
              <w:bottom w:val="single" w:sz="12" w:space="0" w:color="auto"/>
            </w:tcBorders>
            <w:shd w:val="clear" w:color="auto" w:fill="auto"/>
            <w:noWrap/>
          </w:tcPr>
          <w:p w14:paraId="4A55DD26" w14:textId="77777777" w:rsidR="007D4AE3" w:rsidRPr="00DB1D7C" w:rsidRDefault="007D4AE3" w:rsidP="007D4AE3">
            <w:pPr>
              <w:spacing w:before="120" w:after="120"/>
              <w:rPr>
                <w:rFonts w:ascii="Arial" w:hAnsi="Arial" w:cs="Arial"/>
                <w:color w:val="000000"/>
                <w:sz w:val="20"/>
                <w:szCs w:val="20"/>
              </w:rPr>
            </w:pPr>
            <w:r w:rsidRPr="00DB1D7C">
              <w:rPr>
                <w:rFonts w:ascii="Arial" w:hAnsi="Arial" w:cs="Arial"/>
                <w:color w:val="000000"/>
                <w:sz w:val="20"/>
                <w:szCs w:val="20"/>
              </w:rPr>
              <w:t>Lowest T-score</w:t>
            </w:r>
          </w:p>
        </w:tc>
        <w:tc>
          <w:tcPr>
            <w:tcW w:w="960" w:type="dxa"/>
            <w:tcBorders>
              <w:top w:val="single" w:sz="12" w:space="0" w:color="auto"/>
              <w:bottom w:val="single" w:sz="12" w:space="0" w:color="auto"/>
            </w:tcBorders>
            <w:shd w:val="clear" w:color="auto" w:fill="auto"/>
            <w:noWrap/>
          </w:tcPr>
          <w:p w14:paraId="5B11E354"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N</w:t>
            </w:r>
          </w:p>
        </w:tc>
        <w:tc>
          <w:tcPr>
            <w:tcW w:w="1905" w:type="dxa"/>
            <w:tcBorders>
              <w:top w:val="single" w:sz="12" w:space="0" w:color="auto"/>
              <w:bottom w:val="single" w:sz="12" w:space="0" w:color="auto"/>
            </w:tcBorders>
            <w:shd w:val="clear" w:color="auto" w:fill="auto"/>
            <w:noWrap/>
          </w:tcPr>
          <w:p w14:paraId="584AF644"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sz w:val="20"/>
                <w:szCs w:val="20"/>
              </w:rPr>
              <w:t>Low</w:t>
            </w:r>
          </w:p>
        </w:tc>
        <w:tc>
          <w:tcPr>
            <w:tcW w:w="1905" w:type="dxa"/>
            <w:tcBorders>
              <w:top w:val="single" w:sz="12" w:space="0" w:color="auto"/>
              <w:bottom w:val="single" w:sz="12" w:space="0" w:color="auto"/>
            </w:tcBorders>
          </w:tcPr>
          <w:p w14:paraId="4ED665FE"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Moderate</w:t>
            </w:r>
          </w:p>
        </w:tc>
        <w:tc>
          <w:tcPr>
            <w:tcW w:w="1905" w:type="dxa"/>
            <w:tcBorders>
              <w:top w:val="single" w:sz="12" w:space="0" w:color="auto"/>
              <w:bottom w:val="single" w:sz="12" w:space="0" w:color="auto"/>
            </w:tcBorders>
            <w:shd w:val="clear" w:color="auto" w:fill="auto"/>
            <w:noWrap/>
          </w:tcPr>
          <w:p w14:paraId="1213B291"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High</w:t>
            </w:r>
          </w:p>
        </w:tc>
      </w:tr>
      <w:tr w:rsidR="007D4AE3" w:rsidRPr="00DB1D7C" w14:paraId="4F29A891" w14:textId="77777777" w:rsidTr="00F858B9">
        <w:trPr>
          <w:trHeight w:val="255"/>
        </w:trPr>
        <w:tc>
          <w:tcPr>
            <w:tcW w:w="1695" w:type="dxa"/>
            <w:tcBorders>
              <w:top w:val="single" w:sz="12" w:space="0" w:color="auto"/>
            </w:tcBorders>
            <w:shd w:val="clear" w:color="auto" w:fill="auto"/>
            <w:noWrap/>
            <w:vAlign w:val="bottom"/>
          </w:tcPr>
          <w:p w14:paraId="2078376C" w14:textId="77777777" w:rsidR="007D4AE3" w:rsidRPr="00DB1D7C" w:rsidRDefault="007D4AE3" w:rsidP="007D4AE3">
            <w:pPr>
              <w:spacing w:before="120" w:after="120"/>
              <w:rPr>
                <w:rFonts w:ascii="Arial" w:hAnsi="Arial" w:cs="Arial"/>
                <w:sz w:val="20"/>
                <w:szCs w:val="20"/>
              </w:rPr>
            </w:pPr>
            <w:r w:rsidRPr="00DB1D7C">
              <w:rPr>
                <w:rFonts w:ascii="Arial" w:hAnsi="Arial" w:cs="Arial"/>
                <w:sz w:val="20"/>
                <w:szCs w:val="20"/>
              </w:rPr>
              <w:t> </w:t>
            </w:r>
          </w:p>
        </w:tc>
        <w:tc>
          <w:tcPr>
            <w:tcW w:w="960" w:type="dxa"/>
            <w:tcBorders>
              <w:top w:val="single" w:sz="12" w:space="0" w:color="auto"/>
            </w:tcBorders>
            <w:shd w:val="clear" w:color="auto" w:fill="auto"/>
            <w:noWrap/>
            <w:vAlign w:val="bottom"/>
          </w:tcPr>
          <w:p w14:paraId="3EF2FAA2" w14:textId="77777777" w:rsidR="007D4AE3" w:rsidRPr="00DB1D7C" w:rsidRDefault="007D4AE3" w:rsidP="007D4AE3">
            <w:pPr>
              <w:spacing w:before="120" w:after="120"/>
              <w:rPr>
                <w:rFonts w:ascii="Arial" w:hAnsi="Arial" w:cs="Arial"/>
                <w:sz w:val="20"/>
                <w:szCs w:val="20"/>
              </w:rPr>
            </w:pPr>
            <w:r w:rsidRPr="00DB1D7C">
              <w:rPr>
                <w:rFonts w:ascii="Arial" w:hAnsi="Arial" w:cs="Arial"/>
                <w:sz w:val="20"/>
                <w:szCs w:val="20"/>
              </w:rPr>
              <w:t> </w:t>
            </w:r>
          </w:p>
        </w:tc>
        <w:tc>
          <w:tcPr>
            <w:tcW w:w="5715" w:type="dxa"/>
            <w:gridSpan w:val="3"/>
            <w:tcBorders>
              <w:top w:val="single" w:sz="12" w:space="0" w:color="auto"/>
            </w:tcBorders>
            <w:shd w:val="clear" w:color="auto" w:fill="auto"/>
            <w:noWrap/>
            <w:vAlign w:val="bottom"/>
          </w:tcPr>
          <w:p w14:paraId="0A85EEDF" w14:textId="77777777" w:rsidR="007D4AE3" w:rsidRPr="00DB1D7C" w:rsidRDefault="007D4AE3" w:rsidP="007D4AE3">
            <w:pPr>
              <w:spacing w:before="120" w:after="120"/>
              <w:jc w:val="center"/>
              <w:rPr>
                <w:rFonts w:ascii="Arial" w:hAnsi="Arial" w:cs="Arial"/>
                <w:sz w:val="20"/>
                <w:szCs w:val="20"/>
              </w:rPr>
            </w:pPr>
            <w:r w:rsidRPr="00DB1D7C">
              <w:rPr>
                <w:rFonts w:ascii="Arial" w:hAnsi="Arial" w:cs="Arial"/>
                <w:sz w:val="20"/>
                <w:szCs w:val="20"/>
              </w:rPr>
              <w:t>FRAX risk calculated with BMD</w:t>
            </w:r>
          </w:p>
        </w:tc>
      </w:tr>
      <w:tr w:rsidR="007D4AE3" w:rsidRPr="00DB1D7C" w14:paraId="4A3241FF" w14:textId="77777777" w:rsidTr="00F858B9">
        <w:trPr>
          <w:trHeight w:val="255"/>
        </w:trPr>
        <w:tc>
          <w:tcPr>
            <w:tcW w:w="1695" w:type="dxa"/>
            <w:shd w:val="clear" w:color="auto" w:fill="FFFFFF"/>
            <w:noWrap/>
            <w:vAlign w:val="center"/>
          </w:tcPr>
          <w:p w14:paraId="0C34AE6D" w14:textId="77777777" w:rsidR="007D4AE3" w:rsidRPr="00DB1D7C" w:rsidRDefault="007D4AE3" w:rsidP="007D4AE3">
            <w:pPr>
              <w:spacing w:before="120" w:after="120"/>
              <w:rPr>
                <w:rFonts w:ascii="Arial" w:hAnsi="Arial" w:cs="Arial"/>
                <w:color w:val="000000"/>
                <w:sz w:val="20"/>
                <w:szCs w:val="20"/>
              </w:rPr>
            </w:pPr>
            <w:smartTag w:uri="urn:schemas-microsoft-com:office:smarttags" w:element="City">
              <w:smartTag w:uri="urn:schemas-microsoft-com:office:smarttags" w:element="place">
                <w:r w:rsidRPr="00DB1D7C">
                  <w:rPr>
                    <w:rFonts w:ascii="Arial" w:hAnsi="Arial" w:cs="Arial"/>
                    <w:color w:val="000000"/>
                    <w:sz w:val="20"/>
                    <w:szCs w:val="20"/>
                  </w:rPr>
                  <w:t>Normal</w:t>
                </w:r>
              </w:smartTag>
            </w:smartTag>
          </w:p>
        </w:tc>
        <w:tc>
          <w:tcPr>
            <w:tcW w:w="960" w:type="dxa"/>
            <w:shd w:val="clear" w:color="auto" w:fill="auto"/>
            <w:noWrap/>
            <w:vAlign w:val="center"/>
          </w:tcPr>
          <w:p w14:paraId="5C1446B7"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8,248</w:t>
            </w:r>
          </w:p>
        </w:tc>
        <w:tc>
          <w:tcPr>
            <w:tcW w:w="1905" w:type="dxa"/>
            <w:shd w:val="clear" w:color="auto" w:fill="auto"/>
            <w:noWrap/>
            <w:vAlign w:val="center"/>
          </w:tcPr>
          <w:p w14:paraId="10E9C063"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7721 (33.4)</w:t>
            </w:r>
          </w:p>
        </w:tc>
        <w:tc>
          <w:tcPr>
            <w:tcW w:w="1905" w:type="dxa"/>
            <w:vAlign w:val="center"/>
          </w:tcPr>
          <w:p w14:paraId="72864AA3"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517 (4.2)</w:t>
            </w:r>
          </w:p>
        </w:tc>
        <w:tc>
          <w:tcPr>
            <w:tcW w:w="1905" w:type="dxa"/>
            <w:shd w:val="clear" w:color="auto" w:fill="auto"/>
            <w:noWrap/>
            <w:vAlign w:val="center"/>
          </w:tcPr>
          <w:p w14:paraId="24EA43A8"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10 (0.1)</w:t>
            </w:r>
          </w:p>
        </w:tc>
      </w:tr>
      <w:tr w:rsidR="007D4AE3" w:rsidRPr="00DB1D7C" w14:paraId="75B72990" w14:textId="77777777" w:rsidTr="00F858B9">
        <w:trPr>
          <w:trHeight w:val="255"/>
        </w:trPr>
        <w:tc>
          <w:tcPr>
            <w:tcW w:w="1695" w:type="dxa"/>
            <w:shd w:val="clear" w:color="auto" w:fill="FFFFFF"/>
            <w:noWrap/>
            <w:vAlign w:val="center"/>
          </w:tcPr>
          <w:p w14:paraId="051AB5CC" w14:textId="77777777" w:rsidR="007D4AE3" w:rsidRPr="00DB1D7C" w:rsidRDefault="007D4AE3" w:rsidP="007D4AE3">
            <w:pPr>
              <w:spacing w:before="120" w:after="120"/>
              <w:rPr>
                <w:rFonts w:ascii="Arial" w:hAnsi="Arial" w:cs="Arial"/>
                <w:color w:val="000000"/>
                <w:sz w:val="20"/>
                <w:szCs w:val="20"/>
              </w:rPr>
            </w:pPr>
            <w:r w:rsidRPr="00DB1D7C">
              <w:rPr>
                <w:rFonts w:ascii="Arial" w:hAnsi="Arial" w:cs="Arial"/>
                <w:color w:val="000000"/>
                <w:sz w:val="20"/>
                <w:szCs w:val="20"/>
              </w:rPr>
              <w:t>Low bone mass</w:t>
            </w:r>
          </w:p>
        </w:tc>
        <w:tc>
          <w:tcPr>
            <w:tcW w:w="960" w:type="dxa"/>
            <w:shd w:val="clear" w:color="auto" w:fill="auto"/>
            <w:noWrap/>
            <w:vAlign w:val="center"/>
          </w:tcPr>
          <w:p w14:paraId="6CBD04A2"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19,465</w:t>
            </w:r>
          </w:p>
        </w:tc>
        <w:tc>
          <w:tcPr>
            <w:tcW w:w="1905" w:type="dxa"/>
            <w:shd w:val="clear" w:color="auto" w:fill="auto"/>
            <w:noWrap/>
            <w:vAlign w:val="center"/>
          </w:tcPr>
          <w:p w14:paraId="2A67BD87"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12651 (54.7)</w:t>
            </w:r>
          </w:p>
        </w:tc>
        <w:tc>
          <w:tcPr>
            <w:tcW w:w="1905" w:type="dxa"/>
            <w:vAlign w:val="center"/>
          </w:tcPr>
          <w:p w14:paraId="68DEB57D"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6177 (50.4)</w:t>
            </w:r>
          </w:p>
        </w:tc>
        <w:tc>
          <w:tcPr>
            <w:tcW w:w="1905" w:type="dxa"/>
            <w:shd w:val="clear" w:color="auto" w:fill="auto"/>
            <w:noWrap/>
            <w:vAlign w:val="center"/>
          </w:tcPr>
          <w:p w14:paraId="42E56742"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637 (15.1)</w:t>
            </w:r>
          </w:p>
        </w:tc>
      </w:tr>
      <w:tr w:rsidR="007D4AE3" w:rsidRPr="00DB1D7C" w14:paraId="0B445634" w14:textId="77777777" w:rsidTr="00F858B9">
        <w:trPr>
          <w:trHeight w:val="255"/>
        </w:trPr>
        <w:tc>
          <w:tcPr>
            <w:tcW w:w="1695" w:type="dxa"/>
            <w:shd w:val="clear" w:color="auto" w:fill="FFFFFF"/>
            <w:noWrap/>
            <w:vAlign w:val="center"/>
          </w:tcPr>
          <w:p w14:paraId="0EC26A4F" w14:textId="77777777" w:rsidR="007D4AE3" w:rsidRPr="00DB1D7C" w:rsidRDefault="007D4AE3" w:rsidP="007D4AE3">
            <w:pPr>
              <w:spacing w:before="120" w:after="120"/>
              <w:rPr>
                <w:rFonts w:ascii="Arial" w:hAnsi="Arial" w:cs="Arial"/>
                <w:color w:val="000000"/>
                <w:sz w:val="20"/>
                <w:szCs w:val="20"/>
              </w:rPr>
            </w:pPr>
            <w:r w:rsidRPr="00DB1D7C">
              <w:rPr>
                <w:rFonts w:ascii="Arial" w:hAnsi="Arial" w:cs="Arial"/>
                <w:color w:val="000000"/>
                <w:sz w:val="20"/>
                <w:szCs w:val="20"/>
              </w:rPr>
              <w:t>Osteoporosis</w:t>
            </w:r>
          </w:p>
        </w:tc>
        <w:tc>
          <w:tcPr>
            <w:tcW w:w="960" w:type="dxa"/>
            <w:shd w:val="clear" w:color="auto" w:fill="auto"/>
            <w:noWrap/>
            <w:vAlign w:val="center"/>
          </w:tcPr>
          <w:p w14:paraId="537508E1"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11,890</w:t>
            </w:r>
          </w:p>
        </w:tc>
        <w:tc>
          <w:tcPr>
            <w:tcW w:w="1905" w:type="dxa"/>
            <w:shd w:val="clear" w:color="auto" w:fill="auto"/>
            <w:noWrap/>
            <w:vAlign w:val="center"/>
          </w:tcPr>
          <w:p w14:paraId="4BE271B6"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2765 (12.0)</w:t>
            </w:r>
          </w:p>
        </w:tc>
        <w:tc>
          <w:tcPr>
            <w:tcW w:w="1905" w:type="dxa"/>
            <w:vAlign w:val="center"/>
          </w:tcPr>
          <w:p w14:paraId="49312204"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5552 (45.3)</w:t>
            </w:r>
          </w:p>
        </w:tc>
        <w:tc>
          <w:tcPr>
            <w:tcW w:w="1905" w:type="dxa"/>
            <w:shd w:val="clear" w:color="auto" w:fill="auto"/>
            <w:noWrap/>
            <w:vAlign w:val="center"/>
          </w:tcPr>
          <w:p w14:paraId="7CF2D78E"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3573 (84.7)</w:t>
            </w:r>
          </w:p>
        </w:tc>
      </w:tr>
      <w:tr w:rsidR="007D4AE3" w:rsidRPr="00DB1D7C" w14:paraId="11C560D3" w14:textId="77777777" w:rsidTr="00F858B9">
        <w:trPr>
          <w:trHeight w:val="255"/>
        </w:trPr>
        <w:tc>
          <w:tcPr>
            <w:tcW w:w="1695" w:type="dxa"/>
            <w:shd w:val="clear" w:color="auto" w:fill="FFFFFF"/>
            <w:noWrap/>
            <w:vAlign w:val="center"/>
          </w:tcPr>
          <w:p w14:paraId="57ABC6DB" w14:textId="77777777" w:rsidR="007D4AE3" w:rsidRPr="00DB1D7C" w:rsidRDefault="007D4AE3" w:rsidP="007D4AE3">
            <w:pPr>
              <w:spacing w:before="120" w:after="120"/>
              <w:rPr>
                <w:rFonts w:ascii="Arial" w:hAnsi="Arial" w:cs="Arial"/>
                <w:color w:val="000000"/>
                <w:sz w:val="20"/>
                <w:szCs w:val="20"/>
              </w:rPr>
            </w:pPr>
            <w:r w:rsidRPr="00DB1D7C">
              <w:rPr>
                <w:rFonts w:ascii="Arial" w:hAnsi="Arial" w:cs="Arial"/>
                <w:color w:val="000000"/>
                <w:sz w:val="20"/>
                <w:szCs w:val="20"/>
              </w:rPr>
              <w:t>Totals</w:t>
            </w:r>
          </w:p>
        </w:tc>
        <w:tc>
          <w:tcPr>
            <w:tcW w:w="960" w:type="dxa"/>
            <w:shd w:val="clear" w:color="auto" w:fill="auto"/>
            <w:noWrap/>
            <w:vAlign w:val="center"/>
          </w:tcPr>
          <w:p w14:paraId="73F8A1B6"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39,603</w:t>
            </w:r>
          </w:p>
        </w:tc>
        <w:tc>
          <w:tcPr>
            <w:tcW w:w="1905" w:type="dxa"/>
            <w:shd w:val="clear" w:color="auto" w:fill="auto"/>
            <w:noWrap/>
            <w:vAlign w:val="center"/>
          </w:tcPr>
          <w:p w14:paraId="2460C160"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23137 (100)</w:t>
            </w:r>
          </w:p>
        </w:tc>
        <w:tc>
          <w:tcPr>
            <w:tcW w:w="1905" w:type="dxa"/>
            <w:shd w:val="clear" w:color="auto" w:fill="auto"/>
            <w:noWrap/>
            <w:vAlign w:val="center"/>
          </w:tcPr>
          <w:p w14:paraId="2EE735E6"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12246 (100)</w:t>
            </w:r>
          </w:p>
        </w:tc>
        <w:tc>
          <w:tcPr>
            <w:tcW w:w="1905" w:type="dxa"/>
            <w:vAlign w:val="center"/>
          </w:tcPr>
          <w:p w14:paraId="770B90F8"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4220 (100)</w:t>
            </w:r>
          </w:p>
        </w:tc>
      </w:tr>
      <w:tr w:rsidR="007D4AE3" w:rsidRPr="00DB1D7C" w14:paraId="5BF0017D" w14:textId="77777777" w:rsidTr="00F858B9">
        <w:trPr>
          <w:trHeight w:val="255"/>
        </w:trPr>
        <w:tc>
          <w:tcPr>
            <w:tcW w:w="1695" w:type="dxa"/>
            <w:shd w:val="clear" w:color="auto" w:fill="auto"/>
            <w:noWrap/>
            <w:vAlign w:val="bottom"/>
          </w:tcPr>
          <w:p w14:paraId="5C203353" w14:textId="77777777" w:rsidR="007D4AE3" w:rsidRPr="00DB1D7C" w:rsidRDefault="007D4AE3" w:rsidP="007D4AE3">
            <w:pPr>
              <w:spacing w:before="120" w:after="120"/>
              <w:rPr>
                <w:rFonts w:ascii="Arial" w:hAnsi="Arial" w:cs="Arial"/>
                <w:sz w:val="20"/>
                <w:szCs w:val="20"/>
              </w:rPr>
            </w:pPr>
            <w:r w:rsidRPr="00DB1D7C">
              <w:rPr>
                <w:rFonts w:ascii="Arial" w:hAnsi="Arial" w:cs="Arial"/>
                <w:sz w:val="20"/>
                <w:szCs w:val="20"/>
              </w:rPr>
              <w:t> </w:t>
            </w:r>
          </w:p>
        </w:tc>
        <w:tc>
          <w:tcPr>
            <w:tcW w:w="960" w:type="dxa"/>
            <w:shd w:val="clear" w:color="auto" w:fill="auto"/>
            <w:noWrap/>
            <w:vAlign w:val="bottom"/>
          </w:tcPr>
          <w:p w14:paraId="5A5DEB97" w14:textId="77777777" w:rsidR="007D4AE3" w:rsidRPr="00DB1D7C" w:rsidRDefault="007D4AE3" w:rsidP="007D4AE3">
            <w:pPr>
              <w:spacing w:before="120" w:after="120"/>
              <w:rPr>
                <w:rFonts w:ascii="Arial" w:hAnsi="Arial" w:cs="Arial"/>
                <w:sz w:val="20"/>
                <w:szCs w:val="20"/>
              </w:rPr>
            </w:pPr>
            <w:r w:rsidRPr="00DB1D7C">
              <w:rPr>
                <w:rFonts w:ascii="Arial" w:hAnsi="Arial" w:cs="Arial"/>
                <w:sz w:val="20"/>
                <w:szCs w:val="20"/>
              </w:rPr>
              <w:t> </w:t>
            </w:r>
          </w:p>
        </w:tc>
        <w:tc>
          <w:tcPr>
            <w:tcW w:w="5715" w:type="dxa"/>
            <w:gridSpan w:val="3"/>
            <w:shd w:val="clear" w:color="auto" w:fill="auto"/>
            <w:noWrap/>
            <w:vAlign w:val="bottom"/>
          </w:tcPr>
          <w:p w14:paraId="6023E408" w14:textId="77777777" w:rsidR="007D4AE3" w:rsidRPr="00DB1D7C" w:rsidRDefault="007D4AE3" w:rsidP="007D4AE3">
            <w:pPr>
              <w:spacing w:before="120" w:after="120"/>
              <w:jc w:val="center"/>
              <w:rPr>
                <w:rFonts w:ascii="Arial" w:hAnsi="Arial" w:cs="Arial"/>
                <w:sz w:val="20"/>
                <w:szCs w:val="20"/>
              </w:rPr>
            </w:pPr>
            <w:r w:rsidRPr="00DB1D7C">
              <w:rPr>
                <w:rFonts w:ascii="Arial" w:hAnsi="Arial" w:cs="Arial"/>
                <w:sz w:val="20"/>
                <w:szCs w:val="20"/>
              </w:rPr>
              <w:t>FRAX risk calculated without BMD</w:t>
            </w:r>
          </w:p>
        </w:tc>
      </w:tr>
      <w:tr w:rsidR="007D4AE3" w:rsidRPr="00DB1D7C" w14:paraId="1E822E66" w14:textId="77777777" w:rsidTr="00F858B9">
        <w:trPr>
          <w:trHeight w:val="255"/>
        </w:trPr>
        <w:tc>
          <w:tcPr>
            <w:tcW w:w="1695" w:type="dxa"/>
            <w:shd w:val="clear" w:color="auto" w:fill="FFFFFF"/>
            <w:noWrap/>
            <w:vAlign w:val="center"/>
          </w:tcPr>
          <w:p w14:paraId="2175F88C" w14:textId="77777777" w:rsidR="007D4AE3" w:rsidRPr="00DB1D7C" w:rsidRDefault="007D4AE3" w:rsidP="007D4AE3">
            <w:pPr>
              <w:spacing w:before="120" w:after="120"/>
              <w:rPr>
                <w:rFonts w:ascii="Arial" w:hAnsi="Arial" w:cs="Arial"/>
                <w:color w:val="000000"/>
                <w:sz w:val="20"/>
                <w:szCs w:val="20"/>
              </w:rPr>
            </w:pPr>
            <w:smartTag w:uri="urn:schemas-microsoft-com:office:smarttags" w:element="City">
              <w:smartTag w:uri="urn:schemas-microsoft-com:office:smarttags" w:element="place">
                <w:r w:rsidRPr="00DB1D7C">
                  <w:rPr>
                    <w:rFonts w:ascii="Arial" w:hAnsi="Arial" w:cs="Arial"/>
                    <w:color w:val="000000"/>
                    <w:sz w:val="20"/>
                    <w:szCs w:val="20"/>
                  </w:rPr>
                  <w:lastRenderedPageBreak/>
                  <w:t>Normal</w:t>
                </w:r>
              </w:smartTag>
            </w:smartTag>
          </w:p>
        </w:tc>
        <w:tc>
          <w:tcPr>
            <w:tcW w:w="960" w:type="dxa"/>
            <w:shd w:val="clear" w:color="auto" w:fill="auto"/>
            <w:noWrap/>
            <w:vAlign w:val="center"/>
          </w:tcPr>
          <w:p w14:paraId="45CCC80F"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8,248</w:t>
            </w:r>
          </w:p>
        </w:tc>
        <w:tc>
          <w:tcPr>
            <w:tcW w:w="1905" w:type="dxa"/>
            <w:shd w:val="clear" w:color="auto" w:fill="auto"/>
            <w:noWrap/>
            <w:vAlign w:val="center"/>
          </w:tcPr>
          <w:p w14:paraId="5C23BFF0"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6665 (29.5)</w:t>
            </w:r>
          </w:p>
        </w:tc>
        <w:tc>
          <w:tcPr>
            <w:tcW w:w="1905" w:type="dxa"/>
            <w:vAlign w:val="center"/>
          </w:tcPr>
          <w:p w14:paraId="628747E1"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1358 (11.7)</w:t>
            </w:r>
          </w:p>
        </w:tc>
        <w:tc>
          <w:tcPr>
            <w:tcW w:w="1905" w:type="dxa"/>
            <w:shd w:val="clear" w:color="auto" w:fill="auto"/>
            <w:noWrap/>
            <w:vAlign w:val="center"/>
          </w:tcPr>
          <w:p w14:paraId="7ADD7FF1"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225 (4.2)</w:t>
            </w:r>
          </w:p>
        </w:tc>
      </w:tr>
      <w:tr w:rsidR="007D4AE3" w:rsidRPr="00DB1D7C" w14:paraId="6FCEC77F" w14:textId="77777777" w:rsidTr="00F858B9">
        <w:trPr>
          <w:trHeight w:val="255"/>
        </w:trPr>
        <w:tc>
          <w:tcPr>
            <w:tcW w:w="1695" w:type="dxa"/>
            <w:shd w:val="clear" w:color="auto" w:fill="FFFFFF"/>
            <w:noWrap/>
            <w:vAlign w:val="center"/>
          </w:tcPr>
          <w:p w14:paraId="033ABDA0" w14:textId="77777777" w:rsidR="007D4AE3" w:rsidRPr="00DB1D7C" w:rsidRDefault="007D4AE3" w:rsidP="007D4AE3">
            <w:pPr>
              <w:spacing w:before="120" w:after="120"/>
              <w:rPr>
                <w:rFonts w:ascii="Arial" w:hAnsi="Arial" w:cs="Arial"/>
                <w:color w:val="000000"/>
                <w:sz w:val="20"/>
                <w:szCs w:val="20"/>
              </w:rPr>
            </w:pPr>
            <w:r w:rsidRPr="00DB1D7C">
              <w:rPr>
                <w:rFonts w:ascii="Arial" w:hAnsi="Arial" w:cs="Arial"/>
                <w:color w:val="000000"/>
                <w:sz w:val="20"/>
                <w:szCs w:val="20"/>
              </w:rPr>
              <w:t>Low bone mass</w:t>
            </w:r>
          </w:p>
        </w:tc>
        <w:tc>
          <w:tcPr>
            <w:tcW w:w="960" w:type="dxa"/>
            <w:shd w:val="clear" w:color="auto" w:fill="auto"/>
            <w:noWrap/>
            <w:vAlign w:val="center"/>
          </w:tcPr>
          <w:p w14:paraId="7F8949EF"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19,465</w:t>
            </w:r>
          </w:p>
        </w:tc>
        <w:tc>
          <w:tcPr>
            <w:tcW w:w="1905" w:type="dxa"/>
            <w:shd w:val="clear" w:color="auto" w:fill="auto"/>
            <w:noWrap/>
            <w:vAlign w:val="center"/>
          </w:tcPr>
          <w:p w14:paraId="50E6597A"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12019 (53.2)</w:t>
            </w:r>
          </w:p>
        </w:tc>
        <w:tc>
          <w:tcPr>
            <w:tcW w:w="1905" w:type="dxa"/>
            <w:vAlign w:val="center"/>
          </w:tcPr>
          <w:p w14:paraId="30036D45"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5617 (48.3)</w:t>
            </w:r>
          </w:p>
        </w:tc>
        <w:tc>
          <w:tcPr>
            <w:tcW w:w="1905" w:type="dxa"/>
            <w:shd w:val="clear" w:color="auto" w:fill="auto"/>
            <w:noWrap/>
            <w:vAlign w:val="center"/>
          </w:tcPr>
          <w:p w14:paraId="0E83C2A4"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1829 (34.0)</w:t>
            </w:r>
          </w:p>
        </w:tc>
      </w:tr>
      <w:tr w:rsidR="007D4AE3" w:rsidRPr="00DB1D7C" w14:paraId="646FDFD7" w14:textId="77777777" w:rsidTr="00F858B9">
        <w:trPr>
          <w:trHeight w:val="255"/>
        </w:trPr>
        <w:tc>
          <w:tcPr>
            <w:tcW w:w="1695" w:type="dxa"/>
            <w:shd w:val="clear" w:color="auto" w:fill="FFFFFF"/>
            <w:noWrap/>
            <w:vAlign w:val="center"/>
          </w:tcPr>
          <w:p w14:paraId="6AC83CA2" w14:textId="77777777" w:rsidR="007D4AE3" w:rsidRPr="00DB1D7C" w:rsidRDefault="007D4AE3" w:rsidP="007D4AE3">
            <w:pPr>
              <w:spacing w:before="120" w:after="120"/>
              <w:rPr>
                <w:rFonts w:ascii="Arial" w:hAnsi="Arial" w:cs="Arial"/>
                <w:color w:val="000000"/>
                <w:sz w:val="20"/>
                <w:szCs w:val="20"/>
              </w:rPr>
            </w:pPr>
            <w:r w:rsidRPr="00DB1D7C">
              <w:rPr>
                <w:rFonts w:ascii="Arial" w:hAnsi="Arial" w:cs="Arial"/>
                <w:color w:val="000000"/>
                <w:sz w:val="20"/>
                <w:szCs w:val="20"/>
              </w:rPr>
              <w:t>Osteoporosis</w:t>
            </w:r>
          </w:p>
        </w:tc>
        <w:tc>
          <w:tcPr>
            <w:tcW w:w="960" w:type="dxa"/>
            <w:shd w:val="clear" w:color="auto" w:fill="auto"/>
            <w:noWrap/>
            <w:vAlign w:val="center"/>
          </w:tcPr>
          <w:p w14:paraId="1ECB0977"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11,890</w:t>
            </w:r>
          </w:p>
        </w:tc>
        <w:tc>
          <w:tcPr>
            <w:tcW w:w="1905" w:type="dxa"/>
            <w:shd w:val="clear" w:color="auto" w:fill="auto"/>
            <w:noWrap/>
            <w:vAlign w:val="center"/>
          </w:tcPr>
          <w:p w14:paraId="6E36E262"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3915 (17.3)</w:t>
            </w:r>
          </w:p>
        </w:tc>
        <w:tc>
          <w:tcPr>
            <w:tcW w:w="1905" w:type="dxa"/>
            <w:vAlign w:val="center"/>
          </w:tcPr>
          <w:p w14:paraId="4A97C6BB"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4655 (40.0)</w:t>
            </w:r>
          </w:p>
        </w:tc>
        <w:tc>
          <w:tcPr>
            <w:tcW w:w="1905" w:type="dxa"/>
            <w:shd w:val="clear" w:color="auto" w:fill="auto"/>
            <w:noWrap/>
            <w:vAlign w:val="center"/>
          </w:tcPr>
          <w:p w14:paraId="3BAFDAF6"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3320 (61.8)</w:t>
            </w:r>
          </w:p>
        </w:tc>
      </w:tr>
      <w:tr w:rsidR="007D4AE3" w:rsidRPr="00DB1D7C" w14:paraId="35AE3394" w14:textId="77777777" w:rsidTr="00F858B9">
        <w:trPr>
          <w:trHeight w:val="255"/>
        </w:trPr>
        <w:tc>
          <w:tcPr>
            <w:tcW w:w="1695" w:type="dxa"/>
            <w:tcBorders>
              <w:bottom w:val="single" w:sz="12" w:space="0" w:color="auto"/>
            </w:tcBorders>
            <w:shd w:val="clear" w:color="auto" w:fill="FFFFFF"/>
            <w:noWrap/>
            <w:vAlign w:val="center"/>
          </w:tcPr>
          <w:p w14:paraId="32EB1818" w14:textId="77777777" w:rsidR="007D4AE3" w:rsidRPr="00DB1D7C" w:rsidRDefault="007D4AE3" w:rsidP="007D4AE3">
            <w:pPr>
              <w:spacing w:before="120" w:after="120"/>
              <w:rPr>
                <w:rFonts w:ascii="Arial" w:hAnsi="Arial" w:cs="Arial"/>
                <w:color w:val="000000"/>
                <w:sz w:val="20"/>
                <w:szCs w:val="20"/>
              </w:rPr>
            </w:pPr>
            <w:r w:rsidRPr="00DB1D7C">
              <w:rPr>
                <w:rFonts w:ascii="Arial" w:hAnsi="Arial" w:cs="Arial"/>
                <w:color w:val="000000"/>
                <w:sz w:val="20"/>
                <w:szCs w:val="20"/>
              </w:rPr>
              <w:t>Totals</w:t>
            </w:r>
          </w:p>
        </w:tc>
        <w:tc>
          <w:tcPr>
            <w:tcW w:w="960" w:type="dxa"/>
            <w:tcBorders>
              <w:bottom w:val="single" w:sz="12" w:space="0" w:color="auto"/>
            </w:tcBorders>
            <w:shd w:val="clear" w:color="auto" w:fill="auto"/>
            <w:noWrap/>
            <w:vAlign w:val="center"/>
          </w:tcPr>
          <w:p w14:paraId="00081429"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39,603</w:t>
            </w:r>
          </w:p>
        </w:tc>
        <w:tc>
          <w:tcPr>
            <w:tcW w:w="1905" w:type="dxa"/>
            <w:tcBorders>
              <w:bottom w:val="single" w:sz="12" w:space="0" w:color="auto"/>
            </w:tcBorders>
            <w:shd w:val="clear" w:color="auto" w:fill="auto"/>
            <w:noWrap/>
            <w:vAlign w:val="center"/>
          </w:tcPr>
          <w:p w14:paraId="50FA084A"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22599 (100)</w:t>
            </w:r>
          </w:p>
        </w:tc>
        <w:tc>
          <w:tcPr>
            <w:tcW w:w="1905" w:type="dxa"/>
            <w:tcBorders>
              <w:bottom w:val="single" w:sz="12" w:space="0" w:color="auto"/>
            </w:tcBorders>
            <w:shd w:val="clear" w:color="auto" w:fill="auto"/>
            <w:noWrap/>
            <w:vAlign w:val="center"/>
          </w:tcPr>
          <w:p w14:paraId="231CDCD9"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11630 (100)</w:t>
            </w:r>
          </w:p>
        </w:tc>
        <w:tc>
          <w:tcPr>
            <w:tcW w:w="1905" w:type="dxa"/>
            <w:tcBorders>
              <w:bottom w:val="single" w:sz="12" w:space="0" w:color="auto"/>
            </w:tcBorders>
            <w:vAlign w:val="center"/>
          </w:tcPr>
          <w:p w14:paraId="25512968" w14:textId="77777777" w:rsidR="007D4AE3" w:rsidRPr="00DB1D7C" w:rsidRDefault="007D4AE3" w:rsidP="007D4AE3">
            <w:pPr>
              <w:spacing w:before="120" w:after="120"/>
              <w:jc w:val="center"/>
              <w:rPr>
                <w:rFonts w:ascii="Arial" w:hAnsi="Arial" w:cs="Arial"/>
                <w:color w:val="000000"/>
                <w:sz w:val="20"/>
                <w:szCs w:val="20"/>
              </w:rPr>
            </w:pPr>
            <w:r w:rsidRPr="00DB1D7C">
              <w:rPr>
                <w:rFonts w:ascii="Arial" w:hAnsi="Arial" w:cs="Arial"/>
                <w:color w:val="000000"/>
                <w:sz w:val="20"/>
                <w:szCs w:val="20"/>
              </w:rPr>
              <w:t>5374 (100)</w:t>
            </w:r>
          </w:p>
        </w:tc>
      </w:tr>
    </w:tbl>
    <w:p w14:paraId="76FD8277" w14:textId="77777777" w:rsidR="007D4AE3" w:rsidRPr="00DB1D7C" w:rsidRDefault="007D4AE3" w:rsidP="007D4AE3">
      <w:pPr>
        <w:spacing w:line="360" w:lineRule="auto"/>
        <w:rPr>
          <w:bCs/>
        </w:rPr>
      </w:pPr>
    </w:p>
    <w:p w14:paraId="1E9080AD" w14:textId="27DA076C" w:rsidR="00817174" w:rsidRPr="002A1E50" w:rsidRDefault="00D701E2" w:rsidP="004665D8">
      <w:pPr>
        <w:spacing w:after="120" w:line="276" w:lineRule="auto"/>
        <w:rPr>
          <w:rFonts w:ascii="Calibri" w:hAnsi="Calibri"/>
          <w:sz w:val="24"/>
          <w:szCs w:val="24"/>
        </w:rPr>
      </w:pPr>
      <w:r w:rsidRPr="00DB1D7C">
        <w:rPr>
          <w:rFonts w:ascii="Calibri" w:hAnsi="Calibri"/>
          <w:sz w:val="24"/>
          <w:szCs w:val="24"/>
        </w:rPr>
        <w:t>Further examples</w:t>
      </w:r>
      <w:r w:rsidR="00817174" w:rsidRPr="00DB1D7C">
        <w:rPr>
          <w:rFonts w:ascii="Calibri" w:hAnsi="Calibri"/>
          <w:sz w:val="24"/>
          <w:szCs w:val="24"/>
        </w:rPr>
        <w:t xml:space="preserve"> </w:t>
      </w:r>
      <w:r w:rsidRPr="00DB1D7C">
        <w:rPr>
          <w:rFonts w:ascii="Calibri" w:hAnsi="Calibri"/>
          <w:sz w:val="24"/>
          <w:szCs w:val="24"/>
        </w:rPr>
        <w:t xml:space="preserve">of different </w:t>
      </w:r>
      <w:r w:rsidRPr="002A1E50">
        <w:rPr>
          <w:rFonts w:ascii="Calibri" w:hAnsi="Calibri"/>
          <w:sz w:val="24"/>
          <w:szCs w:val="24"/>
        </w:rPr>
        <w:t xml:space="preserve">strategies </w:t>
      </w:r>
      <w:r w:rsidR="00817174" w:rsidRPr="002A1E50">
        <w:rPr>
          <w:rFonts w:ascii="Calibri" w:hAnsi="Calibri"/>
          <w:sz w:val="24"/>
          <w:szCs w:val="24"/>
        </w:rPr>
        <w:t xml:space="preserve">are given in Table </w:t>
      </w:r>
      <w:r w:rsidR="00461F15" w:rsidRPr="002A1E50">
        <w:rPr>
          <w:rFonts w:ascii="Calibri" w:hAnsi="Calibri"/>
          <w:sz w:val="24"/>
          <w:szCs w:val="24"/>
        </w:rPr>
        <w:t>13</w:t>
      </w:r>
      <w:r w:rsidR="00817174" w:rsidRPr="002A1E50">
        <w:rPr>
          <w:rFonts w:ascii="Calibri" w:hAnsi="Calibri"/>
          <w:sz w:val="24"/>
          <w:szCs w:val="24"/>
        </w:rPr>
        <w:t xml:space="preserve"> based on the National Health and Nutrition Examination Survey (NHANES) 2005–</w:t>
      </w:r>
      <w:r w:rsidR="00817174" w:rsidRPr="0011029E">
        <w:rPr>
          <w:rFonts w:ascii="Calibri" w:hAnsi="Calibri"/>
          <w:sz w:val="24"/>
          <w:szCs w:val="24"/>
        </w:rPr>
        <w:t xml:space="preserve">2008 </w:t>
      </w:r>
      <w:r w:rsidR="00D81948" w:rsidRPr="0011029E">
        <w:rPr>
          <w:rFonts w:ascii="Calibri" w:hAnsi="Calibri"/>
          <w:sz w:val="24"/>
          <w:szCs w:val="24"/>
        </w:rPr>
        <w:t>[215]</w:t>
      </w:r>
      <w:r w:rsidR="00817174" w:rsidRPr="0011029E">
        <w:rPr>
          <w:rFonts w:ascii="Calibri" w:hAnsi="Calibri"/>
          <w:sz w:val="24"/>
          <w:szCs w:val="24"/>
        </w:rPr>
        <w:t xml:space="preserve">.  </w:t>
      </w:r>
      <w:r w:rsidRPr="0011029E">
        <w:rPr>
          <w:rFonts w:ascii="Calibri" w:hAnsi="Calibri"/>
          <w:sz w:val="24"/>
          <w:szCs w:val="24"/>
        </w:rPr>
        <w:t xml:space="preserve"> The</w:t>
      </w:r>
      <w:r w:rsidRPr="002A1E50">
        <w:rPr>
          <w:rFonts w:ascii="Calibri" w:hAnsi="Calibri"/>
          <w:sz w:val="24"/>
          <w:szCs w:val="24"/>
        </w:rPr>
        <w:t xml:space="preserve"> application of FRAX used the US model for Caucasian men and women.  Not surprisingly all examples select individuals at high risk.  </w:t>
      </w:r>
      <w:r w:rsidR="00817174" w:rsidRPr="002A1E50">
        <w:rPr>
          <w:rFonts w:ascii="Calibri" w:hAnsi="Calibri"/>
          <w:sz w:val="24"/>
          <w:szCs w:val="24"/>
        </w:rPr>
        <w:t>It is of interest that the guideline of the US National Osteoporosis Foundation</w:t>
      </w:r>
      <w:r w:rsidR="00F858B9" w:rsidRPr="002A1E50">
        <w:rPr>
          <w:rFonts w:ascii="Calibri" w:hAnsi="Calibri"/>
          <w:sz w:val="24"/>
          <w:szCs w:val="24"/>
        </w:rPr>
        <w:t xml:space="preserve"> (scenario F in Table </w:t>
      </w:r>
      <w:r w:rsidR="00461F15" w:rsidRPr="002A1E50">
        <w:rPr>
          <w:rFonts w:ascii="Calibri" w:hAnsi="Calibri"/>
          <w:sz w:val="24"/>
          <w:szCs w:val="24"/>
        </w:rPr>
        <w:t>13</w:t>
      </w:r>
      <w:r w:rsidR="00F858B9" w:rsidRPr="002A1E50">
        <w:rPr>
          <w:rFonts w:ascii="Calibri" w:hAnsi="Calibri"/>
          <w:sz w:val="24"/>
          <w:szCs w:val="24"/>
        </w:rPr>
        <w:t>)</w:t>
      </w:r>
      <w:r w:rsidR="00817174" w:rsidRPr="002A1E50">
        <w:rPr>
          <w:rFonts w:ascii="Calibri" w:hAnsi="Calibri"/>
          <w:sz w:val="24"/>
          <w:szCs w:val="24"/>
        </w:rPr>
        <w:t xml:space="preserve"> select</w:t>
      </w:r>
      <w:r w:rsidRPr="002A1E50">
        <w:rPr>
          <w:rFonts w:ascii="Calibri" w:hAnsi="Calibri"/>
          <w:sz w:val="24"/>
          <w:szCs w:val="24"/>
        </w:rPr>
        <w:t>s</w:t>
      </w:r>
      <w:r w:rsidR="00817174" w:rsidRPr="002A1E50">
        <w:rPr>
          <w:rFonts w:ascii="Calibri" w:hAnsi="Calibri"/>
          <w:sz w:val="24"/>
          <w:szCs w:val="24"/>
        </w:rPr>
        <w:t xml:space="preserve"> the greatest number of patients eligible for treatment and that the application of an age-specific </w:t>
      </w:r>
      <w:r w:rsidR="00F858B9" w:rsidRPr="002A1E50">
        <w:rPr>
          <w:rFonts w:ascii="Calibri" w:hAnsi="Calibri"/>
          <w:sz w:val="24"/>
          <w:szCs w:val="24"/>
        </w:rPr>
        <w:t xml:space="preserve">FRAX </w:t>
      </w:r>
      <w:r w:rsidR="00817174" w:rsidRPr="002A1E50">
        <w:rPr>
          <w:rFonts w:ascii="Calibri" w:hAnsi="Calibri"/>
          <w:sz w:val="24"/>
          <w:szCs w:val="24"/>
        </w:rPr>
        <w:t>threshold with</w:t>
      </w:r>
      <w:r w:rsidR="00F858B9" w:rsidRPr="002A1E50">
        <w:rPr>
          <w:rFonts w:ascii="Calibri" w:hAnsi="Calibri"/>
          <w:sz w:val="24"/>
          <w:szCs w:val="24"/>
        </w:rPr>
        <w:t xml:space="preserve"> (D)</w:t>
      </w:r>
      <w:r w:rsidR="00817174" w:rsidRPr="002A1E50">
        <w:rPr>
          <w:rFonts w:ascii="Calibri" w:hAnsi="Calibri"/>
          <w:sz w:val="24"/>
          <w:szCs w:val="24"/>
        </w:rPr>
        <w:t xml:space="preserve"> or without prior fracture </w:t>
      </w:r>
      <w:r w:rsidR="00F858B9" w:rsidRPr="002A1E50">
        <w:rPr>
          <w:rFonts w:ascii="Calibri" w:hAnsi="Calibri"/>
          <w:sz w:val="24"/>
          <w:szCs w:val="24"/>
        </w:rPr>
        <w:t xml:space="preserve">(C) </w:t>
      </w:r>
      <w:r w:rsidR="00817174" w:rsidRPr="002A1E50">
        <w:rPr>
          <w:rFonts w:ascii="Calibri" w:hAnsi="Calibri"/>
          <w:sz w:val="24"/>
          <w:szCs w:val="24"/>
        </w:rPr>
        <w:t xml:space="preserve">identifies a smaller proportion of the population but at higher risk. </w:t>
      </w:r>
      <w:r w:rsidR="00F858B9" w:rsidRPr="002A1E50">
        <w:rPr>
          <w:rFonts w:ascii="Calibri" w:hAnsi="Calibri"/>
          <w:sz w:val="24"/>
          <w:szCs w:val="24"/>
        </w:rPr>
        <w:t xml:space="preserve"> Also of relevance is that a fixed FRAX threshold set according to the NOF guidelines (but applied to the whole cohort) </w:t>
      </w:r>
      <w:r w:rsidR="00B0183B" w:rsidRPr="002A1E50">
        <w:rPr>
          <w:rFonts w:ascii="Calibri" w:hAnsi="Calibri"/>
          <w:sz w:val="24"/>
          <w:szCs w:val="24"/>
        </w:rPr>
        <w:t xml:space="preserve">(scenario B) </w:t>
      </w:r>
      <w:r w:rsidR="00F858B9" w:rsidRPr="002A1E50">
        <w:rPr>
          <w:rFonts w:ascii="Calibri" w:hAnsi="Calibri"/>
          <w:sz w:val="24"/>
          <w:szCs w:val="24"/>
        </w:rPr>
        <w:t>identifies m</w:t>
      </w:r>
      <w:r w:rsidR="004769A1" w:rsidRPr="002A1E50">
        <w:rPr>
          <w:rFonts w:ascii="Calibri" w:hAnsi="Calibri"/>
          <w:sz w:val="24"/>
          <w:szCs w:val="24"/>
        </w:rPr>
        <w:t>e</w:t>
      </w:r>
      <w:r w:rsidR="00F858B9" w:rsidRPr="002A1E50">
        <w:rPr>
          <w:rFonts w:ascii="Calibri" w:hAnsi="Calibri"/>
          <w:sz w:val="24"/>
          <w:szCs w:val="24"/>
        </w:rPr>
        <w:t>n and women at lower fracture risk than the use of an age-dependent intervention threshold</w:t>
      </w:r>
      <w:r w:rsidR="00B0183B" w:rsidRPr="002A1E50">
        <w:rPr>
          <w:rFonts w:ascii="Calibri" w:hAnsi="Calibri"/>
          <w:sz w:val="24"/>
          <w:szCs w:val="24"/>
        </w:rPr>
        <w:t xml:space="preserve"> (C).  </w:t>
      </w:r>
    </w:p>
    <w:p w14:paraId="28A53109" w14:textId="77777777" w:rsidR="00817174" w:rsidRPr="002A1E50" w:rsidRDefault="00817174" w:rsidP="00B0183B">
      <w:pPr>
        <w:spacing w:after="120" w:line="276" w:lineRule="auto"/>
        <w:rPr>
          <w:rFonts w:ascii="Calibri" w:hAnsi="Calibri"/>
          <w:sz w:val="24"/>
          <w:szCs w:val="24"/>
        </w:rPr>
      </w:pPr>
    </w:p>
    <w:p w14:paraId="6456E4FC" w14:textId="6F50E198" w:rsidR="00817174" w:rsidRPr="00DB1D7C" w:rsidRDefault="00817174" w:rsidP="00817174">
      <w:pPr>
        <w:spacing w:after="120"/>
        <w:rPr>
          <w:rFonts w:ascii="Calibri" w:hAnsi="Calibri"/>
        </w:rPr>
      </w:pPr>
      <w:r w:rsidRPr="002A1E50">
        <w:rPr>
          <w:rFonts w:ascii="Calibri" w:hAnsi="Calibri"/>
          <w:b/>
        </w:rPr>
        <w:t>Table 1</w:t>
      </w:r>
      <w:r w:rsidR="00461F15" w:rsidRPr="002A1E50">
        <w:rPr>
          <w:rFonts w:ascii="Calibri" w:hAnsi="Calibri"/>
          <w:b/>
        </w:rPr>
        <w:t>3</w:t>
      </w:r>
      <w:r w:rsidRPr="002A1E50">
        <w:rPr>
          <w:rFonts w:ascii="Calibri" w:hAnsi="Calibri"/>
          <w:b/>
        </w:rPr>
        <w:t>.</w:t>
      </w:r>
      <w:r w:rsidRPr="002A1E50">
        <w:rPr>
          <w:rFonts w:ascii="Calibri" w:hAnsi="Calibri"/>
        </w:rPr>
        <w:t xml:space="preserve">  Number selected as being above the intervention</w:t>
      </w:r>
      <w:r w:rsidRPr="00DB1D7C">
        <w:rPr>
          <w:rFonts w:ascii="Calibri" w:hAnsi="Calibri"/>
        </w:rPr>
        <w:t xml:space="preserve"> threshold and the proportion who will fracture over 10 years (mean 10-year fracture probability of major osteoporotic fracture (MO</w:t>
      </w:r>
      <w:r w:rsidR="00DF3CAF">
        <w:rPr>
          <w:rFonts w:ascii="Calibri" w:hAnsi="Calibri"/>
        </w:rPr>
        <w:t>F</w:t>
      </w:r>
      <w:r w:rsidRPr="00DB1D7C">
        <w:rPr>
          <w:rFonts w:ascii="Calibri" w:hAnsi="Calibri"/>
        </w:rPr>
        <w:t>) and hip fracture) in men and women aged 50 years or more from the NHANES cohort according to different intervention thresholds</w:t>
      </w:r>
      <w:r w:rsidR="005346BA">
        <w:rPr>
          <w:rFonts w:ascii="Calibri" w:hAnsi="Calibri"/>
        </w:rPr>
        <w:t xml:space="preserve">. </w:t>
      </w:r>
      <w:r w:rsidRPr="00DB1D7C">
        <w:rPr>
          <w:rFonts w:ascii="Calibri" w:hAnsi="Calibri"/>
        </w:rPr>
        <w:t xml:space="preserve"> </w:t>
      </w:r>
      <w:r w:rsidRPr="005346BA">
        <w:rPr>
          <w:rFonts w:ascii="Calibri" w:hAnsi="Calibri"/>
        </w:rPr>
        <w:t>From</w:t>
      </w:r>
      <w:r w:rsidR="00D81948" w:rsidRPr="005346BA">
        <w:rPr>
          <w:rFonts w:ascii="Calibri" w:hAnsi="Calibri"/>
        </w:rPr>
        <w:t xml:space="preserve"> [216]</w:t>
      </w:r>
      <w:r w:rsidRPr="005346BA">
        <w:rPr>
          <w:rFonts w:ascii="Calibri" w:hAnsi="Calibri"/>
        </w:rPr>
        <w:t xml:space="preserve"> </w:t>
      </w:r>
      <w:r w:rsidR="005346BA" w:rsidRPr="005346BA">
        <w:rPr>
          <w:rFonts w:ascii="Calibri" w:hAnsi="Calibri"/>
        </w:rPr>
        <w:t>with</w:t>
      </w:r>
      <w:r w:rsidRPr="005346BA">
        <w:rPr>
          <w:rFonts w:ascii="Calibri" w:hAnsi="Calibri"/>
        </w:rPr>
        <w:t xml:space="preserve"> permission </w:t>
      </w:r>
      <w:r w:rsidR="00CE5522" w:rsidRPr="005346BA">
        <w:rPr>
          <w:rFonts w:ascii="Calibri" w:hAnsi="Calibri"/>
        </w:rPr>
        <w:t xml:space="preserve">from </w:t>
      </w:r>
      <w:r w:rsidR="005346BA" w:rsidRPr="005346BA">
        <w:rPr>
          <w:rFonts w:ascii="Calibri" w:hAnsi="Calibri"/>
        </w:rPr>
        <w:t>John Wiley and Sons</w:t>
      </w:r>
      <w:r w:rsidR="005346BA">
        <w:rPr>
          <w:rFonts w:ascii="Calibri" w:hAnsi="Calibri"/>
        </w:rPr>
        <w:t>.</w:t>
      </w:r>
      <w:r w:rsidR="00D701E2" w:rsidRPr="005346BA">
        <w:rPr>
          <w:rFonts w:ascii="Calibri" w:hAnsi="Calibri"/>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86"/>
        <w:gridCol w:w="869"/>
        <w:gridCol w:w="708"/>
        <w:gridCol w:w="284"/>
        <w:gridCol w:w="832"/>
        <w:gridCol w:w="869"/>
        <w:gridCol w:w="799"/>
      </w:tblGrid>
      <w:tr w:rsidR="00817174" w:rsidRPr="00DB1D7C" w14:paraId="65BF8D6D" w14:textId="77777777" w:rsidTr="00F858B9">
        <w:tc>
          <w:tcPr>
            <w:tcW w:w="3969" w:type="dxa"/>
          </w:tcPr>
          <w:p w14:paraId="749B72A8" w14:textId="77777777" w:rsidR="00817174" w:rsidRPr="00DB1D7C" w:rsidRDefault="00817174" w:rsidP="00850206">
            <w:pPr>
              <w:spacing w:after="120"/>
              <w:rPr>
                <w:rFonts w:ascii="Calibri" w:hAnsi="Calibri"/>
              </w:rPr>
            </w:pPr>
          </w:p>
        </w:tc>
        <w:tc>
          <w:tcPr>
            <w:tcW w:w="686" w:type="dxa"/>
            <w:tcBorders>
              <w:top w:val="single" w:sz="4" w:space="0" w:color="auto"/>
              <w:bottom w:val="single" w:sz="4" w:space="0" w:color="auto"/>
            </w:tcBorders>
          </w:tcPr>
          <w:p w14:paraId="0A8A9271" w14:textId="77777777" w:rsidR="00817174" w:rsidRPr="00DB1D7C" w:rsidRDefault="00817174" w:rsidP="00850206">
            <w:pPr>
              <w:spacing w:after="120"/>
              <w:rPr>
                <w:rFonts w:ascii="Calibri" w:hAnsi="Calibri"/>
              </w:rPr>
            </w:pPr>
          </w:p>
        </w:tc>
        <w:tc>
          <w:tcPr>
            <w:tcW w:w="869" w:type="dxa"/>
            <w:tcBorders>
              <w:top w:val="single" w:sz="4" w:space="0" w:color="auto"/>
              <w:bottom w:val="single" w:sz="4" w:space="0" w:color="auto"/>
            </w:tcBorders>
          </w:tcPr>
          <w:p w14:paraId="0120B2D3" w14:textId="77777777" w:rsidR="00817174" w:rsidRPr="00DB1D7C" w:rsidRDefault="00817174" w:rsidP="00850206">
            <w:pPr>
              <w:spacing w:after="120"/>
              <w:rPr>
                <w:rFonts w:ascii="Calibri" w:hAnsi="Calibri"/>
              </w:rPr>
            </w:pPr>
            <w:r w:rsidRPr="00DB1D7C">
              <w:rPr>
                <w:sz w:val="20"/>
                <w:szCs w:val="20"/>
              </w:rPr>
              <w:t>men</w:t>
            </w:r>
          </w:p>
        </w:tc>
        <w:tc>
          <w:tcPr>
            <w:tcW w:w="708" w:type="dxa"/>
            <w:tcBorders>
              <w:top w:val="single" w:sz="4" w:space="0" w:color="auto"/>
              <w:bottom w:val="single" w:sz="4" w:space="0" w:color="auto"/>
            </w:tcBorders>
          </w:tcPr>
          <w:p w14:paraId="5E78FDDA" w14:textId="77777777" w:rsidR="00817174" w:rsidRPr="00DB1D7C" w:rsidRDefault="00817174" w:rsidP="00850206">
            <w:pPr>
              <w:spacing w:after="120"/>
              <w:rPr>
                <w:rFonts w:ascii="Calibri" w:hAnsi="Calibri"/>
              </w:rPr>
            </w:pPr>
          </w:p>
        </w:tc>
        <w:tc>
          <w:tcPr>
            <w:tcW w:w="284" w:type="dxa"/>
          </w:tcPr>
          <w:p w14:paraId="62AF6CAF" w14:textId="77777777" w:rsidR="00817174" w:rsidRPr="00DB1D7C" w:rsidRDefault="00817174" w:rsidP="00850206">
            <w:pPr>
              <w:spacing w:after="120"/>
              <w:rPr>
                <w:rFonts w:ascii="Calibri" w:hAnsi="Calibri"/>
              </w:rPr>
            </w:pPr>
          </w:p>
        </w:tc>
        <w:tc>
          <w:tcPr>
            <w:tcW w:w="832" w:type="dxa"/>
            <w:tcBorders>
              <w:top w:val="single" w:sz="4" w:space="0" w:color="auto"/>
              <w:bottom w:val="single" w:sz="4" w:space="0" w:color="auto"/>
            </w:tcBorders>
          </w:tcPr>
          <w:p w14:paraId="7EE96EBB" w14:textId="77777777" w:rsidR="00817174" w:rsidRPr="00DB1D7C" w:rsidRDefault="00817174" w:rsidP="00850206">
            <w:pPr>
              <w:spacing w:after="120"/>
              <w:rPr>
                <w:rFonts w:ascii="Calibri" w:hAnsi="Calibri"/>
              </w:rPr>
            </w:pPr>
          </w:p>
        </w:tc>
        <w:tc>
          <w:tcPr>
            <w:tcW w:w="869" w:type="dxa"/>
            <w:tcBorders>
              <w:top w:val="single" w:sz="4" w:space="0" w:color="auto"/>
              <w:bottom w:val="single" w:sz="4" w:space="0" w:color="auto"/>
            </w:tcBorders>
          </w:tcPr>
          <w:p w14:paraId="5C49F11F" w14:textId="77777777" w:rsidR="00817174" w:rsidRPr="00DB1D7C" w:rsidRDefault="00817174" w:rsidP="00850206">
            <w:pPr>
              <w:spacing w:after="120"/>
              <w:rPr>
                <w:rFonts w:ascii="Calibri" w:hAnsi="Calibri"/>
              </w:rPr>
            </w:pPr>
            <w:r w:rsidRPr="00DB1D7C">
              <w:rPr>
                <w:sz w:val="20"/>
                <w:szCs w:val="20"/>
              </w:rPr>
              <w:t>women</w:t>
            </w:r>
          </w:p>
        </w:tc>
        <w:tc>
          <w:tcPr>
            <w:tcW w:w="799" w:type="dxa"/>
            <w:tcBorders>
              <w:top w:val="single" w:sz="4" w:space="0" w:color="auto"/>
              <w:bottom w:val="single" w:sz="4" w:space="0" w:color="auto"/>
            </w:tcBorders>
          </w:tcPr>
          <w:p w14:paraId="1BB40F66" w14:textId="77777777" w:rsidR="00817174" w:rsidRPr="00DB1D7C" w:rsidRDefault="00817174" w:rsidP="00850206">
            <w:pPr>
              <w:spacing w:after="120"/>
              <w:rPr>
                <w:rFonts w:ascii="Calibri" w:hAnsi="Calibri"/>
              </w:rPr>
            </w:pPr>
          </w:p>
        </w:tc>
      </w:tr>
      <w:tr w:rsidR="00817174" w:rsidRPr="00DB1D7C" w14:paraId="4819CA5E" w14:textId="77777777" w:rsidTr="00F858B9">
        <w:tc>
          <w:tcPr>
            <w:tcW w:w="3969" w:type="dxa"/>
            <w:tcBorders>
              <w:bottom w:val="nil"/>
            </w:tcBorders>
          </w:tcPr>
          <w:p w14:paraId="00A1727B" w14:textId="77777777" w:rsidR="00817174" w:rsidRPr="00DB1D7C" w:rsidRDefault="00817174" w:rsidP="00850206">
            <w:pPr>
              <w:spacing w:after="120"/>
              <w:rPr>
                <w:rFonts w:ascii="Calibri" w:hAnsi="Calibri"/>
              </w:rPr>
            </w:pPr>
          </w:p>
        </w:tc>
        <w:tc>
          <w:tcPr>
            <w:tcW w:w="686" w:type="dxa"/>
            <w:tcBorders>
              <w:top w:val="single" w:sz="4" w:space="0" w:color="auto"/>
              <w:bottom w:val="nil"/>
            </w:tcBorders>
          </w:tcPr>
          <w:p w14:paraId="4CB19107" w14:textId="77777777" w:rsidR="00817174" w:rsidRPr="00DB1D7C" w:rsidRDefault="00817174" w:rsidP="00850206">
            <w:pPr>
              <w:spacing w:after="120"/>
              <w:rPr>
                <w:rFonts w:ascii="Calibri" w:hAnsi="Calibri"/>
              </w:rPr>
            </w:pPr>
          </w:p>
        </w:tc>
        <w:tc>
          <w:tcPr>
            <w:tcW w:w="1577" w:type="dxa"/>
            <w:gridSpan w:val="2"/>
            <w:tcBorders>
              <w:top w:val="single" w:sz="4" w:space="0" w:color="auto"/>
              <w:bottom w:val="nil"/>
            </w:tcBorders>
          </w:tcPr>
          <w:p w14:paraId="5315AA29" w14:textId="77777777" w:rsidR="00817174" w:rsidRPr="00DB1D7C" w:rsidRDefault="00817174" w:rsidP="00850206">
            <w:pPr>
              <w:spacing w:after="120"/>
              <w:rPr>
                <w:rFonts w:ascii="Calibri" w:hAnsi="Calibri"/>
              </w:rPr>
            </w:pPr>
            <w:r w:rsidRPr="00DB1D7C">
              <w:rPr>
                <w:sz w:val="20"/>
                <w:szCs w:val="20"/>
              </w:rPr>
              <w:t>% who fracture</w:t>
            </w:r>
          </w:p>
        </w:tc>
        <w:tc>
          <w:tcPr>
            <w:tcW w:w="284" w:type="dxa"/>
            <w:tcBorders>
              <w:bottom w:val="nil"/>
            </w:tcBorders>
          </w:tcPr>
          <w:p w14:paraId="012DCC6D" w14:textId="77777777" w:rsidR="00817174" w:rsidRPr="00DB1D7C" w:rsidRDefault="00817174" w:rsidP="00850206">
            <w:pPr>
              <w:spacing w:after="120"/>
              <w:rPr>
                <w:rFonts w:ascii="Calibri" w:hAnsi="Calibri"/>
              </w:rPr>
            </w:pPr>
          </w:p>
        </w:tc>
        <w:tc>
          <w:tcPr>
            <w:tcW w:w="832" w:type="dxa"/>
            <w:tcBorders>
              <w:top w:val="single" w:sz="4" w:space="0" w:color="auto"/>
              <w:bottom w:val="nil"/>
            </w:tcBorders>
          </w:tcPr>
          <w:p w14:paraId="550829CB" w14:textId="77777777" w:rsidR="00817174" w:rsidRPr="00DB1D7C" w:rsidRDefault="00817174" w:rsidP="00850206">
            <w:pPr>
              <w:spacing w:after="120"/>
              <w:rPr>
                <w:rFonts w:ascii="Calibri" w:hAnsi="Calibri"/>
              </w:rPr>
            </w:pPr>
          </w:p>
        </w:tc>
        <w:tc>
          <w:tcPr>
            <w:tcW w:w="1668" w:type="dxa"/>
            <w:gridSpan w:val="2"/>
            <w:tcBorders>
              <w:top w:val="single" w:sz="4" w:space="0" w:color="auto"/>
              <w:bottom w:val="nil"/>
            </w:tcBorders>
          </w:tcPr>
          <w:p w14:paraId="3538336E" w14:textId="77777777" w:rsidR="00817174" w:rsidRPr="00DB1D7C" w:rsidRDefault="00817174" w:rsidP="00850206">
            <w:pPr>
              <w:spacing w:after="120"/>
              <w:rPr>
                <w:rFonts w:ascii="Calibri" w:hAnsi="Calibri"/>
              </w:rPr>
            </w:pPr>
            <w:r w:rsidRPr="00DB1D7C">
              <w:rPr>
                <w:sz w:val="20"/>
                <w:szCs w:val="20"/>
              </w:rPr>
              <w:t>% who fracture</w:t>
            </w:r>
          </w:p>
        </w:tc>
      </w:tr>
      <w:tr w:rsidR="00817174" w:rsidRPr="00DB1D7C" w14:paraId="04315FD4" w14:textId="77777777" w:rsidTr="00F858B9">
        <w:tc>
          <w:tcPr>
            <w:tcW w:w="3969" w:type="dxa"/>
            <w:tcBorders>
              <w:top w:val="nil"/>
              <w:bottom w:val="single" w:sz="4" w:space="0" w:color="auto"/>
            </w:tcBorders>
          </w:tcPr>
          <w:p w14:paraId="207555F6" w14:textId="77777777" w:rsidR="00817174" w:rsidRPr="00DB1D7C" w:rsidRDefault="00817174" w:rsidP="00850206">
            <w:pPr>
              <w:spacing w:after="120"/>
              <w:rPr>
                <w:rFonts w:ascii="Calibri" w:hAnsi="Calibri"/>
              </w:rPr>
            </w:pPr>
            <w:r w:rsidRPr="00DB1D7C">
              <w:rPr>
                <w:sz w:val="20"/>
                <w:szCs w:val="20"/>
              </w:rPr>
              <w:t>Selection</w:t>
            </w:r>
          </w:p>
        </w:tc>
        <w:tc>
          <w:tcPr>
            <w:tcW w:w="686" w:type="dxa"/>
            <w:tcBorders>
              <w:top w:val="nil"/>
              <w:bottom w:val="single" w:sz="4" w:space="0" w:color="auto"/>
            </w:tcBorders>
          </w:tcPr>
          <w:p w14:paraId="506F81BA" w14:textId="77777777" w:rsidR="00817174" w:rsidRPr="00DB1D7C" w:rsidRDefault="00817174" w:rsidP="00850206">
            <w:pPr>
              <w:spacing w:after="120"/>
              <w:rPr>
                <w:rFonts w:ascii="Calibri" w:hAnsi="Calibri"/>
              </w:rPr>
            </w:pPr>
            <w:r w:rsidRPr="00DB1D7C">
              <w:rPr>
                <w:sz w:val="20"/>
                <w:szCs w:val="20"/>
              </w:rPr>
              <w:t>N</w:t>
            </w:r>
          </w:p>
        </w:tc>
        <w:tc>
          <w:tcPr>
            <w:tcW w:w="869" w:type="dxa"/>
            <w:tcBorders>
              <w:top w:val="nil"/>
              <w:bottom w:val="single" w:sz="4" w:space="0" w:color="auto"/>
            </w:tcBorders>
          </w:tcPr>
          <w:p w14:paraId="60D0A1B9" w14:textId="22943582" w:rsidR="00817174" w:rsidRPr="00DB1D7C" w:rsidRDefault="00817174" w:rsidP="00DF3CAF">
            <w:pPr>
              <w:spacing w:after="120"/>
              <w:rPr>
                <w:rFonts w:ascii="Calibri" w:hAnsi="Calibri"/>
              </w:rPr>
            </w:pPr>
            <w:r w:rsidRPr="00DB1D7C">
              <w:rPr>
                <w:sz w:val="20"/>
                <w:szCs w:val="20"/>
              </w:rPr>
              <w:t>MO</w:t>
            </w:r>
            <w:r w:rsidR="00DF3CAF">
              <w:rPr>
                <w:sz w:val="20"/>
                <w:szCs w:val="20"/>
              </w:rPr>
              <w:t>F</w:t>
            </w:r>
          </w:p>
        </w:tc>
        <w:tc>
          <w:tcPr>
            <w:tcW w:w="708" w:type="dxa"/>
            <w:tcBorders>
              <w:top w:val="nil"/>
              <w:bottom w:val="single" w:sz="4" w:space="0" w:color="auto"/>
            </w:tcBorders>
          </w:tcPr>
          <w:p w14:paraId="3ED9184A" w14:textId="77777777" w:rsidR="00817174" w:rsidRPr="00DB1D7C" w:rsidRDefault="00817174" w:rsidP="00850206">
            <w:pPr>
              <w:spacing w:after="120"/>
              <w:rPr>
                <w:rFonts w:ascii="Calibri" w:hAnsi="Calibri"/>
              </w:rPr>
            </w:pPr>
            <w:r w:rsidRPr="00DB1D7C">
              <w:rPr>
                <w:sz w:val="20"/>
                <w:szCs w:val="20"/>
              </w:rPr>
              <w:t>Hip</w:t>
            </w:r>
          </w:p>
        </w:tc>
        <w:tc>
          <w:tcPr>
            <w:tcW w:w="284" w:type="dxa"/>
            <w:tcBorders>
              <w:top w:val="nil"/>
              <w:bottom w:val="single" w:sz="4" w:space="0" w:color="auto"/>
            </w:tcBorders>
          </w:tcPr>
          <w:p w14:paraId="29859FCF" w14:textId="77777777" w:rsidR="00817174" w:rsidRPr="00DB1D7C" w:rsidRDefault="00817174" w:rsidP="00850206">
            <w:pPr>
              <w:spacing w:after="120"/>
              <w:rPr>
                <w:rFonts w:ascii="Calibri" w:hAnsi="Calibri"/>
              </w:rPr>
            </w:pPr>
          </w:p>
        </w:tc>
        <w:tc>
          <w:tcPr>
            <w:tcW w:w="832" w:type="dxa"/>
            <w:tcBorders>
              <w:top w:val="nil"/>
              <w:bottom w:val="single" w:sz="4" w:space="0" w:color="auto"/>
            </w:tcBorders>
          </w:tcPr>
          <w:p w14:paraId="06508246" w14:textId="77777777" w:rsidR="00817174" w:rsidRPr="00DB1D7C" w:rsidRDefault="00817174" w:rsidP="00850206">
            <w:pPr>
              <w:spacing w:after="120"/>
              <w:rPr>
                <w:rFonts w:ascii="Calibri" w:hAnsi="Calibri"/>
              </w:rPr>
            </w:pPr>
            <w:r w:rsidRPr="00DB1D7C">
              <w:rPr>
                <w:sz w:val="20"/>
                <w:szCs w:val="20"/>
              </w:rPr>
              <w:t>N</w:t>
            </w:r>
          </w:p>
        </w:tc>
        <w:tc>
          <w:tcPr>
            <w:tcW w:w="869" w:type="dxa"/>
            <w:tcBorders>
              <w:top w:val="nil"/>
              <w:bottom w:val="single" w:sz="4" w:space="0" w:color="auto"/>
            </w:tcBorders>
          </w:tcPr>
          <w:p w14:paraId="59A26223" w14:textId="562C9F47" w:rsidR="00817174" w:rsidRPr="00DB1D7C" w:rsidRDefault="00817174" w:rsidP="00DF3CAF">
            <w:pPr>
              <w:spacing w:after="120"/>
              <w:rPr>
                <w:rFonts w:ascii="Calibri" w:hAnsi="Calibri"/>
              </w:rPr>
            </w:pPr>
            <w:r w:rsidRPr="00DB1D7C">
              <w:rPr>
                <w:sz w:val="20"/>
                <w:szCs w:val="20"/>
              </w:rPr>
              <w:t>MO</w:t>
            </w:r>
            <w:r w:rsidR="00DF3CAF">
              <w:rPr>
                <w:sz w:val="20"/>
                <w:szCs w:val="20"/>
              </w:rPr>
              <w:t>F</w:t>
            </w:r>
          </w:p>
        </w:tc>
        <w:tc>
          <w:tcPr>
            <w:tcW w:w="799" w:type="dxa"/>
            <w:tcBorders>
              <w:top w:val="nil"/>
              <w:bottom w:val="single" w:sz="4" w:space="0" w:color="auto"/>
            </w:tcBorders>
          </w:tcPr>
          <w:p w14:paraId="459BC716" w14:textId="77777777" w:rsidR="00817174" w:rsidRPr="00DB1D7C" w:rsidRDefault="00817174" w:rsidP="00850206">
            <w:pPr>
              <w:spacing w:after="120"/>
              <w:rPr>
                <w:rFonts w:ascii="Calibri" w:hAnsi="Calibri"/>
              </w:rPr>
            </w:pPr>
            <w:r w:rsidRPr="00DB1D7C">
              <w:rPr>
                <w:sz w:val="20"/>
                <w:szCs w:val="20"/>
              </w:rPr>
              <w:t>Hip</w:t>
            </w:r>
          </w:p>
        </w:tc>
      </w:tr>
      <w:tr w:rsidR="00817174" w:rsidRPr="00DB1D7C" w14:paraId="256DF505" w14:textId="77777777" w:rsidTr="00F858B9">
        <w:tc>
          <w:tcPr>
            <w:tcW w:w="3969" w:type="dxa"/>
            <w:tcBorders>
              <w:top w:val="single" w:sz="4" w:space="0" w:color="auto"/>
            </w:tcBorders>
          </w:tcPr>
          <w:p w14:paraId="7535EA68" w14:textId="3C383D14" w:rsidR="00817174" w:rsidRPr="00DB1D7C" w:rsidRDefault="00F858B9" w:rsidP="00850206">
            <w:pPr>
              <w:spacing w:after="120"/>
              <w:rPr>
                <w:rFonts w:ascii="Calibri" w:hAnsi="Calibri"/>
              </w:rPr>
            </w:pPr>
            <w:r w:rsidRPr="00DB1D7C">
              <w:rPr>
                <w:sz w:val="20"/>
                <w:szCs w:val="20"/>
              </w:rPr>
              <w:t xml:space="preserve">A  </w:t>
            </w:r>
            <w:r w:rsidR="00817174" w:rsidRPr="00DB1D7C">
              <w:rPr>
                <w:sz w:val="20"/>
                <w:szCs w:val="20"/>
              </w:rPr>
              <w:t>None</w:t>
            </w:r>
          </w:p>
        </w:tc>
        <w:tc>
          <w:tcPr>
            <w:tcW w:w="686" w:type="dxa"/>
            <w:tcBorders>
              <w:top w:val="single" w:sz="4" w:space="0" w:color="auto"/>
            </w:tcBorders>
          </w:tcPr>
          <w:p w14:paraId="306E7FEF" w14:textId="77777777" w:rsidR="00817174" w:rsidRPr="00DB1D7C" w:rsidRDefault="00817174" w:rsidP="00850206">
            <w:pPr>
              <w:spacing w:after="120"/>
              <w:rPr>
                <w:rFonts w:ascii="Calibri" w:hAnsi="Calibri"/>
              </w:rPr>
            </w:pPr>
            <w:r w:rsidRPr="00DB1D7C">
              <w:rPr>
                <w:sz w:val="20"/>
                <w:szCs w:val="20"/>
              </w:rPr>
              <w:t>1959</w:t>
            </w:r>
          </w:p>
        </w:tc>
        <w:tc>
          <w:tcPr>
            <w:tcW w:w="869" w:type="dxa"/>
            <w:tcBorders>
              <w:top w:val="single" w:sz="4" w:space="0" w:color="auto"/>
            </w:tcBorders>
          </w:tcPr>
          <w:p w14:paraId="1A2EB9E3" w14:textId="77777777" w:rsidR="00817174" w:rsidRPr="00DB1D7C" w:rsidRDefault="00817174" w:rsidP="00850206">
            <w:pPr>
              <w:spacing w:after="120"/>
              <w:rPr>
                <w:rFonts w:ascii="Calibri" w:hAnsi="Calibri"/>
              </w:rPr>
            </w:pPr>
            <w:r w:rsidRPr="00DB1D7C">
              <w:rPr>
                <w:sz w:val="20"/>
                <w:szCs w:val="20"/>
              </w:rPr>
              <w:t>6.0</w:t>
            </w:r>
          </w:p>
        </w:tc>
        <w:tc>
          <w:tcPr>
            <w:tcW w:w="708" w:type="dxa"/>
            <w:tcBorders>
              <w:top w:val="single" w:sz="4" w:space="0" w:color="auto"/>
            </w:tcBorders>
          </w:tcPr>
          <w:p w14:paraId="0D9DE693" w14:textId="77777777" w:rsidR="00817174" w:rsidRPr="00DB1D7C" w:rsidRDefault="00817174" w:rsidP="00850206">
            <w:pPr>
              <w:spacing w:after="120"/>
              <w:rPr>
                <w:rFonts w:ascii="Calibri" w:hAnsi="Calibri"/>
              </w:rPr>
            </w:pPr>
            <w:r w:rsidRPr="00DB1D7C">
              <w:rPr>
                <w:sz w:val="20"/>
                <w:szCs w:val="20"/>
              </w:rPr>
              <w:t>1.5</w:t>
            </w:r>
          </w:p>
        </w:tc>
        <w:tc>
          <w:tcPr>
            <w:tcW w:w="284" w:type="dxa"/>
            <w:tcBorders>
              <w:top w:val="single" w:sz="4" w:space="0" w:color="auto"/>
            </w:tcBorders>
          </w:tcPr>
          <w:p w14:paraId="7DA35636" w14:textId="77777777" w:rsidR="00817174" w:rsidRPr="00DB1D7C" w:rsidRDefault="00817174" w:rsidP="00850206">
            <w:pPr>
              <w:spacing w:after="120"/>
              <w:rPr>
                <w:rFonts w:ascii="Calibri" w:hAnsi="Calibri"/>
              </w:rPr>
            </w:pPr>
          </w:p>
        </w:tc>
        <w:tc>
          <w:tcPr>
            <w:tcW w:w="832" w:type="dxa"/>
            <w:tcBorders>
              <w:top w:val="single" w:sz="4" w:space="0" w:color="auto"/>
            </w:tcBorders>
          </w:tcPr>
          <w:p w14:paraId="7E2F5A63" w14:textId="77777777" w:rsidR="00817174" w:rsidRPr="00DB1D7C" w:rsidRDefault="00817174" w:rsidP="00850206">
            <w:pPr>
              <w:spacing w:after="120"/>
              <w:rPr>
                <w:rFonts w:ascii="Calibri" w:hAnsi="Calibri"/>
              </w:rPr>
            </w:pPr>
            <w:r w:rsidRPr="00DB1D7C">
              <w:rPr>
                <w:sz w:val="20"/>
                <w:szCs w:val="20"/>
              </w:rPr>
              <w:t>1649</w:t>
            </w:r>
          </w:p>
        </w:tc>
        <w:tc>
          <w:tcPr>
            <w:tcW w:w="869" w:type="dxa"/>
            <w:tcBorders>
              <w:top w:val="single" w:sz="4" w:space="0" w:color="auto"/>
            </w:tcBorders>
          </w:tcPr>
          <w:p w14:paraId="79AB8312" w14:textId="77777777" w:rsidR="00817174" w:rsidRPr="00DB1D7C" w:rsidRDefault="00817174" w:rsidP="00850206">
            <w:pPr>
              <w:spacing w:after="120"/>
              <w:rPr>
                <w:rFonts w:ascii="Calibri" w:hAnsi="Calibri"/>
              </w:rPr>
            </w:pPr>
            <w:r w:rsidRPr="00DB1D7C">
              <w:rPr>
                <w:sz w:val="20"/>
                <w:szCs w:val="20"/>
              </w:rPr>
              <w:t>10.2</w:t>
            </w:r>
          </w:p>
        </w:tc>
        <w:tc>
          <w:tcPr>
            <w:tcW w:w="799" w:type="dxa"/>
            <w:tcBorders>
              <w:top w:val="single" w:sz="4" w:space="0" w:color="auto"/>
            </w:tcBorders>
          </w:tcPr>
          <w:p w14:paraId="43D0342A" w14:textId="77777777" w:rsidR="00817174" w:rsidRPr="00DB1D7C" w:rsidRDefault="00817174" w:rsidP="00850206">
            <w:pPr>
              <w:spacing w:after="120"/>
              <w:rPr>
                <w:rFonts w:ascii="Calibri" w:hAnsi="Calibri"/>
              </w:rPr>
            </w:pPr>
            <w:r w:rsidRPr="00DB1D7C">
              <w:rPr>
                <w:sz w:val="20"/>
                <w:szCs w:val="20"/>
              </w:rPr>
              <w:t>2.4</w:t>
            </w:r>
          </w:p>
        </w:tc>
      </w:tr>
      <w:tr w:rsidR="00817174" w:rsidRPr="00DB1D7C" w14:paraId="07F88E7A" w14:textId="77777777" w:rsidTr="00F858B9">
        <w:tc>
          <w:tcPr>
            <w:tcW w:w="3969" w:type="dxa"/>
            <w:shd w:val="clear" w:color="auto" w:fill="auto"/>
          </w:tcPr>
          <w:p w14:paraId="065D786B" w14:textId="548BEC86" w:rsidR="00817174" w:rsidRPr="00DB1D7C" w:rsidRDefault="00F858B9" w:rsidP="00850206">
            <w:pPr>
              <w:spacing w:after="120"/>
              <w:rPr>
                <w:rFonts w:ascii="Calibri" w:hAnsi="Calibri"/>
              </w:rPr>
            </w:pPr>
            <w:r w:rsidRPr="00DB1D7C">
              <w:rPr>
                <w:sz w:val="20"/>
                <w:szCs w:val="20"/>
              </w:rPr>
              <w:t xml:space="preserve">B  </w:t>
            </w:r>
            <w:r w:rsidR="00817174" w:rsidRPr="00DB1D7C">
              <w:rPr>
                <w:sz w:val="20"/>
                <w:szCs w:val="20"/>
              </w:rPr>
              <w:t xml:space="preserve">FRAX fixed </w:t>
            </w:r>
            <w:proofErr w:type="spellStart"/>
            <w:r w:rsidR="00817174" w:rsidRPr="00DB1D7C">
              <w:rPr>
                <w:sz w:val="20"/>
                <w:szCs w:val="20"/>
              </w:rPr>
              <w:t>thresholds</w:t>
            </w:r>
            <w:r w:rsidR="00817174" w:rsidRPr="00DB1D7C">
              <w:rPr>
                <w:sz w:val="20"/>
                <w:szCs w:val="20"/>
                <w:vertAlign w:val="superscript"/>
              </w:rPr>
              <w:t>a</w:t>
            </w:r>
            <w:proofErr w:type="spellEnd"/>
          </w:p>
        </w:tc>
        <w:tc>
          <w:tcPr>
            <w:tcW w:w="686" w:type="dxa"/>
            <w:shd w:val="clear" w:color="auto" w:fill="auto"/>
          </w:tcPr>
          <w:p w14:paraId="4AE14BCE" w14:textId="77777777" w:rsidR="00817174" w:rsidRPr="00DB1D7C" w:rsidRDefault="00817174" w:rsidP="00850206">
            <w:pPr>
              <w:spacing w:after="120"/>
              <w:rPr>
                <w:rFonts w:ascii="Calibri" w:hAnsi="Calibri"/>
              </w:rPr>
            </w:pPr>
            <w:r w:rsidRPr="00DB1D7C">
              <w:rPr>
                <w:sz w:val="20"/>
                <w:szCs w:val="20"/>
              </w:rPr>
              <w:t>266</w:t>
            </w:r>
          </w:p>
        </w:tc>
        <w:tc>
          <w:tcPr>
            <w:tcW w:w="869" w:type="dxa"/>
            <w:shd w:val="clear" w:color="auto" w:fill="auto"/>
          </w:tcPr>
          <w:p w14:paraId="4025FABF" w14:textId="77777777" w:rsidR="00817174" w:rsidRPr="00DB1D7C" w:rsidRDefault="00817174" w:rsidP="00850206">
            <w:pPr>
              <w:spacing w:after="120"/>
              <w:rPr>
                <w:rFonts w:ascii="Calibri" w:hAnsi="Calibri"/>
              </w:rPr>
            </w:pPr>
            <w:r w:rsidRPr="00DB1D7C">
              <w:rPr>
                <w:sz w:val="20"/>
                <w:szCs w:val="20"/>
              </w:rPr>
              <w:t>13.5</w:t>
            </w:r>
          </w:p>
        </w:tc>
        <w:tc>
          <w:tcPr>
            <w:tcW w:w="708" w:type="dxa"/>
            <w:shd w:val="clear" w:color="auto" w:fill="auto"/>
          </w:tcPr>
          <w:p w14:paraId="0C115438" w14:textId="77777777" w:rsidR="00817174" w:rsidRPr="00DB1D7C" w:rsidRDefault="00817174" w:rsidP="00850206">
            <w:pPr>
              <w:spacing w:after="120"/>
              <w:rPr>
                <w:rFonts w:ascii="Calibri" w:hAnsi="Calibri"/>
              </w:rPr>
            </w:pPr>
            <w:r w:rsidRPr="00DB1D7C">
              <w:rPr>
                <w:sz w:val="20"/>
                <w:szCs w:val="20"/>
              </w:rPr>
              <w:t>6.3</w:t>
            </w:r>
          </w:p>
        </w:tc>
        <w:tc>
          <w:tcPr>
            <w:tcW w:w="284" w:type="dxa"/>
          </w:tcPr>
          <w:p w14:paraId="0FD8B23A" w14:textId="77777777" w:rsidR="00817174" w:rsidRPr="00DB1D7C" w:rsidRDefault="00817174" w:rsidP="00850206">
            <w:pPr>
              <w:spacing w:after="120"/>
              <w:rPr>
                <w:rFonts w:ascii="Calibri" w:hAnsi="Calibri"/>
              </w:rPr>
            </w:pPr>
          </w:p>
        </w:tc>
        <w:tc>
          <w:tcPr>
            <w:tcW w:w="832" w:type="dxa"/>
            <w:shd w:val="clear" w:color="auto" w:fill="auto"/>
          </w:tcPr>
          <w:p w14:paraId="073A124C" w14:textId="77777777" w:rsidR="00817174" w:rsidRPr="00DB1D7C" w:rsidRDefault="00817174" w:rsidP="00850206">
            <w:pPr>
              <w:spacing w:after="120"/>
              <w:rPr>
                <w:rFonts w:ascii="Calibri" w:hAnsi="Calibri"/>
              </w:rPr>
            </w:pPr>
            <w:r w:rsidRPr="00DB1D7C">
              <w:rPr>
                <w:sz w:val="20"/>
                <w:szCs w:val="20"/>
              </w:rPr>
              <w:t>387</w:t>
            </w:r>
          </w:p>
        </w:tc>
        <w:tc>
          <w:tcPr>
            <w:tcW w:w="869" w:type="dxa"/>
            <w:shd w:val="clear" w:color="auto" w:fill="auto"/>
          </w:tcPr>
          <w:p w14:paraId="59DC9C10" w14:textId="77777777" w:rsidR="00817174" w:rsidRPr="00DB1D7C" w:rsidRDefault="00817174" w:rsidP="00850206">
            <w:pPr>
              <w:spacing w:after="120"/>
              <w:rPr>
                <w:rFonts w:ascii="Calibri" w:hAnsi="Calibri"/>
              </w:rPr>
            </w:pPr>
            <w:r w:rsidRPr="00DB1D7C">
              <w:rPr>
                <w:sz w:val="20"/>
                <w:szCs w:val="20"/>
              </w:rPr>
              <w:t>21.2</w:t>
            </w:r>
          </w:p>
        </w:tc>
        <w:tc>
          <w:tcPr>
            <w:tcW w:w="799" w:type="dxa"/>
            <w:shd w:val="clear" w:color="auto" w:fill="auto"/>
          </w:tcPr>
          <w:p w14:paraId="7F5C0353" w14:textId="77777777" w:rsidR="00817174" w:rsidRPr="00DB1D7C" w:rsidRDefault="00817174" w:rsidP="00850206">
            <w:pPr>
              <w:spacing w:after="120"/>
              <w:rPr>
                <w:rFonts w:ascii="Calibri" w:hAnsi="Calibri"/>
              </w:rPr>
            </w:pPr>
            <w:r w:rsidRPr="00DB1D7C">
              <w:rPr>
                <w:sz w:val="20"/>
                <w:szCs w:val="20"/>
              </w:rPr>
              <w:t>7.9</w:t>
            </w:r>
          </w:p>
        </w:tc>
      </w:tr>
      <w:tr w:rsidR="00817174" w:rsidRPr="00DB1D7C" w14:paraId="3A4D00BE" w14:textId="77777777" w:rsidTr="00F858B9">
        <w:tc>
          <w:tcPr>
            <w:tcW w:w="3969" w:type="dxa"/>
            <w:shd w:val="clear" w:color="auto" w:fill="auto"/>
          </w:tcPr>
          <w:p w14:paraId="657E9398" w14:textId="16FDBCBB" w:rsidR="00817174" w:rsidRPr="00DB1D7C" w:rsidRDefault="00F858B9" w:rsidP="00850206">
            <w:pPr>
              <w:spacing w:after="120"/>
              <w:rPr>
                <w:rFonts w:ascii="Calibri" w:hAnsi="Calibri"/>
              </w:rPr>
            </w:pPr>
            <w:r w:rsidRPr="00DB1D7C">
              <w:rPr>
                <w:sz w:val="20"/>
                <w:szCs w:val="20"/>
              </w:rPr>
              <w:t xml:space="preserve">C  </w:t>
            </w:r>
            <w:r w:rsidR="00817174" w:rsidRPr="00DB1D7C">
              <w:rPr>
                <w:sz w:val="20"/>
                <w:szCs w:val="20"/>
              </w:rPr>
              <w:t xml:space="preserve">FRAX at fracture </w:t>
            </w:r>
            <w:proofErr w:type="spellStart"/>
            <w:r w:rsidR="00817174" w:rsidRPr="00DB1D7C">
              <w:rPr>
                <w:sz w:val="20"/>
                <w:szCs w:val="20"/>
              </w:rPr>
              <w:t>threshold</w:t>
            </w:r>
            <w:r w:rsidR="00817174" w:rsidRPr="00DB1D7C">
              <w:rPr>
                <w:sz w:val="20"/>
                <w:szCs w:val="20"/>
                <w:vertAlign w:val="superscript"/>
              </w:rPr>
              <w:t>b</w:t>
            </w:r>
            <w:proofErr w:type="spellEnd"/>
          </w:p>
        </w:tc>
        <w:tc>
          <w:tcPr>
            <w:tcW w:w="686" w:type="dxa"/>
            <w:shd w:val="clear" w:color="auto" w:fill="auto"/>
          </w:tcPr>
          <w:p w14:paraId="43F10DAD" w14:textId="77777777" w:rsidR="00817174" w:rsidRPr="00DB1D7C" w:rsidRDefault="00817174" w:rsidP="00850206">
            <w:pPr>
              <w:spacing w:after="120"/>
              <w:rPr>
                <w:rFonts w:ascii="Calibri" w:hAnsi="Calibri"/>
              </w:rPr>
            </w:pPr>
            <w:r w:rsidRPr="00DB1D7C">
              <w:rPr>
                <w:sz w:val="20"/>
                <w:szCs w:val="20"/>
              </w:rPr>
              <w:t>54</w:t>
            </w:r>
          </w:p>
        </w:tc>
        <w:tc>
          <w:tcPr>
            <w:tcW w:w="869" w:type="dxa"/>
            <w:shd w:val="clear" w:color="auto" w:fill="auto"/>
          </w:tcPr>
          <w:p w14:paraId="11A68F6D" w14:textId="77777777" w:rsidR="00817174" w:rsidRPr="00DB1D7C" w:rsidRDefault="00817174" w:rsidP="00850206">
            <w:pPr>
              <w:spacing w:after="120"/>
              <w:rPr>
                <w:rFonts w:ascii="Calibri" w:hAnsi="Calibri"/>
              </w:rPr>
            </w:pPr>
            <w:r w:rsidRPr="00DB1D7C">
              <w:rPr>
                <w:sz w:val="20"/>
                <w:szCs w:val="20"/>
              </w:rPr>
              <w:t>16.3</w:t>
            </w:r>
          </w:p>
        </w:tc>
        <w:tc>
          <w:tcPr>
            <w:tcW w:w="708" w:type="dxa"/>
            <w:shd w:val="clear" w:color="auto" w:fill="auto"/>
          </w:tcPr>
          <w:p w14:paraId="3DD8F974" w14:textId="77777777" w:rsidR="00817174" w:rsidRPr="00DB1D7C" w:rsidRDefault="00817174" w:rsidP="00850206">
            <w:pPr>
              <w:spacing w:after="120"/>
              <w:rPr>
                <w:rFonts w:ascii="Calibri" w:hAnsi="Calibri"/>
              </w:rPr>
            </w:pPr>
            <w:r w:rsidRPr="00DB1D7C">
              <w:rPr>
                <w:sz w:val="20"/>
                <w:szCs w:val="20"/>
              </w:rPr>
              <w:t>4.0</w:t>
            </w:r>
          </w:p>
        </w:tc>
        <w:tc>
          <w:tcPr>
            <w:tcW w:w="284" w:type="dxa"/>
          </w:tcPr>
          <w:p w14:paraId="47E69B1A" w14:textId="77777777" w:rsidR="00817174" w:rsidRPr="00DB1D7C" w:rsidRDefault="00817174" w:rsidP="00850206">
            <w:pPr>
              <w:spacing w:after="120"/>
              <w:rPr>
                <w:rFonts w:ascii="Calibri" w:hAnsi="Calibri"/>
              </w:rPr>
            </w:pPr>
          </w:p>
        </w:tc>
        <w:tc>
          <w:tcPr>
            <w:tcW w:w="832" w:type="dxa"/>
            <w:shd w:val="clear" w:color="auto" w:fill="auto"/>
          </w:tcPr>
          <w:p w14:paraId="74D9049E" w14:textId="77777777" w:rsidR="00817174" w:rsidRPr="00DB1D7C" w:rsidRDefault="00817174" w:rsidP="00850206">
            <w:pPr>
              <w:spacing w:after="120"/>
              <w:rPr>
                <w:rFonts w:ascii="Calibri" w:hAnsi="Calibri"/>
              </w:rPr>
            </w:pPr>
            <w:r w:rsidRPr="00DB1D7C">
              <w:rPr>
                <w:sz w:val="20"/>
                <w:szCs w:val="20"/>
              </w:rPr>
              <w:t>144</w:t>
            </w:r>
          </w:p>
        </w:tc>
        <w:tc>
          <w:tcPr>
            <w:tcW w:w="869" w:type="dxa"/>
            <w:shd w:val="clear" w:color="auto" w:fill="auto"/>
          </w:tcPr>
          <w:p w14:paraId="449308E0" w14:textId="77777777" w:rsidR="00817174" w:rsidRPr="00DB1D7C" w:rsidRDefault="00817174" w:rsidP="00850206">
            <w:pPr>
              <w:spacing w:after="120"/>
              <w:rPr>
                <w:rFonts w:ascii="Calibri" w:hAnsi="Calibri"/>
              </w:rPr>
            </w:pPr>
            <w:r w:rsidRPr="00DB1D7C">
              <w:rPr>
                <w:sz w:val="20"/>
                <w:szCs w:val="20"/>
              </w:rPr>
              <w:t>26.0</w:t>
            </w:r>
          </w:p>
        </w:tc>
        <w:tc>
          <w:tcPr>
            <w:tcW w:w="799" w:type="dxa"/>
            <w:shd w:val="clear" w:color="auto" w:fill="auto"/>
          </w:tcPr>
          <w:p w14:paraId="57C84D5E" w14:textId="77777777" w:rsidR="00817174" w:rsidRPr="00DB1D7C" w:rsidRDefault="00817174" w:rsidP="00850206">
            <w:pPr>
              <w:spacing w:after="120"/>
              <w:rPr>
                <w:rFonts w:ascii="Calibri" w:hAnsi="Calibri"/>
              </w:rPr>
            </w:pPr>
            <w:r w:rsidRPr="00DB1D7C">
              <w:rPr>
                <w:sz w:val="20"/>
                <w:szCs w:val="20"/>
              </w:rPr>
              <w:t>9.7</w:t>
            </w:r>
          </w:p>
        </w:tc>
      </w:tr>
      <w:tr w:rsidR="00817174" w:rsidRPr="00DB1D7C" w14:paraId="4CD062C9" w14:textId="77777777" w:rsidTr="00F858B9">
        <w:tc>
          <w:tcPr>
            <w:tcW w:w="3969" w:type="dxa"/>
            <w:shd w:val="clear" w:color="auto" w:fill="auto"/>
          </w:tcPr>
          <w:p w14:paraId="37223A96" w14:textId="1F3E0290" w:rsidR="00817174" w:rsidRPr="00DB1D7C" w:rsidRDefault="00F858B9" w:rsidP="00850206">
            <w:pPr>
              <w:spacing w:after="120"/>
              <w:rPr>
                <w:rFonts w:ascii="Calibri" w:hAnsi="Calibri"/>
              </w:rPr>
            </w:pPr>
            <w:r w:rsidRPr="00DB1D7C">
              <w:rPr>
                <w:sz w:val="20"/>
                <w:szCs w:val="20"/>
              </w:rPr>
              <w:t xml:space="preserve">D  </w:t>
            </w:r>
            <w:r w:rsidR="00817174" w:rsidRPr="00DB1D7C">
              <w:rPr>
                <w:sz w:val="20"/>
                <w:szCs w:val="20"/>
              </w:rPr>
              <w:t xml:space="preserve">FRAX fixed thresholds + prior </w:t>
            </w:r>
            <w:proofErr w:type="spellStart"/>
            <w:r w:rsidR="00817174" w:rsidRPr="00DB1D7C">
              <w:rPr>
                <w:sz w:val="20"/>
                <w:szCs w:val="20"/>
              </w:rPr>
              <w:t>fracture</w:t>
            </w:r>
            <w:r w:rsidR="00817174" w:rsidRPr="00DB1D7C">
              <w:rPr>
                <w:sz w:val="20"/>
                <w:szCs w:val="20"/>
                <w:vertAlign w:val="superscript"/>
              </w:rPr>
              <w:t>c</w:t>
            </w:r>
            <w:proofErr w:type="spellEnd"/>
          </w:p>
        </w:tc>
        <w:tc>
          <w:tcPr>
            <w:tcW w:w="686" w:type="dxa"/>
            <w:shd w:val="clear" w:color="auto" w:fill="auto"/>
          </w:tcPr>
          <w:p w14:paraId="372E63DC" w14:textId="77777777" w:rsidR="00817174" w:rsidRPr="00DB1D7C" w:rsidRDefault="00817174" w:rsidP="00850206">
            <w:pPr>
              <w:spacing w:after="120"/>
              <w:rPr>
                <w:rFonts w:ascii="Calibri" w:hAnsi="Calibri"/>
              </w:rPr>
            </w:pPr>
            <w:r w:rsidRPr="00DB1D7C">
              <w:rPr>
                <w:sz w:val="20"/>
                <w:szCs w:val="20"/>
              </w:rPr>
              <w:t>326</w:t>
            </w:r>
          </w:p>
        </w:tc>
        <w:tc>
          <w:tcPr>
            <w:tcW w:w="869" w:type="dxa"/>
            <w:shd w:val="clear" w:color="auto" w:fill="auto"/>
          </w:tcPr>
          <w:p w14:paraId="09B9C0D2" w14:textId="77777777" w:rsidR="00817174" w:rsidRPr="00DB1D7C" w:rsidRDefault="00817174" w:rsidP="00850206">
            <w:pPr>
              <w:spacing w:after="120"/>
              <w:rPr>
                <w:rFonts w:ascii="Calibri" w:hAnsi="Calibri"/>
              </w:rPr>
            </w:pPr>
            <w:r w:rsidRPr="00DB1D7C">
              <w:rPr>
                <w:sz w:val="20"/>
                <w:szCs w:val="20"/>
              </w:rPr>
              <w:t>12.3</w:t>
            </w:r>
          </w:p>
        </w:tc>
        <w:tc>
          <w:tcPr>
            <w:tcW w:w="708" w:type="dxa"/>
            <w:shd w:val="clear" w:color="auto" w:fill="auto"/>
          </w:tcPr>
          <w:p w14:paraId="36270039" w14:textId="77777777" w:rsidR="00817174" w:rsidRPr="00DB1D7C" w:rsidRDefault="00817174" w:rsidP="00850206">
            <w:pPr>
              <w:spacing w:after="120"/>
              <w:rPr>
                <w:rFonts w:ascii="Calibri" w:hAnsi="Calibri"/>
              </w:rPr>
            </w:pPr>
            <w:r w:rsidRPr="00DB1D7C">
              <w:rPr>
                <w:sz w:val="20"/>
                <w:szCs w:val="20"/>
              </w:rPr>
              <w:t>5.3</w:t>
            </w:r>
          </w:p>
        </w:tc>
        <w:tc>
          <w:tcPr>
            <w:tcW w:w="284" w:type="dxa"/>
          </w:tcPr>
          <w:p w14:paraId="11404C92" w14:textId="77777777" w:rsidR="00817174" w:rsidRPr="00DB1D7C" w:rsidRDefault="00817174" w:rsidP="00850206">
            <w:pPr>
              <w:spacing w:after="120"/>
              <w:rPr>
                <w:rFonts w:ascii="Calibri" w:hAnsi="Calibri"/>
              </w:rPr>
            </w:pPr>
          </w:p>
        </w:tc>
        <w:tc>
          <w:tcPr>
            <w:tcW w:w="832" w:type="dxa"/>
            <w:shd w:val="clear" w:color="auto" w:fill="auto"/>
          </w:tcPr>
          <w:p w14:paraId="6AC649EA" w14:textId="77777777" w:rsidR="00817174" w:rsidRPr="00DB1D7C" w:rsidRDefault="00817174" w:rsidP="00850206">
            <w:pPr>
              <w:spacing w:after="120"/>
              <w:rPr>
                <w:rFonts w:ascii="Calibri" w:hAnsi="Calibri"/>
              </w:rPr>
            </w:pPr>
            <w:r w:rsidRPr="00DB1D7C">
              <w:rPr>
                <w:sz w:val="20"/>
                <w:szCs w:val="20"/>
              </w:rPr>
              <w:t>414</w:t>
            </w:r>
          </w:p>
        </w:tc>
        <w:tc>
          <w:tcPr>
            <w:tcW w:w="869" w:type="dxa"/>
            <w:shd w:val="clear" w:color="auto" w:fill="auto"/>
          </w:tcPr>
          <w:p w14:paraId="540E7DC8" w14:textId="77777777" w:rsidR="00817174" w:rsidRPr="00DB1D7C" w:rsidRDefault="00817174" w:rsidP="00850206">
            <w:pPr>
              <w:spacing w:after="120"/>
              <w:rPr>
                <w:rFonts w:ascii="Calibri" w:hAnsi="Calibri"/>
              </w:rPr>
            </w:pPr>
            <w:r w:rsidRPr="00DB1D7C">
              <w:rPr>
                <w:sz w:val="20"/>
                <w:szCs w:val="20"/>
              </w:rPr>
              <w:t>20.5</w:t>
            </w:r>
          </w:p>
        </w:tc>
        <w:tc>
          <w:tcPr>
            <w:tcW w:w="799" w:type="dxa"/>
            <w:shd w:val="clear" w:color="auto" w:fill="auto"/>
          </w:tcPr>
          <w:p w14:paraId="4AFC5186" w14:textId="77777777" w:rsidR="00817174" w:rsidRPr="00DB1D7C" w:rsidRDefault="00817174" w:rsidP="00850206">
            <w:pPr>
              <w:spacing w:after="120"/>
              <w:rPr>
                <w:rFonts w:ascii="Calibri" w:hAnsi="Calibri"/>
              </w:rPr>
            </w:pPr>
            <w:r w:rsidRPr="00DB1D7C">
              <w:rPr>
                <w:sz w:val="20"/>
                <w:szCs w:val="20"/>
              </w:rPr>
              <w:t>7.5</w:t>
            </w:r>
          </w:p>
        </w:tc>
      </w:tr>
      <w:tr w:rsidR="00817174" w:rsidRPr="00DB1D7C" w14:paraId="221AF70B" w14:textId="77777777" w:rsidTr="00F858B9">
        <w:tc>
          <w:tcPr>
            <w:tcW w:w="3969" w:type="dxa"/>
            <w:shd w:val="clear" w:color="auto" w:fill="auto"/>
          </w:tcPr>
          <w:p w14:paraId="716AA271" w14:textId="28F523BC" w:rsidR="00817174" w:rsidRPr="00DB1D7C" w:rsidRDefault="00F858B9" w:rsidP="00850206">
            <w:pPr>
              <w:spacing w:after="120"/>
              <w:rPr>
                <w:rFonts w:ascii="Calibri" w:hAnsi="Calibri"/>
              </w:rPr>
            </w:pPr>
            <w:r w:rsidRPr="00DB1D7C">
              <w:rPr>
                <w:sz w:val="20"/>
                <w:szCs w:val="20"/>
              </w:rPr>
              <w:t xml:space="preserve">E  </w:t>
            </w:r>
            <w:r w:rsidR="00817174" w:rsidRPr="00DB1D7C">
              <w:rPr>
                <w:sz w:val="20"/>
                <w:szCs w:val="20"/>
              </w:rPr>
              <w:t xml:space="preserve">FRAX at fracture threshold + prior </w:t>
            </w:r>
            <w:proofErr w:type="spellStart"/>
            <w:r w:rsidR="00817174" w:rsidRPr="00DB1D7C">
              <w:rPr>
                <w:sz w:val="20"/>
                <w:szCs w:val="20"/>
              </w:rPr>
              <w:t>fracture</w:t>
            </w:r>
            <w:r w:rsidR="00817174" w:rsidRPr="00DB1D7C">
              <w:rPr>
                <w:sz w:val="20"/>
                <w:szCs w:val="20"/>
                <w:vertAlign w:val="superscript"/>
              </w:rPr>
              <w:t>c</w:t>
            </w:r>
            <w:proofErr w:type="spellEnd"/>
          </w:p>
        </w:tc>
        <w:tc>
          <w:tcPr>
            <w:tcW w:w="686" w:type="dxa"/>
            <w:shd w:val="clear" w:color="auto" w:fill="auto"/>
          </w:tcPr>
          <w:p w14:paraId="22E6B8B2" w14:textId="77777777" w:rsidR="00817174" w:rsidRPr="00DB1D7C" w:rsidRDefault="00817174" w:rsidP="00850206">
            <w:pPr>
              <w:spacing w:after="120"/>
              <w:rPr>
                <w:rFonts w:ascii="Calibri" w:hAnsi="Calibri"/>
              </w:rPr>
            </w:pPr>
            <w:r w:rsidRPr="00DB1D7C">
              <w:rPr>
                <w:sz w:val="20"/>
                <w:szCs w:val="20"/>
              </w:rPr>
              <w:t>121</w:t>
            </w:r>
          </w:p>
        </w:tc>
        <w:tc>
          <w:tcPr>
            <w:tcW w:w="869" w:type="dxa"/>
            <w:shd w:val="clear" w:color="auto" w:fill="auto"/>
          </w:tcPr>
          <w:p w14:paraId="08485105" w14:textId="77777777" w:rsidR="00817174" w:rsidRPr="00DB1D7C" w:rsidRDefault="00817174" w:rsidP="00850206">
            <w:pPr>
              <w:spacing w:after="120"/>
              <w:rPr>
                <w:rFonts w:ascii="Calibri" w:hAnsi="Calibri"/>
              </w:rPr>
            </w:pPr>
            <w:r w:rsidRPr="00DB1D7C">
              <w:rPr>
                <w:sz w:val="20"/>
                <w:szCs w:val="20"/>
              </w:rPr>
              <w:t>11.9</w:t>
            </w:r>
          </w:p>
        </w:tc>
        <w:tc>
          <w:tcPr>
            <w:tcW w:w="708" w:type="dxa"/>
            <w:shd w:val="clear" w:color="auto" w:fill="auto"/>
          </w:tcPr>
          <w:p w14:paraId="5958E3D0" w14:textId="77777777" w:rsidR="00817174" w:rsidRPr="00DB1D7C" w:rsidRDefault="00817174" w:rsidP="00850206">
            <w:pPr>
              <w:spacing w:after="120"/>
              <w:rPr>
                <w:rFonts w:ascii="Calibri" w:hAnsi="Calibri"/>
              </w:rPr>
            </w:pPr>
            <w:r w:rsidRPr="00DB1D7C">
              <w:rPr>
                <w:sz w:val="20"/>
                <w:szCs w:val="20"/>
              </w:rPr>
              <w:t>2.9</w:t>
            </w:r>
          </w:p>
        </w:tc>
        <w:tc>
          <w:tcPr>
            <w:tcW w:w="284" w:type="dxa"/>
          </w:tcPr>
          <w:p w14:paraId="422888D7" w14:textId="77777777" w:rsidR="00817174" w:rsidRPr="00DB1D7C" w:rsidRDefault="00817174" w:rsidP="00850206">
            <w:pPr>
              <w:spacing w:after="120"/>
              <w:rPr>
                <w:rFonts w:ascii="Calibri" w:hAnsi="Calibri"/>
              </w:rPr>
            </w:pPr>
          </w:p>
        </w:tc>
        <w:tc>
          <w:tcPr>
            <w:tcW w:w="832" w:type="dxa"/>
            <w:shd w:val="clear" w:color="auto" w:fill="auto"/>
          </w:tcPr>
          <w:p w14:paraId="281677A0" w14:textId="77777777" w:rsidR="00817174" w:rsidRPr="00DB1D7C" w:rsidRDefault="00817174" w:rsidP="00850206">
            <w:pPr>
              <w:spacing w:after="120"/>
              <w:rPr>
                <w:rFonts w:ascii="Calibri" w:hAnsi="Calibri"/>
              </w:rPr>
            </w:pPr>
            <w:r w:rsidRPr="00DB1D7C">
              <w:rPr>
                <w:sz w:val="20"/>
                <w:szCs w:val="20"/>
              </w:rPr>
              <w:t>179</w:t>
            </w:r>
          </w:p>
        </w:tc>
        <w:tc>
          <w:tcPr>
            <w:tcW w:w="869" w:type="dxa"/>
            <w:shd w:val="clear" w:color="auto" w:fill="auto"/>
          </w:tcPr>
          <w:p w14:paraId="00F7EE99" w14:textId="77777777" w:rsidR="00817174" w:rsidRPr="00DB1D7C" w:rsidRDefault="00817174" w:rsidP="00850206">
            <w:pPr>
              <w:spacing w:after="120"/>
              <w:rPr>
                <w:rFonts w:ascii="Calibri" w:hAnsi="Calibri"/>
              </w:rPr>
            </w:pPr>
            <w:r w:rsidRPr="00DB1D7C">
              <w:rPr>
                <w:sz w:val="20"/>
                <w:szCs w:val="20"/>
              </w:rPr>
              <w:t>23.4</w:t>
            </w:r>
          </w:p>
        </w:tc>
        <w:tc>
          <w:tcPr>
            <w:tcW w:w="799" w:type="dxa"/>
            <w:shd w:val="clear" w:color="auto" w:fill="auto"/>
          </w:tcPr>
          <w:p w14:paraId="42892345" w14:textId="77777777" w:rsidR="00817174" w:rsidRPr="00DB1D7C" w:rsidRDefault="00817174" w:rsidP="00850206">
            <w:pPr>
              <w:spacing w:after="120"/>
              <w:rPr>
                <w:rFonts w:ascii="Calibri" w:hAnsi="Calibri"/>
              </w:rPr>
            </w:pPr>
            <w:r w:rsidRPr="00DB1D7C">
              <w:rPr>
                <w:sz w:val="20"/>
                <w:szCs w:val="20"/>
              </w:rPr>
              <w:t>8.2</w:t>
            </w:r>
          </w:p>
        </w:tc>
      </w:tr>
      <w:tr w:rsidR="00817174" w:rsidRPr="00DB1D7C" w14:paraId="36E0000F" w14:textId="77777777" w:rsidTr="00F858B9">
        <w:tc>
          <w:tcPr>
            <w:tcW w:w="3969" w:type="dxa"/>
            <w:shd w:val="clear" w:color="auto" w:fill="auto"/>
          </w:tcPr>
          <w:p w14:paraId="7F84324A" w14:textId="276E7B96" w:rsidR="00817174" w:rsidRPr="00DB1D7C" w:rsidRDefault="00F858B9" w:rsidP="00850206">
            <w:pPr>
              <w:spacing w:after="120"/>
              <w:rPr>
                <w:rFonts w:ascii="Calibri" w:hAnsi="Calibri"/>
              </w:rPr>
            </w:pPr>
            <w:r w:rsidRPr="00DB1D7C">
              <w:rPr>
                <w:sz w:val="20"/>
                <w:szCs w:val="20"/>
              </w:rPr>
              <w:t xml:space="preserve">F  </w:t>
            </w:r>
            <w:proofErr w:type="spellStart"/>
            <w:r w:rsidR="00817174" w:rsidRPr="00DB1D7C">
              <w:rPr>
                <w:sz w:val="20"/>
                <w:szCs w:val="20"/>
              </w:rPr>
              <w:t>NOF</w:t>
            </w:r>
            <w:r w:rsidR="00817174" w:rsidRPr="00DB1D7C">
              <w:rPr>
                <w:sz w:val="20"/>
                <w:szCs w:val="20"/>
                <w:vertAlign w:val="superscript"/>
              </w:rPr>
              <w:t>d</w:t>
            </w:r>
            <w:proofErr w:type="spellEnd"/>
          </w:p>
        </w:tc>
        <w:tc>
          <w:tcPr>
            <w:tcW w:w="686" w:type="dxa"/>
            <w:shd w:val="clear" w:color="auto" w:fill="auto"/>
          </w:tcPr>
          <w:p w14:paraId="0D8A4429" w14:textId="77777777" w:rsidR="00817174" w:rsidRPr="00DB1D7C" w:rsidRDefault="00817174" w:rsidP="00850206">
            <w:pPr>
              <w:spacing w:after="120"/>
              <w:rPr>
                <w:rFonts w:ascii="Calibri" w:hAnsi="Calibri"/>
              </w:rPr>
            </w:pPr>
            <w:r w:rsidRPr="00DB1D7C">
              <w:rPr>
                <w:sz w:val="20"/>
                <w:szCs w:val="20"/>
              </w:rPr>
              <w:t>330</w:t>
            </w:r>
          </w:p>
        </w:tc>
        <w:tc>
          <w:tcPr>
            <w:tcW w:w="869" w:type="dxa"/>
            <w:shd w:val="clear" w:color="auto" w:fill="auto"/>
          </w:tcPr>
          <w:p w14:paraId="0C65955D" w14:textId="77777777" w:rsidR="00817174" w:rsidRPr="00DB1D7C" w:rsidRDefault="00817174" w:rsidP="00850206">
            <w:pPr>
              <w:spacing w:after="120"/>
              <w:rPr>
                <w:rFonts w:ascii="Calibri" w:hAnsi="Calibri"/>
              </w:rPr>
            </w:pPr>
            <w:r w:rsidRPr="00DB1D7C">
              <w:rPr>
                <w:sz w:val="20"/>
                <w:szCs w:val="20"/>
              </w:rPr>
              <w:t>11.7</w:t>
            </w:r>
          </w:p>
        </w:tc>
        <w:tc>
          <w:tcPr>
            <w:tcW w:w="708" w:type="dxa"/>
            <w:shd w:val="clear" w:color="auto" w:fill="auto"/>
          </w:tcPr>
          <w:p w14:paraId="301FDAAA" w14:textId="77777777" w:rsidR="00817174" w:rsidRPr="00DB1D7C" w:rsidRDefault="00817174" w:rsidP="00850206">
            <w:pPr>
              <w:spacing w:after="120"/>
              <w:rPr>
                <w:rFonts w:ascii="Calibri" w:hAnsi="Calibri"/>
              </w:rPr>
            </w:pPr>
            <w:r w:rsidRPr="00DB1D7C">
              <w:rPr>
                <w:sz w:val="20"/>
                <w:szCs w:val="20"/>
              </w:rPr>
              <w:t>4.9</w:t>
            </w:r>
          </w:p>
        </w:tc>
        <w:tc>
          <w:tcPr>
            <w:tcW w:w="284" w:type="dxa"/>
          </w:tcPr>
          <w:p w14:paraId="51148958" w14:textId="77777777" w:rsidR="00817174" w:rsidRPr="00DB1D7C" w:rsidRDefault="00817174" w:rsidP="00850206">
            <w:pPr>
              <w:spacing w:after="120"/>
              <w:rPr>
                <w:rFonts w:ascii="Calibri" w:hAnsi="Calibri"/>
              </w:rPr>
            </w:pPr>
          </w:p>
        </w:tc>
        <w:tc>
          <w:tcPr>
            <w:tcW w:w="832" w:type="dxa"/>
            <w:shd w:val="clear" w:color="auto" w:fill="auto"/>
          </w:tcPr>
          <w:p w14:paraId="1BE5C9CA" w14:textId="77777777" w:rsidR="00817174" w:rsidRPr="00DB1D7C" w:rsidRDefault="00817174" w:rsidP="00850206">
            <w:pPr>
              <w:spacing w:after="120"/>
              <w:rPr>
                <w:rFonts w:ascii="Calibri" w:hAnsi="Calibri"/>
              </w:rPr>
            </w:pPr>
            <w:r w:rsidRPr="00DB1D7C">
              <w:rPr>
                <w:sz w:val="20"/>
                <w:szCs w:val="20"/>
              </w:rPr>
              <w:t>511</w:t>
            </w:r>
          </w:p>
        </w:tc>
        <w:tc>
          <w:tcPr>
            <w:tcW w:w="869" w:type="dxa"/>
            <w:shd w:val="clear" w:color="auto" w:fill="auto"/>
          </w:tcPr>
          <w:p w14:paraId="597B1589" w14:textId="77777777" w:rsidR="00817174" w:rsidRPr="00DB1D7C" w:rsidRDefault="00817174" w:rsidP="00850206">
            <w:pPr>
              <w:spacing w:after="120"/>
              <w:rPr>
                <w:rFonts w:ascii="Calibri" w:hAnsi="Calibri"/>
              </w:rPr>
            </w:pPr>
            <w:r w:rsidRPr="00DB1D7C">
              <w:rPr>
                <w:sz w:val="20"/>
                <w:szCs w:val="20"/>
              </w:rPr>
              <w:t>17.7</w:t>
            </w:r>
          </w:p>
        </w:tc>
        <w:tc>
          <w:tcPr>
            <w:tcW w:w="799" w:type="dxa"/>
            <w:shd w:val="clear" w:color="auto" w:fill="auto"/>
          </w:tcPr>
          <w:p w14:paraId="61F609BA" w14:textId="77777777" w:rsidR="00817174" w:rsidRPr="00DB1D7C" w:rsidRDefault="00817174" w:rsidP="00850206">
            <w:pPr>
              <w:spacing w:after="120"/>
              <w:rPr>
                <w:rFonts w:ascii="Calibri" w:hAnsi="Calibri"/>
              </w:rPr>
            </w:pPr>
            <w:r w:rsidRPr="00DB1D7C">
              <w:rPr>
                <w:sz w:val="20"/>
                <w:szCs w:val="20"/>
              </w:rPr>
              <w:t>6.2</w:t>
            </w:r>
          </w:p>
        </w:tc>
      </w:tr>
      <w:tr w:rsidR="00817174" w:rsidRPr="00DB1D7C" w14:paraId="19FBC23E" w14:textId="77777777" w:rsidTr="00F858B9">
        <w:tc>
          <w:tcPr>
            <w:tcW w:w="3969" w:type="dxa"/>
            <w:shd w:val="clear" w:color="auto" w:fill="auto"/>
          </w:tcPr>
          <w:p w14:paraId="4A6F10F9" w14:textId="5487E55C" w:rsidR="00817174" w:rsidRPr="00DB1D7C" w:rsidRDefault="00F858B9" w:rsidP="00850206">
            <w:pPr>
              <w:spacing w:after="120"/>
              <w:rPr>
                <w:rFonts w:ascii="Calibri" w:hAnsi="Calibri"/>
              </w:rPr>
            </w:pPr>
            <w:r w:rsidRPr="00DB1D7C">
              <w:rPr>
                <w:sz w:val="20"/>
                <w:szCs w:val="20"/>
              </w:rPr>
              <w:t xml:space="preserve">G  </w:t>
            </w:r>
            <w:r w:rsidR="00817174" w:rsidRPr="00DB1D7C">
              <w:rPr>
                <w:sz w:val="20"/>
                <w:szCs w:val="20"/>
              </w:rPr>
              <w:t xml:space="preserve">Prior </w:t>
            </w:r>
            <w:proofErr w:type="spellStart"/>
            <w:r w:rsidR="00817174" w:rsidRPr="00DB1D7C">
              <w:rPr>
                <w:sz w:val="20"/>
                <w:szCs w:val="20"/>
              </w:rPr>
              <w:t>fracture</w:t>
            </w:r>
            <w:r w:rsidR="00817174" w:rsidRPr="00DB1D7C">
              <w:rPr>
                <w:sz w:val="20"/>
                <w:szCs w:val="20"/>
                <w:vertAlign w:val="superscript"/>
              </w:rPr>
              <w:t>c</w:t>
            </w:r>
            <w:proofErr w:type="spellEnd"/>
          </w:p>
        </w:tc>
        <w:tc>
          <w:tcPr>
            <w:tcW w:w="686" w:type="dxa"/>
            <w:shd w:val="clear" w:color="auto" w:fill="auto"/>
          </w:tcPr>
          <w:p w14:paraId="21EAEBE9" w14:textId="77777777" w:rsidR="00817174" w:rsidRPr="00DB1D7C" w:rsidRDefault="00817174" w:rsidP="00850206">
            <w:pPr>
              <w:spacing w:after="120"/>
              <w:rPr>
                <w:rFonts w:ascii="Calibri" w:hAnsi="Calibri"/>
              </w:rPr>
            </w:pPr>
            <w:r w:rsidRPr="00DB1D7C">
              <w:rPr>
                <w:sz w:val="20"/>
                <w:szCs w:val="20"/>
              </w:rPr>
              <w:t>71</w:t>
            </w:r>
          </w:p>
        </w:tc>
        <w:tc>
          <w:tcPr>
            <w:tcW w:w="869" w:type="dxa"/>
            <w:shd w:val="clear" w:color="auto" w:fill="auto"/>
          </w:tcPr>
          <w:p w14:paraId="4C69201D" w14:textId="77777777" w:rsidR="00817174" w:rsidRPr="00DB1D7C" w:rsidRDefault="00817174" w:rsidP="00850206">
            <w:pPr>
              <w:spacing w:after="120"/>
              <w:rPr>
                <w:rFonts w:ascii="Calibri" w:hAnsi="Calibri"/>
              </w:rPr>
            </w:pPr>
            <w:r w:rsidRPr="00DB1D7C">
              <w:rPr>
                <w:sz w:val="20"/>
                <w:szCs w:val="20"/>
              </w:rPr>
              <w:t>8.9</w:t>
            </w:r>
          </w:p>
        </w:tc>
        <w:tc>
          <w:tcPr>
            <w:tcW w:w="708" w:type="dxa"/>
            <w:shd w:val="clear" w:color="auto" w:fill="auto"/>
          </w:tcPr>
          <w:p w14:paraId="7801C389" w14:textId="77777777" w:rsidR="00817174" w:rsidRPr="00DB1D7C" w:rsidRDefault="00817174" w:rsidP="00850206">
            <w:pPr>
              <w:spacing w:after="120"/>
              <w:rPr>
                <w:rFonts w:ascii="Calibri" w:hAnsi="Calibri"/>
              </w:rPr>
            </w:pPr>
            <w:r w:rsidRPr="00DB1D7C">
              <w:rPr>
                <w:sz w:val="20"/>
                <w:szCs w:val="20"/>
              </w:rPr>
              <w:t>2.1</w:t>
            </w:r>
          </w:p>
        </w:tc>
        <w:tc>
          <w:tcPr>
            <w:tcW w:w="284" w:type="dxa"/>
          </w:tcPr>
          <w:p w14:paraId="76B75826" w14:textId="77777777" w:rsidR="00817174" w:rsidRPr="00DB1D7C" w:rsidRDefault="00817174" w:rsidP="00850206">
            <w:pPr>
              <w:spacing w:after="120"/>
              <w:rPr>
                <w:rFonts w:ascii="Calibri" w:hAnsi="Calibri"/>
              </w:rPr>
            </w:pPr>
          </w:p>
        </w:tc>
        <w:tc>
          <w:tcPr>
            <w:tcW w:w="832" w:type="dxa"/>
            <w:shd w:val="clear" w:color="auto" w:fill="auto"/>
          </w:tcPr>
          <w:p w14:paraId="72BDB3E5" w14:textId="77777777" w:rsidR="00817174" w:rsidRPr="00DB1D7C" w:rsidRDefault="00817174" w:rsidP="00850206">
            <w:pPr>
              <w:spacing w:after="120"/>
              <w:rPr>
                <w:rFonts w:ascii="Calibri" w:hAnsi="Calibri"/>
              </w:rPr>
            </w:pPr>
            <w:r w:rsidRPr="00DB1D7C">
              <w:rPr>
                <w:sz w:val="20"/>
                <w:szCs w:val="20"/>
              </w:rPr>
              <w:t>57</w:t>
            </w:r>
          </w:p>
        </w:tc>
        <w:tc>
          <w:tcPr>
            <w:tcW w:w="869" w:type="dxa"/>
            <w:shd w:val="clear" w:color="auto" w:fill="auto"/>
          </w:tcPr>
          <w:p w14:paraId="72AB4F66" w14:textId="77777777" w:rsidR="00817174" w:rsidRPr="00DB1D7C" w:rsidRDefault="00817174" w:rsidP="00850206">
            <w:pPr>
              <w:spacing w:after="120"/>
              <w:rPr>
                <w:rFonts w:ascii="Calibri" w:hAnsi="Calibri"/>
              </w:rPr>
            </w:pPr>
            <w:r w:rsidRPr="00DB1D7C">
              <w:rPr>
                <w:sz w:val="20"/>
                <w:szCs w:val="20"/>
              </w:rPr>
              <w:t>19.0</w:t>
            </w:r>
          </w:p>
        </w:tc>
        <w:tc>
          <w:tcPr>
            <w:tcW w:w="799" w:type="dxa"/>
            <w:shd w:val="clear" w:color="auto" w:fill="auto"/>
          </w:tcPr>
          <w:p w14:paraId="3111FBF5" w14:textId="77777777" w:rsidR="00817174" w:rsidRPr="00DB1D7C" w:rsidRDefault="00817174" w:rsidP="00850206">
            <w:pPr>
              <w:spacing w:after="120"/>
              <w:rPr>
                <w:rFonts w:ascii="Calibri" w:hAnsi="Calibri"/>
              </w:rPr>
            </w:pPr>
            <w:r w:rsidRPr="00DB1D7C">
              <w:rPr>
                <w:sz w:val="20"/>
                <w:szCs w:val="20"/>
              </w:rPr>
              <w:t>6.1</w:t>
            </w:r>
          </w:p>
        </w:tc>
      </w:tr>
      <w:tr w:rsidR="00817174" w:rsidRPr="00DB1D7C" w14:paraId="0BB4D05C" w14:textId="77777777" w:rsidTr="00F858B9">
        <w:tc>
          <w:tcPr>
            <w:tcW w:w="3969" w:type="dxa"/>
            <w:shd w:val="clear" w:color="auto" w:fill="auto"/>
          </w:tcPr>
          <w:p w14:paraId="6A578F00" w14:textId="7C76D947" w:rsidR="00817174" w:rsidRPr="00DB1D7C" w:rsidRDefault="00F858B9" w:rsidP="00850206">
            <w:pPr>
              <w:spacing w:after="120"/>
              <w:rPr>
                <w:rFonts w:ascii="Calibri" w:hAnsi="Calibri"/>
              </w:rPr>
            </w:pPr>
            <w:r w:rsidRPr="00DB1D7C">
              <w:rPr>
                <w:sz w:val="20"/>
                <w:szCs w:val="20"/>
              </w:rPr>
              <w:t xml:space="preserve">H  </w:t>
            </w:r>
            <w:r w:rsidR="00817174" w:rsidRPr="00DB1D7C">
              <w:rPr>
                <w:sz w:val="20"/>
                <w:szCs w:val="20"/>
              </w:rPr>
              <w:t xml:space="preserve">T-score </w:t>
            </w:r>
            <w:r w:rsidR="00817174" w:rsidRPr="00DB1D7C">
              <w:rPr>
                <w:sz w:val="20"/>
                <w:szCs w:val="20"/>
                <w:u w:val="single"/>
              </w:rPr>
              <w:t>&lt;</w:t>
            </w:r>
            <w:r w:rsidR="00817174" w:rsidRPr="00DB1D7C">
              <w:rPr>
                <w:sz w:val="20"/>
                <w:szCs w:val="20"/>
              </w:rPr>
              <w:t>-2.5</w:t>
            </w:r>
            <w:r w:rsidR="00817174" w:rsidRPr="00DB1D7C">
              <w:rPr>
                <w:sz w:val="20"/>
                <w:szCs w:val="20"/>
                <w:vertAlign w:val="superscript"/>
              </w:rPr>
              <w:t>e</w:t>
            </w:r>
          </w:p>
        </w:tc>
        <w:tc>
          <w:tcPr>
            <w:tcW w:w="686" w:type="dxa"/>
            <w:shd w:val="clear" w:color="auto" w:fill="auto"/>
          </w:tcPr>
          <w:p w14:paraId="3C15E1F8" w14:textId="77777777" w:rsidR="00817174" w:rsidRPr="00DB1D7C" w:rsidRDefault="00817174" w:rsidP="00850206">
            <w:pPr>
              <w:spacing w:after="120"/>
              <w:rPr>
                <w:rFonts w:ascii="Calibri" w:hAnsi="Calibri"/>
              </w:rPr>
            </w:pPr>
            <w:r w:rsidRPr="00DB1D7C">
              <w:rPr>
                <w:sz w:val="20"/>
                <w:szCs w:val="20"/>
              </w:rPr>
              <w:t>79</w:t>
            </w:r>
          </w:p>
        </w:tc>
        <w:tc>
          <w:tcPr>
            <w:tcW w:w="869" w:type="dxa"/>
            <w:shd w:val="clear" w:color="auto" w:fill="auto"/>
          </w:tcPr>
          <w:p w14:paraId="2E8AC14F" w14:textId="77777777" w:rsidR="00817174" w:rsidRPr="00DB1D7C" w:rsidRDefault="00817174" w:rsidP="00850206">
            <w:pPr>
              <w:spacing w:after="120"/>
              <w:rPr>
                <w:rFonts w:ascii="Calibri" w:hAnsi="Calibri"/>
              </w:rPr>
            </w:pPr>
            <w:r w:rsidRPr="00DB1D7C">
              <w:rPr>
                <w:sz w:val="20"/>
                <w:szCs w:val="20"/>
              </w:rPr>
              <w:t>11.2</w:t>
            </w:r>
          </w:p>
        </w:tc>
        <w:tc>
          <w:tcPr>
            <w:tcW w:w="708" w:type="dxa"/>
            <w:shd w:val="clear" w:color="auto" w:fill="auto"/>
          </w:tcPr>
          <w:p w14:paraId="1C26C1DA" w14:textId="77777777" w:rsidR="00817174" w:rsidRPr="00DB1D7C" w:rsidRDefault="00817174" w:rsidP="00850206">
            <w:pPr>
              <w:spacing w:after="120"/>
              <w:rPr>
                <w:rFonts w:ascii="Calibri" w:hAnsi="Calibri"/>
              </w:rPr>
            </w:pPr>
            <w:r w:rsidRPr="00DB1D7C">
              <w:rPr>
                <w:sz w:val="20"/>
                <w:szCs w:val="20"/>
              </w:rPr>
              <w:t>5.4</w:t>
            </w:r>
          </w:p>
        </w:tc>
        <w:tc>
          <w:tcPr>
            <w:tcW w:w="284" w:type="dxa"/>
          </w:tcPr>
          <w:p w14:paraId="15E78CFB" w14:textId="77777777" w:rsidR="00817174" w:rsidRPr="00DB1D7C" w:rsidRDefault="00817174" w:rsidP="00850206">
            <w:pPr>
              <w:spacing w:after="120"/>
              <w:rPr>
                <w:rFonts w:ascii="Calibri" w:hAnsi="Calibri"/>
              </w:rPr>
            </w:pPr>
          </w:p>
        </w:tc>
        <w:tc>
          <w:tcPr>
            <w:tcW w:w="832" w:type="dxa"/>
            <w:shd w:val="clear" w:color="auto" w:fill="auto"/>
          </w:tcPr>
          <w:p w14:paraId="6F184948" w14:textId="77777777" w:rsidR="00817174" w:rsidRPr="00DB1D7C" w:rsidRDefault="00817174" w:rsidP="00850206">
            <w:pPr>
              <w:spacing w:after="120"/>
              <w:rPr>
                <w:rFonts w:ascii="Calibri" w:hAnsi="Calibri"/>
              </w:rPr>
            </w:pPr>
            <w:r w:rsidRPr="00DB1D7C">
              <w:rPr>
                <w:sz w:val="20"/>
                <w:szCs w:val="20"/>
              </w:rPr>
              <w:t>298</w:t>
            </w:r>
          </w:p>
        </w:tc>
        <w:tc>
          <w:tcPr>
            <w:tcW w:w="869" w:type="dxa"/>
            <w:shd w:val="clear" w:color="auto" w:fill="auto"/>
          </w:tcPr>
          <w:p w14:paraId="11C02FAB" w14:textId="77777777" w:rsidR="00817174" w:rsidRPr="00DB1D7C" w:rsidRDefault="00817174" w:rsidP="00850206">
            <w:pPr>
              <w:spacing w:after="120"/>
              <w:rPr>
                <w:rFonts w:ascii="Calibri" w:hAnsi="Calibri"/>
              </w:rPr>
            </w:pPr>
            <w:r w:rsidRPr="00DB1D7C">
              <w:rPr>
                <w:sz w:val="20"/>
                <w:szCs w:val="20"/>
              </w:rPr>
              <w:t>17.3</w:t>
            </w:r>
          </w:p>
        </w:tc>
        <w:tc>
          <w:tcPr>
            <w:tcW w:w="799" w:type="dxa"/>
            <w:shd w:val="clear" w:color="auto" w:fill="auto"/>
          </w:tcPr>
          <w:p w14:paraId="14F164CD" w14:textId="77777777" w:rsidR="00817174" w:rsidRPr="00DB1D7C" w:rsidRDefault="00817174" w:rsidP="00850206">
            <w:pPr>
              <w:spacing w:after="120"/>
              <w:rPr>
                <w:rFonts w:ascii="Calibri" w:hAnsi="Calibri"/>
              </w:rPr>
            </w:pPr>
            <w:r w:rsidRPr="00DB1D7C">
              <w:rPr>
                <w:sz w:val="20"/>
                <w:szCs w:val="20"/>
              </w:rPr>
              <w:t>6.7</w:t>
            </w:r>
          </w:p>
        </w:tc>
      </w:tr>
      <w:tr w:rsidR="00817174" w:rsidRPr="00DB1D7C" w14:paraId="35114272" w14:textId="77777777" w:rsidTr="00F858B9">
        <w:tc>
          <w:tcPr>
            <w:tcW w:w="3969" w:type="dxa"/>
          </w:tcPr>
          <w:p w14:paraId="32AA22A1" w14:textId="767A7758" w:rsidR="00817174" w:rsidRPr="00DB1D7C" w:rsidRDefault="00F858B9" w:rsidP="00850206">
            <w:pPr>
              <w:spacing w:after="120"/>
              <w:rPr>
                <w:rFonts w:ascii="Calibri" w:hAnsi="Calibri"/>
              </w:rPr>
            </w:pPr>
            <w:r w:rsidRPr="00DB1D7C">
              <w:rPr>
                <w:sz w:val="20"/>
                <w:szCs w:val="20"/>
              </w:rPr>
              <w:t xml:space="preserve">I  </w:t>
            </w:r>
            <w:r w:rsidR="00817174" w:rsidRPr="00DB1D7C">
              <w:rPr>
                <w:sz w:val="20"/>
                <w:szCs w:val="20"/>
              </w:rPr>
              <w:t xml:space="preserve">Prior fracture &amp; T-score </w:t>
            </w:r>
            <w:r w:rsidR="00817174" w:rsidRPr="00DB1D7C">
              <w:rPr>
                <w:sz w:val="20"/>
                <w:szCs w:val="20"/>
                <w:u w:val="single"/>
              </w:rPr>
              <w:t>&lt;</w:t>
            </w:r>
            <w:r w:rsidR="00817174" w:rsidRPr="00DB1D7C">
              <w:rPr>
                <w:sz w:val="20"/>
                <w:szCs w:val="20"/>
              </w:rPr>
              <w:t>-2.5</w:t>
            </w:r>
            <w:r w:rsidR="00817174" w:rsidRPr="00DB1D7C">
              <w:rPr>
                <w:sz w:val="20"/>
                <w:szCs w:val="20"/>
                <w:vertAlign w:val="superscript"/>
              </w:rPr>
              <w:t>e</w:t>
            </w:r>
          </w:p>
        </w:tc>
        <w:tc>
          <w:tcPr>
            <w:tcW w:w="686" w:type="dxa"/>
          </w:tcPr>
          <w:p w14:paraId="43FF3FB9" w14:textId="77777777" w:rsidR="00817174" w:rsidRPr="00DB1D7C" w:rsidRDefault="00817174" w:rsidP="00850206">
            <w:pPr>
              <w:spacing w:after="120"/>
              <w:rPr>
                <w:rFonts w:ascii="Calibri" w:hAnsi="Calibri"/>
              </w:rPr>
            </w:pPr>
            <w:r w:rsidRPr="00DB1D7C">
              <w:rPr>
                <w:sz w:val="20"/>
                <w:szCs w:val="20"/>
              </w:rPr>
              <w:t>148</w:t>
            </w:r>
          </w:p>
        </w:tc>
        <w:tc>
          <w:tcPr>
            <w:tcW w:w="869" w:type="dxa"/>
          </w:tcPr>
          <w:p w14:paraId="323C6FC1" w14:textId="77777777" w:rsidR="00817174" w:rsidRPr="00DB1D7C" w:rsidRDefault="00817174" w:rsidP="00850206">
            <w:pPr>
              <w:spacing w:after="120"/>
              <w:rPr>
                <w:rFonts w:ascii="Calibri" w:hAnsi="Calibri"/>
              </w:rPr>
            </w:pPr>
            <w:r w:rsidRPr="00DB1D7C">
              <w:rPr>
                <w:sz w:val="20"/>
                <w:szCs w:val="20"/>
              </w:rPr>
              <w:t>9.9</w:t>
            </w:r>
          </w:p>
        </w:tc>
        <w:tc>
          <w:tcPr>
            <w:tcW w:w="708" w:type="dxa"/>
          </w:tcPr>
          <w:p w14:paraId="539806E5" w14:textId="77777777" w:rsidR="00817174" w:rsidRPr="00DB1D7C" w:rsidRDefault="00817174" w:rsidP="00850206">
            <w:pPr>
              <w:spacing w:after="120"/>
              <w:rPr>
                <w:rFonts w:ascii="Calibri" w:hAnsi="Calibri"/>
              </w:rPr>
            </w:pPr>
            <w:r w:rsidRPr="00DB1D7C">
              <w:rPr>
                <w:sz w:val="20"/>
                <w:szCs w:val="20"/>
              </w:rPr>
              <w:t>3.6</w:t>
            </w:r>
          </w:p>
        </w:tc>
        <w:tc>
          <w:tcPr>
            <w:tcW w:w="284" w:type="dxa"/>
          </w:tcPr>
          <w:p w14:paraId="0A4D597C" w14:textId="77777777" w:rsidR="00817174" w:rsidRPr="00DB1D7C" w:rsidRDefault="00817174" w:rsidP="00850206">
            <w:pPr>
              <w:spacing w:after="120"/>
              <w:rPr>
                <w:rFonts w:ascii="Calibri" w:hAnsi="Calibri"/>
              </w:rPr>
            </w:pPr>
          </w:p>
        </w:tc>
        <w:tc>
          <w:tcPr>
            <w:tcW w:w="832" w:type="dxa"/>
          </w:tcPr>
          <w:p w14:paraId="546E98CD" w14:textId="77777777" w:rsidR="00817174" w:rsidRPr="00DB1D7C" w:rsidRDefault="00817174" w:rsidP="00850206">
            <w:pPr>
              <w:spacing w:after="120"/>
              <w:rPr>
                <w:rFonts w:ascii="Calibri" w:hAnsi="Calibri"/>
              </w:rPr>
            </w:pPr>
            <w:r w:rsidRPr="00DB1D7C">
              <w:rPr>
                <w:sz w:val="20"/>
                <w:szCs w:val="20"/>
              </w:rPr>
              <w:t>335</w:t>
            </w:r>
          </w:p>
        </w:tc>
        <w:tc>
          <w:tcPr>
            <w:tcW w:w="869" w:type="dxa"/>
          </w:tcPr>
          <w:p w14:paraId="31E8D780" w14:textId="77777777" w:rsidR="00817174" w:rsidRPr="00DB1D7C" w:rsidRDefault="00817174" w:rsidP="00850206">
            <w:pPr>
              <w:spacing w:after="120"/>
              <w:rPr>
                <w:rFonts w:ascii="Calibri" w:hAnsi="Calibri"/>
              </w:rPr>
            </w:pPr>
            <w:r w:rsidRPr="00DB1D7C">
              <w:rPr>
                <w:sz w:val="20"/>
                <w:szCs w:val="20"/>
              </w:rPr>
              <w:t>17</w:t>
            </w:r>
          </w:p>
        </w:tc>
        <w:tc>
          <w:tcPr>
            <w:tcW w:w="799" w:type="dxa"/>
          </w:tcPr>
          <w:p w14:paraId="4CA019F9" w14:textId="77777777" w:rsidR="00817174" w:rsidRPr="00DB1D7C" w:rsidRDefault="00817174" w:rsidP="00850206">
            <w:pPr>
              <w:spacing w:after="120"/>
              <w:rPr>
                <w:rFonts w:ascii="Calibri" w:hAnsi="Calibri"/>
              </w:rPr>
            </w:pPr>
            <w:r w:rsidRPr="00DB1D7C">
              <w:rPr>
                <w:sz w:val="20"/>
                <w:szCs w:val="20"/>
              </w:rPr>
              <w:t>6.4</w:t>
            </w:r>
          </w:p>
        </w:tc>
      </w:tr>
    </w:tbl>
    <w:p w14:paraId="406CDB9A" w14:textId="2C0C088F" w:rsidR="00CE5522" w:rsidRPr="00DB1D7C" w:rsidRDefault="00CE5522" w:rsidP="00CE5522">
      <w:pPr>
        <w:spacing w:after="0"/>
        <w:rPr>
          <w:rFonts w:ascii="Calibri" w:hAnsi="Calibri"/>
          <w:sz w:val="20"/>
          <w:szCs w:val="20"/>
        </w:rPr>
      </w:pPr>
      <w:r w:rsidRPr="00DB1D7C">
        <w:rPr>
          <w:rFonts w:ascii="Calibri" w:hAnsi="Calibri"/>
          <w:sz w:val="20"/>
          <w:szCs w:val="20"/>
          <w:vertAlign w:val="superscript"/>
        </w:rPr>
        <w:t>a</w:t>
      </w:r>
      <w:r w:rsidRPr="00DB1D7C">
        <w:rPr>
          <w:rFonts w:ascii="Calibri" w:hAnsi="Calibri"/>
          <w:sz w:val="20"/>
          <w:szCs w:val="20"/>
        </w:rPr>
        <w:t xml:space="preserve"> FRAX with 20</w:t>
      </w:r>
      <w:r w:rsidR="00E8657B">
        <w:rPr>
          <w:rFonts w:ascii="Calibri" w:hAnsi="Calibri"/>
          <w:sz w:val="20"/>
          <w:szCs w:val="20"/>
        </w:rPr>
        <w:t xml:space="preserve"> </w:t>
      </w:r>
      <w:r w:rsidRPr="00DB1D7C">
        <w:rPr>
          <w:rFonts w:ascii="Calibri" w:hAnsi="Calibri"/>
          <w:sz w:val="20"/>
          <w:szCs w:val="20"/>
        </w:rPr>
        <w:t>% and 3</w:t>
      </w:r>
      <w:r w:rsidR="00E8657B">
        <w:rPr>
          <w:rFonts w:ascii="Calibri" w:hAnsi="Calibri"/>
          <w:sz w:val="20"/>
          <w:szCs w:val="20"/>
        </w:rPr>
        <w:t xml:space="preserve"> </w:t>
      </w:r>
      <w:r w:rsidRPr="00DB1D7C">
        <w:rPr>
          <w:rFonts w:ascii="Calibri" w:hAnsi="Calibri"/>
          <w:sz w:val="20"/>
          <w:szCs w:val="20"/>
        </w:rPr>
        <w:t>% probability thresholds for major fracture and hip fracture</w:t>
      </w:r>
      <w:r w:rsidR="00E8657B">
        <w:rPr>
          <w:rFonts w:ascii="Calibri" w:hAnsi="Calibri"/>
          <w:sz w:val="20"/>
          <w:szCs w:val="20"/>
        </w:rPr>
        <w:t>,</w:t>
      </w:r>
      <w:r w:rsidRPr="00DB1D7C">
        <w:rPr>
          <w:rFonts w:ascii="Calibri" w:hAnsi="Calibri"/>
          <w:sz w:val="20"/>
          <w:szCs w:val="20"/>
        </w:rPr>
        <w:t xml:space="preserve"> respectively</w:t>
      </w:r>
    </w:p>
    <w:p w14:paraId="2B3178F7" w14:textId="77777777" w:rsidR="00CE5522" w:rsidRPr="00DB1D7C" w:rsidRDefault="00CE5522" w:rsidP="00CE5522">
      <w:pPr>
        <w:spacing w:after="0"/>
        <w:rPr>
          <w:rFonts w:ascii="Calibri" w:hAnsi="Calibri"/>
          <w:sz w:val="20"/>
          <w:szCs w:val="20"/>
        </w:rPr>
      </w:pPr>
      <w:r w:rsidRPr="00DB1D7C">
        <w:rPr>
          <w:rFonts w:ascii="Calibri" w:hAnsi="Calibri"/>
          <w:sz w:val="20"/>
          <w:szCs w:val="20"/>
          <w:vertAlign w:val="superscript"/>
        </w:rPr>
        <w:t>b</w:t>
      </w:r>
      <w:r w:rsidRPr="00DB1D7C">
        <w:rPr>
          <w:rFonts w:ascii="Calibri" w:hAnsi="Calibri"/>
          <w:sz w:val="20"/>
          <w:szCs w:val="20"/>
        </w:rPr>
        <w:t xml:space="preserve"> FRAX with age-specific thresholds plus prior fracture</w:t>
      </w:r>
    </w:p>
    <w:p w14:paraId="23FA634A" w14:textId="77777777" w:rsidR="00CE5522" w:rsidRPr="00DB1D7C" w:rsidRDefault="00CE5522" w:rsidP="00CE5522">
      <w:pPr>
        <w:spacing w:after="0"/>
        <w:rPr>
          <w:rFonts w:ascii="Calibri" w:hAnsi="Calibri"/>
          <w:sz w:val="20"/>
          <w:szCs w:val="20"/>
        </w:rPr>
      </w:pPr>
      <w:r w:rsidRPr="00DB1D7C">
        <w:rPr>
          <w:rFonts w:ascii="Calibri" w:hAnsi="Calibri"/>
          <w:sz w:val="20"/>
          <w:szCs w:val="20"/>
          <w:vertAlign w:val="superscript"/>
        </w:rPr>
        <w:t>c</w:t>
      </w:r>
      <w:r w:rsidRPr="00DB1D7C">
        <w:rPr>
          <w:rFonts w:ascii="Calibri" w:hAnsi="Calibri"/>
          <w:sz w:val="20"/>
          <w:szCs w:val="20"/>
        </w:rPr>
        <w:t xml:space="preserve"> Prior hip or spine fracture</w:t>
      </w:r>
    </w:p>
    <w:p w14:paraId="57BFD344" w14:textId="01230DA9" w:rsidR="00CE5522" w:rsidRPr="00DB1D7C" w:rsidRDefault="00CE5522" w:rsidP="00CE5522">
      <w:pPr>
        <w:spacing w:after="0"/>
        <w:rPr>
          <w:rFonts w:ascii="Calibri" w:hAnsi="Calibri"/>
          <w:sz w:val="20"/>
          <w:szCs w:val="20"/>
        </w:rPr>
      </w:pPr>
      <w:r w:rsidRPr="00DB1D7C">
        <w:rPr>
          <w:rFonts w:ascii="Calibri" w:hAnsi="Calibri"/>
          <w:sz w:val="20"/>
          <w:szCs w:val="20"/>
          <w:vertAlign w:val="superscript"/>
        </w:rPr>
        <w:t>d</w:t>
      </w:r>
      <w:r w:rsidRPr="00DB1D7C">
        <w:rPr>
          <w:rFonts w:ascii="Calibri" w:hAnsi="Calibri"/>
          <w:sz w:val="20"/>
          <w:szCs w:val="20"/>
        </w:rPr>
        <w:t xml:space="preserve"> National Osteoporosis Foundation Guidelines</w:t>
      </w:r>
      <w:r w:rsidRPr="00DB1D7C">
        <w:rPr>
          <w:rFonts w:ascii="Calibri" w:hAnsi="Calibri"/>
          <w:sz w:val="20"/>
          <w:szCs w:val="20"/>
          <w:vertAlign w:val="superscript"/>
        </w:rPr>
        <w:t xml:space="preserve"> </w:t>
      </w:r>
    </w:p>
    <w:p w14:paraId="7518B92F" w14:textId="77777777" w:rsidR="00CE5522" w:rsidRPr="00DB1D7C" w:rsidRDefault="00CE5522" w:rsidP="00CE5522">
      <w:pPr>
        <w:spacing w:after="0"/>
        <w:rPr>
          <w:rFonts w:ascii="Calibri" w:hAnsi="Calibri"/>
          <w:sz w:val="20"/>
          <w:szCs w:val="20"/>
        </w:rPr>
      </w:pPr>
      <w:r w:rsidRPr="00DB1D7C">
        <w:rPr>
          <w:rFonts w:ascii="Calibri" w:hAnsi="Calibri"/>
          <w:sz w:val="20"/>
          <w:szCs w:val="20"/>
          <w:vertAlign w:val="superscript"/>
        </w:rPr>
        <w:t>e</w:t>
      </w:r>
      <w:r w:rsidRPr="00DB1D7C">
        <w:rPr>
          <w:rFonts w:ascii="Calibri" w:hAnsi="Calibri"/>
          <w:sz w:val="20"/>
          <w:szCs w:val="20"/>
        </w:rPr>
        <w:t xml:space="preserve"> T-score at proximal femur or lumbar spine</w:t>
      </w:r>
    </w:p>
    <w:p w14:paraId="508525FA" w14:textId="77777777" w:rsidR="00CE5522" w:rsidRPr="00DB1D7C" w:rsidRDefault="00CE5522" w:rsidP="00CE5522">
      <w:pPr>
        <w:spacing w:after="120"/>
        <w:rPr>
          <w:rFonts w:ascii="Calibri" w:hAnsi="Calibri" w:cs="Arial"/>
          <w:b/>
        </w:rPr>
      </w:pPr>
    </w:p>
    <w:p w14:paraId="722ED2D9" w14:textId="0CA1DD37" w:rsidR="00817174" w:rsidRPr="00DB1D7C" w:rsidRDefault="0007742C" w:rsidP="004665D8">
      <w:pPr>
        <w:autoSpaceDE w:val="0"/>
        <w:autoSpaceDN w:val="0"/>
        <w:adjustRightInd w:val="0"/>
        <w:spacing w:after="0" w:line="276" w:lineRule="auto"/>
        <w:rPr>
          <w:rFonts w:cs="MyriadPro-Regular"/>
          <w:i/>
          <w:sz w:val="24"/>
          <w:szCs w:val="24"/>
        </w:rPr>
      </w:pPr>
      <w:r w:rsidRPr="00DB1D7C">
        <w:rPr>
          <w:rFonts w:cs="MyriadPro-Regular"/>
          <w:i/>
          <w:sz w:val="24"/>
          <w:szCs w:val="24"/>
        </w:rPr>
        <w:t xml:space="preserve">Net </w:t>
      </w:r>
      <w:r w:rsidR="004769A1">
        <w:rPr>
          <w:rFonts w:cs="MyriadPro-Regular"/>
          <w:i/>
          <w:sz w:val="24"/>
          <w:szCs w:val="24"/>
        </w:rPr>
        <w:t>R</w:t>
      </w:r>
      <w:r w:rsidRPr="00DB1D7C">
        <w:rPr>
          <w:rFonts w:cs="MyriadPro-Regular"/>
          <w:i/>
          <w:sz w:val="24"/>
          <w:szCs w:val="24"/>
        </w:rPr>
        <w:t xml:space="preserve">eclassification </w:t>
      </w:r>
      <w:r w:rsidR="004769A1">
        <w:rPr>
          <w:rFonts w:cs="MyriadPro-Regular"/>
          <w:i/>
          <w:sz w:val="24"/>
          <w:szCs w:val="24"/>
        </w:rPr>
        <w:t>I</w:t>
      </w:r>
      <w:r w:rsidRPr="00DB1D7C">
        <w:rPr>
          <w:rFonts w:cs="MyriadPro-Regular"/>
          <w:i/>
          <w:sz w:val="24"/>
          <w:szCs w:val="24"/>
        </w:rPr>
        <w:t>mprovement (NRI)</w:t>
      </w:r>
    </w:p>
    <w:p w14:paraId="5C3B908C" w14:textId="77777777" w:rsidR="00C50BA9" w:rsidRPr="00DB1D7C" w:rsidRDefault="00C50BA9" w:rsidP="004665D8">
      <w:pPr>
        <w:autoSpaceDE w:val="0"/>
        <w:autoSpaceDN w:val="0"/>
        <w:adjustRightInd w:val="0"/>
        <w:spacing w:after="0" w:line="276" w:lineRule="auto"/>
        <w:rPr>
          <w:rFonts w:cs="MyriadPro-Regular"/>
          <w:i/>
          <w:sz w:val="24"/>
          <w:szCs w:val="24"/>
        </w:rPr>
      </w:pPr>
    </w:p>
    <w:p w14:paraId="7467150B" w14:textId="63EE69BE" w:rsidR="00C50BA9" w:rsidRPr="00DB1D7C" w:rsidRDefault="00C50BA9" w:rsidP="004665D8">
      <w:pPr>
        <w:spacing w:line="276" w:lineRule="auto"/>
        <w:rPr>
          <w:rFonts w:eastAsia="Times New Roman" w:cs="Times New Roman"/>
          <w:color w:val="000000"/>
          <w:sz w:val="24"/>
          <w:szCs w:val="24"/>
          <w:lang w:eastAsia="en-GB"/>
        </w:rPr>
      </w:pPr>
      <w:r w:rsidRPr="00DB1D7C">
        <w:rPr>
          <w:rFonts w:eastAsia="Times New Roman" w:cs="Times New Roman"/>
          <w:color w:val="000000"/>
          <w:sz w:val="24"/>
          <w:szCs w:val="24"/>
          <w:lang w:eastAsia="en-GB"/>
        </w:rPr>
        <w:t xml:space="preserve">As reviewed above, there has been some debate regarding the value of complex fracture risk assessment tools over simpler more intuitive tools. Indeed, the Canadian clinical practice guidelines go so far as to endorse both complex (WHO FRAX) and simple (Canadian Association of Radiologists and Osteoporosis Canada (CAROC) </w:t>
      </w:r>
      <w:r w:rsidRPr="0011029E">
        <w:rPr>
          <w:rFonts w:eastAsia="Times New Roman" w:cs="Times New Roman"/>
          <w:color w:val="000000"/>
          <w:sz w:val="24"/>
          <w:szCs w:val="24"/>
          <w:lang w:eastAsia="en-GB"/>
        </w:rPr>
        <w:t xml:space="preserve">tools </w:t>
      </w:r>
      <w:r w:rsidR="00D81948" w:rsidRPr="0011029E">
        <w:rPr>
          <w:rFonts w:eastAsia="Times New Roman" w:cs="Times New Roman"/>
          <w:color w:val="000000"/>
          <w:sz w:val="24"/>
          <w:szCs w:val="24"/>
          <w:lang w:eastAsia="en-GB"/>
        </w:rPr>
        <w:t>[29]</w:t>
      </w:r>
      <w:r w:rsidRPr="0011029E">
        <w:rPr>
          <w:rFonts w:eastAsia="Times New Roman" w:cs="Times New Roman"/>
          <w:color w:val="000000"/>
          <w:sz w:val="24"/>
          <w:szCs w:val="24"/>
          <w:lang w:eastAsia="en-GB"/>
        </w:rPr>
        <w:t>. CAROC</w:t>
      </w:r>
      <w:r w:rsidRPr="00DB1D7C">
        <w:rPr>
          <w:rFonts w:eastAsia="Times New Roman" w:cs="Times New Roman"/>
          <w:color w:val="000000"/>
          <w:sz w:val="24"/>
          <w:szCs w:val="24"/>
          <w:lang w:eastAsia="en-GB"/>
        </w:rPr>
        <w:t xml:space="preserve"> uses age, sex, femoral neck BMD and two clinical risk factors (prior fracture and prolonged glucocorticoid use) to assign semi-quantitative 10-year probabilities (low</w:t>
      </w:r>
      <w:r w:rsidR="004769A1">
        <w:rPr>
          <w:rFonts w:eastAsia="Times New Roman" w:cs="Times New Roman"/>
          <w:color w:val="000000"/>
          <w:sz w:val="24"/>
          <w:szCs w:val="24"/>
          <w:lang w:eastAsia="en-GB"/>
        </w:rPr>
        <w:t xml:space="preserve">: </w:t>
      </w:r>
      <w:r w:rsidRPr="00DB1D7C">
        <w:rPr>
          <w:rFonts w:eastAsia="Times New Roman" w:cs="Times New Roman"/>
          <w:color w:val="000000"/>
          <w:sz w:val="24"/>
          <w:szCs w:val="24"/>
          <w:lang w:eastAsia="en-GB"/>
        </w:rPr>
        <w:t>10</w:t>
      </w:r>
      <w:r w:rsidR="004769A1">
        <w:rPr>
          <w:rFonts w:eastAsia="Times New Roman" w:cs="Times New Roman"/>
          <w:color w:val="000000"/>
          <w:sz w:val="24"/>
          <w:szCs w:val="24"/>
          <w:lang w:eastAsia="en-GB"/>
        </w:rPr>
        <w:t xml:space="preserve"> </w:t>
      </w:r>
      <w:r w:rsidRPr="00DB1D7C">
        <w:rPr>
          <w:rFonts w:eastAsia="Times New Roman" w:cs="Times New Roman"/>
          <w:color w:val="000000"/>
          <w:sz w:val="24"/>
          <w:szCs w:val="24"/>
          <w:lang w:eastAsia="en-GB"/>
        </w:rPr>
        <w:t>%, moderate</w:t>
      </w:r>
      <w:r w:rsidR="004769A1">
        <w:rPr>
          <w:rFonts w:eastAsia="Times New Roman" w:cs="Times New Roman"/>
          <w:color w:val="000000"/>
          <w:sz w:val="24"/>
          <w:szCs w:val="24"/>
          <w:lang w:eastAsia="en-GB"/>
        </w:rPr>
        <w:t>:</w:t>
      </w:r>
      <w:r w:rsidRPr="00DB1D7C">
        <w:rPr>
          <w:rFonts w:eastAsia="Times New Roman" w:cs="Times New Roman"/>
          <w:color w:val="000000"/>
          <w:sz w:val="24"/>
          <w:szCs w:val="24"/>
          <w:lang w:eastAsia="en-GB"/>
        </w:rPr>
        <w:t xml:space="preserve"> 10-20</w:t>
      </w:r>
      <w:r w:rsidR="00915887">
        <w:rPr>
          <w:rFonts w:eastAsia="Times New Roman" w:cs="Times New Roman"/>
          <w:color w:val="000000"/>
          <w:sz w:val="24"/>
          <w:szCs w:val="24"/>
          <w:lang w:eastAsia="en-GB"/>
        </w:rPr>
        <w:t xml:space="preserve"> </w:t>
      </w:r>
      <w:r w:rsidRPr="00DB1D7C">
        <w:rPr>
          <w:rFonts w:eastAsia="Times New Roman" w:cs="Times New Roman"/>
          <w:color w:val="000000"/>
          <w:sz w:val="24"/>
          <w:szCs w:val="24"/>
          <w:lang w:eastAsia="en-GB"/>
        </w:rPr>
        <w:t>%, high</w:t>
      </w:r>
      <w:r w:rsidR="00915887">
        <w:rPr>
          <w:rFonts w:eastAsia="Times New Roman" w:cs="Times New Roman"/>
          <w:color w:val="000000"/>
          <w:sz w:val="24"/>
          <w:szCs w:val="24"/>
          <w:lang w:eastAsia="en-GB"/>
        </w:rPr>
        <w:t>:</w:t>
      </w:r>
      <w:r w:rsidRPr="00DB1D7C">
        <w:rPr>
          <w:rFonts w:eastAsia="Times New Roman" w:cs="Times New Roman"/>
          <w:color w:val="000000"/>
          <w:sz w:val="24"/>
          <w:szCs w:val="24"/>
          <w:lang w:eastAsia="en-GB"/>
        </w:rPr>
        <w:t xml:space="preserve"> &gt;20</w:t>
      </w:r>
      <w:r w:rsidR="00915887">
        <w:rPr>
          <w:rFonts w:eastAsia="Times New Roman" w:cs="Times New Roman"/>
          <w:color w:val="000000"/>
          <w:sz w:val="24"/>
          <w:szCs w:val="24"/>
          <w:lang w:eastAsia="en-GB"/>
        </w:rPr>
        <w:t xml:space="preserve"> </w:t>
      </w:r>
      <w:r w:rsidRPr="00DB1D7C">
        <w:rPr>
          <w:rFonts w:eastAsia="Times New Roman" w:cs="Times New Roman"/>
          <w:color w:val="000000"/>
          <w:sz w:val="24"/>
          <w:szCs w:val="24"/>
          <w:lang w:eastAsia="en-GB"/>
        </w:rPr>
        <w:t xml:space="preserve">%).  The net incremental benefit of using the complete FRAX tool vs CAROC tool was explored using Net Reclassification Improvement (NRI) to quantify the differences between FRAX vs </w:t>
      </w:r>
      <w:r w:rsidRPr="0011029E">
        <w:rPr>
          <w:rFonts w:eastAsia="Times New Roman" w:cs="Times New Roman"/>
          <w:color w:val="000000"/>
          <w:sz w:val="24"/>
          <w:szCs w:val="24"/>
          <w:lang w:eastAsia="en-GB"/>
        </w:rPr>
        <w:t xml:space="preserve">CAROC </w:t>
      </w:r>
      <w:r w:rsidR="00D81948" w:rsidRPr="0011029E">
        <w:rPr>
          <w:rFonts w:eastAsia="Times New Roman" w:cs="Times New Roman"/>
          <w:color w:val="000000"/>
          <w:sz w:val="24"/>
          <w:szCs w:val="24"/>
          <w:lang w:eastAsia="en-GB"/>
        </w:rPr>
        <w:t>[217]</w:t>
      </w:r>
      <w:r w:rsidRPr="0011029E">
        <w:rPr>
          <w:rFonts w:eastAsia="Times New Roman" w:cs="Times New Roman"/>
          <w:color w:val="000000"/>
          <w:sz w:val="24"/>
          <w:szCs w:val="24"/>
          <w:lang w:eastAsia="en-GB"/>
        </w:rPr>
        <w:t xml:space="preserve">. </w:t>
      </w:r>
    </w:p>
    <w:p w14:paraId="2396FFBC" w14:textId="69FDD74D" w:rsidR="003626E0" w:rsidRPr="00DB1D7C" w:rsidRDefault="00C50BA9" w:rsidP="004665D8">
      <w:pPr>
        <w:spacing w:line="276" w:lineRule="auto"/>
        <w:rPr>
          <w:i/>
          <w:sz w:val="24"/>
          <w:szCs w:val="24"/>
        </w:rPr>
      </w:pPr>
      <w:r w:rsidRPr="00DB1D7C">
        <w:rPr>
          <w:rFonts w:eastAsia="Times New Roman" w:cs="Times New Roman"/>
          <w:color w:val="000000"/>
          <w:sz w:val="24"/>
          <w:szCs w:val="24"/>
          <w:lang w:eastAsia="en-GB"/>
        </w:rPr>
        <w:t>The study population included 54,493 women and men with a mean age of 67 years, of whom 4,508 (8.3</w:t>
      </w:r>
      <w:r w:rsidR="00915887">
        <w:rPr>
          <w:rFonts w:eastAsia="Times New Roman" w:cs="Times New Roman"/>
          <w:color w:val="000000"/>
          <w:sz w:val="24"/>
          <w:szCs w:val="24"/>
          <w:lang w:eastAsia="en-GB"/>
        </w:rPr>
        <w:t xml:space="preserve"> </w:t>
      </w:r>
      <w:r w:rsidRPr="00DB1D7C">
        <w:rPr>
          <w:rFonts w:eastAsia="Times New Roman" w:cs="Times New Roman"/>
          <w:color w:val="000000"/>
          <w:sz w:val="24"/>
          <w:szCs w:val="24"/>
          <w:lang w:eastAsia="en-GB"/>
        </w:rPr>
        <w:t xml:space="preserve">%) had sustained an incident major osteoporotic fracture during </w:t>
      </w:r>
      <w:r w:rsidR="00EF00D3">
        <w:rPr>
          <w:rFonts w:eastAsia="Times New Roman" w:cs="Times New Roman"/>
          <w:color w:val="000000"/>
          <w:sz w:val="24"/>
          <w:szCs w:val="24"/>
          <w:lang w:eastAsia="en-GB"/>
        </w:rPr>
        <w:t xml:space="preserve">a </w:t>
      </w:r>
      <w:r w:rsidRPr="00DB1D7C">
        <w:rPr>
          <w:rFonts w:eastAsia="Times New Roman" w:cs="Times New Roman"/>
          <w:color w:val="000000"/>
          <w:sz w:val="24"/>
          <w:szCs w:val="24"/>
          <w:lang w:eastAsia="en-GB"/>
        </w:rPr>
        <w:t xml:space="preserve">mean follow up </w:t>
      </w:r>
      <w:r w:rsidR="00EF00D3">
        <w:rPr>
          <w:rFonts w:eastAsia="Times New Roman" w:cs="Times New Roman"/>
          <w:color w:val="000000"/>
          <w:sz w:val="24"/>
          <w:szCs w:val="24"/>
          <w:lang w:eastAsia="en-GB"/>
        </w:rPr>
        <w:t xml:space="preserve">of </w:t>
      </w:r>
      <w:r w:rsidRPr="00DB1D7C">
        <w:rPr>
          <w:rFonts w:eastAsia="Times New Roman" w:cs="Times New Roman"/>
          <w:color w:val="000000"/>
          <w:sz w:val="24"/>
          <w:szCs w:val="24"/>
          <w:lang w:eastAsia="en-GB"/>
        </w:rPr>
        <w:t>6 years. FRAX and CAROC both provided good risk stratification and calibration with identical risk categorisation in 82.3</w:t>
      </w:r>
      <w:r w:rsidR="00915887">
        <w:rPr>
          <w:rFonts w:eastAsia="Times New Roman" w:cs="Times New Roman"/>
          <w:color w:val="000000"/>
          <w:sz w:val="24"/>
          <w:szCs w:val="24"/>
          <w:lang w:eastAsia="en-GB"/>
        </w:rPr>
        <w:t xml:space="preserve"> </w:t>
      </w:r>
      <w:r w:rsidRPr="00DB1D7C">
        <w:rPr>
          <w:rFonts w:eastAsia="Times New Roman" w:cs="Times New Roman"/>
          <w:color w:val="000000"/>
          <w:sz w:val="24"/>
          <w:szCs w:val="24"/>
          <w:lang w:eastAsia="en-GB"/>
        </w:rPr>
        <w:t>% (FRAX higher 6.7</w:t>
      </w:r>
      <w:r w:rsidR="00915887">
        <w:rPr>
          <w:rFonts w:eastAsia="Times New Roman" w:cs="Times New Roman"/>
          <w:color w:val="000000"/>
          <w:sz w:val="24"/>
          <w:szCs w:val="24"/>
          <w:lang w:eastAsia="en-GB"/>
        </w:rPr>
        <w:t xml:space="preserve"> </w:t>
      </w:r>
      <w:r w:rsidRPr="00DB1D7C">
        <w:rPr>
          <w:rFonts w:eastAsia="Times New Roman" w:cs="Times New Roman"/>
          <w:color w:val="000000"/>
          <w:sz w:val="24"/>
          <w:szCs w:val="24"/>
          <w:lang w:eastAsia="en-GB"/>
        </w:rPr>
        <w:t>%, CAROC higher 11.</w:t>
      </w:r>
      <w:r w:rsidR="00915887">
        <w:rPr>
          <w:rFonts w:eastAsia="Times New Roman" w:cs="Times New Roman"/>
          <w:color w:val="000000"/>
          <w:sz w:val="24"/>
          <w:szCs w:val="24"/>
          <w:lang w:eastAsia="en-GB"/>
        </w:rPr>
        <w:t xml:space="preserve"> </w:t>
      </w:r>
      <w:r w:rsidRPr="00DB1D7C">
        <w:rPr>
          <w:rFonts w:eastAsia="Times New Roman" w:cs="Times New Roman"/>
          <w:color w:val="000000"/>
          <w:sz w:val="24"/>
          <w:szCs w:val="24"/>
          <w:lang w:eastAsia="en-GB"/>
        </w:rPr>
        <w:t>0</w:t>
      </w:r>
      <w:r w:rsidR="00915887">
        <w:rPr>
          <w:rFonts w:eastAsia="Times New Roman" w:cs="Times New Roman"/>
          <w:color w:val="000000"/>
          <w:sz w:val="24"/>
          <w:szCs w:val="24"/>
          <w:lang w:eastAsia="en-GB"/>
        </w:rPr>
        <w:t xml:space="preserve"> </w:t>
      </w:r>
      <w:r w:rsidRPr="00DB1D7C">
        <w:rPr>
          <w:rFonts w:eastAsia="Times New Roman" w:cs="Times New Roman"/>
          <w:color w:val="000000"/>
          <w:sz w:val="24"/>
          <w:szCs w:val="24"/>
          <w:lang w:eastAsia="en-GB"/>
        </w:rPr>
        <w:t>%). NRI for FRAX vs CAROC was no different in those who experienced an incident major osteoporotic fracture (-0.7</w:t>
      </w:r>
      <w:r w:rsidR="00915887">
        <w:rPr>
          <w:rFonts w:eastAsia="Times New Roman" w:cs="Times New Roman"/>
          <w:color w:val="000000"/>
          <w:sz w:val="24"/>
          <w:szCs w:val="24"/>
          <w:lang w:eastAsia="en-GB"/>
        </w:rPr>
        <w:t xml:space="preserve"> </w:t>
      </w:r>
      <w:r w:rsidRPr="00DB1D7C">
        <w:rPr>
          <w:rFonts w:eastAsia="Times New Roman" w:cs="Times New Roman"/>
          <w:color w:val="000000"/>
          <w:sz w:val="24"/>
          <w:szCs w:val="24"/>
          <w:lang w:eastAsia="en-GB"/>
        </w:rPr>
        <w:t xml:space="preserve">%, </w:t>
      </w:r>
      <w:r w:rsidR="00915887">
        <w:rPr>
          <w:rFonts w:eastAsia="Times New Roman" w:cs="Times New Roman"/>
          <w:color w:val="000000"/>
          <w:sz w:val="24"/>
          <w:szCs w:val="24"/>
          <w:lang w:eastAsia="en-GB"/>
        </w:rPr>
        <w:t>p</w:t>
      </w:r>
      <w:r w:rsidRPr="00DB1D7C">
        <w:rPr>
          <w:rFonts w:eastAsia="Times New Roman" w:cs="Times New Roman"/>
          <w:color w:val="000000"/>
          <w:sz w:val="24"/>
          <w:szCs w:val="24"/>
          <w:lang w:eastAsia="en-GB"/>
        </w:rPr>
        <w:t>=0.23) but it was significantly greater for those who did not (+4.6</w:t>
      </w:r>
      <w:r w:rsidR="00915887">
        <w:rPr>
          <w:rFonts w:eastAsia="Times New Roman" w:cs="Times New Roman"/>
          <w:color w:val="000000"/>
          <w:sz w:val="24"/>
          <w:szCs w:val="24"/>
          <w:lang w:eastAsia="en-GB"/>
        </w:rPr>
        <w:t xml:space="preserve"> </w:t>
      </w:r>
      <w:r w:rsidRPr="00DB1D7C">
        <w:rPr>
          <w:rFonts w:eastAsia="Times New Roman" w:cs="Times New Roman"/>
          <w:color w:val="000000"/>
          <w:sz w:val="24"/>
          <w:szCs w:val="24"/>
          <w:lang w:eastAsia="en-GB"/>
        </w:rPr>
        <w:t>%, p&lt;0.001) as well as for the entire cohort (+3.9</w:t>
      </w:r>
      <w:r w:rsidR="00915887">
        <w:rPr>
          <w:rFonts w:eastAsia="Times New Roman" w:cs="Times New Roman"/>
          <w:color w:val="000000"/>
          <w:sz w:val="24"/>
          <w:szCs w:val="24"/>
          <w:lang w:eastAsia="en-GB"/>
        </w:rPr>
        <w:t xml:space="preserve"> </w:t>
      </w:r>
      <w:r w:rsidRPr="00DB1D7C">
        <w:rPr>
          <w:rFonts w:eastAsia="Times New Roman" w:cs="Times New Roman"/>
          <w:color w:val="000000"/>
          <w:sz w:val="24"/>
          <w:szCs w:val="24"/>
          <w:lang w:eastAsia="en-GB"/>
        </w:rPr>
        <w:t>%, p&lt;0.001). The NNF (‘‘Number Needed to FRAX’’) to improve fracture prediction was 26 overall and 7 in those with a prior fracture. Thus, both FRAX and CAROC provide good risk stratification and are well calibrated to the Canadian population, but FRAX provides a more accurate quantitative assessment of risk, particularly in those with prior fracture, compared with more parsimonious semi</w:t>
      </w:r>
      <w:r w:rsidR="00BE2FB0">
        <w:rPr>
          <w:rFonts w:eastAsia="Times New Roman" w:cs="Times New Roman"/>
          <w:color w:val="000000"/>
          <w:sz w:val="24"/>
          <w:szCs w:val="24"/>
          <w:lang w:eastAsia="en-GB"/>
        </w:rPr>
        <w:t>-</w:t>
      </w:r>
      <w:r w:rsidRPr="00DB1D7C">
        <w:rPr>
          <w:rFonts w:eastAsia="Times New Roman" w:cs="Times New Roman"/>
          <w:color w:val="000000"/>
          <w:sz w:val="24"/>
          <w:szCs w:val="24"/>
          <w:lang w:eastAsia="en-GB"/>
        </w:rPr>
        <w:t>quantitative systems.</w:t>
      </w:r>
    </w:p>
    <w:p w14:paraId="4C5EC64C" w14:textId="77777777" w:rsidR="00915887" w:rsidRDefault="00915887" w:rsidP="008819A0">
      <w:pPr>
        <w:rPr>
          <w:rFonts w:ascii="Calibri" w:hAnsi="Calibri"/>
          <w:b/>
          <w:sz w:val="28"/>
          <w:szCs w:val="28"/>
        </w:rPr>
      </w:pPr>
    </w:p>
    <w:p w14:paraId="0A2B697D" w14:textId="77777777" w:rsidR="008819A0" w:rsidRPr="00DB1D7C" w:rsidRDefault="008819A0" w:rsidP="008819A0">
      <w:pPr>
        <w:rPr>
          <w:rFonts w:ascii="Calibri" w:hAnsi="Calibri"/>
          <w:b/>
          <w:sz w:val="28"/>
          <w:szCs w:val="28"/>
        </w:rPr>
      </w:pPr>
      <w:r w:rsidRPr="00DB1D7C">
        <w:rPr>
          <w:rFonts w:ascii="Calibri" w:hAnsi="Calibri"/>
          <w:b/>
          <w:sz w:val="28"/>
          <w:szCs w:val="28"/>
        </w:rPr>
        <w:t>Discussion</w:t>
      </w:r>
    </w:p>
    <w:p w14:paraId="0A2B697E" w14:textId="1D8EE315" w:rsidR="004B5E79" w:rsidRPr="00DB1D7C" w:rsidRDefault="000F4247" w:rsidP="004665D8">
      <w:pPr>
        <w:spacing w:line="276" w:lineRule="auto"/>
        <w:rPr>
          <w:rFonts w:ascii="Calibri" w:hAnsi="Calibri"/>
          <w:sz w:val="24"/>
          <w:szCs w:val="24"/>
        </w:rPr>
      </w:pPr>
      <w:r w:rsidRPr="00DB1D7C">
        <w:rPr>
          <w:rFonts w:ascii="Calibri" w:hAnsi="Calibri"/>
          <w:sz w:val="24"/>
          <w:szCs w:val="24"/>
        </w:rPr>
        <w:t>T</w:t>
      </w:r>
      <w:r w:rsidR="004B5E79" w:rsidRPr="00DB1D7C">
        <w:rPr>
          <w:rFonts w:ascii="Calibri" w:hAnsi="Calibri"/>
          <w:sz w:val="24"/>
          <w:szCs w:val="24"/>
        </w:rPr>
        <w:t>he use of FRAX in assessment guidelines has grown progressively since its launch in 2008</w:t>
      </w:r>
      <w:r w:rsidRPr="00DB1D7C">
        <w:rPr>
          <w:rFonts w:ascii="Calibri" w:hAnsi="Calibri"/>
          <w:sz w:val="24"/>
          <w:szCs w:val="24"/>
        </w:rPr>
        <w:t>.  At the time of writing, FRAX ha</w:t>
      </w:r>
      <w:r w:rsidR="00544DF5" w:rsidRPr="00DB1D7C">
        <w:rPr>
          <w:rFonts w:ascii="Calibri" w:hAnsi="Calibri"/>
          <w:sz w:val="24"/>
          <w:szCs w:val="24"/>
        </w:rPr>
        <w:t>d</w:t>
      </w:r>
      <w:r w:rsidRPr="00DB1D7C">
        <w:rPr>
          <w:rFonts w:ascii="Calibri" w:hAnsi="Calibri"/>
          <w:sz w:val="24"/>
          <w:szCs w:val="24"/>
        </w:rPr>
        <w:t xml:space="preserve"> been incorporated</w:t>
      </w:r>
      <w:r w:rsidR="00CA00CA">
        <w:rPr>
          <w:rFonts w:ascii="Calibri" w:hAnsi="Calibri"/>
          <w:sz w:val="24"/>
          <w:szCs w:val="24"/>
        </w:rPr>
        <w:t xml:space="preserve"> variously</w:t>
      </w:r>
      <w:r w:rsidRPr="00DB1D7C">
        <w:rPr>
          <w:rFonts w:ascii="Calibri" w:hAnsi="Calibri"/>
          <w:sz w:val="24"/>
          <w:szCs w:val="24"/>
        </w:rPr>
        <w:t xml:space="preserve"> into </w:t>
      </w:r>
      <w:r w:rsidR="00CA00CA">
        <w:rPr>
          <w:rFonts w:ascii="Calibri" w:hAnsi="Calibri"/>
          <w:sz w:val="24"/>
          <w:szCs w:val="24"/>
        </w:rPr>
        <w:t>120</w:t>
      </w:r>
      <w:r w:rsidRPr="00DB1D7C">
        <w:rPr>
          <w:rFonts w:ascii="Calibri" w:hAnsi="Calibri"/>
          <w:sz w:val="24"/>
          <w:szCs w:val="24"/>
        </w:rPr>
        <w:t xml:space="preserve"> guidelines developed by government agencies or learned societies. </w:t>
      </w:r>
      <w:r w:rsidR="004B5E79" w:rsidRPr="00DB1D7C">
        <w:rPr>
          <w:rFonts w:ascii="Calibri" w:hAnsi="Calibri"/>
          <w:sz w:val="24"/>
          <w:szCs w:val="24"/>
        </w:rPr>
        <w:t xml:space="preserve"> </w:t>
      </w:r>
      <w:r w:rsidR="00CA00CA">
        <w:rPr>
          <w:rFonts w:ascii="Calibri" w:hAnsi="Calibri"/>
          <w:sz w:val="24"/>
          <w:szCs w:val="24"/>
        </w:rPr>
        <w:t xml:space="preserve">Of these 82 provide intervention thresholds. </w:t>
      </w:r>
      <w:r w:rsidRPr="00DB1D7C">
        <w:rPr>
          <w:rFonts w:ascii="Calibri" w:hAnsi="Calibri"/>
          <w:sz w:val="24"/>
          <w:szCs w:val="24"/>
        </w:rPr>
        <w:t xml:space="preserve">As might be expected for a new </w:t>
      </w:r>
      <w:r w:rsidR="00544DF5" w:rsidRPr="00DB1D7C">
        <w:rPr>
          <w:rFonts w:ascii="Calibri" w:hAnsi="Calibri"/>
          <w:sz w:val="24"/>
          <w:szCs w:val="24"/>
        </w:rPr>
        <w:t>technology, its</w:t>
      </w:r>
      <w:r w:rsidR="004B5E79" w:rsidRPr="00DB1D7C">
        <w:rPr>
          <w:rFonts w:ascii="Calibri" w:hAnsi="Calibri"/>
          <w:sz w:val="24"/>
          <w:szCs w:val="24"/>
        </w:rPr>
        <w:t xml:space="preserve"> </w:t>
      </w:r>
      <w:r w:rsidR="00544DF5" w:rsidRPr="00DB1D7C">
        <w:rPr>
          <w:rFonts w:ascii="Calibri" w:hAnsi="Calibri"/>
          <w:sz w:val="24"/>
          <w:szCs w:val="24"/>
        </w:rPr>
        <w:t>uptake and application</w:t>
      </w:r>
      <w:r w:rsidR="004B5E79" w:rsidRPr="00DB1D7C">
        <w:rPr>
          <w:rFonts w:ascii="Calibri" w:hAnsi="Calibri"/>
          <w:sz w:val="24"/>
          <w:szCs w:val="24"/>
        </w:rPr>
        <w:t xml:space="preserve"> is heterogeneous.  </w:t>
      </w:r>
      <w:r w:rsidRPr="00DB1D7C">
        <w:rPr>
          <w:rFonts w:ascii="Calibri" w:hAnsi="Calibri"/>
          <w:sz w:val="24"/>
          <w:szCs w:val="24"/>
        </w:rPr>
        <w:t xml:space="preserve">The present review identifies </w:t>
      </w:r>
      <w:r w:rsidR="000862F3" w:rsidRPr="00DB1D7C">
        <w:rPr>
          <w:rFonts w:ascii="Calibri" w:hAnsi="Calibri"/>
          <w:sz w:val="24"/>
          <w:szCs w:val="24"/>
        </w:rPr>
        <w:t>two</w:t>
      </w:r>
      <w:r w:rsidR="004B5E79" w:rsidRPr="00DB1D7C">
        <w:rPr>
          <w:rFonts w:ascii="Calibri" w:hAnsi="Calibri"/>
          <w:sz w:val="24"/>
          <w:szCs w:val="24"/>
        </w:rPr>
        <w:t xml:space="preserve"> broad approaches to the implementation of FRAX in assessment </w:t>
      </w:r>
      <w:r w:rsidR="004B5E79" w:rsidRPr="00453D85">
        <w:rPr>
          <w:rFonts w:ascii="Calibri" w:hAnsi="Calibri"/>
          <w:sz w:val="24"/>
          <w:szCs w:val="24"/>
        </w:rPr>
        <w:t>guidelines</w:t>
      </w:r>
      <w:r w:rsidR="004635EE" w:rsidRPr="00453D85">
        <w:rPr>
          <w:rFonts w:ascii="Calibri" w:hAnsi="Calibri"/>
          <w:sz w:val="24"/>
          <w:szCs w:val="24"/>
        </w:rPr>
        <w:t xml:space="preserve"> (Figure </w:t>
      </w:r>
      <w:r w:rsidR="00453D85" w:rsidRPr="00453D85">
        <w:rPr>
          <w:rFonts w:ascii="Calibri" w:hAnsi="Calibri"/>
          <w:sz w:val="24"/>
          <w:szCs w:val="24"/>
        </w:rPr>
        <w:t>20</w:t>
      </w:r>
      <w:r w:rsidR="004635EE" w:rsidRPr="00453D85">
        <w:rPr>
          <w:rFonts w:ascii="Calibri" w:hAnsi="Calibri"/>
          <w:sz w:val="24"/>
          <w:szCs w:val="24"/>
        </w:rPr>
        <w:t>)</w:t>
      </w:r>
      <w:r w:rsidR="004B5E79" w:rsidRPr="00453D85">
        <w:rPr>
          <w:rFonts w:ascii="Calibri" w:hAnsi="Calibri"/>
          <w:sz w:val="24"/>
          <w:szCs w:val="24"/>
        </w:rPr>
        <w:t>:</w:t>
      </w:r>
    </w:p>
    <w:p w14:paraId="0A2B6980" w14:textId="72D99E02" w:rsidR="004B5E79" w:rsidRPr="00DB1D7C" w:rsidRDefault="00F910EE" w:rsidP="004665D8">
      <w:pPr>
        <w:spacing w:line="276" w:lineRule="auto"/>
        <w:ind w:left="567"/>
        <w:rPr>
          <w:rFonts w:ascii="Calibri" w:hAnsi="Calibri"/>
          <w:sz w:val="24"/>
          <w:szCs w:val="24"/>
        </w:rPr>
      </w:pPr>
      <w:r w:rsidRPr="00DB1D7C">
        <w:rPr>
          <w:rFonts w:ascii="Calibri" w:hAnsi="Calibri"/>
          <w:sz w:val="24"/>
          <w:szCs w:val="24"/>
        </w:rPr>
        <w:t>The use of a fixed FRAX intervention threshold either alone or as a component of other thresholds (e.g. BMD, parental history of fracture etc.).</w:t>
      </w:r>
      <w:r w:rsidR="000862F3" w:rsidRPr="00DB1D7C">
        <w:rPr>
          <w:rFonts w:ascii="Calibri" w:hAnsi="Calibri"/>
          <w:sz w:val="24"/>
          <w:szCs w:val="24"/>
        </w:rPr>
        <w:t xml:space="preserve">   Fixed thresholds have been variously used to screen for osteoporosis (BMD testing threshold) or as an intervention threshold</w:t>
      </w:r>
      <w:r w:rsidR="00915887">
        <w:rPr>
          <w:rFonts w:ascii="Calibri" w:hAnsi="Calibri"/>
          <w:sz w:val="24"/>
          <w:szCs w:val="24"/>
        </w:rPr>
        <w:t>.</w:t>
      </w:r>
    </w:p>
    <w:p w14:paraId="0A2B6981" w14:textId="26BA3451" w:rsidR="00F910EE" w:rsidRPr="00DB1D7C" w:rsidRDefault="00F910EE" w:rsidP="004665D8">
      <w:pPr>
        <w:spacing w:line="276" w:lineRule="auto"/>
        <w:ind w:left="567"/>
        <w:rPr>
          <w:rFonts w:ascii="Calibri" w:hAnsi="Calibri"/>
          <w:sz w:val="24"/>
          <w:szCs w:val="24"/>
        </w:rPr>
      </w:pPr>
      <w:r w:rsidRPr="00DB1D7C">
        <w:rPr>
          <w:rFonts w:ascii="Calibri" w:hAnsi="Calibri"/>
          <w:sz w:val="24"/>
          <w:szCs w:val="24"/>
        </w:rPr>
        <w:t>Age</w:t>
      </w:r>
      <w:r w:rsidR="00915887">
        <w:rPr>
          <w:rFonts w:ascii="Calibri" w:hAnsi="Calibri"/>
          <w:sz w:val="24"/>
          <w:szCs w:val="24"/>
        </w:rPr>
        <w:t>-</w:t>
      </w:r>
      <w:r w:rsidRPr="00DB1D7C">
        <w:rPr>
          <w:rFonts w:ascii="Calibri" w:hAnsi="Calibri"/>
          <w:sz w:val="24"/>
          <w:szCs w:val="24"/>
        </w:rPr>
        <w:t xml:space="preserve">dependent intervention thresholds using FRAX as </w:t>
      </w:r>
      <w:r w:rsidR="00544DF5" w:rsidRPr="00DB1D7C">
        <w:rPr>
          <w:rFonts w:ascii="Calibri" w:hAnsi="Calibri"/>
          <w:sz w:val="24"/>
          <w:szCs w:val="24"/>
        </w:rPr>
        <w:t>a</w:t>
      </w:r>
      <w:r w:rsidRPr="00DB1D7C">
        <w:rPr>
          <w:rFonts w:ascii="Calibri" w:hAnsi="Calibri"/>
          <w:sz w:val="24"/>
          <w:szCs w:val="24"/>
        </w:rPr>
        <w:t xml:space="preserve"> principal gateway</w:t>
      </w:r>
      <w:r w:rsidR="00544DF5" w:rsidRPr="00DB1D7C">
        <w:rPr>
          <w:rFonts w:ascii="Calibri" w:hAnsi="Calibri"/>
          <w:sz w:val="24"/>
          <w:szCs w:val="24"/>
        </w:rPr>
        <w:t xml:space="preserve"> to assessment</w:t>
      </w:r>
      <w:r w:rsidRPr="00DB1D7C">
        <w:rPr>
          <w:rFonts w:ascii="Calibri" w:hAnsi="Calibri"/>
          <w:sz w:val="24"/>
          <w:szCs w:val="24"/>
        </w:rPr>
        <w:t>.</w:t>
      </w:r>
    </w:p>
    <w:p w14:paraId="11BE2C71" w14:textId="3ADBCB9F" w:rsidR="00544DF5" w:rsidRDefault="004635EE" w:rsidP="004665D8">
      <w:pPr>
        <w:spacing w:line="276" w:lineRule="auto"/>
        <w:ind w:left="567"/>
        <w:rPr>
          <w:rFonts w:ascii="Calibri" w:hAnsi="Calibri"/>
          <w:sz w:val="24"/>
          <w:szCs w:val="24"/>
        </w:rPr>
      </w:pPr>
      <w:r w:rsidRPr="00DB1D7C">
        <w:rPr>
          <w:rFonts w:ascii="Calibri" w:hAnsi="Calibri"/>
          <w:sz w:val="24"/>
          <w:szCs w:val="24"/>
        </w:rPr>
        <w:lastRenderedPageBreak/>
        <w:t>In some instances, e</w:t>
      </w:r>
      <w:r w:rsidR="00544DF5" w:rsidRPr="00DB1D7C">
        <w:rPr>
          <w:rFonts w:ascii="Calibri" w:hAnsi="Calibri"/>
          <w:sz w:val="24"/>
          <w:szCs w:val="24"/>
        </w:rPr>
        <w:t>conomic thresholds based on cost-effectiveness of intervention</w:t>
      </w:r>
      <w:r w:rsidRPr="00DB1D7C">
        <w:rPr>
          <w:rFonts w:ascii="Calibri" w:hAnsi="Calibri"/>
          <w:sz w:val="24"/>
          <w:szCs w:val="24"/>
        </w:rPr>
        <w:t xml:space="preserve"> have been used to set either approach.</w:t>
      </w:r>
    </w:p>
    <w:p w14:paraId="1990B532" w14:textId="0D422AC7" w:rsidR="00A77855" w:rsidRPr="00DB1D7C" w:rsidRDefault="00A77855" w:rsidP="00A77855">
      <w:pPr>
        <w:spacing w:line="276" w:lineRule="auto"/>
        <w:ind w:left="567"/>
        <w:jc w:val="center"/>
        <w:rPr>
          <w:rFonts w:ascii="Calibri" w:hAnsi="Calibri"/>
          <w:sz w:val="24"/>
          <w:szCs w:val="24"/>
        </w:rPr>
      </w:pPr>
      <w:r w:rsidRPr="00A77855">
        <w:rPr>
          <w:rFonts w:ascii="Calibri" w:hAnsi="Calibri"/>
          <w:noProof/>
          <w:sz w:val="24"/>
          <w:szCs w:val="24"/>
          <w:lang w:eastAsia="en-GB"/>
        </w:rPr>
        <w:drawing>
          <wp:inline distT="0" distB="0" distL="0" distR="0" wp14:anchorId="3E6FBEED" wp14:editId="57F36423">
            <wp:extent cx="4571999" cy="281940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a:srcRect t="17778"/>
                    <a:stretch/>
                  </pic:blipFill>
                  <pic:spPr bwMode="auto">
                    <a:xfrm>
                      <a:off x="0" y="0"/>
                      <a:ext cx="4572638" cy="2819794"/>
                    </a:xfrm>
                    <a:prstGeom prst="rect">
                      <a:avLst/>
                    </a:prstGeom>
                    <a:ln>
                      <a:noFill/>
                    </a:ln>
                    <a:extLst>
                      <a:ext uri="{53640926-AAD7-44D8-BBD7-CCE9431645EC}">
                        <a14:shadowObscured xmlns:a14="http://schemas.microsoft.com/office/drawing/2010/main"/>
                      </a:ext>
                    </a:extLst>
                  </pic:spPr>
                </pic:pic>
              </a:graphicData>
            </a:graphic>
          </wp:inline>
        </w:drawing>
      </w:r>
    </w:p>
    <w:p w14:paraId="0A2B6982" w14:textId="055911E3" w:rsidR="00F910EE" w:rsidRPr="00DB1D7C" w:rsidRDefault="004635EE" w:rsidP="000862F3">
      <w:pPr>
        <w:spacing w:line="276" w:lineRule="auto"/>
        <w:jc w:val="center"/>
        <w:rPr>
          <w:rFonts w:ascii="Calibri" w:hAnsi="Calibri"/>
        </w:rPr>
      </w:pPr>
      <w:r w:rsidRPr="00453D85">
        <w:rPr>
          <w:rFonts w:ascii="Calibri" w:hAnsi="Calibri"/>
          <w:b/>
        </w:rPr>
        <w:t xml:space="preserve">Figure </w:t>
      </w:r>
      <w:r w:rsidR="00453D85" w:rsidRPr="00453D85">
        <w:rPr>
          <w:rFonts w:ascii="Calibri" w:hAnsi="Calibri"/>
          <w:b/>
        </w:rPr>
        <w:t>20</w:t>
      </w:r>
      <w:r w:rsidRPr="00453D85">
        <w:rPr>
          <w:rFonts w:ascii="Calibri" w:hAnsi="Calibri"/>
          <w:b/>
        </w:rPr>
        <w:t>.</w:t>
      </w:r>
      <w:r w:rsidRPr="00453D85">
        <w:rPr>
          <w:rFonts w:ascii="Calibri" w:hAnsi="Calibri"/>
        </w:rPr>
        <w:t xml:space="preserve">  The various</w:t>
      </w:r>
      <w:r w:rsidRPr="00DB1D7C">
        <w:rPr>
          <w:rFonts w:ascii="Calibri" w:hAnsi="Calibri"/>
        </w:rPr>
        <w:t xml:space="preserve"> ways in which FRAX has been used to set thresholds. </w:t>
      </w:r>
    </w:p>
    <w:p w14:paraId="23D261EA" w14:textId="77777777" w:rsidR="00A77855" w:rsidRDefault="00A77855" w:rsidP="004665D8">
      <w:pPr>
        <w:spacing w:line="276" w:lineRule="auto"/>
        <w:rPr>
          <w:rFonts w:ascii="Calibri" w:hAnsi="Calibri"/>
          <w:b/>
          <w:sz w:val="24"/>
          <w:szCs w:val="24"/>
        </w:rPr>
      </w:pPr>
    </w:p>
    <w:p w14:paraId="410CDFAF" w14:textId="446412CB" w:rsidR="005D01CB" w:rsidRPr="00DB1D7C" w:rsidRDefault="00AA1209" w:rsidP="004665D8">
      <w:pPr>
        <w:spacing w:line="276" w:lineRule="auto"/>
        <w:rPr>
          <w:rFonts w:ascii="Calibri" w:hAnsi="Calibri"/>
          <w:b/>
          <w:sz w:val="24"/>
          <w:szCs w:val="24"/>
        </w:rPr>
      </w:pPr>
      <w:r w:rsidRPr="00DB1D7C">
        <w:rPr>
          <w:rFonts w:ascii="Calibri" w:hAnsi="Calibri"/>
          <w:b/>
          <w:sz w:val="24"/>
          <w:szCs w:val="24"/>
        </w:rPr>
        <w:t>Use of f</w:t>
      </w:r>
      <w:r w:rsidR="005D01CB" w:rsidRPr="00DB1D7C">
        <w:rPr>
          <w:rFonts w:ascii="Calibri" w:hAnsi="Calibri"/>
          <w:b/>
          <w:sz w:val="24"/>
          <w:szCs w:val="24"/>
        </w:rPr>
        <w:t>ixed thresholds</w:t>
      </w:r>
    </w:p>
    <w:p w14:paraId="2F1A9872" w14:textId="0F1F1418" w:rsidR="00861A92" w:rsidRPr="00DB1D7C" w:rsidRDefault="00861A92" w:rsidP="004665D8">
      <w:pPr>
        <w:spacing w:line="276" w:lineRule="auto"/>
        <w:rPr>
          <w:rFonts w:ascii="Calibri" w:hAnsi="Calibri"/>
          <w:sz w:val="24"/>
          <w:szCs w:val="24"/>
        </w:rPr>
      </w:pPr>
      <w:r w:rsidRPr="00DB1D7C">
        <w:rPr>
          <w:rFonts w:ascii="Calibri" w:hAnsi="Calibri"/>
          <w:sz w:val="24"/>
          <w:szCs w:val="24"/>
        </w:rPr>
        <w:t xml:space="preserve">The use of a fixed FRAX threshold has some intuitive appeal in that it directs intervention in an equitable manner and is more readily used in clinical practice than more complex approaches inherent in the application of age-dependent thresholds.  There is, however </w:t>
      </w:r>
      <w:r w:rsidR="00B468D0" w:rsidRPr="00DB1D7C">
        <w:rPr>
          <w:rFonts w:ascii="Calibri" w:hAnsi="Calibri"/>
          <w:sz w:val="24"/>
          <w:szCs w:val="24"/>
        </w:rPr>
        <w:t>only</w:t>
      </w:r>
      <w:r w:rsidRPr="00DB1D7C">
        <w:rPr>
          <w:rFonts w:ascii="Calibri" w:hAnsi="Calibri"/>
          <w:sz w:val="24"/>
          <w:szCs w:val="24"/>
        </w:rPr>
        <w:t xml:space="preserve"> </w:t>
      </w:r>
      <w:r w:rsidR="00B468D0" w:rsidRPr="00DB1D7C">
        <w:rPr>
          <w:rFonts w:ascii="Calibri" w:hAnsi="Calibri"/>
          <w:sz w:val="24"/>
          <w:szCs w:val="24"/>
        </w:rPr>
        <w:t xml:space="preserve">one poorly validated </w:t>
      </w:r>
      <w:r w:rsidRPr="00DB1D7C">
        <w:rPr>
          <w:rFonts w:ascii="Calibri" w:hAnsi="Calibri"/>
          <w:sz w:val="24"/>
          <w:szCs w:val="24"/>
        </w:rPr>
        <w:t>guideline that directs intervention solely on this basis</w:t>
      </w:r>
      <w:r w:rsidR="0095146A" w:rsidRPr="00DB1D7C">
        <w:rPr>
          <w:rFonts w:ascii="Calibri" w:hAnsi="Calibri"/>
          <w:sz w:val="24"/>
          <w:szCs w:val="24"/>
        </w:rPr>
        <w:t xml:space="preserve"> (Taiwan)</w:t>
      </w:r>
      <w:r w:rsidRPr="00DB1D7C">
        <w:rPr>
          <w:rFonts w:ascii="Calibri" w:hAnsi="Calibri"/>
          <w:sz w:val="24"/>
          <w:szCs w:val="24"/>
        </w:rPr>
        <w:t>.</w:t>
      </w:r>
      <w:r w:rsidR="00311B54" w:rsidRPr="00DB1D7C">
        <w:rPr>
          <w:rFonts w:ascii="Calibri" w:hAnsi="Calibri"/>
          <w:sz w:val="24"/>
          <w:szCs w:val="24"/>
        </w:rPr>
        <w:t xml:space="preserve">  </w:t>
      </w:r>
      <w:r w:rsidR="00AA1209" w:rsidRPr="00DB1D7C">
        <w:rPr>
          <w:rFonts w:ascii="Calibri" w:hAnsi="Calibri"/>
          <w:sz w:val="24"/>
          <w:szCs w:val="24"/>
        </w:rPr>
        <w:t>An important precedent is that t</w:t>
      </w:r>
      <w:r w:rsidR="00311B54" w:rsidRPr="00DB1D7C">
        <w:rPr>
          <w:rFonts w:ascii="Calibri" w:hAnsi="Calibri"/>
          <w:sz w:val="24"/>
          <w:szCs w:val="24"/>
        </w:rPr>
        <w:t>he vast majority o</w:t>
      </w:r>
      <w:r w:rsidR="00376742" w:rsidRPr="00DB1D7C">
        <w:rPr>
          <w:rFonts w:ascii="Calibri" w:hAnsi="Calibri"/>
          <w:sz w:val="24"/>
          <w:szCs w:val="24"/>
        </w:rPr>
        <w:t>f</w:t>
      </w:r>
      <w:r w:rsidR="00311B54" w:rsidRPr="00DB1D7C">
        <w:rPr>
          <w:rFonts w:ascii="Calibri" w:hAnsi="Calibri"/>
          <w:sz w:val="24"/>
          <w:szCs w:val="24"/>
        </w:rPr>
        <w:t xml:space="preserve"> guidelines worldwide recommend that individuals with a prior fragility fracture should be offered treatment.  Irrespective of the merits of this approach, this sets up an immediate problem </w:t>
      </w:r>
      <w:r w:rsidR="00CE57FC" w:rsidRPr="00DB1D7C">
        <w:rPr>
          <w:rFonts w:ascii="Calibri" w:hAnsi="Calibri"/>
          <w:sz w:val="24"/>
          <w:szCs w:val="24"/>
        </w:rPr>
        <w:t xml:space="preserve">of consistency </w:t>
      </w:r>
      <w:r w:rsidR="00311B54" w:rsidRPr="00DB1D7C">
        <w:rPr>
          <w:rFonts w:ascii="Calibri" w:hAnsi="Calibri"/>
          <w:sz w:val="24"/>
          <w:szCs w:val="24"/>
        </w:rPr>
        <w:t xml:space="preserve">in that the fracture probability in men and women with a prior fracture is age </w:t>
      </w:r>
      <w:r w:rsidR="00311B54" w:rsidRPr="00453D85">
        <w:rPr>
          <w:rFonts w:ascii="Calibri" w:hAnsi="Calibri"/>
          <w:sz w:val="24"/>
          <w:szCs w:val="24"/>
        </w:rPr>
        <w:t>dependent</w:t>
      </w:r>
      <w:r w:rsidR="00F34B4A" w:rsidRPr="00453D85">
        <w:rPr>
          <w:rFonts w:ascii="Calibri" w:hAnsi="Calibri"/>
          <w:sz w:val="24"/>
          <w:szCs w:val="24"/>
        </w:rPr>
        <w:t xml:space="preserve"> (Figure </w:t>
      </w:r>
      <w:r w:rsidR="00453D85" w:rsidRPr="00453D85">
        <w:rPr>
          <w:rFonts w:ascii="Calibri" w:hAnsi="Calibri"/>
          <w:sz w:val="24"/>
          <w:szCs w:val="24"/>
        </w:rPr>
        <w:t>21</w:t>
      </w:r>
      <w:r w:rsidR="00F34B4A" w:rsidRPr="00DB1D7C">
        <w:rPr>
          <w:rFonts w:ascii="Calibri" w:hAnsi="Calibri"/>
          <w:sz w:val="24"/>
          <w:szCs w:val="24"/>
        </w:rPr>
        <w:t>)</w:t>
      </w:r>
      <w:r w:rsidR="00311B54" w:rsidRPr="00DB1D7C">
        <w:rPr>
          <w:rFonts w:ascii="Calibri" w:hAnsi="Calibri"/>
          <w:sz w:val="24"/>
          <w:szCs w:val="24"/>
        </w:rPr>
        <w:t>.</w:t>
      </w:r>
      <w:r w:rsidRPr="00DB1D7C">
        <w:rPr>
          <w:rFonts w:ascii="Calibri" w:hAnsi="Calibri"/>
          <w:sz w:val="24"/>
          <w:szCs w:val="24"/>
        </w:rPr>
        <w:t xml:space="preserve"> </w:t>
      </w:r>
      <w:r w:rsidR="00C42A80" w:rsidRPr="00DB1D7C">
        <w:rPr>
          <w:rFonts w:ascii="Calibri" w:hAnsi="Calibri"/>
          <w:sz w:val="24"/>
          <w:szCs w:val="24"/>
        </w:rPr>
        <w:t xml:space="preserve"> Thus, the setting of a fixed threshold, say</w:t>
      </w:r>
      <w:r w:rsidR="00C349D2" w:rsidRPr="00DB1D7C">
        <w:rPr>
          <w:rFonts w:ascii="Calibri" w:hAnsi="Calibri"/>
          <w:sz w:val="24"/>
          <w:szCs w:val="24"/>
        </w:rPr>
        <w:t xml:space="preserve"> </w:t>
      </w:r>
      <w:r w:rsidR="00C42A80" w:rsidRPr="00DB1D7C">
        <w:rPr>
          <w:rFonts w:ascii="Calibri" w:hAnsi="Calibri"/>
          <w:sz w:val="24"/>
          <w:szCs w:val="24"/>
        </w:rPr>
        <w:t>at 15</w:t>
      </w:r>
      <w:r w:rsidR="00E8657B">
        <w:rPr>
          <w:rFonts w:ascii="Calibri" w:hAnsi="Calibri"/>
          <w:sz w:val="24"/>
          <w:szCs w:val="24"/>
        </w:rPr>
        <w:t xml:space="preserve"> </w:t>
      </w:r>
      <w:r w:rsidR="00C42A80" w:rsidRPr="00DB1D7C">
        <w:rPr>
          <w:rFonts w:ascii="Calibri" w:hAnsi="Calibri"/>
          <w:sz w:val="24"/>
          <w:szCs w:val="24"/>
        </w:rPr>
        <w:t>%, would mean that few individual</w:t>
      </w:r>
      <w:r w:rsidR="00915887">
        <w:rPr>
          <w:rFonts w:ascii="Calibri" w:hAnsi="Calibri"/>
          <w:sz w:val="24"/>
          <w:szCs w:val="24"/>
        </w:rPr>
        <w:t>s</w:t>
      </w:r>
      <w:r w:rsidR="00C42A80" w:rsidRPr="00DB1D7C">
        <w:rPr>
          <w:rFonts w:ascii="Calibri" w:hAnsi="Calibri"/>
          <w:sz w:val="24"/>
          <w:szCs w:val="24"/>
        </w:rPr>
        <w:t xml:space="preserve"> with a prior fracture would be eligible for treatment below the age of 65 years</w:t>
      </w:r>
      <w:r w:rsidR="00AA1209" w:rsidRPr="00DB1D7C">
        <w:rPr>
          <w:rFonts w:ascii="Calibri" w:hAnsi="Calibri"/>
          <w:sz w:val="24"/>
          <w:szCs w:val="24"/>
        </w:rPr>
        <w:t>.</w:t>
      </w:r>
      <w:r w:rsidR="00C42A80" w:rsidRPr="00DB1D7C">
        <w:rPr>
          <w:rFonts w:ascii="Calibri" w:hAnsi="Calibri"/>
          <w:sz w:val="24"/>
          <w:szCs w:val="24"/>
        </w:rPr>
        <w:t xml:space="preserve"> </w:t>
      </w:r>
    </w:p>
    <w:p w14:paraId="2D5B0C55" w14:textId="5B206B96" w:rsidR="00F34B4A" w:rsidRPr="00DB1D7C" w:rsidRDefault="00F34B4A" w:rsidP="00192B00">
      <w:pPr>
        <w:rPr>
          <w:rFonts w:ascii="Calibri" w:hAnsi="Calibri"/>
          <w:sz w:val="24"/>
          <w:szCs w:val="24"/>
        </w:rPr>
      </w:pPr>
    </w:p>
    <w:p w14:paraId="667361C1" w14:textId="68330E83" w:rsidR="00192B00" w:rsidRDefault="00192B00" w:rsidP="00192B00">
      <w:pPr>
        <w:jc w:val="center"/>
        <w:rPr>
          <w:rFonts w:ascii="Calibri" w:hAnsi="Calibri"/>
          <w:b/>
        </w:rPr>
      </w:pPr>
      <w:r w:rsidRPr="00192B00">
        <w:rPr>
          <w:rFonts w:ascii="Calibri" w:hAnsi="Calibri"/>
          <w:b/>
          <w:noProof/>
          <w:lang w:eastAsia="en-GB"/>
        </w:rPr>
        <w:lastRenderedPageBreak/>
        <w:drawing>
          <wp:inline distT="0" distB="0" distL="0" distR="0" wp14:anchorId="09C09900" wp14:editId="3CBA4D92">
            <wp:extent cx="4572638" cy="342947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572638" cy="3429479"/>
                    </a:xfrm>
                    <a:prstGeom prst="rect">
                      <a:avLst/>
                    </a:prstGeom>
                  </pic:spPr>
                </pic:pic>
              </a:graphicData>
            </a:graphic>
          </wp:inline>
        </w:drawing>
      </w:r>
    </w:p>
    <w:p w14:paraId="553D4362" w14:textId="1ADCA409" w:rsidR="00F34B4A" w:rsidRPr="00453D85" w:rsidRDefault="00F34B4A" w:rsidP="00192B00">
      <w:pPr>
        <w:ind w:left="567" w:right="379"/>
        <w:rPr>
          <w:rFonts w:ascii="Calibri" w:hAnsi="Calibri"/>
        </w:rPr>
      </w:pPr>
      <w:r w:rsidRPr="00453D85">
        <w:rPr>
          <w:rFonts w:ascii="Calibri" w:hAnsi="Calibri"/>
          <w:b/>
        </w:rPr>
        <w:t xml:space="preserve">Figure </w:t>
      </w:r>
      <w:r w:rsidR="00453D85" w:rsidRPr="00453D85">
        <w:rPr>
          <w:rFonts w:ascii="Calibri" w:hAnsi="Calibri"/>
          <w:b/>
        </w:rPr>
        <w:t>21</w:t>
      </w:r>
      <w:r w:rsidRPr="00453D85">
        <w:rPr>
          <w:rFonts w:ascii="Calibri" w:hAnsi="Calibri"/>
        </w:rPr>
        <w:t>.  The probability of a major osteoporotic fracture (MOF) in men and women from the UK</w:t>
      </w:r>
      <w:r w:rsidR="00C42A80" w:rsidRPr="00453D85">
        <w:rPr>
          <w:rFonts w:ascii="Calibri" w:hAnsi="Calibri"/>
        </w:rPr>
        <w:t xml:space="preserve"> by age.  The horizontal line depicts an arbitrary intervention threshold</w:t>
      </w:r>
      <w:r w:rsidR="00376742" w:rsidRPr="00453D85">
        <w:rPr>
          <w:rFonts w:ascii="Calibri" w:hAnsi="Calibri"/>
        </w:rPr>
        <w:t xml:space="preserve"> set at 15</w:t>
      </w:r>
      <w:r w:rsidR="00E8657B" w:rsidRPr="00453D85">
        <w:rPr>
          <w:rFonts w:ascii="Calibri" w:hAnsi="Calibri"/>
        </w:rPr>
        <w:t xml:space="preserve"> </w:t>
      </w:r>
      <w:r w:rsidR="00376742" w:rsidRPr="00453D85">
        <w:rPr>
          <w:rFonts w:ascii="Calibri" w:hAnsi="Calibri"/>
        </w:rPr>
        <w:t>%</w:t>
      </w:r>
      <w:r w:rsidR="0039495D" w:rsidRPr="00453D85">
        <w:rPr>
          <w:rFonts w:ascii="Calibri" w:hAnsi="Calibri"/>
        </w:rPr>
        <w:t>.</w:t>
      </w:r>
      <w:r w:rsidR="00C349D2" w:rsidRPr="00453D85">
        <w:rPr>
          <w:rFonts w:ascii="Calibri" w:hAnsi="Calibri"/>
        </w:rPr>
        <w:t xml:space="preserve">  The left panel gives probabilities in the presence of a prior fracture and the right panel, probabilities with a T-score of -2.5 SD (BMI set to 23 kg/m</w:t>
      </w:r>
      <w:r w:rsidR="00C349D2" w:rsidRPr="00453D85">
        <w:rPr>
          <w:rFonts w:ascii="Calibri" w:hAnsi="Calibri"/>
          <w:vertAlign w:val="superscript"/>
        </w:rPr>
        <w:t>2</w:t>
      </w:r>
      <w:r w:rsidR="00C349D2" w:rsidRPr="00453D85">
        <w:rPr>
          <w:rFonts w:ascii="Calibri" w:hAnsi="Calibri"/>
        </w:rPr>
        <w:t>, no other clinical risk factors). [</w:t>
      </w:r>
      <w:hyperlink r:id="rId38" w:history="1">
        <w:r w:rsidR="00C349D2" w:rsidRPr="00453D85">
          <w:rPr>
            <w:rStyle w:val="Hyperlink"/>
            <w:rFonts w:ascii="Calibri" w:hAnsi="Calibri"/>
          </w:rPr>
          <w:t>http://www.shef.ac.uk/FRAX</w:t>
        </w:r>
      </w:hyperlink>
      <w:r w:rsidR="00C349D2" w:rsidRPr="00453D85">
        <w:rPr>
          <w:rFonts w:ascii="Calibri" w:hAnsi="Calibri"/>
        </w:rPr>
        <w:t>]</w:t>
      </w:r>
    </w:p>
    <w:p w14:paraId="58792F56" w14:textId="7DC13846" w:rsidR="00CE57FC" w:rsidRPr="00DB1D7C" w:rsidRDefault="00376742" w:rsidP="004665D8">
      <w:pPr>
        <w:spacing w:line="276" w:lineRule="auto"/>
        <w:rPr>
          <w:rFonts w:ascii="Calibri" w:hAnsi="Calibri"/>
          <w:sz w:val="24"/>
          <w:szCs w:val="24"/>
        </w:rPr>
      </w:pPr>
      <w:r w:rsidRPr="00453D85">
        <w:rPr>
          <w:rFonts w:ascii="Calibri" w:hAnsi="Calibri"/>
          <w:sz w:val="24"/>
          <w:szCs w:val="24"/>
        </w:rPr>
        <w:t>A further problem with the use of fixed thresholds alone arises in the proportion of the population eligible for treatment. The impact of using different intervention threshold</w:t>
      </w:r>
      <w:r w:rsidR="00915887" w:rsidRPr="00453D85">
        <w:rPr>
          <w:rFonts w:ascii="Calibri" w:hAnsi="Calibri"/>
          <w:sz w:val="24"/>
          <w:szCs w:val="24"/>
        </w:rPr>
        <w:t>s</w:t>
      </w:r>
      <w:r w:rsidRPr="00453D85">
        <w:rPr>
          <w:rFonts w:ascii="Calibri" w:hAnsi="Calibri"/>
          <w:sz w:val="24"/>
          <w:szCs w:val="24"/>
        </w:rPr>
        <w:t xml:space="preserve"> is shown in </w:t>
      </w:r>
      <w:r w:rsidR="00A118CD" w:rsidRPr="00453D85">
        <w:rPr>
          <w:rFonts w:ascii="Calibri" w:hAnsi="Calibri"/>
          <w:sz w:val="24"/>
          <w:szCs w:val="24"/>
        </w:rPr>
        <w:t>Figure</w:t>
      </w:r>
      <w:r w:rsidRPr="00453D85">
        <w:rPr>
          <w:rFonts w:ascii="Calibri" w:hAnsi="Calibri"/>
          <w:sz w:val="24"/>
          <w:szCs w:val="24"/>
        </w:rPr>
        <w:t xml:space="preserve"> </w:t>
      </w:r>
      <w:r w:rsidR="0052078A" w:rsidRPr="00453D85">
        <w:rPr>
          <w:rFonts w:ascii="Calibri" w:hAnsi="Calibri"/>
          <w:sz w:val="24"/>
          <w:szCs w:val="24"/>
        </w:rPr>
        <w:t>2</w:t>
      </w:r>
      <w:r w:rsidR="00453D85" w:rsidRPr="00453D85">
        <w:rPr>
          <w:rFonts w:ascii="Calibri" w:hAnsi="Calibri"/>
          <w:sz w:val="24"/>
          <w:szCs w:val="24"/>
        </w:rPr>
        <w:t>2</w:t>
      </w:r>
      <w:r w:rsidRPr="00453D85">
        <w:rPr>
          <w:rFonts w:ascii="Calibri" w:hAnsi="Calibri"/>
          <w:sz w:val="24"/>
          <w:szCs w:val="24"/>
        </w:rPr>
        <w:t xml:space="preserve"> for postmenopausal</w:t>
      </w:r>
      <w:r w:rsidRPr="00DB1D7C">
        <w:rPr>
          <w:rFonts w:ascii="Calibri" w:hAnsi="Calibri"/>
          <w:sz w:val="24"/>
          <w:szCs w:val="24"/>
        </w:rPr>
        <w:t xml:space="preserve"> women in </w:t>
      </w:r>
      <w:r w:rsidR="0052078A" w:rsidRPr="00DB1D7C">
        <w:rPr>
          <w:rFonts w:ascii="Calibri" w:hAnsi="Calibri"/>
          <w:sz w:val="24"/>
          <w:szCs w:val="24"/>
        </w:rPr>
        <w:t xml:space="preserve">the </w:t>
      </w:r>
      <w:r w:rsidR="0052078A" w:rsidRPr="00A77855">
        <w:rPr>
          <w:rFonts w:ascii="Calibri" w:hAnsi="Calibri"/>
          <w:sz w:val="24"/>
          <w:szCs w:val="24"/>
        </w:rPr>
        <w:t xml:space="preserve">UK </w:t>
      </w:r>
      <w:r w:rsidR="00C32BC5" w:rsidRPr="00A77855">
        <w:rPr>
          <w:rFonts w:ascii="Calibri" w:hAnsi="Calibri"/>
          <w:sz w:val="24"/>
          <w:szCs w:val="24"/>
        </w:rPr>
        <w:t>[3]</w:t>
      </w:r>
      <w:r w:rsidR="0052078A" w:rsidRPr="00A77855">
        <w:rPr>
          <w:rFonts w:ascii="Calibri" w:hAnsi="Calibri"/>
          <w:sz w:val="24"/>
          <w:szCs w:val="24"/>
        </w:rPr>
        <w:t>.</w:t>
      </w:r>
      <w:r w:rsidR="0052078A" w:rsidRPr="00DB1D7C">
        <w:rPr>
          <w:rFonts w:ascii="Calibri" w:hAnsi="Calibri"/>
          <w:sz w:val="24"/>
          <w:szCs w:val="24"/>
        </w:rPr>
        <w:t xml:space="preserve">  Very similar findings are reported from </w:t>
      </w:r>
      <w:r w:rsidRPr="00A77855">
        <w:rPr>
          <w:rFonts w:ascii="Calibri" w:hAnsi="Calibri"/>
          <w:sz w:val="24"/>
          <w:szCs w:val="24"/>
        </w:rPr>
        <w:t>Japan</w:t>
      </w:r>
      <w:r w:rsidR="009942B6" w:rsidRPr="00A77855">
        <w:rPr>
          <w:rFonts w:ascii="Calibri" w:hAnsi="Calibri"/>
          <w:sz w:val="24"/>
          <w:szCs w:val="24"/>
        </w:rPr>
        <w:t xml:space="preserve"> [218]</w:t>
      </w:r>
      <w:r w:rsidRPr="00A77855">
        <w:rPr>
          <w:rFonts w:ascii="Calibri" w:hAnsi="Calibri"/>
          <w:sz w:val="24"/>
          <w:szCs w:val="24"/>
        </w:rPr>
        <w:t>.  At high thresholds</w:t>
      </w:r>
      <w:r w:rsidRPr="00DB1D7C">
        <w:rPr>
          <w:rFonts w:ascii="Calibri" w:hAnsi="Calibri"/>
          <w:sz w:val="24"/>
          <w:szCs w:val="24"/>
        </w:rPr>
        <w:t xml:space="preserve"> e.g. &gt;20</w:t>
      </w:r>
      <w:r w:rsidR="00915887">
        <w:rPr>
          <w:rFonts w:ascii="Calibri" w:hAnsi="Calibri"/>
          <w:sz w:val="24"/>
          <w:szCs w:val="24"/>
        </w:rPr>
        <w:t xml:space="preserve"> </w:t>
      </w:r>
      <w:r w:rsidRPr="00DB1D7C">
        <w:rPr>
          <w:rFonts w:ascii="Calibri" w:hAnsi="Calibri"/>
          <w:sz w:val="24"/>
          <w:szCs w:val="24"/>
        </w:rPr>
        <w:t>% fracture probability, 20.5</w:t>
      </w:r>
      <w:r w:rsidR="00915887">
        <w:rPr>
          <w:rFonts w:ascii="Calibri" w:hAnsi="Calibri"/>
          <w:sz w:val="24"/>
          <w:szCs w:val="24"/>
        </w:rPr>
        <w:t xml:space="preserve"> </w:t>
      </w:r>
      <w:r w:rsidRPr="00DB1D7C">
        <w:rPr>
          <w:rFonts w:ascii="Calibri" w:hAnsi="Calibri"/>
          <w:sz w:val="24"/>
          <w:szCs w:val="24"/>
        </w:rPr>
        <w:t>% of postmenopausal women would be eligible for treatment.  A problem that arises is that very few women under the age of 60 years would ever attain this threshold (less than 1</w:t>
      </w:r>
      <w:r w:rsidR="00E8657B">
        <w:rPr>
          <w:rFonts w:ascii="Calibri" w:hAnsi="Calibri"/>
          <w:sz w:val="24"/>
          <w:szCs w:val="24"/>
        </w:rPr>
        <w:t xml:space="preserve"> </w:t>
      </w:r>
      <w:r w:rsidRPr="00DB1D7C">
        <w:rPr>
          <w:rFonts w:ascii="Calibri" w:hAnsi="Calibri"/>
          <w:sz w:val="24"/>
          <w:szCs w:val="24"/>
        </w:rPr>
        <w:t>%).  On the other hand, if a less stringent threshold were chosen, say 10</w:t>
      </w:r>
      <w:r w:rsidR="00E8657B">
        <w:rPr>
          <w:rFonts w:ascii="Calibri" w:hAnsi="Calibri"/>
          <w:sz w:val="24"/>
          <w:szCs w:val="24"/>
        </w:rPr>
        <w:t xml:space="preserve"> </w:t>
      </w:r>
      <w:r w:rsidRPr="00DB1D7C">
        <w:rPr>
          <w:rFonts w:ascii="Calibri" w:hAnsi="Calibri"/>
          <w:sz w:val="24"/>
          <w:szCs w:val="24"/>
        </w:rPr>
        <w:t>%, then approximately 5</w:t>
      </w:r>
      <w:r w:rsidR="00915887">
        <w:rPr>
          <w:rFonts w:ascii="Calibri" w:hAnsi="Calibri"/>
          <w:sz w:val="24"/>
          <w:szCs w:val="24"/>
        </w:rPr>
        <w:t xml:space="preserve"> </w:t>
      </w:r>
      <w:r w:rsidRPr="00DB1D7C">
        <w:rPr>
          <w:rFonts w:ascii="Calibri" w:hAnsi="Calibri"/>
          <w:sz w:val="24"/>
          <w:szCs w:val="24"/>
        </w:rPr>
        <w:t>% of women at the age of 50 years would exceed this threshold, and a majority of women over the age of 65 years would be eligible and the treatment threshold would be exceeded in 50</w:t>
      </w:r>
      <w:r w:rsidR="00915887">
        <w:rPr>
          <w:rFonts w:ascii="Calibri" w:hAnsi="Calibri"/>
          <w:sz w:val="24"/>
          <w:szCs w:val="24"/>
        </w:rPr>
        <w:t xml:space="preserve"> </w:t>
      </w:r>
      <w:r w:rsidRPr="00DB1D7C">
        <w:rPr>
          <w:rFonts w:ascii="Calibri" w:hAnsi="Calibri"/>
          <w:sz w:val="24"/>
          <w:szCs w:val="24"/>
        </w:rPr>
        <w:t xml:space="preserve">% of all </w:t>
      </w:r>
      <w:r w:rsidRPr="00A77855">
        <w:rPr>
          <w:rFonts w:ascii="Calibri" w:hAnsi="Calibri"/>
          <w:sz w:val="24"/>
          <w:szCs w:val="24"/>
        </w:rPr>
        <w:t>postmenopausal women.  Both scenarios are counterintuitive to clinical practice</w:t>
      </w:r>
      <w:r w:rsidR="0039495D" w:rsidRPr="00A77855">
        <w:rPr>
          <w:rFonts w:ascii="Calibri" w:hAnsi="Calibri"/>
          <w:sz w:val="24"/>
          <w:szCs w:val="24"/>
        </w:rPr>
        <w:t xml:space="preserve"> </w:t>
      </w:r>
      <w:r w:rsidR="009942B6" w:rsidRPr="00A77855">
        <w:rPr>
          <w:rFonts w:ascii="Calibri" w:hAnsi="Calibri"/>
          <w:sz w:val="24"/>
          <w:szCs w:val="24"/>
        </w:rPr>
        <w:t>[</w:t>
      </w:r>
      <w:r w:rsidR="00A77855" w:rsidRPr="00A77855">
        <w:rPr>
          <w:rFonts w:ascii="Calibri" w:hAnsi="Calibri"/>
          <w:sz w:val="24"/>
          <w:szCs w:val="24"/>
        </w:rPr>
        <w:t xml:space="preserve">81, </w:t>
      </w:r>
      <w:r w:rsidR="009942B6" w:rsidRPr="00A77855">
        <w:rPr>
          <w:rFonts w:ascii="Calibri" w:hAnsi="Calibri"/>
          <w:sz w:val="24"/>
          <w:szCs w:val="24"/>
        </w:rPr>
        <w:t>218</w:t>
      </w:r>
      <w:r w:rsidR="00A77855">
        <w:rPr>
          <w:rFonts w:ascii="Calibri" w:hAnsi="Calibri"/>
          <w:sz w:val="24"/>
          <w:szCs w:val="24"/>
        </w:rPr>
        <w:t>]</w:t>
      </w:r>
      <w:r w:rsidRPr="00A77855">
        <w:rPr>
          <w:rFonts w:ascii="Calibri" w:hAnsi="Calibri"/>
          <w:sz w:val="24"/>
          <w:szCs w:val="24"/>
        </w:rPr>
        <w:t>.</w:t>
      </w:r>
    </w:p>
    <w:p w14:paraId="040B653B" w14:textId="4C8CE66B" w:rsidR="00376742" w:rsidRPr="00DB1D7C" w:rsidRDefault="00376742" w:rsidP="00376742">
      <w:pPr>
        <w:autoSpaceDE w:val="0"/>
        <w:autoSpaceDN w:val="0"/>
        <w:adjustRightInd w:val="0"/>
        <w:spacing w:line="360" w:lineRule="auto"/>
        <w:ind w:left="544" w:right="471"/>
        <w:rPr>
          <w:rFonts w:ascii="Arial" w:hAnsi="Arial" w:cs="Arial"/>
          <w:color w:val="000000"/>
          <w:sz w:val="20"/>
          <w:szCs w:val="20"/>
        </w:rPr>
      </w:pPr>
    </w:p>
    <w:p w14:paraId="369EC96A" w14:textId="35934DE8" w:rsidR="0052078A" w:rsidRPr="00DB1D7C" w:rsidRDefault="0052078A" w:rsidP="00376742">
      <w:pPr>
        <w:autoSpaceDE w:val="0"/>
        <w:autoSpaceDN w:val="0"/>
        <w:adjustRightInd w:val="0"/>
        <w:spacing w:line="240" w:lineRule="auto"/>
        <w:ind w:left="544" w:right="471"/>
        <w:rPr>
          <w:rFonts w:cs="Arial"/>
          <w:b/>
          <w:bCs/>
          <w:color w:val="000000"/>
        </w:rPr>
      </w:pPr>
      <w:r w:rsidRPr="00DB1D7C">
        <w:rPr>
          <w:rFonts w:cs="Arial"/>
          <w:b/>
          <w:bCs/>
          <w:noProof/>
          <w:color w:val="000000"/>
          <w:lang w:eastAsia="en-GB"/>
        </w:rPr>
        <w:lastRenderedPageBreak/>
        <w:drawing>
          <wp:inline distT="0" distB="0" distL="0" distR="0" wp14:anchorId="6F207EFE" wp14:editId="2307A2B6">
            <wp:extent cx="4571365" cy="2628900"/>
            <wp:effectExtent l="0" t="0" r="63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srcRect t="13333" b="9990"/>
                    <a:stretch/>
                  </pic:blipFill>
                  <pic:spPr bwMode="auto">
                    <a:xfrm>
                      <a:off x="0" y="0"/>
                      <a:ext cx="4572638" cy="2629632"/>
                    </a:xfrm>
                    <a:prstGeom prst="rect">
                      <a:avLst/>
                    </a:prstGeom>
                    <a:ln>
                      <a:noFill/>
                    </a:ln>
                    <a:extLst>
                      <a:ext uri="{53640926-AAD7-44D8-BBD7-CCE9431645EC}">
                        <a14:shadowObscured xmlns:a14="http://schemas.microsoft.com/office/drawing/2010/main"/>
                      </a:ext>
                    </a:extLst>
                  </pic:spPr>
                </pic:pic>
              </a:graphicData>
            </a:graphic>
          </wp:inline>
        </w:drawing>
      </w:r>
    </w:p>
    <w:p w14:paraId="443746B3" w14:textId="23A51225" w:rsidR="00376742" w:rsidRPr="00DB1D7C" w:rsidRDefault="00376742" w:rsidP="00376742">
      <w:pPr>
        <w:autoSpaceDE w:val="0"/>
        <w:autoSpaceDN w:val="0"/>
        <w:adjustRightInd w:val="0"/>
        <w:spacing w:line="240" w:lineRule="auto"/>
        <w:ind w:left="544" w:right="471"/>
        <w:rPr>
          <w:rFonts w:cs="Arial"/>
          <w:color w:val="000000"/>
        </w:rPr>
      </w:pPr>
      <w:r w:rsidRPr="00DB1D7C">
        <w:rPr>
          <w:rFonts w:cs="Arial"/>
          <w:b/>
          <w:bCs/>
          <w:color w:val="000000"/>
        </w:rPr>
        <w:t>Fig</w:t>
      </w:r>
      <w:r w:rsidR="0039495D" w:rsidRPr="00DB1D7C">
        <w:rPr>
          <w:rFonts w:cs="Arial"/>
          <w:b/>
          <w:bCs/>
          <w:color w:val="000000"/>
        </w:rPr>
        <w:t>ure</w:t>
      </w:r>
      <w:r w:rsidRPr="00DB1D7C">
        <w:rPr>
          <w:rFonts w:cs="Arial"/>
          <w:b/>
          <w:bCs/>
          <w:color w:val="000000"/>
        </w:rPr>
        <w:t xml:space="preserve"> </w:t>
      </w:r>
      <w:r w:rsidR="0052078A" w:rsidRPr="00DB1D7C">
        <w:rPr>
          <w:rFonts w:cs="Arial"/>
          <w:b/>
          <w:bCs/>
          <w:color w:val="000000"/>
        </w:rPr>
        <w:t>2</w:t>
      </w:r>
      <w:r w:rsidR="00453D85">
        <w:rPr>
          <w:rFonts w:cs="Arial"/>
          <w:b/>
          <w:bCs/>
          <w:color w:val="000000"/>
        </w:rPr>
        <w:t>2</w:t>
      </w:r>
      <w:r w:rsidR="0039495D" w:rsidRPr="00DB1D7C">
        <w:rPr>
          <w:rFonts w:cs="Arial"/>
          <w:b/>
          <w:bCs/>
          <w:color w:val="000000"/>
        </w:rPr>
        <w:t>.</w:t>
      </w:r>
      <w:r w:rsidRPr="00DB1D7C">
        <w:rPr>
          <w:rFonts w:cs="Arial"/>
          <w:b/>
          <w:bCs/>
          <w:color w:val="000000"/>
        </w:rPr>
        <w:t xml:space="preserve">   </w:t>
      </w:r>
      <w:r w:rsidRPr="00DB1D7C">
        <w:rPr>
          <w:rFonts w:cs="Arial"/>
          <w:color w:val="000000"/>
        </w:rPr>
        <w:t xml:space="preserve">The impact of a fixed treatment threshold in postmenopausal women in </w:t>
      </w:r>
      <w:r w:rsidR="000A68DC" w:rsidRPr="00DB1D7C">
        <w:rPr>
          <w:rFonts w:cs="Arial"/>
          <w:color w:val="000000"/>
        </w:rPr>
        <w:t>the UK</w:t>
      </w:r>
      <w:r w:rsidRPr="00DB1D7C">
        <w:rPr>
          <w:rFonts w:cs="Arial"/>
          <w:color w:val="000000"/>
        </w:rPr>
        <w:t xml:space="preserve"> according to threshold values for the probability of a major osteoporotic fracture.  The left hand panel shows the proportion of the postmenopausal population exceeding the threshold shown at each age.  The right hand panel shows the proportion of the total postmenopausal population that </w:t>
      </w:r>
      <w:r w:rsidRPr="00A77855">
        <w:rPr>
          <w:rFonts w:cs="Arial"/>
          <w:color w:val="000000"/>
        </w:rPr>
        <w:t>exceed a given threshold</w:t>
      </w:r>
      <w:r w:rsidR="00A77855" w:rsidRPr="00A77855">
        <w:rPr>
          <w:rFonts w:cs="Arial"/>
          <w:color w:val="000000"/>
        </w:rPr>
        <w:t xml:space="preserve">. </w:t>
      </w:r>
      <w:r w:rsidRPr="00A77855">
        <w:rPr>
          <w:rFonts w:cs="Arial"/>
          <w:color w:val="000000"/>
        </w:rPr>
        <w:t xml:space="preserve"> </w:t>
      </w:r>
      <w:r w:rsidR="00A77855" w:rsidRPr="00A77855">
        <w:rPr>
          <w:rFonts w:cs="Arial"/>
          <w:color w:val="000000"/>
        </w:rPr>
        <w:t>From</w:t>
      </w:r>
      <w:r w:rsidRPr="00A77855">
        <w:t xml:space="preserve"> </w:t>
      </w:r>
      <w:r w:rsidR="00C32BC5" w:rsidRPr="00A77855">
        <w:rPr>
          <w:rFonts w:ascii="Calibri" w:hAnsi="Calibri"/>
          <w:sz w:val="24"/>
          <w:szCs w:val="24"/>
        </w:rPr>
        <w:t>[3]</w:t>
      </w:r>
      <w:r w:rsidR="00A77855" w:rsidRPr="00A77855">
        <w:rPr>
          <w:rFonts w:cs="Arial"/>
          <w:color w:val="000000"/>
        </w:rPr>
        <w:t xml:space="preserve"> </w:t>
      </w:r>
      <w:r w:rsidRPr="00A77855">
        <w:rPr>
          <w:rFonts w:cs="Arial"/>
          <w:color w:val="000000"/>
        </w:rPr>
        <w:t>with kind permission from Springer Science and Business Media.</w:t>
      </w:r>
    </w:p>
    <w:p w14:paraId="13712F14" w14:textId="77777777" w:rsidR="00C349D2" w:rsidRPr="00DB1D7C" w:rsidRDefault="00C349D2" w:rsidP="00745620">
      <w:pPr>
        <w:rPr>
          <w:rFonts w:ascii="Calibri" w:hAnsi="Calibri"/>
          <w:sz w:val="24"/>
          <w:szCs w:val="24"/>
        </w:rPr>
      </w:pPr>
    </w:p>
    <w:p w14:paraId="021ACAAD" w14:textId="6E5FA9F9" w:rsidR="00835263" w:rsidRPr="00DB1D7C" w:rsidRDefault="00C349D2" w:rsidP="004665D8">
      <w:pPr>
        <w:spacing w:line="276" w:lineRule="auto"/>
        <w:rPr>
          <w:rFonts w:ascii="Calibri" w:hAnsi="Calibri"/>
          <w:sz w:val="24"/>
          <w:szCs w:val="24"/>
        </w:rPr>
      </w:pPr>
      <w:r w:rsidRPr="00DB1D7C">
        <w:rPr>
          <w:rFonts w:ascii="Calibri" w:hAnsi="Calibri"/>
          <w:sz w:val="24"/>
          <w:szCs w:val="24"/>
        </w:rPr>
        <w:t xml:space="preserve">The problem of consistency with the use of a fixed FRAX threshold is not unique to FRAX.  The same problem arises with fixed BMD thresholds in that the fracture probability in men and women with a fixed T-score is also age </w:t>
      </w:r>
      <w:r w:rsidRPr="00453D85">
        <w:rPr>
          <w:rFonts w:ascii="Calibri" w:hAnsi="Calibri"/>
          <w:sz w:val="24"/>
          <w:szCs w:val="24"/>
        </w:rPr>
        <w:t xml:space="preserve">dependent (see Figure </w:t>
      </w:r>
      <w:r w:rsidR="00453D85" w:rsidRPr="00453D85">
        <w:rPr>
          <w:rFonts w:ascii="Calibri" w:hAnsi="Calibri"/>
          <w:sz w:val="24"/>
          <w:szCs w:val="24"/>
        </w:rPr>
        <w:t>21</w:t>
      </w:r>
      <w:r w:rsidRPr="00453D85">
        <w:rPr>
          <w:rFonts w:ascii="Calibri" w:hAnsi="Calibri"/>
          <w:sz w:val="24"/>
          <w:szCs w:val="24"/>
        </w:rPr>
        <w:t>).</w:t>
      </w:r>
      <w:r w:rsidRPr="00DB1D7C">
        <w:rPr>
          <w:rFonts w:ascii="Calibri" w:hAnsi="Calibri"/>
          <w:sz w:val="24"/>
          <w:szCs w:val="24"/>
        </w:rPr>
        <w:t xml:space="preserve"> </w:t>
      </w:r>
    </w:p>
    <w:p w14:paraId="77D75348" w14:textId="43487D0A" w:rsidR="00745620" w:rsidRPr="00A77855" w:rsidRDefault="00745620" w:rsidP="004665D8">
      <w:pPr>
        <w:spacing w:line="276" w:lineRule="auto"/>
        <w:rPr>
          <w:rFonts w:ascii="Calibri" w:hAnsi="Calibri"/>
          <w:sz w:val="24"/>
          <w:szCs w:val="24"/>
        </w:rPr>
      </w:pPr>
      <w:r w:rsidRPr="00DB1D7C">
        <w:rPr>
          <w:rFonts w:ascii="Calibri" w:hAnsi="Calibri"/>
          <w:sz w:val="24"/>
          <w:szCs w:val="24"/>
        </w:rPr>
        <w:t xml:space="preserve">These considerations support the avoidance of the use of a fixed FRAX intervention threshold as the principal gateway to fracture risk assessment.  This is one of the reasons why fixed thresholds form but one component of more complex assessment models.  The prime </w:t>
      </w:r>
      <w:r w:rsidRPr="00A77855">
        <w:rPr>
          <w:rFonts w:ascii="Calibri" w:hAnsi="Calibri"/>
          <w:sz w:val="24"/>
          <w:szCs w:val="24"/>
        </w:rPr>
        <w:t xml:space="preserve">examples are in the US and Japan where the use of FRAX is confined to individuals with osteopenia </w:t>
      </w:r>
      <w:r w:rsidR="008546A7" w:rsidRPr="00A77855">
        <w:rPr>
          <w:rFonts w:ascii="Calibri" w:hAnsi="Calibri"/>
          <w:sz w:val="24"/>
          <w:szCs w:val="24"/>
        </w:rPr>
        <w:t>[</w:t>
      </w:r>
      <w:r w:rsidR="00A77855" w:rsidRPr="00A77855">
        <w:rPr>
          <w:rFonts w:ascii="Calibri" w:hAnsi="Calibri"/>
          <w:sz w:val="24"/>
          <w:szCs w:val="24"/>
        </w:rPr>
        <w:t xml:space="preserve">30, </w:t>
      </w:r>
      <w:r w:rsidR="008546A7" w:rsidRPr="00A77855">
        <w:rPr>
          <w:rFonts w:ascii="Calibri" w:hAnsi="Calibri"/>
          <w:sz w:val="24"/>
          <w:szCs w:val="24"/>
        </w:rPr>
        <w:t>31</w:t>
      </w:r>
      <w:r w:rsidR="00A77855" w:rsidRPr="00A77855">
        <w:rPr>
          <w:rFonts w:ascii="Calibri" w:hAnsi="Calibri"/>
          <w:sz w:val="24"/>
          <w:szCs w:val="24"/>
        </w:rPr>
        <w:t>].</w:t>
      </w:r>
      <w:r w:rsidRPr="00A77855">
        <w:rPr>
          <w:rFonts w:ascii="Calibri" w:hAnsi="Calibri"/>
          <w:sz w:val="24"/>
          <w:szCs w:val="24"/>
        </w:rPr>
        <w:t xml:space="preserve">  A second reason is that, where there have been established guidelines for many years, there has been a reluctance to disturb historical precedent </w:t>
      </w:r>
      <w:r w:rsidR="00AA1209" w:rsidRPr="00A77855">
        <w:rPr>
          <w:rFonts w:ascii="Calibri" w:hAnsi="Calibri"/>
          <w:sz w:val="24"/>
          <w:szCs w:val="24"/>
        </w:rPr>
        <w:t xml:space="preserve">with potential consequences </w:t>
      </w:r>
      <w:r w:rsidR="009B5F39" w:rsidRPr="00A77855">
        <w:rPr>
          <w:rFonts w:ascii="Calibri" w:hAnsi="Calibri"/>
          <w:sz w:val="24"/>
          <w:szCs w:val="24"/>
        </w:rPr>
        <w:t>for</w:t>
      </w:r>
      <w:r w:rsidR="00AA1209" w:rsidRPr="00A77855">
        <w:rPr>
          <w:rFonts w:ascii="Calibri" w:hAnsi="Calibri"/>
          <w:sz w:val="24"/>
          <w:szCs w:val="24"/>
        </w:rPr>
        <w:t xml:space="preserve"> regulatory approval or reimbursement. Rather, FRAX has been fitted into the historical guidelines</w:t>
      </w:r>
      <w:r w:rsidR="009B5F39" w:rsidRPr="00A77855">
        <w:rPr>
          <w:rFonts w:ascii="Calibri" w:hAnsi="Calibri"/>
          <w:sz w:val="24"/>
          <w:szCs w:val="24"/>
        </w:rPr>
        <w:t>.</w:t>
      </w:r>
      <w:r w:rsidRPr="00A77855">
        <w:rPr>
          <w:rFonts w:ascii="Calibri" w:hAnsi="Calibri"/>
          <w:sz w:val="24"/>
          <w:szCs w:val="24"/>
        </w:rPr>
        <w:t xml:space="preserve">  </w:t>
      </w:r>
    </w:p>
    <w:p w14:paraId="47388ECA" w14:textId="2C78A324" w:rsidR="00835263" w:rsidRPr="00DB1D7C" w:rsidRDefault="00745620" w:rsidP="004665D8">
      <w:pPr>
        <w:spacing w:line="276" w:lineRule="auto"/>
        <w:rPr>
          <w:rFonts w:ascii="Calibri" w:hAnsi="Calibri"/>
          <w:sz w:val="24"/>
          <w:szCs w:val="24"/>
        </w:rPr>
      </w:pPr>
      <w:r w:rsidRPr="00A77855">
        <w:rPr>
          <w:rFonts w:ascii="Calibri" w:hAnsi="Calibri"/>
          <w:sz w:val="24"/>
          <w:szCs w:val="24"/>
        </w:rPr>
        <w:t xml:space="preserve">Although fixed thresholds are not used as the principal gateway to treatment, </w:t>
      </w:r>
      <w:r w:rsidR="00CE6D4B" w:rsidRPr="00A77855">
        <w:rPr>
          <w:rFonts w:ascii="Calibri" w:hAnsi="Calibri"/>
          <w:sz w:val="24"/>
          <w:szCs w:val="24"/>
        </w:rPr>
        <w:t>FRAX (without the inclusion of BMD) is recommended</w:t>
      </w:r>
      <w:r w:rsidRPr="00A77855">
        <w:rPr>
          <w:rFonts w:ascii="Calibri" w:hAnsi="Calibri"/>
          <w:sz w:val="24"/>
          <w:szCs w:val="24"/>
        </w:rPr>
        <w:t xml:space="preserve"> as a screening tool to direct the use of subsequent BMD testing</w:t>
      </w:r>
      <w:r w:rsidR="00CE6D4B" w:rsidRPr="00A77855">
        <w:rPr>
          <w:rFonts w:ascii="Calibri" w:hAnsi="Calibri"/>
          <w:sz w:val="24"/>
          <w:szCs w:val="24"/>
        </w:rPr>
        <w:t xml:space="preserve"> by the ACR and SIGN</w:t>
      </w:r>
      <w:r w:rsidRPr="00A77855">
        <w:rPr>
          <w:rFonts w:ascii="Calibri" w:hAnsi="Calibri"/>
          <w:sz w:val="24"/>
          <w:szCs w:val="24"/>
        </w:rPr>
        <w:t xml:space="preserve"> </w:t>
      </w:r>
      <w:r w:rsidR="00DF05BE" w:rsidRPr="00A77855">
        <w:rPr>
          <w:rFonts w:ascii="Calibri" w:hAnsi="Calibri"/>
          <w:sz w:val="24"/>
          <w:szCs w:val="24"/>
        </w:rPr>
        <w:t>[</w:t>
      </w:r>
      <w:r w:rsidR="00A77855" w:rsidRPr="00A77855">
        <w:rPr>
          <w:rFonts w:ascii="Calibri" w:hAnsi="Calibri"/>
          <w:sz w:val="24"/>
          <w:szCs w:val="24"/>
        </w:rPr>
        <w:t xml:space="preserve">32, </w:t>
      </w:r>
      <w:r w:rsidR="00DF05BE" w:rsidRPr="00A77855">
        <w:rPr>
          <w:rFonts w:ascii="Calibri" w:hAnsi="Calibri"/>
          <w:sz w:val="24"/>
          <w:szCs w:val="24"/>
        </w:rPr>
        <w:t>113]</w:t>
      </w:r>
      <w:r w:rsidRPr="00A77855">
        <w:rPr>
          <w:rFonts w:ascii="Calibri" w:hAnsi="Calibri"/>
          <w:sz w:val="24"/>
          <w:szCs w:val="24"/>
        </w:rPr>
        <w:t>,</w:t>
      </w:r>
      <w:r w:rsidR="002032B3" w:rsidRPr="00A77855">
        <w:rPr>
          <w:rFonts w:ascii="Calibri" w:hAnsi="Calibri"/>
          <w:sz w:val="24"/>
          <w:szCs w:val="24"/>
        </w:rPr>
        <w:t xml:space="preserve"> as well as </w:t>
      </w:r>
      <w:r w:rsidR="004635EE" w:rsidRPr="00A77855">
        <w:rPr>
          <w:rFonts w:ascii="Calibri" w:hAnsi="Calibri"/>
          <w:sz w:val="24"/>
          <w:szCs w:val="24"/>
        </w:rPr>
        <w:t xml:space="preserve">in </w:t>
      </w:r>
      <w:r w:rsidR="002032B3" w:rsidRPr="00A77855">
        <w:rPr>
          <w:rFonts w:ascii="Calibri" w:hAnsi="Calibri"/>
          <w:sz w:val="24"/>
          <w:szCs w:val="24"/>
        </w:rPr>
        <w:t xml:space="preserve">an academic paper from Japan </w:t>
      </w:r>
      <w:r w:rsidR="009942B6" w:rsidRPr="00A77855">
        <w:rPr>
          <w:rFonts w:ascii="Calibri" w:hAnsi="Calibri"/>
          <w:sz w:val="24"/>
          <w:szCs w:val="24"/>
        </w:rPr>
        <w:t>[83]</w:t>
      </w:r>
      <w:r w:rsidR="00AA1209" w:rsidRPr="00A77855">
        <w:rPr>
          <w:rFonts w:ascii="Calibri" w:hAnsi="Calibri"/>
          <w:sz w:val="24"/>
          <w:szCs w:val="24"/>
        </w:rPr>
        <w:t xml:space="preserve">.  </w:t>
      </w:r>
      <w:r w:rsidR="00CE6D4B" w:rsidRPr="00A77855">
        <w:rPr>
          <w:rFonts w:ascii="Calibri" w:hAnsi="Calibri"/>
          <w:sz w:val="24"/>
          <w:szCs w:val="24"/>
        </w:rPr>
        <w:t>Since</w:t>
      </w:r>
      <w:r w:rsidR="00835263" w:rsidRPr="00A77855">
        <w:rPr>
          <w:rFonts w:ascii="Calibri" w:hAnsi="Calibri"/>
          <w:sz w:val="24"/>
          <w:szCs w:val="24"/>
        </w:rPr>
        <w:t xml:space="preserve"> the detection of osteoporosis is the goal, then </w:t>
      </w:r>
      <w:r w:rsidR="00CE6D4B" w:rsidRPr="00A77855">
        <w:rPr>
          <w:rFonts w:ascii="Calibri" w:hAnsi="Calibri"/>
          <w:sz w:val="24"/>
          <w:szCs w:val="24"/>
        </w:rPr>
        <w:t>it is inappropriate</w:t>
      </w:r>
      <w:r w:rsidR="00835263" w:rsidRPr="00A77855">
        <w:rPr>
          <w:rFonts w:ascii="Calibri" w:hAnsi="Calibri"/>
          <w:sz w:val="24"/>
          <w:szCs w:val="24"/>
        </w:rPr>
        <w:t xml:space="preserve"> </w:t>
      </w:r>
      <w:r w:rsidR="00CE6D4B" w:rsidRPr="00A77855">
        <w:rPr>
          <w:rFonts w:ascii="Calibri" w:hAnsi="Calibri"/>
          <w:sz w:val="24"/>
          <w:szCs w:val="24"/>
        </w:rPr>
        <w:t>to use FRAX</w:t>
      </w:r>
      <w:r w:rsidR="00915887" w:rsidRPr="00A77855">
        <w:rPr>
          <w:rFonts w:ascii="Calibri" w:hAnsi="Calibri"/>
          <w:sz w:val="24"/>
          <w:szCs w:val="24"/>
        </w:rPr>
        <w:t>,</w:t>
      </w:r>
      <w:r w:rsidR="00CE6D4B" w:rsidRPr="00A77855">
        <w:rPr>
          <w:rFonts w:ascii="Calibri" w:hAnsi="Calibri"/>
          <w:sz w:val="24"/>
          <w:szCs w:val="24"/>
        </w:rPr>
        <w:t xml:space="preserve"> which is </w:t>
      </w:r>
      <w:r w:rsidR="00835263" w:rsidRPr="00A77855">
        <w:rPr>
          <w:rFonts w:ascii="Calibri" w:hAnsi="Calibri"/>
          <w:sz w:val="24"/>
          <w:szCs w:val="24"/>
        </w:rPr>
        <w:t xml:space="preserve">designed for the prediction of fracture </w:t>
      </w:r>
      <w:r w:rsidR="00CE6D4B" w:rsidRPr="00A77855">
        <w:rPr>
          <w:rFonts w:ascii="Calibri" w:hAnsi="Calibri"/>
          <w:sz w:val="24"/>
          <w:szCs w:val="24"/>
        </w:rPr>
        <w:t xml:space="preserve">but not </w:t>
      </w:r>
      <w:r w:rsidR="00A77855" w:rsidRPr="00A77855">
        <w:rPr>
          <w:rFonts w:ascii="Calibri" w:hAnsi="Calibri"/>
          <w:sz w:val="24"/>
          <w:szCs w:val="24"/>
        </w:rPr>
        <w:t xml:space="preserve">osteoporosis </w:t>
      </w:r>
      <w:r w:rsidR="00A77855" w:rsidRPr="00A77855">
        <w:rPr>
          <w:sz w:val="24"/>
          <w:szCs w:val="24"/>
        </w:rPr>
        <w:t>[</w:t>
      </w:r>
      <w:r w:rsidR="003E244A" w:rsidRPr="00A77855">
        <w:rPr>
          <w:sz w:val="24"/>
          <w:szCs w:val="24"/>
        </w:rPr>
        <w:t>13]</w:t>
      </w:r>
      <w:r w:rsidR="00CE6D4B" w:rsidRPr="00A77855">
        <w:rPr>
          <w:rFonts w:ascii="Calibri" w:hAnsi="Calibri"/>
          <w:sz w:val="24"/>
          <w:szCs w:val="24"/>
        </w:rPr>
        <w:t xml:space="preserve">.  Indeed </w:t>
      </w:r>
      <w:r w:rsidR="00835263" w:rsidRPr="00A77855">
        <w:rPr>
          <w:rFonts w:ascii="Calibri" w:hAnsi="Calibri"/>
          <w:sz w:val="24"/>
          <w:szCs w:val="24"/>
        </w:rPr>
        <w:t xml:space="preserve">there are more appropriate tools available for the detection of osteoporosis </w:t>
      </w:r>
      <w:r w:rsidR="009942B6" w:rsidRPr="00A77855">
        <w:rPr>
          <w:rFonts w:ascii="Calibri" w:hAnsi="Calibri"/>
          <w:sz w:val="24"/>
          <w:szCs w:val="24"/>
        </w:rPr>
        <w:t>[</w:t>
      </w:r>
      <w:r w:rsidR="00A77855" w:rsidRPr="00A77855">
        <w:rPr>
          <w:rFonts w:ascii="Calibri" w:hAnsi="Calibri"/>
          <w:sz w:val="24"/>
          <w:szCs w:val="24"/>
        </w:rPr>
        <w:t>8,</w:t>
      </w:r>
      <w:r w:rsidR="009942B6" w:rsidRPr="00A77855">
        <w:rPr>
          <w:rFonts w:ascii="Calibri" w:hAnsi="Calibri"/>
          <w:sz w:val="24"/>
          <w:szCs w:val="24"/>
        </w:rPr>
        <w:t>192</w:t>
      </w:r>
      <w:r w:rsidR="00A77855" w:rsidRPr="00A77855">
        <w:rPr>
          <w:rFonts w:ascii="Calibri" w:hAnsi="Calibri"/>
          <w:sz w:val="24"/>
          <w:szCs w:val="24"/>
        </w:rPr>
        <w:t>].</w:t>
      </w:r>
      <w:r w:rsidR="00835263" w:rsidRPr="00A77855">
        <w:rPr>
          <w:rFonts w:ascii="Calibri" w:hAnsi="Calibri"/>
          <w:sz w:val="24"/>
          <w:szCs w:val="24"/>
        </w:rPr>
        <w:t xml:space="preserve">  In one study, for example, the sensitivity of FRAX (i.e. the detection rate for osteoporosis) at </w:t>
      </w:r>
      <w:r w:rsidR="00DA1C0D" w:rsidRPr="00A77855">
        <w:rPr>
          <w:rFonts w:ascii="Calibri" w:hAnsi="Calibri"/>
          <w:sz w:val="24"/>
          <w:szCs w:val="24"/>
        </w:rPr>
        <w:t>a</w:t>
      </w:r>
      <w:r w:rsidR="00835263" w:rsidRPr="00A77855">
        <w:rPr>
          <w:rFonts w:ascii="Calibri" w:hAnsi="Calibri"/>
          <w:sz w:val="24"/>
          <w:szCs w:val="24"/>
        </w:rPr>
        <w:t xml:space="preserve"> similar </w:t>
      </w:r>
      <w:r w:rsidR="00DA1C0D" w:rsidRPr="00A77855">
        <w:rPr>
          <w:rFonts w:ascii="Calibri" w:hAnsi="Calibri"/>
          <w:sz w:val="24"/>
          <w:szCs w:val="24"/>
        </w:rPr>
        <w:t>probability</w:t>
      </w:r>
      <w:r w:rsidR="00835263" w:rsidRPr="00A77855">
        <w:rPr>
          <w:rFonts w:ascii="Calibri" w:hAnsi="Calibri"/>
          <w:sz w:val="24"/>
          <w:szCs w:val="24"/>
        </w:rPr>
        <w:t xml:space="preserve"> threshold</w:t>
      </w:r>
      <w:r w:rsidR="00DA1C0D" w:rsidRPr="00A77855">
        <w:rPr>
          <w:rFonts w:ascii="Calibri" w:hAnsi="Calibri"/>
          <w:sz w:val="24"/>
          <w:szCs w:val="24"/>
        </w:rPr>
        <w:t xml:space="preserve"> as used by SIGN and the </w:t>
      </w:r>
      <w:r w:rsidR="00B262CB" w:rsidRPr="00A77855">
        <w:rPr>
          <w:rFonts w:ascii="Calibri" w:hAnsi="Calibri"/>
          <w:sz w:val="24"/>
          <w:szCs w:val="24"/>
        </w:rPr>
        <w:t>US Preventive Services Task Force</w:t>
      </w:r>
      <w:r w:rsidR="00835263" w:rsidRPr="00A77855">
        <w:rPr>
          <w:rFonts w:ascii="Calibri" w:hAnsi="Calibri"/>
          <w:sz w:val="24"/>
          <w:szCs w:val="24"/>
        </w:rPr>
        <w:t xml:space="preserve"> (</w:t>
      </w:r>
      <w:r w:rsidR="00DA1C0D" w:rsidRPr="00A77855">
        <w:rPr>
          <w:rFonts w:ascii="Calibri" w:hAnsi="Calibri"/>
          <w:sz w:val="24"/>
          <w:szCs w:val="24"/>
        </w:rPr>
        <w:t xml:space="preserve">10 and </w:t>
      </w:r>
      <w:r w:rsidR="00835263" w:rsidRPr="00A77855">
        <w:rPr>
          <w:rFonts w:ascii="Calibri" w:hAnsi="Calibri"/>
          <w:sz w:val="24"/>
          <w:szCs w:val="24"/>
        </w:rPr>
        <w:t>9.3</w:t>
      </w:r>
      <w:r w:rsidR="00915887" w:rsidRPr="00A77855">
        <w:rPr>
          <w:rFonts w:ascii="Calibri" w:hAnsi="Calibri"/>
          <w:sz w:val="24"/>
          <w:szCs w:val="24"/>
        </w:rPr>
        <w:t xml:space="preserve"> </w:t>
      </w:r>
      <w:r w:rsidR="00835263" w:rsidRPr="00A77855">
        <w:rPr>
          <w:rFonts w:ascii="Calibri" w:hAnsi="Calibri"/>
          <w:sz w:val="24"/>
          <w:szCs w:val="24"/>
        </w:rPr>
        <w:t>%</w:t>
      </w:r>
      <w:r w:rsidR="00DA1C0D" w:rsidRPr="00A77855">
        <w:rPr>
          <w:rFonts w:ascii="Calibri" w:hAnsi="Calibri"/>
          <w:sz w:val="24"/>
          <w:szCs w:val="24"/>
        </w:rPr>
        <w:t>, respectively</w:t>
      </w:r>
      <w:r w:rsidR="00835263" w:rsidRPr="00A77855">
        <w:rPr>
          <w:rFonts w:ascii="Calibri" w:hAnsi="Calibri"/>
          <w:sz w:val="24"/>
          <w:szCs w:val="24"/>
        </w:rPr>
        <w:t>) was 33.3</w:t>
      </w:r>
      <w:r w:rsidR="00915887" w:rsidRPr="00A77855">
        <w:rPr>
          <w:rFonts w:ascii="Calibri" w:hAnsi="Calibri"/>
          <w:sz w:val="24"/>
          <w:szCs w:val="24"/>
        </w:rPr>
        <w:t xml:space="preserve"> </w:t>
      </w:r>
      <w:r w:rsidR="00835263" w:rsidRPr="00A77855">
        <w:rPr>
          <w:rFonts w:ascii="Calibri" w:hAnsi="Calibri"/>
          <w:sz w:val="24"/>
          <w:szCs w:val="24"/>
        </w:rPr>
        <w:t xml:space="preserve">% whereas the Osteoporosis Self-Assessment Tool (OST) </w:t>
      </w:r>
      <w:r w:rsidR="009942B6" w:rsidRPr="00A77855">
        <w:rPr>
          <w:rFonts w:ascii="Calibri" w:hAnsi="Calibri"/>
          <w:sz w:val="24"/>
          <w:szCs w:val="24"/>
        </w:rPr>
        <w:t>[130]</w:t>
      </w:r>
      <w:r w:rsidR="00835263" w:rsidRPr="00A77855">
        <w:rPr>
          <w:rFonts w:ascii="Calibri" w:hAnsi="Calibri"/>
          <w:sz w:val="24"/>
          <w:szCs w:val="24"/>
        </w:rPr>
        <w:t xml:space="preserve"> had, in the same population, a sensitivity of 79.3</w:t>
      </w:r>
      <w:r w:rsidR="00915887" w:rsidRPr="00A77855">
        <w:rPr>
          <w:rFonts w:ascii="Calibri" w:hAnsi="Calibri"/>
          <w:sz w:val="24"/>
          <w:szCs w:val="24"/>
        </w:rPr>
        <w:t xml:space="preserve"> </w:t>
      </w:r>
      <w:r w:rsidR="00835263" w:rsidRPr="00A77855">
        <w:rPr>
          <w:rFonts w:ascii="Calibri" w:hAnsi="Calibri"/>
          <w:sz w:val="24"/>
          <w:szCs w:val="24"/>
        </w:rPr>
        <w:t xml:space="preserve">% </w:t>
      </w:r>
      <w:r w:rsidR="00D04784" w:rsidRPr="00A77855">
        <w:rPr>
          <w:rFonts w:ascii="Calibri" w:hAnsi="Calibri"/>
          <w:sz w:val="24"/>
          <w:szCs w:val="24"/>
        </w:rPr>
        <w:t>[</w:t>
      </w:r>
      <w:r w:rsidR="00A77855" w:rsidRPr="00A77855">
        <w:rPr>
          <w:rFonts w:ascii="Calibri" w:hAnsi="Calibri"/>
          <w:sz w:val="24"/>
          <w:szCs w:val="24"/>
        </w:rPr>
        <w:t xml:space="preserve">127, </w:t>
      </w:r>
      <w:r w:rsidR="00D04784" w:rsidRPr="00A77855">
        <w:rPr>
          <w:rFonts w:ascii="Calibri" w:hAnsi="Calibri"/>
          <w:sz w:val="24"/>
          <w:szCs w:val="24"/>
        </w:rPr>
        <w:t>128]</w:t>
      </w:r>
      <w:r w:rsidR="00A77855" w:rsidRPr="00A77855">
        <w:rPr>
          <w:rFonts w:ascii="Calibri" w:hAnsi="Calibri"/>
          <w:sz w:val="24"/>
          <w:szCs w:val="24"/>
        </w:rPr>
        <w:t xml:space="preserve">. </w:t>
      </w:r>
      <w:r w:rsidR="00835263" w:rsidRPr="00A77855">
        <w:rPr>
          <w:rFonts w:ascii="Calibri" w:hAnsi="Calibri"/>
          <w:sz w:val="24"/>
          <w:szCs w:val="24"/>
        </w:rPr>
        <w:t xml:space="preserve"> Sensitivities</w:t>
      </w:r>
      <w:r w:rsidR="00835263" w:rsidRPr="00DB1D7C">
        <w:rPr>
          <w:rFonts w:ascii="Calibri" w:hAnsi="Calibri"/>
          <w:sz w:val="24"/>
          <w:szCs w:val="24"/>
        </w:rPr>
        <w:t xml:space="preserve"> in the </w:t>
      </w:r>
      <w:r w:rsidR="00835263" w:rsidRPr="00DB1D7C">
        <w:rPr>
          <w:rFonts w:ascii="Calibri" w:hAnsi="Calibri"/>
          <w:sz w:val="24"/>
          <w:szCs w:val="24"/>
        </w:rPr>
        <w:lastRenderedPageBreak/>
        <w:t>order of 90</w:t>
      </w:r>
      <w:r w:rsidR="00E8657B">
        <w:rPr>
          <w:rFonts w:ascii="Calibri" w:hAnsi="Calibri"/>
          <w:sz w:val="24"/>
          <w:szCs w:val="24"/>
        </w:rPr>
        <w:t xml:space="preserve"> </w:t>
      </w:r>
      <w:r w:rsidR="00835263" w:rsidRPr="00DB1D7C">
        <w:rPr>
          <w:rFonts w:ascii="Calibri" w:hAnsi="Calibri"/>
          <w:sz w:val="24"/>
          <w:szCs w:val="24"/>
        </w:rPr>
        <w:t xml:space="preserve">% or more are reported in </w:t>
      </w:r>
      <w:r w:rsidR="00835263" w:rsidRPr="00A77855">
        <w:rPr>
          <w:rFonts w:ascii="Calibri" w:hAnsi="Calibri"/>
          <w:sz w:val="24"/>
          <w:szCs w:val="24"/>
        </w:rPr>
        <w:t xml:space="preserve">other populations </w:t>
      </w:r>
      <w:r w:rsidR="00755086" w:rsidRPr="00A77855">
        <w:rPr>
          <w:rFonts w:ascii="Calibri" w:hAnsi="Calibri"/>
          <w:sz w:val="24"/>
          <w:szCs w:val="24"/>
        </w:rPr>
        <w:t>[8]</w:t>
      </w:r>
      <w:r w:rsidR="00835263" w:rsidRPr="00A77855">
        <w:rPr>
          <w:rFonts w:ascii="Calibri" w:hAnsi="Calibri"/>
          <w:sz w:val="24"/>
          <w:szCs w:val="24"/>
        </w:rPr>
        <w:t xml:space="preserve">. Moreover these instruments are easier to administer than FRAX; OST is calculated only from weight and age.  If the intention of screening had been to identify women at a high risk, then a fracture risk assessment algorithm would the appropriate tool.  In this context, </w:t>
      </w:r>
      <w:r w:rsidR="00DA1C0D" w:rsidRPr="00A77855">
        <w:rPr>
          <w:rFonts w:ascii="Calibri" w:hAnsi="Calibri"/>
          <w:sz w:val="24"/>
          <w:szCs w:val="24"/>
        </w:rPr>
        <w:t xml:space="preserve">it is worth noting that </w:t>
      </w:r>
      <w:r w:rsidR="00835263" w:rsidRPr="00A77855">
        <w:rPr>
          <w:rFonts w:ascii="Calibri" w:hAnsi="Calibri"/>
          <w:sz w:val="24"/>
          <w:szCs w:val="24"/>
        </w:rPr>
        <w:t xml:space="preserve">FRAX outperforms OST for fracture prediction </w:t>
      </w:r>
      <w:r w:rsidR="00755086" w:rsidRPr="00A77855">
        <w:rPr>
          <w:rFonts w:ascii="Calibri" w:hAnsi="Calibri"/>
          <w:sz w:val="24"/>
          <w:szCs w:val="24"/>
        </w:rPr>
        <w:t>[8]</w:t>
      </w:r>
      <w:r w:rsidR="00A77855" w:rsidRPr="00A77855">
        <w:rPr>
          <w:rFonts w:ascii="Calibri" w:hAnsi="Calibri"/>
          <w:sz w:val="24"/>
          <w:szCs w:val="24"/>
        </w:rPr>
        <w:t>.</w:t>
      </w:r>
    </w:p>
    <w:p w14:paraId="3FE7A883" w14:textId="77777777" w:rsidR="00376742" w:rsidRPr="00DB1D7C" w:rsidRDefault="00376742" w:rsidP="004665D8">
      <w:pPr>
        <w:spacing w:line="276" w:lineRule="auto"/>
        <w:rPr>
          <w:rFonts w:ascii="Calibri" w:hAnsi="Calibri"/>
          <w:sz w:val="24"/>
          <w:szCs w:val="24"/>
        </w:rPr>
      </w:pPr>
    </w:p>
    <w:p w14:paraId="2356A14A" w14:textId="48B5853C" w:rsidR="00376742" w:rsidRPr="00DB1D7C" w:rsidRDefault="00376742" w:rsidP="004665D8">
      <w:pPr>
        <w:spacing w:line="276" w:lineRule="auto"/>
        <w:rPr>
          <w:rFonts w:ascii="Calibri" w:hAnsi="Calibri"/>
          <w:b/>
          <w:sz w:val="24"/>
          <w:szCs w:val="24"/>
        </w:rPr>
      </w:pPr>
      <w:r w:rsidRPr="00DB1D7C">
        <w:rPr>
          <w:rFonts w:ascii="Calibri" w:hAnsi="Calibri"/>
          <w:b/>
          <w:sz w:val="24"/>
          <w:szCs w:val="24"/>
        </w:rPr>
        <w:t xml:space="preserve"> </w:t>
      </w:r>
      <w:r w:rsidR="00AA1209" w:rsidRPr="00DB1D7C">
        <w:rPr>
          <w:rFonts w:ascii="Calibri" w:hAnsi="Calibri"/>
          <w:b/>
          <w:sz w:val="24"/>
          <w:szCs w:val="24"/>
        </w:rPr>
        <w:t>Setting fixed FRAX thresholds</w:t>
      </w:r>
    </w:p>
    <w:p w14:paraId="316C73A4" w14:textId="33EA3A9D" w:rsidR="002A54C6" w:rsidRPr="002A1E50" w:rsidRDefault="009B5F39" w:rsidP="004665D8">
      <w:pPr>
        <w:spacing w:line="276" w:lineRule="auto"/>
        <w:rPr>
          <w:rFonts w:ascii="Calibri" w:hAnsi="Calibri"/>
          <w:sz w:val="24"/>
          <w:szCs w:val="24"/>
        </w:rPr>
      </w:pPr>
      <w:r w:rsidRPr="00DB1D7C">
        <w:rPr>
          <w:rFonts w:ascii="Calibri" w:hAnsi="Calibri"/>
          <w:sz w:val="24"/>
          <w:szCs w:val="24"/>
        </w:rPr>
        <w:t>A variety of approaches ha</w:t>
      </w:r>
      <w:r w:rsidR="00BE2FB0">
        <w:rPr>
          <w:rFonts w:ascii="Calibri" w:hAnsi="Calibri"/>
          <w:sz w:val="24"/>
          <w:szCs w:val="24"/>
        </w:rPr>
        <w:t>s</w:t>
      </w:r>
      <w:r w:rsidRPr="00DB1D7C">
        <w:rPr>
          <w:rFonts w:ascii="Calibri" w:hAnsi="Calibri"/>
          <w:sz w:val="24"/>
          <w:szCs w:val="24"/>
        </w:rPr>
        <w:t xml:space="preserve"> been used to set intervention thresholds.  Relatively few publications provide an explanation of the manner </w:t>
      </w:r>
      <w:r w:rsidR="00BE2FB0">
        <w:rPr>
          <w:rFonts w:ascii="Calibri" w:hAnsi="Calibri"/>
          <w:sz w:val="24"/>
          <w:szCs w:val="24"/>
        </w:rPr>
        <w:t>in</w:t>
      </w:r>
      <w:r w:rsidRPr="00DB1D7C">
        <w:rPr>
          <w:rFonts w:ascii="Calibri" w:hAnsi="Calibri"/>
          <w:sz w:val="24"/>
          <w:szCs w:val="24"/>
        </w:rPr>
        <w:t xml:space="preserve"> which they have been derived.  Those noted in this review </w:t>
      </w:r>
      <w:r w:rsidRPr="002A1E50">
        <w:rPr>
          <w:rFonts w:ascii="Calibri" w:hAnsi="Calibri"/>
          <w:sz w:val="24"/>
          <w:szCs w:val="24"/>
        </w:rPr>
        <w:t xml:space="preserve">are summarised in Table </w:t>
      </w:r>
      <w:r w:rsidR="00461F15" w:rsidRPr="002A1E50">
        <w:rPr>
          <w:rFonts w:ascii="Calibri" w:hAnsi="Calibri"/>
          <w:sz w:val="24"/>
          <w:szCs w:val="24"/>
        </w:rPr>
        <w:t>14</w:t>
      </w:r>
      <w:r w:rsidRPr="002A1E50">
        <w:rPr>
          <w:rFonts w:ascii="Calibri" w:hAnsi="Calibri"/>
          <w:sz w:val="24"/>
          <w:szCs w:val="24"/>
        </w:rPr>
        <w:t xml:space="preserve">. </w:t>
      </w:r>
      <w:r w:rsidR="00B262CB" w:rsidRPr="002A1E50">
        <w:rPr>
          <w:rFonts w:ascii="Calibri" w:hAnsi="Calibri"/>
          <w:sz w:val="24"/>
          <w:szCs w:val="24"/>
        </w:rPr>
        <w:t xml:space="preserve"> Apart from the US Preventive Services Task Force thresholds that are used for screening, there are nine relevant publication</w:t>
      </w:r>
      <w:r w:rsidR="00782C12" w:rsidRPr="002A1E50">
        <w:rPr>
          <w:rFonts w:ascii="Calibri" w:hAnsi="Calibri"/>
          <w:sz w:val="24"/>
          <w:szCs w:val="24"/>
        </w:rPr>
        <w:t>s</w:t>
      </w:r>
      <w:r w:rsidR="0094412E">
        <w:rPr>
          <w:rFonts w:ascii="Calibri" w:hAnsi="Calibri"/>
          <w:sz w:val="24"/>
          <w:szCs w:val="24"/>
        </w:rPr>
        <w:t xml:space="preserve"> which provide a rationale for the intervention threshold</w:t>
      </w:r>
      <w:r w:rsidR="00782C12" w:rsidRPr="002A1E50">
        <w:rPr>
          <w:rFonts w:ascii="Calibri" w:hAnsi="Calibri"/>
          <w:sz w:val="24"/>
          <w:szCs w:val="24"/>
        </w:rPr>
        <w:t xml:space="preserve">.  </w:t>
      </w:r>
      <w:r w:rsidR="00BE2FB0">
        <w:rPr>
          <w:rFonts w:ascii="Calibri" w:hAnsi="Calibri"/>
          <w:sz w:val="24"/>
          <w:szCs w:val="24"/>
        </w:rPr>
        <w:t>Notably,</w:t>
      </w:r>
      <w:r w:rsidR="00782C12" w:rsidRPr="002A1E50">
        <w:rPr>
          <w:rFonts w:ascii="Calibri" w:hAnsi="Calibri"/>
          <w:sz w:val="24"/>
          <w:szCs w:val="24"/>
        </w:rPr>
        <w:t xml:space="preserve"> only two of these have been incorporated in official guidelines (Lebanon and NOF). </w:t>
      </w:r>
    </w:p>
    <w:p w14:paraId="5173837C" w14:textId="6FE2870E" w:rsidR="009B5F39" w:rsidRPr="00DB1D7C" w:rsidRDefault="009B5F39" w:rsidP="009B5F39">
      <w:pPr>
        <w:spacing w:after="0"/>
        <w:rPr>
          <w:rFonts w:ascii="Calibri" w:hAnsi="Calibri"/>
          <w:b/>
        </w:rPr>
      </w:pPr>
      <w:r w:rsidRPr="002A1E50">
        <w:rPr>
          <w:rFonts w:ascii="Calibri" w:hAnsi="Calibri"/>
          <w:b/>
        </w:rPr>
        <w:t xml:space="preserve">Table </w:t>
      </w:r>
      <w:r w:rsidR="00461F15" w:rsidRPr="002A1E50">
        <w:rPr>
          <w:rFonts w:ascii="Calibri" w:hAnsi="Calibri"/>
          <w:b/>
        </w:rPr>
        <w:t>14</w:t>
      </w:r>
      <w:r w:rsidRPr="002A1E50">
        <w:rPr>
          <w:rFonts w:ascii="Calibri" w:hAnsi="Calibri"/>
          <w:b/>
        </w:rPr>
        <w:t xml:space="preserve">.  </w:t>
      </w:r>
      <w:r w:rsidRPr="002A1E50">
        <w:rPr>
          <w:rFonts w:ascii="Calibri" w:hAnsi="Calibri"/>
        </w:rPr>
        <w:t>Interventio</w:t>
      </w:r>
      <w:r w:rsidRPr="00DB1D7C">
        <w:rPr>
          <w:rFonts w:ascii="Calibri" w:hAnsi="Calibri"/>
        </w:rPr>
        <w:t>n thresholds explored or adopted using a fixed FRAX probability for a major osteoporotic fracture (MOF) or hip fracture (HF).</w:t>
      </w:r>
    </w:p>
    <w:tbl>
      <w:tblPr>
        <w:tblStyle w:val="TableGrid"/>
        <w:tblW w:w="949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16"/>
        <w:gridCol w:w="3270"/>
        <w:gridCol w:w="1134"/>
        <w:gridCol w:w="1129"/>
        <w:gridCol w:w="992"/>
        <w:gridCol w:w="284"/>
        <w:gridCol w:w="992"/>
      </w:tblGrid>
      <w:tr w:rsidR="00B60D7F" w:rsidRPr="00DB1D7C" w14:paraId="32BC5698" w14:textId="26DC9FE0" w:rsidTr="00FD0159">
        <w:trPr>
          <w:gridAfter w:val="1"/>
          <w:wAfter w:w="992" w:type="dxa"/>
        </w:trPr>
        <w:tc>
          <w:tcPr>
            <w:tcW w:w="1276" w:type="dxa"/>
          </w:tcPr>
          <w:p w14:paraId="578800CA" w14:textId="77777777" w:rsidR="00B60D7F" w:rsidRPr="00DB1D7C" w:rsidRDefault="00B60D7F" w:rsidP="00782C12">
            <w:pPr>
              <w:spacing w:before="240"/>
            </w:pPr>
          </w:p>
        </w:tc>
        <w:tc>
          <w:tcPr>
            <w:tcW w:w="416" w:type="dxa"/>
          </w:tcPr>
          <w:p w14:paraId="17932FEF" w14:textId="77777777" w:rsidR="00B60D7F" w:rsidRPr="00DB1D7C" w:rsidRDefault="00B60D7F" w:rsidP="00782C12">
            <w:pPr>
              <w:spacing w:before="240"/>
            </w:pPr>
          </w:p>
        </w:tc>
        <w:tc>
          <w:tcPr>
            <w:tcW w:w="3270" w:type="dxa"/>
          </w:tcPr>
          <w:p w14:paraId="04A2A28B" w14:textId="77777777" w:rsidR="00B60D7F" w:rsidRPr="00DB1D7C" w:rsidRDefault="00B60D7F" w:rsidP="00782C12">
            <w:pPr>
              <w:spacing w:before="240"/>
            </w:pPr>
          </w:p>
        </w:tc>
        <w:tc>
          <w:tcPr>
            <w:tcW w:w="1134" w:type="dxa"/>
          </w:tcPr>
          <w:p w14:paraId="6E42633E" w14:textId="77777777" w:rsidR="00B60D7F" w:rsidRPr="00DB1D7C" w:rsidRDefault="00B60D7F" w:rsidP="00782C12">
            <w:pPr>
              <w:spacing w:before="240"/>
            </w:pPr>
          </w:p>
        </w:tc>
        <w:tc>
          <w:tcPr>
            <w:tcW w:w="2405" w:type="dxa"/>
            <w:gridSpan w:val="3"/>
            <w:tcBorders>
              <w:top w:val="single" w:sz="4" w:space="0" w:color="auto"/>
              <w:bottom w:val="single" w:sz="4" w:space="0" w:color="auto"/>
            </w:tcBorders>
          </w:tcPr>
          <w:p w14:paraId="78EE1F9A" w14:textId="649FEE64" w:rsidR="00B60D7F" w:rsidRPr="00DB1D7C" w:rsidRDefault="00B60D7F" w:rsidP="00782C12">
            <w:pPr>
              <w:spacing w:before="240"/>
              <w:jc w:val="center"/>
            </w:pPr>
            <w:r w:rsidRPr="00DB1D7C">
              <w:t>Threshold (%)</w:t>
            </w:r>
          </w:p>
        </w:tc>
      </w:tr>
      <w:tr w:rsidR="00782C12" w:rsidRPr="00DB1D7C" w14:paraId="43701BC8" w14:textId="623F3EDE" w:rsidTr="00B60D7F">
        <w:tc>
          <w:tcPr>
            <w:tcW w:w="1276" w:type="dxa"/>
            <w:tcBorders>
              <w:bottom w:val="single" w:sz="4" w:space="0" w:color="auto"/>
            </w:tcBorders>
          </w:tcPr>
          <w:p w14:paraId="7E52E0C7" w14:textId="77777777" w:rsidR="00A01DBE" w:rsidRPr="00DB1D7C" w:rsidRDefault="00A01DBE" w:rsidP="00782C12">
            <w:pPr>
              <w:spacing w:before="240"/>
            </w:pPr>
            <w:r w:rsidRPr="00DB1D7C">
              <w:t>Country</w:t>
            </w:r>
          </w:p>
        </w:tc>
        <w:tc>
          <w:tcPr>
            <w:tcW w:w="416" w:type="dxa"/>
            <w:tcBorders>
              <w:bottom w:val="single" w:sz="4" w:space="0" w:color="auto"/>
            </w:tcBorders>
          </w:tcPr>
          <w:p w14:paraId="4C863125" w14:textId="77777777" w:rsidR="00A01DBE" w:rsidRPr="00DB1D7C" w:rsidRDefault="00A01DBE" w:rsidP="00782C12">
            <w:pPr>
              <w:spacing w:before="240"/>
            </w:pPr>
          </w:p>
        </w:tc>
        <w:tc>
          <w:tcPr>
            <w:tcW w:w="3270" w:type="dxa"/>
            <w:tcBorders>
              <w:bottom w:val="single" w:sz="4" w:space="0" w:color="auto"/>
            </w:tcBorders>
          </w:tcPr>
          <w:p w14:paraId="53184636" w14:textId="77777777" w:rsidR="00A01DBE" w:rsidRPr="00DB1D7C" w:rsidRDefault="00A01DBE" w:rsidP="00782C12">
            <w:pPr>
              <w:spacing w:before="240"/>
            </w:pPr>
            <w:r w:rsidRPr="00DB1D7C">
              <w:t>Source</w:t>
            </w:r>
          </w:p>
        </w:tc>
        <w:tc>
          <w:tcPr>
            <w:tcW w:w="1134" w:type="dxa"/>
            <w:tcBorders>
              <w:bottom w:val="single" w:sz="4" w:space="0" w:color="auto"/>
            </w:tcBorders>
          </w:tcPr>
          <w:p w14:paraId="654A636D" w14:textId="77777777" w:rsidR="00A01DBE" w:rsidRPr="00DB1D7C" w:rsidRDefault="00A01DBE" w:rsidP="00782C12">
            <w:pPr>
              <w:spacing w:before="240"/>
            </w:pPr>
            <w:r w:rsidRPr="00DB1D7C">
              <w:t>Reference</w:t>
            </w:r>
          </w:p>
        </w:tc>
        <w:tc>
          <w:tcPr>
            <w:tcW w:w="1129" w:type="dxa"/>
            <w:tcBorders>
              <w:top w:val="single" w:sz="4" w:space="0" w:color="auto"/>
              <w:bottom w:val="single" w:sz="4" w:space="0" w:color="auto"/>
            </w:tcBorders>
          </w:tcPr>
          <w:p w14:paraId="71D53652" w14:textId="77777777" w:rsidR="00A01DBE" w:rsidRPr="00DB1D7C" w:rsidRDefault="00A01DBE" w:rsidP="00782C12">
            <w:pPr>
              <w:spacing w:before="240"/>
              <w:jc w:val="center"/>
            </w:pPr>
            <w:r w:rsidRPr="00DB1D7C">
              <w:t>MOF</w:t>
            </w:r>
          </w:p>
        </w:tc>
        <w:tc>
          <w:tcPr>
            <w:tcW w:w="992" w:type="dxa"/>
            <w:tcBorders>
              <w:top w:val="single" w:sz="4" w:space="0" w:color="auto"/>
              <w:bottom w:val="single" w:sz="4" w:space="0" w:color="auto"/>
            </w:tcBorders>
          </w:tcPr>
          <w:p w14:paraId="1B91CCF2" w14:textId="77777777" w:rsidR="00A01DBE" w:rsidRPr="00DB1D7C" w:rsidRDefault="00A01DBE" w:rsidP="00782C12">
            <w:pPr>
              <w:spacing w:before="240"/>
              <w:jc w:val="center"/>
            </w:pPr>
            <w:r w:rsidRPr="00DB1D7C">
              <w:t>HF</w:t>
            </w:r>
          </w:p>
        </w:tc>
        <w:tc>
          <w:tcPr>
            <w:tcW w:w="1276" w:type="dxa"/>
            <w:gridSpan w:val="2"/>
            <w:tcBorders>
              <w:bottom w:val="single" w:sz="4" w:space="0" w:color="auto"/>
            </w:tcBorders>
          </w:tcPr>
          <w:p w14:paraId="2F5BC874" w14:textId="4CE20EE8" w:rsidR="00A01DBE" w:rsidRPr="00DB1D7C" w:rsidRDefault="00A01DBE" w:rsidP="00782C12">
            <w:pPr>
              <w:spacing w:before="240"/>
              <w:jc w:val="center"/>
            </w:pPr>
            <w:r w:rsidRPr="00DB1D7C">
              <w:t>Adoption</w:t>
            </w:r>
          </w:p>
        </w:tc>
      </w:tr>
      <w:tr w:rsidR="00782C12" w:rsidRPr="00DB1D7C" w14:paraId="600C9A03" w14:textId="6F25E301" w:rsidTr="00B60D7F">
        <w:tc>
          <w:tcPr>
            <w:tcW w:w="1276" w:type="dxa"/>
            <w:tcBorders>
              <w:top w:val="single" w:sz="4" w:space="0" w:color="auto"/>
            </w:tcBorders>
          </w:tcPr>
          <w:p w14:paraId="68DBB6E2" w14:textId="6CFCEABD" w:rsidR="00A01DBE" w:rsidRPr="00DB1D7C" w:rsidRDefault="00A01DBE" w:rsidP="00782C12">
            <w:pPr>
              <w:spacing w:before="240"/>
            </w:pPr>
            <w:r w:rsidRPr="00DB1D7C">
              <w:t>Greece</w:t>
            </w:r>
            <w:r w:rsidRPr="00DB1D7C">
              <w:rPr>
                <w:vertAlign w:val="superscript"/>
              </w:rPr>
              <w:t xml:space="preserve"> </w:t>
            </w:r>
            <w:r w:rsidR="00891738" w:rsidRPr="00DB1D7C">
              <w:rPr>
                <w:vertAlign w:val="superscript"/>
              </w:rPr>
              <w:t>a</w:t>
            </w:r>
          </w:p>
        </w:tc>
        <w:tc>
          <w:tcPr>
            <w:tcW w:w="416" w:type="dxa"/>
            <w:tcBorders>
              <w:top w:val="single" w:sz="4" w:space="0" w:color="auto"/>
            </w:tcBorders>
          </w:tcPr>
          <w:p w14:paraId="5003F7A8" w14:textId="77777777" w:rsidR="00A01DBE" w:rsidRPr="00DB1D7C" w:rsidRDefault="00A01DBE" w:rsidP="00782C12">
            <w:pPr>
              <w:spacing w:before="240"/>
            </w:pPr>
          </w:p>
        </w:tc>
        <w:tc>
          <w:tcPr>
            <w:tcW w:w="3270" w:type="dxa"/>
            <w:tcBorders>
              <w:top w:val="single" w:sz="4" w:space="0" w:color="auto"/>
            </w:tcBorders>
            <w:shd w:val="clear" w:color="auto" w:fill="auto"/>
          </w:tcPr>
          <w:p w14:paraId="4340D607" w14:textId="77777777" w:rsidR="00A01DBE" w:rsidRPr="00DB1D7C" w:rsidRDefault="00A01DBE" w:rsidP="00782C12">
            <w:pPr>
              <w:spacing w:before="240"/>
            </w:pPr>
            <w:r w:rsidRPr="00DB1D7C">
              <w:t>Academia</w:t>
            </w:r>
          </w:p>
        </w:tc>
        <w:tc>
          <w:tcPr>
            <w:tcW w:w="1134" w:type="dxa"/>
            <w:tcBorders>
              <w:top w:val="single" w:sz="4" w:space="0" w:color="auto"/>
            </w:tcBorders>
            <w:shd w:val="clear" w:color="auto" w:fill="auto"/>
          </w:tcPr>
          <w:p w14:paraId="295F96E6" w14:textId="01479059" w:rsidR="00A01DBE" w:rsidRPr="00B60D7F" w:rsidRDefault="00B83E1B" w:rsidP="00B60D7F">
            <w:pPr>
              <w:spacing w:before="240"/>
              <w:jc w:val="center"/>
            </w:pPr>
            <w:r w:rsidRPr="00B60D7F">
              <w:t xml:space="preserve"> [80]</w:t>
            </w:r>
          </w:p>
        </w:tc>
        <w:tc>
          <w:tcPr>
            <w:tcW w:w="1129" w:type="dxa"/>
            <w:tcBorders>
              <w:top w:val="single" w:sz="4" w:space="0" w:color="auto"/>
            </w:tcBorders>
          </w:tcPr>
          <w:p w14:paraId="20959D05" w14:textId="48C9F82C" w:rsidR="00A01DBE" w:rsidRPr="00DB1D7C" w:rsidRDefault="00A01DBE" w:rsidP="00782C12">
            <w:pPr>
              <w:spacing w:before="240"/>
              <w:jc w:val="center"/>
            </w:pPr>
            <w:r w:rsidRPr="00DB1D7C">
              <w:t>10, 15</w:t>
            </w:r>
          </w:p>
        </w:tc>
        <w:tc>
          <w:tcPr>
            <w:tcW w:w="992" w:type="dxa"/>
            <w:tcBorders>
              <w:top w:val="single" w:sz="4" w:space="0" w:color="auto"/>
            </w:tcBorders>
          </w:tcPr>
          <w:p w14:paraId="1C541093" w14:textId="07429571" w:rsidR="00A01DBE" w:rsidRPr="00DB1D7C" w:rsidRDefault="00A01DBE" w:rsidP="00782C12">
            <w:pPr>
              <w:spacing w:before="240"/>
              <w:jc w:val="center"/>
            </w:pPr>
            <w:r w:rsidRPr="00DB1D7C">
              <w:t>2.5, 5</w:t>
            </w:r>
          </w:p>
        </w:tc>
        <w:tc>
          <w:tcPr>
            <w:tcW w:w="1276" w:type="dxa"/>
            <w:gridSpan w:val="2"/>
            <w:tcBorders>
              <w:top w:val="single" w:sz="4" w:space="0" w:color="auto"/>
            </w:tcBorders>
          </w:tcPr>
          <w:p w14:paraId="1B82878A" w14:textId="1762AC68" w:rsidR="00A01DBE" w:rsidRPr="00DB1D7C" w:rsidRDefault="00A01DBE" w:rsidP="00782C12">
            <w:pPr>
              <w:spacing w:before="240"/>
              <w:jc w:val="center"/>
            </w:pPr>
            <w:r w:rsidRPr="00DB1D7C">
              <w:t>No</w:t>
            </w:r>
          </w:p>
        </w:tc>
      </w:tr>
      <w:tr w:rsidR="00EB48F3" w:rsidRPr="00DB1D7C" w14:paraId="6DEF9384" w14:textId="77777777" w:rsidTr="00B60D7F">
        <w:tc>
          <w:tcPr>
            <w:tcW w:w="1276" w:type="dxa"/>
          </w:tcPr>
          <w:p w14:paraId="6586F431" w14:textId="6B196B5B" w:rsidR="00EB48F3" w:rsidRPr="00DB1D7C" w:rsidRDefault="00EB48F3" w:rsidP="00EB48F3">
            <w:pPr>
              <w:spacing w:before="240"/>
            </w:pPr>
            <w:r w:rsidRPr="00DB1D7C">
              <w:t>China</w:t>
            </w:r>
          </w:p>
        </w:tc>
        <w:tc>
          <w:tcPr>
            <w:tcW w:w="416" w:type="dxa"/>
          </w:tcPr>
          <w:p w14:paraId="0552EC0C" w14:textId="7F6CE8F6" w:rsidR="00EB48F3" w:rsidRPr="00DB1D7C" w:rsidRDefault="00EB48F3" w:rsidP="00EB48F3">
            <w:pPr>
              <w:spacing w:before="240"/>
            </w:pPr>
          </w:p>
        </w:tc>
        <w:tc>
          <w:tcPr>
            <w:tcW w:w="3270" w:type="dxa"/>
          </w:tcPr>
          <w:p w14:paraId="59363F95" w14:textId="526FA1DA" w:rsidR="00EB48F3" w:rsidRPr="00DB1D7C" w:rsidRDefault="00EB48F3" w:rsidP="00EB48F3">
            <w:pPr>
              <w:spacing w:before="240"/>
            </w:pPr>
            <w:r w:rsidRPr="00DB1D7C">
              <w:t>Academia</w:t>
            </w:r>
          </w:p>
        </w:tc>
        <w:tc>
          <w:tcPr>
            <w:tcW w:w="1134" w:type="dxa"/>
            <w:shd w:val="clear" w:color="auto" w:fill="auto"/>
          </w:tcPr>
          <w:p w14:paraId="11320BF3" w14:textId="10E77CE0" w:rsidR="00EB48F3" w:rsidRPr="00B60D7F" w:rsidRDefault="00B83E1B" w:rsidP="00B60D7F">
            <w:pPr>
              <w:spacing w:before="240"/>
              <w:jc w:val="center"/>
            </w:pPr>
            <w:r w:rsidRPr="00B60D7F">
              <w:t xml:space="preserve"> [75]</w:t>
            </w:r>
          </w:p>
        </w:tc>
        <w:tc>
          <w:tcPr>
            <w:tcW w:w="1129" w:type="dxa"/>
          </w:tcPr>
          <w:p w14:paraId="4801346E" w14:textId="427A7933" w:rsidR="00EB48F3" w:rsidRPr="00DB1D7C" w:rsidRDefault="00EB48F3" w:rsidP="00EB48F3">
            <w:pPr>
              <w:spacing w:before="240"/>
              <w:jc w:val="center"/>
            </w:pPr>
            <w:r w:rsidRPr="00DB1D7C">
              <w:t>4</w:t>
            </w:r>
          </w:p>
        </w:tc>
        <w:tc>
          <w:tcPr>
            <w:tcW w:w="992" w:type="dxa"/>
          </w:tcPr>
          <w:p w14:paraId="714540EA" w14:textId="6F887A2F" w:rsidR="00EB48F3" w:rsidRPr="00DB1D7C" w:rsidRDefault="00EB48F3" w:rsidP="00EB48F3">
            <w:pPr>
              <w:spacing w:before="240"/>
              <w:jc w:val="center"/>
            </w:pPr>
            <w:r w:rsidRPr="00DB1D7C">
              <w:t>1.3</w:t>
            </w:r>
          </w:p>
        </w:tc>
        <w:tc>
          <w:tcPr>
            <w:tcW w:w="1276" w:type="dxa"/>
            <w:gridSpan w:val="2"/>
          </w:tcPr>
          <w:p w14:paraId="08D852DD" w14:textId="61C4430D" w:rsidR="00EB48F3" w:rsidRPr="00DB1D7C" w:rsidRDefault="00EB48F3" w:rsidP="00EB48F3">
            <w:pPr>
              <w:spacing w:before="240"/>
              <w:jc w:val="center"/>
            </w:pPr>
            <w:r w:rsidRPr="00DB1D7C">
              <w:t>No</w:t>
            </w:r>
          </w:p>
        </w:tc>
      </w:tr>
      <w:tr w:rsidR="00EB48F3" w:rsidRPr="00DB1D7C" w14:paraId="4DB17354" w14:textId="79967B71" w:rsidTr="00B60D7F">
        <w:tc>
          <w:tcPr>
            <w:tcW w:w="1276" w:type="dxa"/>
          </w:tcPr>
          <w:p w14:paraId="5E7D5149" w14:textId="77777777" w:rsidR="00EB48F3" w:rsidRPr="00DB1D7C" w:rsidRDefault="00EB48F3" w:rsidP="00EB48F3">
            <w:pPr>
              <w:spacing w:before="240"/>
            </w:pPr>
            <w:r w:rsidRPr="00DB1D7C">
              <w:t>Hong Kong</w:t>
            </w:r>
          </w:p>
        </w:tc>
        <w:tc>
          <w:tcPr>
            <w:tcW w:w="416" w:type="dxa"/>
          </w:tcPr>
          <w:p w14:paraId="08A44274" w14:textId="77777777" w:rsidR="00EB48F3" w:rsidRPr="00DB1D7C" w:rsidRDefault="00EB48F3" w:rsidP="00EB48F3">
            <w:pPr>
              <w:spacing w:before="240"/>
            </w:pPr>
          </w:p>
        </w:tc>
        <w:tc>
          <w:tcPr>
            <w:tcW w:w="3270" w:type="dxa"/>
          </w:tcPr>
          <w:p w14:paraId="209602F5" w14:textId="77777777" w:rsidR="00EB48F3" w:rsidRPr="00DB1D7C" w:rsidRDefault="00EB48F3" w:rsidP="00EB48F3">
            <w:pPr>
              <w:spacing w:before="240"/>
            </w:pPr>
            <w:r w:rsidRPr="00DB1D7C">
              <w:t>Academia</w:t>
            </w:r>
          </w:p>
        </w:tc>
        <w:tc>
          <w:tcPr>
            <w:tcW w:w="1134" w:type="dxa"/>
            <w:shd w:val="clear" w:color="auto" w:fill="auto"/>
          </w:tcPr>
          <w:p w14:paraId="35FC27ED" w14:textId="056B8074" w:rsidR="00EB48F3" w:rsidRPr="00B60D7F" w:rsidRDefault="00B83E1B" w:rsidP="00B60D7F">
            <w:pPr>
              <w:spacing w:before="240"/>
              <w:jc w:val="center"/>
            </w:pPr>
            <w:r w:rsidRPr="00B60D7F">
              <w:t xml:space="preserve"> [81]</w:t>
            </w:r>
          </w:p>
        </w:tc>
        <w:tc>
          <w:tcPr>
            <w:tcW w:w="1129" w:type="dxa"/>
          </w:tcPr>
          <w:p w14:paraId="25948E69" w14:textId="77777777" w:rsidR="00EB48F3" w:rsidRPr="00DB1D7C" w:rsidRDefault="00EB48F3" w:rsidP="00EB48F3">
            <w:pPr>
              <w:spacing w:before="240"/>
              <w:jc w:val="center"/>
            </w:pPr>
            <w:r w:rsidRPr="00DB1D7C">
              <w:t>9.95</w:t>
            </w:r>
          </w:p>
        </w:tc>
        <w:tc>
          <w:tcPr>
            <w:tcW w:w="992" w:type="dxa"/>
          </w:tcPr>
          <w:p w14:paraId="4F28076B" w14:textId="77777777" w:rsidR="00EB48F3" w:rsidRPr="00DB1D7C" w:rsidRDefault="00EB48F3" w:rsidP="00EB48F3">
            <w:pPr>
              <w:spacing w:before="240"/>
              <w:jc w:val="center"/>
            </w:pPr>
          </w:p>
        </w:tc>
        <w:tc>
          <w:tcPr>
            <w:tcW w:w="1276" w:type="dxa"/>
            <w:gridSpan w:val="2"/>
          </w:tcPr>
          <w:p w14:paraId="1D0A94BD" w14:textId="6AD3C2AE" w:rsidR="00EB48F3" w:rsidRPr="00DB1D7C" w:rsidRDefault="00EB48F3" w:rsidP="00EB48F3">
            <w:pPr>
              <w:spacing w:before="240"/>
              <w:jc w:val="center"/>
            </w:pPr>
            <w:r w:rsidRPr="00DB1D7C">
              <w:t xml:space="preserve">No </w:t>
            </w:r>
            <w:r w:rsidRPr="00DB1D7C">
              <w:rPr>
                <w:vertAlign w:val="superscript"/>
              </w:rPr>
              <w:t>e</w:t>
            </w:r>
          </w:p>
        </w:tc>
      </w:tr>
      <w:tr w:rsidR="00EB48F3" w:rsidRPr="00DB1D7C" w14:paraId="2DB1C9AB" w14:textId="39F8E5B6" w:rsidTr="00B60D7F">
        <w:tc>
          <w:tcPr>
            <w:tcW w:w="1276" w:type="dxa"/>
          </w:tcPr>
          <w:p w14:paraId="3E913FE7" w14:textId="458E7299" w:rsidR="00EB48F3" w:rsidRPr="00DB1D7C" w:rsidRDefault="00EB48F3" w:rsidP="00EB48F3">
            <w:pPr>
              <w:spacing w:before="240"/>
            </w:pPr>
            <w:r w:rsidRPr="00DB1D7C">
              <w:t>Lebanon</w:t>
            </w:r>
            <w:r w:rsidRPr="00DB1D7C">
              <w:rPr>
                <w:vertAlign w:val="superscript"/>
              </w:rPr>
              <w:t xml:space="preserve"> b</w:t>
            </w:r>
          </w:p>
        </w:tc>
        <w:tc>
          <w:tcPr>
            <w:tcW w:w="416" w:type="dxa"/>
          </w:tcPr>
          <w:p w14:paraId="654D591B" w14:textId="77777777" w:rsidR="00EB48F3" w:rsidRPr="00DB1D7C" w:rsidRDefault="00EB48F3" w:rsidP="00EB48F3">
            <w:pPr>
              <w:spacing w:before="240"/>
            </w:pPr>
          </w:p>
        </w:tc>
        <w:tc>
          <w:tcPr>
            <w:tcW w:w="3270" w:type="dxa"/>
          </w:tcPr>
          <w:p w14:paraId="636058FE" w14:textId="0374EB77" w:rsidR="00EB48F3" w:rsidRPr="00DB1D7C" w:rsidRDefault="00EB48F3" w:rsidP="00EB48F3">
            <w:pPr>
              <w:spacing w:before="240"/>
            </w:pPr>
            <w:r w:rsidRPr="00DB1D7C">
              <w:t xml:space="preserve">Ministry of </w:t>
            </w:r>
            <w:r w:rsidR="000E3CE9">
              <w:t xml:space="preserve">Public </w:t>
            </w:r>
            <w:r w:rsidRPr="00DB1D7C">
              <w:t>Health</w:t>
            </w:r>
          </w:p>
        </w:tc>
        <w:tc>
          <w:tcPr>
            <w:tcW w:w="1134" w:type="dxa"/>
            <w:shd w:val="clear" w:color="auto" w:fill="auto"/>
          </w:tcPr>
          <w:p w14:paraId="0242EF9B" w14:textId="4F82F6F5" w:rsidR="00EB48F3" w:rsidRPr="00B60D7F" w:rsidRDefault="00B83E1B" w:rsidP="00B60D7F">
            <w:pPr>
              <w:spacing w:before="240"/>
              <w:jc w:val="center"/>
            </w:pPr>
            <w:r w:rsidRPr="00B60D7F">
              <w:t xml:space="preserve"> [84]</w:t>
            </w:r>
          </w:p>
        </w:tc>
        <w:tc>
          <w:tcPr>
            <w:tcW w:w="1129" w:type="dxa"/>
          </w:tcPr>
          <w:p w14:paraId="5CEEACED" w14:textId="77777777" w:rsidR="00EB48F3" w:rsidRPr="00DB1D7C" w:rsidRDefault="00EB48F3" w:rsidP="00EB48F3">
            <w:pPr>
              <w:spacing w:before="240"/>
              <w:jc w:val="center"/>
            </w:pPr>
            <w:r w:rsidRPr="00DB1D7C">
              <w:t>10</w:t>
            </w:r>
          </w:p>
        </w:tc>
        <w:tc>
          <w:tcPr>
            <w:tcW w:w="992" w:type="dxa"/>
          </w:tcPr>
          <w:p w14:paraId="4B6CF2F7" w14:textId="77777777" w:rsidR="00EB48F3" w:rsidRPr="00DB1D7C" w:rsidRDefault="00EB48F3" w:rsidP="00EB48F3">
            <w:pPr>
              <w:spacing w:before="240"/>
              <w:jc w:val="center"/>
            </w:pPr>
          </w:p>
        </w:tc>
        <w:tc>
          <w:tcPr>
            <w:tcW w:w="1276" w:type="dxa"/>
            <w:gridSpan w:val="2"/>
          </w:tcPr>
          <w:p w14:paraId="1C9142CC" w14:textId="311B417A" w:rsidR="00EB48F3" w:rsidRPr="00DB1D7C" w:rsidRDefault="00EB48F3" w:rsidP="00EB48F3">
            <w:pPr>
              <w:spacing w:before="240"/>
              <w:jc w:val="center"/>
            </w:pPr>
            <w:r w:rsidRPr="00DB1D7C">
              <w:t>Yes</w:t>
            </w:r>
          </w:p>
        </w:tc>
      </w:tr>
      <w:tr w:rsidR="00EB48F3" w:rsidRPr="00DB1D7C" w14:paraId="7D0915E6" w14:textId="0BBC511F" w:rsidTr="00B60D7F">
        <w:tc>
          <w:tcPr>
            <w:tcW w:w="1276" w:type="dxa"/>
          </w:tcPr>
          <w:p w14:paraId="014B77E5" w14:textId="77777777" w:rsidR="00EB48F3" w:rsidRPr="00DB1D7C" w:rsidRDefault="00EB48F3" w:rsidP="00EB48F3">
            <w:pPr>
              <w:spacing w:before="240"/>
            </w:pPr>
            <w:r w:rsidRPr="00DB1D7C">
              <w:t>Poland</w:t>
            </w:r>
          </w:p>
        </w:tc>
        <w:tc>
          <w:tcPr>
            <w:tcW w:w="416" w:type="dxa"/>
          </w:tcPr>
          <w:p w14:paraId="47434656" w14:textId="77777777" w:rsidR="00EB48F3" w:rsidRPr="00DB1D7C" w:rsidRDefault="00EB48F3" w:rsidP="00EB48F3">
            <w:pPr>
              <w:spacing w:before="240"/>
            </w:pPr>
          </w:p>
        </w:tc>
        <w:tc>
          <w:tcPr>
            <w:tcW w:w="3270" w:type="dxa"/>
          </w:tcPr>
          <w:p w14:paraId="7AEE2948" w14:textId="77777777" w:rsidR="00EB48F3" w:rsidRPr="00DB1D7C" w:rsidRDefault="00EB48F3" w:rsidP="00EB48F3">
            <w:pPr>
              <w:spacing w:before="240"/>
            </w:pPr>
            <w:r w:rsidRPr="00DB1D7C">
              <w:t>Academia</w:t>
            </w:r>
          </w:p>
        </w:tc>
        <w:tc>
          <w:tcPr>
            <w:tcW w:w="1134" w:type="dxa"/>
            <w:shd w:val="clear" w:color="auto" w:fill="auto"/>
          </w:tcPr>
          <w:p w14:paraId="1DB2A4DF" w14:textId="5429175F" w:rsidR="00EB48F3" w:rsidRPr="00B60D7F" w:rsidRDefault="00A77855" w:rsidP="00B60D7F">
            <w:pPr>
              <w:spacing w:before="240"/>
              <w:jc w:val="center"/>
            </w:pPr>
            <w:r w:rsidRPr="00B60D7F">
              <w:rPr>
                <w:rFonts w:ascii="Calibri" w:hAnsi="Calibri"/>
                <w:sz w:val="24"/>
                <w:szCs w:val="24"/>
              </w:rPr>
              <w:t xml:space="preserve"> </w:t>
            </w:r>
            <w:r w:rsidR="00C2079F" w:rsidRPr="00B60D7F">
              <w:rPr>
                <w:rFonts w:ascii="Calibri" w:hAnsi="Calibri"/>
                <w:sz w:val="24"/>
                <w:szCs w:val="24"/>
              </w:rPr>
              <w:t>[89]</w:t>
            </w:r>
          </w:p>
        </w:tc>
        <w:tc>
          <w:tcPr>
            <w:tcW w:w="1129" w:type="dxa"/>
          </w:tcPr>
          <w:p w14:paraId="696BC046" w14:textId="77777777" w:rsidR="00EB48F3" w:rsidRPr="00DB1D7C" w:rsidRDefault="00EB48F3" w:rsidP="00EB48F3">
            <w:pPr>
              <w:spacing w:before="240"/>
              <w:jc w:val="center"/>
            </w:pPr>
            <w:r w:rsidRPr="00DB1D7C">
              <w:t>11.6, 17.4</w:t>
            </w:r>
          </w:p>
        </w:tc>
        <w:tc>
          <w:tcPr>
            <w:tcW w:w="992" w:type="dxa"/>
          </w:tcPr>
          <w:p w14:paraId="65BC1F49" w14:textId="2AF08E58" w:rsidR="00EB48F3" w:rsidRPr="00DB1D7C" w:rsidRDefault="00EB48F3" w:rsidP="00EB48F3">
            <w:pPr>
              <w:spacing w:before="240"/>
              <w:jc w:val="center"/>
            </w:pPr>
          </w:p>
        </w:tc>
        <w:tc>
          <w:tcPr>
            <w:tcW w:w="1276" w:type="dxa"/>
            <w:gridSpan w:val="2"/>
          </w:tcPr>
          <w:p w14:paraId="5280D0E7" w14:textId="58E07C7A" w:rsidR="00EB48F3" w:rsidRPr="00DB1D7C" w:rsidRDefault="00EB48F3" w:rsidP="00EB48F3">
            <w:pPr>
              <w:spacing w:before="240"/>
              <w:jc w:val="center"/>
            </w:pPr>
            <w:r w:rsidRPr="00DB1D7C">
              <w:t xml:space="preserve">No </w:t>
            </w:r>
            <w:r w:rsidRPr="00DB1D7C">
              <w:rPr>
                <w:vertAlign w:val="superscript"/>
              </w:rPr>
              <w:t>e</w:t>
            </w:r>
          </w:p>
        </w:tc>
      </w:tr>
      <w:tr w:rsidR="00EB48F3" w:rsidRPr="00DB1D7C" w14:paraId="5B68E2D4" w14:textId="32DB0210" w:rsidTr="00B60D7F">
        <w:tc>
          <w:tcPr>
            <w:tcW w:w="1276" w:type="dxa"/>
          </w:tcPr>
          <w:p w14:paraId="12E66AAC" w14:textId="77777777" w:rsidR="00EB48F3" w:rsidRPr="00DB1D7C" w:rsidRDefault="00EB48F3" w:rsidP="00EB48F3">
            <w:pPr>
              <w:spacing w:before="240"/>
            </w:pPr>
            <w:r w:rsidRPr="00DB1D7C">
              <w:t>Switzerland</w:t>
            </w:r>
          </w:p>
        </w:tc>
        <w:tc>
          <w:tcPr>
            <w:tcW w:w="416" w:type="dxa"/>
          </w:tcPr>
          <w:p w14:paraId="2C96F717" w14:textId="77777777" w:rsidR="00EB48F3" w:rsidRPr="00DB1D7C" w:rsidRDefault="00EB48F3" w:rsidP="00EB48F3">
            <w:pPr>
              <w:spacing w:before="240"/>
            </w:pPr>
          </w:p>
        </w:tc>
        <w:tc>
          <w:tcPr>
            <w:tcW w:w="3270" w:type="dxa"/>
          </w:tcPr>
          <w:p w14:paraId="36920672" w14:textId="77777777" w:rsidR="00EB48F3" w:rsidRPr="00DB1D7C" w:rsidRDefault="00EB48F3" w:rsidP="00EB48F3">
            <w:pPr>
              <w:spacing w:before="240"/>
            </w:pPr>
            <w:r w:rsidRPr="00DB1D7C">
              <w:t>Academia</w:t>
            </w:r>
          </w:p>
        </w:tc>
        <w:tc>
          <w:tcPr>
            <w:tcW w:w="1134" w:type="dxa"/>
            <w:shd w:val="clear" w:color="auto" w:fill="auto"/>
          </w:tcPr>
          <w:p w14:paraId="1B0E1C22" w14:textId="4E8144C2" w:rsidR="00EB48F3" w:rsidRPr="00B60D7F" w:rsidRDefault="00B83E1B" w:rsidP="00B60D7F">
            <w:pPr>
              <w:spacing w:before="240"/>
              <w:jc w:val="center"/>
            </w:pPr>
            <w:r w:rsidRPr="00B60D7F">
              <w:t xml:space="preserve"> [105]</w:t>
            </w:r>
          </w:p>
        </w:tc>
        <w:tc>
          <w:tcPr>
            <w:tcW w:w="1129" w:type="dxa"/>
          </w:tcPr>
          <w:p w14:paraId="0759FA3B" w14:textId="77777777" w:rsidR="00EB48F3" w:rsidRPr="00DB1D7C" w:rsidRDefault="00EB48F3" w:rsidP="00EB48F3">
            <w:pPr>
              <w:spacing w:before="240"/>
              <w:jc w:val="center"/>
            </w:pPr>
            <w:r w:rsidRPr="00DB1D7C">
              <w:t>15</w:t>
            </w:r>
          </w:p>
        </w:tc>
        <w:tc>
          <w:tcPr>
            <w:tcW w:w="992" w:type="dxa"/>
          </w:tcPr>
          <w:p w14:paraId="21E14D8D" w14:textId="77777777" w:rsidR="00EB48F3" w:rsidRPr="00DB1D7C" w:rsidRDefault="00EB48F3" w:rsidP="00EB48F3">
            <w:pPr>
              <w:spacing w:before="240"/>
              <w:jc w:val="center"/>
            </w:pPr>
          </w:p>
        </w:tc>
        <w:tc>
          <w:tcPr>
            <w:tcW w:w="1276" w:type="dxa"/>
            <w:gridSpan w:val="2"/>
          </w:tcPr>
          <w:p w14:paraId="16EAF8FB" w14:textId="2C0C3180" w:rsidR="00EB48F3" w:rsidRPr="00DB1D7C" w:rsidRDefault="00EB48F3" w:rsidP="00EB48F3">
            <w:pPr>
              <w:spacing w:before="240"/>
              <w:jc w:val="center"/>
            </w:pPr>
            <w:r w:rsidRPr="00DB1D7C">
              <w:t xml:space="preserve">No </w:t>
            </w:r>
            <w:r w:rsidRPr="00DB1D7C">
              <w:rPr>
                <w:vertAlign w:val="superscript"/>
              </w:rPr>
              <w:t>e</w:t>
            </w:r>
          </w:p>
        </w:tc>
      </w:tr>
      <w:tr w:rsidR="00EB48F3" w:rsidRPr="00DB1D7C" w14:paraId="13E39274" w14:textId="56C4C209" w:rsidTr="00B60D7F">
        <w:tc>
          <w:tcPr>
            <w:tcW w:w="1276" w:type="dxa"/>
          </w:tcPr>
          <w:p w14:paraId="241359FC" w14:textId="77777777" w:rsidR="00EB48F3" w:rsidRPr="00DB1D7C" w:rsidRDefault="00EB48F3" w:rsidP="00EB48F3">
            <w:pPr>
              <w:spacing w:before="240"/>
            </w:pPr>
            <w:r w:rsidRPr="00DB1D7C">
              <w:t>UK</w:t>
            </w:r>
          </w:p>
        </w:tc>
        <w:tc>
          <w:tcPr>
            <w:tcW w:w="416" w:type="dxa"/>
          </w:tcPr>
          <w:p w14:paraId="156FE7DD" w14:textId="77777777" w:rsidR="00EB48F3" w:rsidRPr="00DB1D7C" w:rsidRDefault="00EB48F3" w:rsidP="00EB48F3">
            <w:pPr>
              <w:spacing w:before="240"/>
            </w:pPr>
          </w:p>
        </w:tc>
        <w:tc>
          <w:tcPr>
            <w:tcW w:w="3270" w:type="dxa"/>
            <w:shd w:val="clear" w:color="auto" w:fill="auto"/>
          </w:tcPr>
          <w:p w14:paraId="011EB3D0" w14:textId="5C50DA39" w:rsidR="00EB48F3" w:rsidRPr="00DB1D7C" w:rsidRDefault="00B60D7F" w:rsidP="00EB48F3">
            <w:pPr>
              <w:spacing w:before="240"/>
            </w:pPr>
            <w:r w:rsidRPr="00B60D7F">
              <w:t>National Institute for Health and Care Excellence</w:t>
            </w:r>
          </w:p>
        </w:tc>
        <w:tc>
          <w:tcPr>
            <w:tcW w:w="1134" w:type="dxa"/>
            <w:shd w:val="clear" w:color="auto" w:fill="auto"/>
          </w:tcPr>
          <w:p w14:paraId="11E4D5F8" w14:textId="002F4AE0" w:rsidR="00EB48F3" w:rsidRPr="00B60D7F" w:rsidRDefault="00B83E1B" w:rsidP="00B60D7F">
            <w:pPr>
              <w:spacing w:before="240"/>
              <w:jc w:val="center"/>
            </w:pPr>
            <w:r w:rsidRPr="00B60D7F">
              <w:t>[108]</w:t>
            </w:r>
          </w:p>
        </w:tc>
        <w:tc>
          <w:tcPr>
            <w:tcW w:w="1129" w:type="dxa"/>
            <w:shd w:val="clear" w:color="auto" w:fill="auto"/>
          </w:tcPr>
          <w:p w14:paraId="12F14B0D" w14:textId="6319ECE6" w:rsidR="00EB48F3" w:rsidRPr="00DB1D7C" w:rsidRDefault="00EB48F3" w:rsidP="00EB48F3">
            <w:pPr>
              <w:spacing w:before="240"/>
              <w:jc w:val="center"/>
            </w:pPr>
            <w:r w:rsidRPr="00DB1D7C">
              <w:t xml:space="preserve">Various </w:t>
            </w:r>
            <w:r w:rsidRPr="00DB1D7C">
              <w:rPr>
                <w:vertAlign w:val="superscript"/>
              </w:rPr>
              <w:t>c</w:t>
            </w:r>
          </w:p>
        </w:tc>
        <w:tc>
          <w:tcPr>
            <w:tcW w:w="992" w:type="dxa"/>
          </w:tcPr>
          <w:p w14:paraId="4DD8DEAE" w14:textId="77777777" w:rsidR="00EB48F3" w:rsidRPr="00DB1D7C" w:rsidRDefault="00EB48F3" w:rsidP="00EB48F3">
            <w:pPr>
              <w:spacing w:before="240"/>
              <w:jc w:val="center"/>
              <w:rPr>
                <w:highlight w:val="yellow"/>
              </w:rPr>
            </w:pPr>
          </w:p>
        </w:tc>
        <w:tc>
          <w:tcPr>
            <w:tcW w:w="1276" w:type="dxa"/>
            <w:gridSpan w:val="2"/>
          </w:tcPr>
          <w:p w14:paraId="5554BECA" w14:textId="0B94A314" w:rsidR="00EB48F3" w:rsidRPr="00DB1D7C" w:rsidRDefault="00EB48F3" w:rsidP="00EB48F3">
            <w:pPr>
              <w:spacing w:before="240"/>
              <w:jc w:val="center"/>
              <w:rPr>
                <w:highlight w:val="yellow"/>
              </w:rPr>
            </w:pPr>
            <w:r w:rsidRPr="00DB1D7C">
              <w:t xml:space="preserve">No </w:t>
            </w:r>
            <w:r w:rsidRPr="00DB1D7C">
              <w:rPr>
                <w:vertAlign w:val="superscript"/>
              </w:rPr>
              <w:t>d</w:t>
            </w:r>
          </w:p>
        </w:tc>
      </w:tr>
      <w:tr w:rsidR="00EB48F3" w:rsidRPr="00DB1D7C" w14:paraId="78FED916" w14:textId="2F283E53" w:rsidTr="00B60D7F">
        <w:tc>
          <w:tcPr>
            <w:tcW w:w="1276" w:type="dxa"/>
          </w:tcPr>
          <w:p w14:paraId="1C762C6E" w14:textId="1AF2B60E" w:rsidR="00EB48F3" w:rsidRPr="00DB1D7C" w:rsidRDefault="00EB48F3" w:rsidP="00EB48F3">
            <w:pPr>
              <w:spacing w:before="240"/>
            </w:pPr>
            <w:r w:rsidRPr="00DB1D7C">
              <w:t xml:space="preserve">UK </w:t>
            </w:r>
            <w:r w:rsidRPr="00DB1D7C">
              <w:rPr>
                <w:vertAlign w:val="superscript"/>
              </w:rPr>
              <w:t>b</w:t>
            </w:r>
          </w:p>
        </w:tc>
        <w:tc>
          <w:tcPr>
            <w:tcW w:w="416" w:type="dxa"/>
          </w:tcPr>
          <w:p w14:paraId="7C934BF4" w14:textId="77777777" w:rsidR="00EB48F3" w:rsidRPr="00DB1D7C" w:rsidRDefault="00EB48F3" w:rsidP="00EB48F3">
            <w:pPr>
              <w:spacing w:before="240"/>
            </w:pPr>
          </w:p>
        </w:tc>
        <w:tc>
          <w:tcPr>
            <w:tcW w:w="3270" w:type="dxa"/>
            <w:shd w:val="clear" w:color="auto" w:fill="auto"/>
          </w:tcPr>
          <w:p w14:paraId="39D5C13C" w14:textId="77777777" w:rsidR="00EB48F3" w:rsidRPr="00DB1D7C" w:rsidRDefault="00EB48F3" w:rsidP="00EB48F3">
            <w:pPr>
              <w:spacing w:before="240"/>
            </w:pPr>
            <w:r w:rsidRPr="00DB1D7C">
              <w:t>Academia</w:t>
            </w:r>
          </w:p>
        </w:tc>
        <w:tc>
          <w:tcPr>
            <w:tcW w:w="1134" w:type="dxa"/>
            <w:shd w:val="clear" w:color="auto" w:fill="auto"/>
          </w:tcPr>
          <w:p w14:paraId="5862DC5C" w14:textId="2485B855" w:rsidR="00EB48F3" w:rsidRPr="00B60D7F" w:rsidRDefault="00B83E1B" w:rsidP="00B60D7F">
            <w:pPr>
              <w:spacing w:before="240"/>
              <w:jc w:val="center"/>
            </w:pPr>
            <w:r w:rsidRPr="00B60D7F">
              <w:t xml:space="preserve"> [109]</w:t>
            </w:r>
          </w:p>
        </w:tc>
        <w:tc>
          <w:tcPr>
            <w:tcW w:w="1129" w:type="dxa"/>
          </w:tcPr>
          <w:p w14:paraId="63AC8CC9" w14:textId="77777777" w:rsidR="00EB48F3" w:rsidRPr="00DB1D7C" w:rsidRDefault="00EB48F3" w:rsidP="00EB48F3">
            <w:pPr>
              <w:spacing w:before="240"/>
              <w:jc w:val="center"/>
            </w:pPr>
            <w:r w:rsidRPr="00DB1D7C">
              <w:t>20</w:t>
            </w:r>
          </w:p>
        </w:tc>
        <w:tc>
          <w:tcPr>
            <w:tcW w:w="992" w:type="dxa"/>
          </w:tcPr>
          <w:p w14:paraId="6DA1F347" w14:textId="77777777" w:rsidR="00EB48F3" w:rsidRPr="00DB1D7C" w:rsidRDefault="00EB48F3" w:rsidP="00EB48F3">
            <w:pPr>
              <w:spacing w:before="240"/>
              <w:jc w:val="center"/>
            </w:pPr>
          </w:p>
        </w:tc>
        <w:tc>
          <w:tcPr>
            <w:tcW w:w="1276" w:type="dxa"/>
            <w:gridSpan w:val="2"/>
          </w:tcPr>
          <w:p w14:paraId="35EBC20E" w14:textId="6950A04D" w:rsidR="00EB48F3" w:rsidRPr="00DB1D7C" w:rsidRDefault="00EB48F3" w:rsidP="00EB48F3">
            <w:pPr>
              <w:spacing w:before="240"/>
              <w:jc w:val="center"/>
            </w:pPr>
            <w:r w:rsidRPr="00DB1D7C">
              <w:t xml:space="preserve">No </w:t>
            </w:r>
            <w:r w:rsidRPr="00DB1D7C">
              <w:rPr>
                <w:vertAlign w:val="superscript"/>
              </w:rPr>
              <w:t>d</w:t>
            </w:r>
          </w:p>
        </w:tc>
      </w:tr>
      <w:tr w:rsidR="00EB48F3" w:rsidRPr="00DB1D7C" w14:paraId="7CA1F7AE" w14:textId="30806D00" w:rsidTr="00B60D7F">
        <w:tc>
          <w:tcPr>
            <w:tcW w:w="1276" w:type="dxa"/>
            <w:tcBorders>
              <w:bottom w:val="nil"/>
            </w:tcBorders>
          </w:tcPr>
          <w:p w14:paraId="63DB0937" w14:textId="77777777" w:rsidR="00EB48F3" w:rsidRPr="00DB1D7C" w:rsidRDefault="00EB48F3" w:rsidP="00EB48F3">
            <w:pPr>
              <w:spacing w:before="240"/>
            </w:pPr>
            <w:r w:rsidRPr="00DB1D7C">
              <w:t>US</w:t>
            </w:r>
          </w:p>
        </w:tc>
        <w:tc>
          <w:tcPr>
            <w:tcW w:w="416" w:type="dxa"/>
            <w:tcBorders>
              <w:bottom w:val="nil"/>
            </w:tcBorders>
          </w:tcPr>
          <w:p w14:paraId="64FD764B" w14:textId="77777777" w:rsidR="00EB48F3" w:rsidRPr="00DB1D7C" w:rsidRDefault="00EB48F3" w:rsidP="00EB48F3">
            <w:pPr>
              <w:spacing w:before="240"/>
            </w:pPr>
          </w:p>
        </w:tc>
        <w:tc>
          <w:tcPr>
            <w:tcW w:w="3270" w:type="dxa"/>
            <w:tcBorders>
              <w:bottom w:val="nil"/>
            </w:tcBorders>
          </w:tcPr>
          <w:p w14:paraId="6AB009FD" w14:textId="14FBB8E3" w:rsidR="00EB48F3" w:rsidRPr="00DB1D7C" w:rsidRDefault="00B60D7F" w:rsidP="00EB48F3">
            <w:pPr>
              <w:spacing w:before="240"/>
            </w:pPr>
            <w:r w:rsidRPr="00DB1D7C">
              <w:rPr>
                <w:rFonts w:ascii="Calibri" w:hAnsi="Calibri"/>
              </w:rPr>
              <w:t>National Osteoporosis Foundation</w:t>
            </w:r>
          </w:p>
        </w:tc>
        <w:tc>
          <w:tcPr>
            <w:tcW w:w="1134" w:type="dxa"/>
            <w:tcBorders>
              <w:bottom w:val="nil"/>
            </w:tcBorders>
            <w:shd w:val="clear" w:color="auto" w:fill="auto"/>
          </w:tcPr>
          <w:p w14:paraId="7E7C1A94" w14:textId="0682F20C" w:rsidR="00EB48F3" w:rsidRPr="00B60D7F" w:rsidRDefault="00A77855" w:rsidP="00B60D7F">
            <w:pPr>
              <w:spacing w:before="240"/>
              <w:jc w:val="center"/>
            </w:pPr>
            <w:r w:rsidRPr="00B60D7F">
              <w:rPr>
                <w:sz w:val="24"/>
                <w:szCs w:val="24"/>
              </w:rPr>
              <w:t xml:space="preserve"> </w:t>
            </w:r>
            <w:r w:rsidR="005743B0" w:rsidRPr="00B60D7F">
              <w:rPr>
                <w:sz w:val="24"/>
                <w:szCs w:val="24"/>
              </w:rPr>
              <w:t>[124]</w:t>
            </w:r>
          </w:p>
        </w:tc>
        <w:tc>
          <w:tcPr>
            <w:tcW w:w="1129" w:type="dxa"/>
            <w:tcBorders>
              <w:bottom w:val="nil"/>
            </w:tcBorders>
          </w:tcPr>
          <w:p w14:paraId="7A14A0A4" w14:textId="77777777" w:rsidR="00EB48F3" w:rsidRPr="00DB1D7C" w:rsidRDefault="00EB48F3" w:rsidP="00EB48F3">
            <w:pPr>
              <w:spacing w:before="240"/>
              <w:jc w:val="center"/>
            </w:pPr>
            <w:r w:rsidRPr="00DB1D7C">
              <w:t>20</w:t>
            </w:r>
          </w:p>
        </w:tc>
        <w:tc>
          <w:tcPr>
            <w:tcW w:w="992" w:type="dxa"/>
            <w:tcBorders>
              <w:bottom w:val="nil"/>
            </w:tcBorders>
          </w:tcPr>
          <w:p w14:paraId="04639D9B" w14:textId="77777777" w:rsidR="00EB48F3" w:rsidRPr="00DB1D7C" w:rsidRDefault="00EB48F3" w:rsidP="00EB48F3">
            <w:pPr>
              <w:spacing w:before="240"/>
              <w:jc w:val="center"/>
            </w:pPr>
            <w:r w:rsidRPr="00DB1D7C">
              <w:t>3</w:t>
            </w:r>
          </w:p>
        </w:tc>
        <w:tc>
          <w:tcPr>
            <w:tcW w:w="1276" w:type="dxa"/>
            <w:gridSpan w:val="2"/>
            <w:tcBorders>
              <w:bottom w:val="nil"/>
            </w:tcBorders>
          </w:tcPr>
          <w:p w14:paraId="49E271A4" w14:textId="1AB32C42" w:rsidR="00EB48F3" w:rsidRPr="00DB1D7C" w:rsidRDefault="00EB48F3" w:rsidP="00EB48F3">
            <w:pPr>
              <w:spacing w:before="240"/>
              <w:jc w:val="center"/>
            </w:pPr>
            <w:r w:rsidRPr="00DB1D7C">
              <w:t>Yes</w:t>
            </w:r>
          </w:p>
        </w:tc>
      </w:tr>
      <w:tr w:rsidR="00EB48F3" w:rsidRPr="00DB1D7C" w14:paraId="43573B5B" w14:textId="0F2E75DA" w:rsidTr="00B60D7F">
        <w:tc>
          <w:tcPr>
            <w:tcW w:w="1276" w:type="dxa"/>
            <w:tcBorders>
              <w:top w:val="nil"/>
              <w:bottom w:val="single" w:sz="4" w:space="0" w:color="auto"/>
            </w:tcBorders>
          </w:tcPr>
          <w:p w14:paraId="6CA7CD23" w14:textId="77777777" w:rsidR="00EB48F3" w:rsidRPr="00DB1D7C" w:rsidRDefault="00EB48F3" w:rsidP="00EB48F3">
            <w:pPr>
              <w:spacing w:before="240"/>
            </w:pPr>
            <w:r w:rsidRPr="00DB1D7C">
              <w:t>US</w:t>
            </w:r>
          </w:p>
        </w:tc>
        <w:tc>
          <w:tcPr>
            <w:tcW w:w="416" w:type="dxa"/>
            <w:tcBorders>
              <w:top w:val="nil"/>
              <w:bottom w:val="single" w:sz="4" w:space="0" w:color="auto"/>
            </w:tcBorders>
          </w:tcPr>
          <w:p w14:paraId="7C75AC86" w14:textId="77777777" w:rsidR="00EB48F3" w:rsidRPr="00DB1D7C" w:rsidRDefault="00EB48F3" w:rsidP="00EB48F3">
            <w:pPr>
              <w:spacing w:before="240"/>
            </w:pPr>
          </w:p>
        </w:tc>
        <w:tc>
          <w:tcPr>
            <w:tcW w:w="3270" w:type="dxa"/>
            <w:tcBorders>
              <w:top w:val="nil"/>
              <w:bottom w:val="single" w:sz="4" w:space="0" w:color="auto"/>
            </w:tcBorders>
          </w:tcPr>
          <w:p w14:paraId="496897C6" w14:textId="117B6084" w:rsidR="00EB48F3" w:rsidRPr="00DB1D7C" w:rsidRDefault="00A77855" w:rsidP="00EB48F3">
            <w:pPr>
              <w:spacing w:before="240"/>
            </w:pPr>
            <w:r w:rsidRPr="00A77855">
              <w:t>Preventive Services Task Force</w:t>
            </w:r>
          </w:p>
        </w:tc>
        <w:tc>
          <w:tcPr>
            <w:tcW w:w="1134" w:type="dxa"/>
            <w:tcBorders>
              <w:top w:val="nil"/>
              <w:bottom w:val="single" w:sz="4" w:space="0" w:color="auto"/>
            </w:tcBorders>
            <w:shd w:val="clear" w:color="auto" w:fill="auto"/>
          </w:tcPr>
          <w:p w14:paraId="4C9373F3" w14:textId="2EF3BB1A" w:rsidR="00EB48F3" w:rsidRPr="00B60D7F" w:rsidRDefault="00A77855" w:rsidP="00B60D7F">
            <w:pPr>
              <w:spacing w:before="240"/>
              <w:jc w:val="center"/>
            </w:pPr>
            <w:r w:rsidRPr="00B60D7F">
              <w:rPr>
                <w:rFonts w:ascii="Calibri" w:hAnsi="Calibri"/>
              </w:rPr>
              <w:t xml:space="preserve"> </w:t>
            </w:r>
            <w:r w:rsidR="00DF05BE" w:rsidRPr="00B60D7F">
              <w:rPr>
                <w:rFonts w:ascii="Calibri" w:hAnsi="Calibri"/>
              </w:rPr>
              <w:t>[112]</w:t>
            </w:r>
          </w:p>
        </w:tc>
        <w:tc>
          <w:tcPr>
            <w:tcW w:w="1129" w:type="dxa"/>
            <w:tcBorders>
              <w:top w:val="nil"/>
              <w:bottom w:val="single" w:sz="4" w:space="0" w:color="auto"/>
            </w:tcBorders>
            <w:shd w:val="clear" w:color="auto" w:fill="auto"/>
          </w:tcPr>
          <w:p w14:paraId="4FD41621" w14:textId="77777777" w:rsidR="00EB48F3" w:rsidRPr="00DB1D7C" w:rsidRDefault="00EB48F3" w:rsidP="00EB48F3">
            <w:pPr>
              <w:spacing w:before="240"/>
              <w:jc w:val="center"/>
            </w:pPr>
            <w:r w:rsidRPr="00DB1D7C">
              <w:t>9.3</w:t>
            </w:r>
          </w:p>
        </w:tc>
        <w:tc>
          <w:tcPr>
            <w:tcW w:w="992" w:type="dxa"/>
            <w:tcBorders>
              <w:top w:val="nil"/>
              <w:bottom w:val="single" w:sz="4" w:space="0" w:color="auto"/>
            </w:tcBorders>
          </w:tcPr>
          <w:p w14:paraId="1661DC90" w14:textId="77777777" w:rsidR="00EB48F3" w:rsidRPr="00DB1D7C" w:rsidRDefault="00EB48F3" w:rsidP="00EB48F3">
            <w:pPr>
              <w:spacing w:before="240"/>
              <w:jc w:val="center"/>
            </w:pPr>
          </w:p>
        </w:tc>
        <w:tc>
          <w:tcPr>
            <w:tcW w:w="1276" w:type="dxa"/>
            <w:gridSpan w:val="2"/>
            <w:tcBorders>
              <w:top w:val="nil"/>
              <w:bottom w:val="single" w:sz="4" w:space="0" w:color="auto"/>
            </w:tcBorders>
          </w:tcPr>
          <w:p w14:paraId="046BD470" w14:textId="66B5A5E2" w:rsidR="00EB48F3" w:rsidRPr="00DB1D7C" w:rsidRDefault="00EB48F3" w:rsidP="00EB48F3">
            <w:pPr>
              <w:spacing w:before="240"/>
              <w:jc w:val="center"/>
            </w:pPr>
            <w:r w:rsidRPr="00DB1D7C">
              <w:t>Yes</w:t>
            </w:r>
          </w:p>
        </w:tc>
      </w:tr>
    </w:tbl>
    <w:p w14:paraId="657F31AF" w14:textId="77777777" w:rsidR="00891738" w:rsidRPr="00DB1D7C" w:rsidRDefault="00891738" w:rsidP="00B262CB">
      <w:pPr>
        <w:spacing w:after="0" w:line="240" w:lineRule="auto"/>
        <w:rPr>
          <w:rFonts w:ascii="Calibri" w:hAnsi="Calibri"/>
        </w:rPr>
      </w:pPr>
      <w:r w:rsidRPr="00DB1D7C">
        <w:rPr>
          <w:rFonts w:ascii="Calibri" w:hAnsi="Calibri"/>
          <w:vertAlign w:val="superscript"/>
        </w:rPr>
        <w:t xml:space="preserve">a </w:t>
      </w:r>
      <w:r w:rsidRPr="00DB1D7C">
        <w:rPr>
          <w:rFonts w:ascii="Calibri" w:hAnsi="Calibri"/>
        </w:rPr>
        <w:t>Higher thresholds at age 75 years or more.</w:t>
      </w:r>
    </w:p>
    <w:p w14:paraId="730B05FF" w14:textId="635DB0C5" w:rsidR="00891738" w:rsidRPr="00DB1D7C" w:rsidRDefault="009B5F39" w:rsidP="00B262CB">
      <w:pPr>
        <w:spacing w:after="0" w:line="240" w:lineRule="auto"/>
        <w:rPr>
          <w:rFonts w:ascii="Calibri" w:hAnsi="Calibri"/>
        </w:rPr>
      </w:pPr>
      <w:r w:rsidRPr="00DB1D7C">
        <w:rPr>
          <w:rFonts w:ascii="Calibri" w:hAnsi="Calibri"/>
          <w:vertAlign w:val="superscript"/>
        </w:rPr>
        <w:t>b</w:t>
      </w:r>
      <w:r w:rsidR="00891738" w:rsidRPr="00DB1D7C">
        <w:rPr>
          <w:rFonts w:ascii="Calibri" w:hAnsi="Calibri"/>
          <w:vertAlign w:val="superscript"/>
        </w:rPr>
        <w:t xml:space="preserve"> </w:t>
      </w:r>
      <w:r w:rsidR="00891738" w:rsidRPr="00DB1D7C">
        <w:rPr>
          <w:rFonts w:ascii="Calibri" w:hAnsi="Calibri"/>
        </w:rPr>
        <w:t>Hybrid model, also uses an age-dependent threshold at some ages (</w:t>
      </w:r>
      <w:r w:rsidR="00891738" w:rsidRPr="009930CC">
        <w:rPr>
          <w:rFonts w:ascii="Calibri" w:hAnsi="Calibri"/>
        </w:rPr>
        <w:t>see</w:t>
      </w:r>
      <w:r w:rsidR="009930CC" w:rsidRPr="009930CC">
        <w:t xml:space="preserve"> </w:t>
      </w:r>
      <w:r w:rsidR="009930CC" w:rsidRPr="009930CC">
        <w:rPr>
          <w:rFonts w:ascii="Calibri" w:hAnsi="Calibri"/>
          <w:i/>
        </w:rPr>
        <w:t>Hybrid intervention thresholds using FRAX</w:t>
      </w:r>
      <w:r w:rsidR="00891738" w:rsidRPr="00DB1D7C">
        <w:rPr>
          <w:rFonts w:ascii="Calibri" w:hAnsi="Calibri"/>
        </w:rPr>
        <w:t>)</w:t>
      </w:r>
    </w:p>
    <w:p w14:paraId="5D7DBBF3" w14:textId="6B5B7204" w:rsidR="00891738" w:rsidRPr="00DB1D7C" w:rsidRDefault="00891738" w:rsidP="00B262CB">
      <w:pPr>
        <w:spacing w:after="0" w:line="240" w:lineRule="auto"/>
        <w:rPr>
          <w:rFonts w:ascii="Calibri" w:hAnsi="Calibri"/>
        </w:rPr>
      </w:pPr>
      <w:r w:rsidRPr="00DB1D7C">
        <w:rPr>
          <w:rFonts w:ascii="Calibri" w:hAnsi="Calibri"/>
          <w:vertAlign w:val="superscript"/>
        </w:rPr>
        <w:t>c</w:t>
      </w:r>
      <w:r w:rsidRPr="00DB1D7C">
        <w:rPr>
          <w:rFonts w:ascii="Calibri" w:hAnsi="Calibri"/>
        </w:rPr>
        <w:t xml:space="preserve"> Intervention threshold set where treatment becomes cost-effective </w:t>
      </w:r>
    </w:p>
    <w:p w14:paraId="4911D5EF" w14:textId="57C01EF1" w:rsidR="00891738" w:rsidRPr="00DB1D7C" w:rsidRDefault="00891738" w:rsidP="00B262CB">
      <w:pPr>
        <w:spacing w:after="0" w:line="240" w:lineRule="auto"/>
        <w:rPr>
          <w:rFonts w:ascii="Calibri" w:hAnsi="Calibri"/>
        </w:rPr>
      </w:pPr>
      <w:r w:rsidRPr="00DB1D7C">
        <w:rPr>
          <w:rFonts w:ascii="Calibri" w:hAnsi="Calibri"/>
          <w:vertAlign w:val="superscript"/>
        </w:rPr>
        <w:t>d</w:t>
      </w:r>
      <w:r w:rsidRPr="00DB1D7C">
        <w:rPr>
          <w:rFonts w:ascii="Calibri" w:hAnsi="Calibri"/>
        </w:rPr>
        <w:t xml:space="preserve"> Appraisal in the consultation process</w:t>
      </w:r>
    </w:p>
    <w:p w14:paraId="23DA672A" w14:textId="4EA5070C" w:rsidR="004E223A" w:rsidRPr="00DB1D7C" w:rsidRDefault="004E223A" w:rsidP="00B262CB">
      <w:pPr>
        <w:spacing w:after="0" w:line="240" w:lineRule="auto"/>
        <w:rPr>
          <w:rFonts w:ascii="Calibri" w:hAnsi="Calibri"/>
        </w:rPr>
      </w:pPr>
      <w:r w:rsidRPr="00DB1D7C">
        <w:rPr>
          <w:rFonts w:ascii="Calibri" w:hAnsi="Calibri"/>
          <w:vertAlign w:val="superscript"/>
        </w:rPr>
        <w:t>e</w:t>
      </w:r>
      <w:r w:rsidRPr="00DB1D7C">
        <w:rPr>
          <w:rFonts w:ascii="Calibri" w:hAnsi="Calibri"/>
        </w:rPr>
        <w:t xml:space="preserve"> Guidance recommends age-dependent thresholds</w:t>
      </w:r>
    </w:p>
    <w:p w14:paraId="6EC54718" w14:textId="64E9809A" w:rsidR="00B262CB" w:rsidRPr="00DB1D7C" w:rsidRDefault="00B262CB" w:rsidP="00B262CB">
      <w:pPr>
        <w:spacing w:after="0" w:line="240" w:lineRule="auto"/>
        <w:rPr>
          <w:rFonts w:ascii="Calibri" w:hAnsi="Calibri"/>
        </w:rPr>
      </w:pPr>
      <w:r w:rsidRPr="00DB1D7C">
        <w:rPr>
          <w:rFonts w:ascii="Calibri" w:hAnsi="Calibri"/>
        </w:rPr>
        <w:lastRenderedPageBreak/>
        <w:t xml:space="preserve">  </w:t>
      </w:r>
    </w:p>
    <w:p w14:paraId="618CCF8C" w14:textId="71716119" w:rsidR="003153BA" w:rsidRPr="00DB1D7C" w:rsidRDefault="003153BA" w:rsidP="004665D8">
      <w:pPr>
        <w:spacing w:line="276" w:lineRule="auto"/>
        <w:rPr>
          <w:rFonts w:ascii="Calibri" w:hAnsi="Calibri"/>
          <w:sz w:val="24"/>
          <w:szCs w:val="24"/>
        </w:rPr>
      </w:pPr>
      <w:r w:rsidRPr="00DB1D7C">
        <w:rPr>
          <w:rFonts w:ascii="Calibri" w:hAnsi="Calibri"/>
          <w:sz w:val="24"/>
          <w:szCs w:val="24"/>
        </w:rPr>
        <w:t>The most influential thresholds are those derived from the National Osteoporosis Foundation in the US.  Treatment is recommended when the 10-year probability of a major fracture is 20</w:t>
      </w:r>
      <w:r w:rsidR="00915887">
        <w:rPr>
          <w:rFonts w:ascii="Calibri" w:hAnsi="Calibri"/>
          <w:sz w:val="24"/>
          <w:szCs w:val="24"/>
        </w:rPr>
        <w:t xml:space="preserve"> </w:t>
      </w:r>
      <w:r w:rsidRPr="00DB1D7C">
        <w:rPr>
          <w:rFonts w:ascii="Calibri" w:hAnsi="Calibri"/>
          <w:sz w:val="24"/>
          <w:szCs w:val="24"/>
        </w:rPr>
        <w:t>% or above, or where the probability of a hip fracture exceeds 3</w:t>
      </w:r>
      <w:r w:rsidR="00915887">
        <w:rPr>
          <w:rFonts w:ascii="Calibri" w:hAnsi="Calibri"/>
          <w:sz w:val="24"/>
          <w:szCs w:val="24"/>
        </w:rPr>
        <w:t xml:space="preserve"> </w:t>
      </w:r>
      <w:r w:rsidRPr="00DB1D7C">
        <w:rPr>
          <w:rFonts w:ascii="Calibri" w:hAnsi="Calibri"/>
          <w:sz w:val="24"/>
          <w:szCs w:val="24"/>
        </w:rPr>
        <w:t xml:space="preserve">%. It should be noted that these fixed thresholds are not used in isolation and are reserved for patients with low bone mass (osteopenia). As reviewed in this report, the basis on which these are derived may no longer </w:t>
      </w:r>
      <w:r w:rsidR="00CB2495">
        <w:rPr>
          <w:rFonts w:ascii="Calibri" w:hAnsi="Calibri"/>
          <w:sz w:val="24"/>
          <w:szCs w:val="24"/>
        </w:rPr>
        <w:t xml:space="preserve">be </w:t>
      </w:r>
      <w:r w:rsidRPr="00DB1D7C">
        <w:rPr>
          <w:rFonts w:ascii="Calibri" w:hAnsi="Calibri"/>
          <w:sz w:val="24"/>
          <w:szCs w:val="24"/>
        </w:rPr>
        <w:t>appropriate.  Reasons include</w:t>
      </w:r>
      <w:r w:rsidR="00CB2495">
        <w:rPr>
          <w:rFonts w:ascii="Calibri" w:hAnsi="Calibri"/>
          <w:sz w:val="24"/>
          <w:szCs w:val="24"/>
        </w:rPr>
        <w:t xml:space="preserve"> that </w:t>
      </w:r>
      <w:r w:rsidR="00461586">
        <w:rPr>
          <w:rFonts w:ascii="Calibri" w:hAnsi="Calibri"/>
          <w:sz w:val="24"/>
          <w:szCs w:val="24"/>
        </w:rPr>
        <w:t>t</w:t>
      </w:r>
      <w:r w:rsidRPr="00DB1D7C">
        <w:rPr>
          <w:rFonts w:ascii="Calibri" w:hAnsi="Calibri"/>
          <w:sz w:val="24"/>
          <w:szCs w:val="24"/>
        </w:rPr>
        <w:t>he thresholds are derived from cost-effectiveness in 2008 and the cost of intervention has changed since then</w:t>
      </w:r>
      <w:r w:rsidR="00453D85">
        <w:rPr>
          <w:rFonts w:ascii="Calibri" w:hAnsi="Calibri"/>
          <w:sz w:val="24"/>
          <w:szCs w:val="24"/>
        </w:rPr>
        <w:t>;</w:t>
      </w:r>
      <w:r w:rsidR="00453D85" w:rsidRPr="00DB1D7C">
        <w:rPr>
          <w:rFonts w:ascii="Calibri" w:hAnsi="Calibri"/>
          <w:sz w:val="24"/>
          <w:szCs w:val="24"/>
        </w:rPr>
        <w:t xml:space="preserve"> the</w:t>
      </w:r>
      <w:r w:rsidRPr="00DB1D7C">
        <w:rPr>
          <w:rFonts w:ascii="Calibri" w:hAnsi="Calibri"/>
          <w:sz w:val="24"/>
          <w:szCs w:val="24"/>
        </w:rPr>
        <w:t xml:space="preserve"> threshold was derived from hip fracture probabilities and their transformation to MOF equivalents is not straightforward.  Thus, the thresholds may have to be revisited.</w:t>
      </w:r>
    </w:p>
    <w:p w14:paraId="7203176E" w14:textId="4C1F2525" w:rsidR="003153BA" w:rsidRPr="00DB1D7C" w:rsidRDefault="003153BA" w:rsidP="004665D8">
      <w:pPr>
        <w:spacing w:line="276" w:lineRule="auto"/>
        <w:rPr>
          <w:rFonts w:ascii="Calibri" w:hAnsi="Calibri"/>
          <w:sz w:val="24"/>
          <w:szCs w:val="24"/>
        </w:rPr>
      </w:pPr>
      <w:r w:rsidRPr="00DB1D7C">
        <w:rPr>
          <w:rFonts w:ascii="Calibri" w:hAnsi="Calibri"/>
          <w:sz w:val="24"/>
          <w:szCs w:val="24"/>
        </w:rPr>
        <w:t>This apart, the thresholds are relevant only to the US and are inappropriate for use elsewhere because of differences in the importance of osteoporosis, the heath care budget allocated, current practice guidelines, reimbursement and health economic considerations.  Although this states the obvious, the majority of guidelines that use a fixed threshold have chosen a 20</w:t>
      </w:r>
      <w:r w:rsidR="00915887">
        <w:rPr>
          <w:rFonts w:ascii="Calibri" w:hAnsi="Calibri"/>
          <w:sz w:val="24"/>
          <w:szCs w:val="24"/>
        </w:rPr>
        <w:t xml:space="preserve"> </w:t>
      </w:r>
      <w:r w:rsidRPr="00DB1D7C">
        <w:rPr>
          <w:rFonts w:ascii="Calibri" w:hAnsi="Calibri"/>
          <w:sz w:val="24"/>
          <w:szCs w:val="24"/>
        </w:rPr>
        <w:t>% fracture probability without any justification other than its use in North America.</w:t>
      </w:r>
    </w:p>
    <w:p w14:paraId="10CA55F6" w14:textId="5CE40CCD" w:rsidR="00256A58" w:rsidRPr="00D70E13" w:rsidRDefault="00915887" w:rsidP="004665D8">
      <w:pPr>
        <w:spacing w:line="276" w:lineRule="auto"/>
        <w:rPr>
          <w:rFonts w:ascii="Calibri" w:hAnsi="Calibri"/>
          <w:sz w:val="24"/>
          <w:szCs w:val="24"/>
        </w:rPr>
      </w:pPr>
      <w:r w:rsidRPr="00915887">
        <w:rPr>
          <w:rFonts w:ascii="Calibri" w:hAnsi="Calibri"/>
          <w:sz w:val="24"/>
          <w:szCs w:val="24"/>
        </w:rPr>
        <w:t>Additionally, within</w:t>
      </w:r>
      <w:r w:rsidR="003153BA" w:rsidRPr="00DB1D7C">
        <w:rPr>
          <w:rFonts w:ascii="Calibri" w:hAnsi="Calibri"/>
          <w:sz w:val="24"/>
          <w:szCs w:val="24"/>
        </w:rPr>
        <w:t xml:space="preserve"> Europe, the proportion of the population aged 50 years or more with a FRAX probability of a major fracture &gt;20</w:t>
      </w:r>
      <w:r>
        <w:rPr>
          <w:rFonts w:ascii="Calibri" w:hAnsi="Calibri"/>
          <w:sz w:val="24"/>
          <w:szCs w:val="24"/>
        </w:rPr>
        <w:t xml:space="preserve"> </w:t>
      </w:r>
      <w:r w:rsidR="003153BA" w:rsidRPr="00DB1D7C">
        <w:rPr>
          <w:rFonts w:ascii="Calibri" w:hAnsi="Calibri"/>
          <w:sz w:val="24"/>
          <w:szCs w:val="24"/>
        </w:rPr>
        <w:t>% varies from 2</w:t>
      </w:r>
      <w:r>
        <w:rPr>
          <w:rFonts w:ascii="Calibri" w:hAnsi="Calibri"/>
          <w:sz w:val="24"/>
          <w:szCs w:val="24"/>
        </w:rPr>
        <w:t xml:space="preserve"> </w:t>
      </w:r>
      <w:r w:rsidR="003153BA" w:rsidRPr="00DB1D7C">
        <w:rPr>
          <w:rFonts w:ascii="Calibri" w:hAnsi="Calibri"/>
          <w:sz w:val="24"/>
          <w:szCs w:val="24"/>
        </w:rPr>
        <w:t>% (Romania) to 19</w:t>
      </w:r>
      <w:r>
        <w:rPr>
          <w:rFonts w:ascii="Calibri" w:hAnsi="Calibri"/>
          <w:sz w:val="24"/>
          <w:szCs w:val="24"/>
        </w:rPr>
        <w:t xml:space="preserve"> </w:t>
      </w:r>
      <w:r w:rsidR="003153BA" w:rsidRPr="00DB1D7C">
        <w:rPr>
          <w:rFonts w:ascii="Calibri" w:hAnsi="Calibri"/>
          <w:sz w:val="24"/>
          <w:szCs w:val="24"/>
        </w:rPr>
        <w:t xml:space="preserve">% (Denmark) </w:t>
      </w:r>
      <w:r w:rsidR="00B83E1B" w:rsidRPr="00B60D7F">
        <w:rPr>
          <w:rFonts w:ascii="Calibri" w:hAnsi="Calibri"/>
          <w:sz w:val="24"/>
          <w:szCs w:val="24"/>
        </w:rPr>
        <w:t>[28]</w:t>
      </w:r>
      <w:r w:rsidRPr="00B60D7F">
        <w:rPr>
          <w:rFonts w:ascii="Calibri" w:hAnsi="Calibri"/>
          <w:sz w:val="24"/>
          <w:szCs w:val="24"/>
        </w:rPr>
        <w:t xml:space="preserve"> (Figure 2</w:t>
      </w:r>
      <w:r w:rsidR="00453D85" w:rsidRPr="00B60D7F">
        <w:rPr>
          <w:rFonts w:ascii="Calibri" w:hAnsi="Calibri"/>
          <w:sz w:val="24"/>
          <w:szCs w:val="24"/>
        </w:rPr>
        <w:t>3</w:t>
      </w:r>
      <w:r w:rsidRPr="00D70E13">
        <w:rPr>
          <w:rFonts w:ascii="Calibri" w:hAnsi="Calibri"/>
          <w:sz w:val="24"/>
          <w:szCs w:val="24"/>
        </w:rPr>
        <w:t>)</w:t>
      </w:r>
      <w:r w:rsidR="003153BA" w:rsidRPr="00D70E13">
        <w:rPr>
          <w:rFonts w:ascii="Calibri" w:hAnsi="Calibri"/>
          <w:sz w:val="24"/>
          <w:szCs w:val="24"/>
        </w:rPr>
        <w:t>. This variation in risk needs to be balanced against the health care spend (4.5</w:t>
      </w:r>
      <w:r w:rsidR="00E8657B" w:rsidRPr="00D70E13">
        <w:rPr>
          <w:rFonts w:ascii="Calibri" w:hAnsi="Calibri"/>
          <w:sz w:val="24"/>
          <w:szCs w:val="24"/>
        </w:rPr>
        <w:t xml:space="preserve"> </w:t>
      </w:r>
      <w:r w:rsidR="003153BA" w:rsidRPr="00D70E13">
        <w:rPr>
          <w:rFonts w:ascii="Calibri" w:hAnsi="Calibri"/>
          <w:sz w:val="24"/>
          <w:szCs w:val="24"/>
        </w:rPr>
        <w:t>% of gross domestic product in Romania and 10.8</w:t>
      </w:r>
      <w:r w:rsidR="00E8657B" w:rsidRPr="00D70E13">
        <w:rPr>
          <w:rFonts w:ascii="Calibri" w:hAnsi="Calibri"/>
          <w:sz w:val="24"/>
          <w:szCs w:val="24"/>
        </w:rPr>
        <w:t xml:space="preserve"> </w:t>
      </w:r>
      <w:r w:rsidR="003153BA" w:rsidRPr="00D70E13">
        <w:rPr>
          <w:rFonts w:ascii="Calibri" w:hAnsi="Calibri"/>
          <w:sz w:val="24"/>
          <w:szCs w:val="24"/>
        </w:rPr>
        <w:t xml:space="preserve">% in Denmark, equivalent to €309 and €4759/per capita per year, </w:t>
      </w:r>
      <w:r w:rsidR="003153BA" w:rsidRPr="00B60D7F">
        <w:rPr>
          <w:rFonts w:ascii="Calibri" w:hAnsi="Calibri"/>
          <w:sz w:val="24"/>
          <w:szCs w:val="24"/>
        </w:rPr>
        <w:t xml:space="preserve">respectively </w:t>
      </w:r>
      <w:r w:rsidR="007D5CFA" w:rsidRPr="00B60D7F">
        <w:rPr>
          <w:rFonts w:ascii="Calibri" w:hAnsi="Calibri"/>
          <w:sz w:val="24"/>
          <w:szCs w:val="24"/>
        </w:rPr>
        <w:t>[2]</w:t>
      </w:r>
      <w:r w:rsidR="003153BA" w:rsidRPr="00B60D7F">
        <w:rPr>
          <w:rFonts w:ascii="Calibri" w:hAnsi="Calibri"/>
          <w:sz w:val="24"/>
          <w:szCs w:val="24"/>
        </w:rPr>
        <w:t xml:space="preserve">.  </w:t>
      </w:r>
      <w:r w:rsidR="00256A58" w:rsidRPr="00B60D7F">
        <w:rPr>
          <w:rFonts w:ascii="Calibri" w:hAnsi="Calibri"/>
          <w:sz w:val="24"/>
          <w:szCs w:val="24"/>
        </w:rPr>
        <w:t>In Europe, the 20 % threshold has been recommended in Austria, Greece, Hungary, Slovenia and Sweden (see Table 3), which in turn will have a marked effect on the population eligible for treatment. Given also that the cost of intervention varies little between countries, no one fixed FRAX threshold is applicable to all countries, and if fixed thresholds are to be used, they need to be country-</w:t>
      </w:r>
      <w:r w:rsidR="00256A58" w:rsidRPr="00DB6399">
        <w:rPr>
          <w:rFonts w:ascii="Calibri" w:hAnsi="Calibri"/>
          <w:sz w:val="24"/>
          <w:szCs w:val="24"/>
        </w:rPr>
        <w:t>specific</w:t>
      </w:r>
      <w:r w:rsidR="00B83E1B" w:rsidRPr="00DB6399">
        <w:rPr>
          <w:rFonts w:ascii="Calibri" w:hAnsi="Calibri"/>
          <w:sz w:val="24"/>
          <w:szCs w:val="24"/>
        </w:rPr>
        <w:t xml:space="preserve"> [219]</w:t>
      </w:r>
      <w:r w:rsidR="00256A58" w:rsidRPr="00DB6399">
        <w:rPr>
          <w:rFonts w:ascii="Calibri" w:hAnsi="Calibri"/>
          <w:sz w:val="24"/>
          <w:szCs w:val="24"/>
        </w:rPr>
        <w:t>.</w:t>
      </w:r>
    </w:p>
    <w:p w14:paraId="30BE1594" w14:textId="77777777" w:rsidR="00CB2495" w:rsidRPr="00D70E13" w:rsidRDefault="00CB2495" w:rsidP="00CB2495">
      <w:pPr>
        <w:spacing w:line="276" w:lineRule="auto"/>
        <w:rPr>
          <w:rFonts w:ascii="Calibri" w:hAnsi="Calibri"/>
          <w:b/>
          <w:sz w:val="24"/>
          <w:szCs w:val="24"/>
        </w:rPr>
      </w:pPr>
      <w:r w:rsidRPr="00D70E13">
        <w:rPr>
          <w:rFonts w:ascii="Calibri" w:hAnsi="Calibri"/>
          <w:b/>
          <w:sz w:val="24"/>
          <w:szCs w:val="24"/>
        </w:rPr>
        <w:t>Consequences of a 20% threshold</w:t>
      </w:r>
    </w:p>
    <w:p w14:paraId="074EA89C" w14:textId="1536CF52" w:rsidR="00CB2495" w:rsidRPr="00CB2495" w:rsidRDefault="00461586" w:rsidP="00CB2495">
      <w:pPr>
        <w:spacing w:line="276" w:lineRule="auto"/>
        <w:rPr>
          <w:rFonts w:ascii="Calibri" w:hAnsi="Calibri"/>
          <w:sz w:val="24"/>
          <w:szCs w:val="24"/>
        </w:rPr>
      </w:pPr>
      <w:r w:rsidRPr="00461586">
        <w:rPr>
          <w:rFonts w:ascii="Calibri" w:hAnsi="Calibri"/>
          <w:sz w:val="24"/>
          <w:szCs w:val="24"/>
        </w:rPr>
        <w:t xml:space="preserve">The use of the 20% threshold without economic justification </w:t>
      </w:r>
      <w:r w:rsidR="00CB2495" w:rsidRPr="00D70E13">
        <w:rPr>
          <w:rFonts w:ascii="Calibri" w:hAnsi="Calibri"/>
          <w:sz w:val="24"/>
          <w:szCs w:val="24"/>
        </w:rPr>
        <w:t>has important implications for clinical practice.  The proportion of the population at risk varies according to the distribution of fracture probabilities.   Since there are marked international differences in the death and fracture hazards, so too are there differences in the proportion of the population who would be deemed at high risk.  Figure 2</w:t>
      </w:r>
      <w:r w:rsidR="00453D85" w:rsidRPr="00D70E13">
        <w:rPr>
          <w:rFonts w:ascii="Calibri" w:hAnsi="Calibri"/>
          <w:sz w:val="24"/>
          <w:szCs w:val="24"/>
        </w:rPr>
        <w:t>3</w:t>
      </w:r>
      <w:r w:rsidR="00CB2495" w:rsidRPr="00D70E13">
        <w:rPr>
          <w:rFonts w:ascii="Calibri" w:hAnsi="Calibri"/>
          <w:sz w:val="24"/>
          <w:szCs w:val="24"/>
        </w:rPr>
        <w:t xml:space="preserve"> shows the proportion of the population (aged 50-85 years) above the 20% threshold value in countries</w:t>
      </w:r>
      <w:r w:rsidR="00CB2495" w:rsidRPr="00CB2495">
        <w:rPr>
          <w:rFonts w:ascii="Calibri" w:hAnsi="Calibri"/>
          <w:sz w:val="24"/>
          <w:szCs w:val="24"/>
        </w:rPr>
        <w:t xml:space="preserve"> of the European </w:t>
      </w:r>
      <w:r w:rsidR="00CB2495" w:rsidRPr="00B60D7F">
        <w:rPr>
          <w:rFonts w:ascii="Calibri" w:hAnsi="Calibri"/>
          <w:sz w:val="24"/>
          <w:szCs w:val="24"/>
        </w:rPr>
        <w:t xml:space="preserve">Union </w:t>
      </w:r>
      <w:r w:rsidR="00C32BC5" w:rsidRPr="00B60D7F">
        <w:rPr>
          <w:rFonts w:ascii="Calibri" w:hAnsi="Calibri"/>
          <w:sz w:val="24"/>
          <w:szCs w:val="24"/>
        </w:rPr>
        <w:t>[3]</w:t>
      </w:r>
      <w:r w:rsidR="00CB2495" w:rsidRPr="00B60D7F">
        <w:rPr>
          <w:rFonts w:ascii="Calibri" w:hAnsi="Calibri"/>
          <w:sz w:val="24"/>
          <w:szCs w:val="24"/>
        </w:rPr>
        <w:t xml:space="preserve"> with</w:t>
      </w:r>
      <w:r w:rsidR="00CB2495" w:rsidRPr="00CB2495">
        <w:rPr>
          <w:rFonts w:ascii="Calibri" w:hAnsi="Calibri"/>
          <w:sz w:val="24"/>
          <w:szCs w:val="24"/>
        </w:rPr>
        <w:t xml:space="preserve"> a 10-fold variation.  Of these countries, the 20% threshold has been recommended in Austria, Greece, Hungary, Slovenia and Sweden (see Table 3)</w:t>
      </w:r>
      <w:r w:rsidR="00BE2FB0">
        <w:rPr>
          <w:rFonts w:ascii="Calibri" w:hAnsi="Calibri"/>
          <w:sz w:val="24"/>
          <w:szCs w:val="24"/>
        </w:rPr>
        <w:t>,</w:t>
      </w:r>
      <w:r w:rsidR="00CB2495" w:rsidRPr="00CB2495">
        <w:rPr>
          <w:rFonts w:ascii="Calibri" w:hAnsi="Calibri"/>
          <w:sz w:val="24"/>
          <w:szCs w:val="24"/>
        </w:rPr>
        <w:t xml:space="preserve"> which in turn will have a marked effect on the population eligible for treatment. </w:t>
      </w:r>
    </w:p>
    <w:p w14:paraId="7AD04D39" w14:textId="77777777" w:rsidR="00CB2495" w:rsidRDefault="00CB2495" w:rsidP="004665D8">
      <w:pPr>
        <w:spacing w:line="276" w:lineRule="auto"/>
        <w:rPr>
          <w:rFonts w:ascii="Calibri" w:hAnsi="Calibri"/>
          <w:sz w:val="24"/>
          <w:szCs w:val="24"/>
        </w:rPr>
      </w:pPr>
    </w:p>
    <w:p w14:paraId="6AA2FC5C" w14:textId="1F819757" w:rsidR="0044633D" w:rsidRPr="00DB1D7C" w:rsidRDefault="0044633D" w:rsidP="004665D8">
      <w:pPr>
        <w:jc w:val="center"/>
        <w:rPr>
          <w:rFonts w:cs="Arial"/>
          <w:b/>
          <w:highlight w:val="cyan"/>
        </w:rPr>
      </w:pPr>
      <w:r w:rsidRPr="00DB1D7C">
        <w:rPr>
          <w:rFonts w:cs="Arial"/>
          <w:b/>
          <w:noProof/>
          <w:lang w:eastAsia="en-GB"/>
        </w:rPr>
        <w:lastRenderedPageBreak/>
        <w:drawing>
          <wp:inline distT="0" distB="0" distL="0" distR="0" wp14:anchorId="4997B694" wp14:editId="5C441AAA">
            <wp:extent cx="4572638" cy="3429479"/>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572638" cy="3429479"/>
                    </a:xfrm>
                    <a:prstGeom prst="rect">
                      <a:avLst/>
                    </a:prstGeom>
                  </pic:spPr>
                </pic:pic>
              </a:graphicData>
            </a:graphic>
          </wp:inline>
        </w:drawing>
      </w:r>
    </w:p>
    <w:p w14:paraId="302C0407" w14:textId="30F4108C" w:rsidR="00412B81" w:rsidRPr="00DB1D7C" w:rsidRDefault="00A118CD" w:rsidP="004665D8">
      <w:pPr>
        <w:ind w:left="567" w:right="662"/>
        <w:rPr>
          <w:rFonts w:cs="Arial"/>
        </w:rPr>
      </w:pPr>
      <w:r w:rsidRPr="00D70E13">
        <w:rPr>
          <w:rFonts w:cs="Arial"/>
          <w:b/>
        </w:rPr>
        <w:t>Figure</w:t>
      </w:r>
      <w:r w:rsidR="00412B81" w:rsidRPr="00D70E13">
        <w:rPr>
          <w:rFonts w:cs="Arial"/>
          <w:b/>
        </w:rPr>
        <w:t xml:space="preserve"> </w:t>
      </w:r>
      <w:r w:rsidR="0052078A" w:rsidRPr="00D70E13">
        <w:rPr>
          <w:rFonts w:cs="Arial"/>
          <w:b/>
        </w:rPr>
        <w:t>2</w:t>
      </w:r>
      <w:r w:rsidR="00D70E13" w:rsidRPr="00D70E13">
        <w:rPr>
          <w:rFonts w:cs="Arial"/>
          <w:b/>
        </w:rPr>
        <w:t xml:space="preserve">3. </w:t>
      </w:r>
      <w:r w:rsidR="00412B81" w:rsidRPr="00D70E13">
        <w:rPr>
          <w:rFonts w:cs="Arial"/>
        </w:rPr>
        <w:t xml:space="preserve"> Proportion</w:t>
      </w:r>
      <w:r w:rsidR="00412B81" w:rsidRPr="00DB1D7C">
        <w:rPr>
          <w:rFonts w:cs="Arial"/>
        </w:rPr>
        <w:t xml:space="preserve"> of men and women (%) aged 50–89 years with a 10-year probability of a major fracture that is more </w:t>
      </w:r>
      <w:r w:rsidR="00DF3CAF">
        <w:rPr>
          <w:rFonts w:cs="Arial"/>
        </w:rPr>
        <w:t>than</w:t>
      </w:r>
      <w:r w:rsidR="00412B81" w:rsidRPr="00DB1D7C">
        <w:rPr>
          <w:rFonts w:cs="Arial"/>
        </w:rPr>
        <w:t xml:space="preserve"> 20 %</w:t>
      </w:r>
      <w:r w:rsidR="0044633D" w:rsidRPr="00DB1D7C">
        <w:rPr>
          <w:rFonts w:cs="Arial"/>
        </w:rPr>
        <w:t xml:space="preserve"> in different countries of the European Union.  Those marked with an asterisk utilise a 20</w:t>
      </w:r>
      <w:r w:rsidR="00E8657B">
        <w:rPr>
          <w:rFonts w:cs="Arial"/>
        </w:rPr>
        <w:t xml:space="preserve"> </w:t>
      </w:r>
      <w:r w:rsidR="0044633D" w:rsidRPr="00DB1D7C">
        <w:rPr>
          <w:rFonts w:cs="Arial"/>
        </w:rPr>
        <w:t xml:space="preserve">% intervention threshold for a major osteoporotic fracture. Adapted </w:t>
      </w:r>
      <w:r w:rsidR="0044633D" w:rsidRPr="00B60D7F">
        <w:rPr>
          <w:rFonts w:cs="Arial"/>
        </w:rPr>
        <w:t>from</w:t>
      </w:r>
      <w:r w:rsidR="00C32BC5" w:rsidRPr="00B60D7F">
        <w:rPr>
          <w:rFonts w:ascii="Calibri" w:hAnsi="Calibri"/>
          <w:sz w:val="24"/>
          <w:szCs w:val="24"/>
        </w:rPr>
        <w:t xml:space="preserve"> [3]</w:t>
      </w:r>
      <w:r w:rsidR="0044633D" w:rsidRPr="00B60D7F">
        <w:rPr>
          <w:rFonts w:cs="Arial"/>
        </w:rPr>
        <w:t>.</w:t>
      </w:r>
    </w:p>
    <w:p w14:paraId="71939B62" w14:textId="77777777" w:rsidR="00412B81" w:rsidRPr="00DB1D7C" w:rsidRDefault="00412B81" w:rsidP="00412B81">
      <w:pPr>
        <w:rPr>
          <w:rFonts w:ascii="Calibri" w:hAnsi="Calibri"/>
          <w:sz w:val="24"/>
          <w:szCs w:val="24"/>
        </w:rPr>
      </w:pPr>
    </w:p>
    <w:p w14:paraId="7F98011D" w14:textId="078E0388" w:rsidR="004665D8" w:rsidRPr="00DB1D7C" w:rsidRDefault="005C3050" w:rsidP="004665D8">
      <w:pPr>
        <w:spacing w:line="276" w:lineRule="auto"/>
        <w:ind w:right="543"/>
        <w:rPr>
          <w:sz w:val="24"/>
          <w:szCs w:val="24"/>
        </w:rPr>
      </w:pPr>
      <w:r w:rsidRPr="00DB1D7C">
        <w:rPr>
          <w:rFonts w:ascii="Calibri" w:hAnsi="Calibri"/>
          <w:sz w:val="24"/>
          <w:szCs w:val="24"/>
        </w:rPr>
        <w:t xml:space="preserve">Another way of looking at this is to </w:t>
      </w:r>
      <w:r w:rsidR="004665D8" w:rsidRPr="00DB1D7C">
        <w:rPr>
          <w:rFonts w:ascii="Calibri" w:hAnsi="Calibri"/>
          <w:sz w:val="24"/>
          <w:szCs w:val="24"/>
        </w:rPr>
        <w:t>determine</w:t>
      </w:r>
      <w:r w:rsidRPr="00DB1D7C">
        <w:rPr>
          <w:rFonts w:ascii="Calibri" w:hAnsi="Calibri"/>
          <w:sz w:val="24"/>
          <w:szCs w:val="24"/>
        </w:rPr>
        <w:t xml:space="preserve"> the T-score that is equivalent to a probability threshold of 20</w:t>
      </w:r>
      <w:r w:rsidR="00E8657B">
        <w:rPr>
          <w:rFonts w:ascii="Calibri" w:hAnsi="Calibri"/>
          <w:sz w:val="24"/>
          <w:szCs w:val="24"/>
        </w:rPr>
        <w:t xml:space="preserve"> </w:t>
      </w:r>
      <w:r w:rsidRPr="00DB1D7C">
        <w:rPr>
          <w:rFonts w:ascii="Calibri" w:hAnsi="Calibri"/>
          <w:sz w:val="24"/>
          <w:szCs w:val="24"/>
        </w:rPr>
        <w:t>%</w:t>
      </w:r>
      <w:r w:rsidR="004665D8" w:rsidRPr="00DB1D7C">
        <w:rPr>
          <w:rFonts w:ascii="Calibri" w:hAnsi="Calibri"/>
          <w:sz w:val="24"/>
          <w:szCs w:val="24"/>
        </w:rPr>
        <w:t xml:space="preserve">.  </w:t>
      </w:r>
      <w:r w:rsidR="004665D8" w:rsidRPr="00DB1D7C">
        <w:rPr>
          <w:rFonts w:ascii="Calibri" w:hAnsi="Calibri" w:cs="AdvGulliv-R"/>
          <w:color w:val="000000"/>
          <w:sz w:val="24"/>
          <w:szCs w:val="24"/>
        </w:rPr>
        <w:t xml:space="preserve">Given that fracture rates vary widely from country to country – much more so than can be explained by variations in BMD for any given fracture </w:t>
      </w:r>
      <w:r w:rsidR="004665D8" w:rsidRPr="00B60D7F">
        <w:rPr>
          <w:rFonts w:ascii="Calibri" w:hAnsi="Calibri" w:cs="AdvGulliv-R"/>
          <w:color w:val="000000"/>
          <w:sz w:val="24"/>
          <w:szCs w:val="24"/>
        </w:rPr>
        <w:t xml:space="preserve">risk </w:t>
      </w:r>
      <w:r w:rsidR="00B83E1B" w:rsidRPr="00B60D7F">
        <w:rPr>
          <w:rFonts w:ascii="Calibri" w:hAnsi="Calibri" w:cs="AdvGulliv-R"/>
          <w:color w:val="000000"/>
          <w:sz w:val="24"/>
          <w:szCs w:val="24"/>
        </w:rPr>
        <w:t>[220]</w:t>
      </w:r>
      <w:r w:rsidR="004665D8" w:rsidRPr="00B60D7F">
        <w:rPr>
          <w:rFonts w:ascii="Calibri" w:hAnsi="Calibri" w:cs="AdvGulliv-R"/>
          <w:color w:val="000000"/>
          <w:sz w:val="24"/>
          <w:szCs w:val="24"/>
        </w:rPr>
        <w:t>, the</w:t>
      </w:r>
      <w:r w:rsidR="004665D8" w:rsidRPr="00DB1D7C">
        <w:rPr>
          <w:rFonts w:ascii="Calibri" w:hAnsi="Calibri" w:cs="AdvGulliv-R"/>
          <w:color w:val="000000"/>
          <w:sz w:val="24"/>
          <w:szCs w:val="24"/>
        </w:rPr>
        <w:t xml:space="preserve"> T-score </w:t>
      </w:r>
      <w:r w:rsidR="00461586">
        <w:rPr>
          <w:rFonts w:ascii="Calibri" w:hAnsi="Calibri" w:cs="AdvGulliv-R"/>
          <w:color w:val="000000"/>
          <w:sz w:val="24"/>
          <w:szCs w:val="24"/>
        </w:rPr>
        <w:t xml:space="preserve">threshold </w:t>
      </w:r>
      <w:r w:rsidR="004665D8" w:rsidRPr="00DB1D7C">
        <w:rPr>
          <w:rFonts w:ascii="Calibri" w:hAnsi="Calibri" w:cs="AdvGulliv-R"/>
          <w:color w:val="000000"/>
          <w:sz w:val="24"/>
          <w:szCs w:val="24"/>
        </w:rPr>
        <w:t>will vary from country to country.  For example, when an intervention threshold is set at a 10-year probability of a major fracture of 20</w:t>
      </w:r>
      <w:r w:rsidR="00E8657B">
        <w:rPr>
          <w:rFonts w:ascii="Calibri" w:hAnsi="Calibri" w:cs="AdvGulliv-R"/>
          <w:color w:val="000000"/>
          <w:sz w:val="24"/>
          <w:szCs w:val="24"/>
        </w:rPr>
        <w:t xml:space="preserve"> </w:t>
      </w:r>
      <w:r w:rsidR="004665D8" w:rsidRPr="00DB1D7C">
        <w:rPr>
          <w:rFonts w:ascii="Calibri" w:hAnsi="Calibri" w:cs="AdvGulliv-R"/>
          <w:color w:val="000000"/>
          <w:sz w:val="24"/>
          <w:szCs w:val="24"/>
        </w:rPr>
        <w:t xml:space="preserve">%, the femoral neck T-score ranges widely in different </w:t>
      </w:r>
      <w:r w:rsidR="004665D8" w:rsidRPr="00D70E13">
        <w:rPr>
          <w:rFonts w:ascii="Calibri" w:hAnsi="Calibri" w:cs="AdvGulliv-R"/>
          <w:color w:val="000000"/>
          <w:sz w:val="24"/>
          <w:szCs w:val="24"/>
        </w:rPr>
        <w:t xml:space="preserve">countries.  </w:t>
      </w:r>
      <w:r w:rsidR="00A118CD" w:rsidRPr="00D70E13">
        <w:rPr>
          <w:rFonts w:ascii="Calibri" w:hAnsi="Calibri" w:cs="AdvGulliv-R"/>
          <w:color w:val="000000"/>
          <w:sz w:val="24"/>
          <w:szCs w:val="24"/>
        </w:rPr>
        <w:t>Figure</w:t>
      </w:r>
      <w:r w:rsidR="004665D8" w:rsidRPr="00D70E13">
        <w:rPr>
          <w:rFonts w:ascii="Calibri" w:hAnsi="Calibri" w:cs="AdvGulliv-R"/>
          <w:color w:val="000000"/>
          <w:sz w:val="24"/>
          <w:szCs w:val="24"/>
        </w:rPr>
        <w:t xml:space="preserve"> 2</w:t>
      </w:r>
      <w:r w:rsidR="00D70E13" w:rsidRPr="00D70E13">
        <w:rPr>
          <w:rFonts w:ascii="Calibri" w:hAnsi="Calibri" w:cs="AdvGulliv-R"/>
          <w:color w:val="000000"/>
          <w:sz w:val="24"/>
          <w:szCs w:val="24"/>
        </w:rPr>
        <w:t>4</w:t>
      </w:r>
      <w:r w:rsidR="004665D8" w:rsidRPr="00D70E13">
        <w:rPr>
          <w:rFonts w:ascii="Calibri" w:hAnsi="Calibri" w:cs="AdvGulliv-R"/>
          <w:color w:val="000000"/>
          <w:sz w:val="24"/>
          <w:szCs w:val="24"/>
        </w:rPr>
        <w:t xml:space="preserve"> illustrates</w:t>
      </w:r>
      <w:r w:rsidR="004665D8" w:rsidRPr="00DB1D7C">
        <w:rPr>
          <w:rFonts w:ascii="Calibri" w:hAnsi="Calibri" w:cs="AdvGulliv-R"/>
          <w:color w:val="000000"/>
          <w:sz w:val="24"/>
          <w:szCs w:val="24"/>
        </w:rPr>
        <w:t xml:space="preserve"> this for women</w:t>
      </w:r>
      <w:r w:rsidR="004665D8" w:rsidRPr="00DB1D7C">
        <w:rPr>
          <w:sz w:val="24"/>
          <w:szCs w:val="24"/>
        </w:rPr>
        <w:t xml:space="preserve"> aged 65 years, prior fracture and a BMI of 24</w:t>
      </w:r>
      <w:r w:rsidR="00256A58">
        <w:rPr>
          <w:sz w:val="24"/>
          <w:szCs w:val="24"/>
        </w:rPr>
        <w:t xml:space="preserve"> </w:t>
      </w:r>
      <w:r w:rsidR="004665D8" w:rsidRPr="00DB1D7C">
        <w:rPr>
          <w:sz w:val="24"/>
          <w:szCs w:val="24"/>
        </w:rPr>
        <w:t>kg/m</w:t>
      </w:r>
      <w:r w:rsidR="004665D8" w:rsidRPr="00DB1D7C">
        <w:rPr>
          <w:sz w:val="24"/>
          <w:szCs w:val="24"/>
          <w:vertAlign w:val="superscript"/>
        </w:rPr>
        <w:t>2</w:t>
      </w:r>
      <w:r w:rsidR="004665D8" w:rsidRPr="00DB1D7C">
        <w:rPr>
          <w:sz w:val="24"/>
          <w:szCs w:val="24"/>
        </w:rPr>
        <w:t xml:space="preserve"> using the FRAX tool.  For this clinical scenario, a 10-year fracture probability of 20</w:t>
      </w:r>
      <w:r w:rsidR="00E8657B">
        <w:rPr>
          <w:sz w:val="24"/>
          <w:szCs w:val="24"/>
        </w:rPr>
        <w:t xml:space="preserve"> </w:t>
      </w:r>
      <w:r w:rsidR="004665D8" w:rsidRPr="00DB1D7C">
        <w:rPr>
          <w:sz w:val="24"/>
          <w:szCs w:val="24"/>
        </w:rPr>
        <w:t xml:space="preserve">% is equivalent to a T-score of -4.6 SD in Venezuela whereas the equivalent T-score in women from Iceland is -2.0 SD. In the absence of a prior fracture the T-score ranges from -3 to -5 SD. </w:t>
      </w:r>
    </w:p>
    <w:p w14:paraId="056FBC56" w14:textId="7D321CA9" w:rsidR="004665D8" w:rsidRPr="00DB1D7C" w:rsidRDefault="004665D8" w:rsidP="00201CCF">
      <w:pPr>
        <w:jc w:val="center"/>
      </w:pPr>
    </w:p>
    <w:p w14:paraId="449FCD7A" w14:textId="10BA3615" w:rsidR="006D0EDF" w:rsidRPr="00DB1D7C" w:rsidRDefault="006D0EDF" w:rsidP="00201CCF">
      <w:pPr>
        <w:ind w:left="426" w:right="662"/>
        <w:rPr>
          <w:b/>
        </w:rPr>
      </w:pPr>
      <w:r w:rsidRPr="00DB1D7C">
        <w:rPr>
          <w:b/>
          <w:noProof/>
          <w:lang w:eastAsia="en-GB"/>
        </w:rPr>
        <w:lastRenderedPageBreak/>
        <w:drawing>
          <wp:inline distT="0" distB="0" distL="0" distR="0" wp14:anchorId="52B97874" wp14:editId="2C48A529">
            <wp:extent cx="4571999" cy="3324225"/>
            <wp:effectExtent l="0" t="0" r="63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srcRect t="3056"/>
                    <a:stretch/>
                  </pic:blipFill>
                  <pic:spPr bwMode="auto">
                    <a:xfrm>
                      <a:off x="0" y="0"/>
                      <a:ext cx="4572638" cy="3324689"/>
                    </a:xfrm>
                    <a:prstGeom prst="rect">
                      <a:avLst/>
                    </a:prstGeom>
                    <a:ln>
                      <a:noFill/>
                    </a:ln>
                    <a:extLst>
                      <a:ext uri="{53640926-AAD7-44D8-BBD7-CCE9431645EC}">
                        <a14:shadowObscured xmlns:a14="http://schemas.microsoft.com/office/drawing/2010/main"/>
                      </a:ext>
                    </a:extLst>
                  </pic:spPr>
                </pic:pic>
              </a:graphicData>
            </a:graphic>
          </wp:inline>
        </w:drawing>
      </w:r>
    </w:p>
    <w:p w14:paraId="2A98DA07" w14:textId="41F21FB7" w:rsidR="004665D8" w:rsidRPr="005346BA" w:rsidRDefault="00A118CD" w:rsidP="00201CCF">
      <w:pPr>
        <w:ind w:left="426" w:right="662"/>
      </w:pPr>
      <w:r w:rsidRPr="00D70E13">
        <w:rPr>
          <w:b/>
        </w:rPr>
        <w:t>Figure</w:t>
      </w:r>
      <w:r w:rsidR="004665D8" w:rsidRPr="00D70E13">
        <w:rPr>
          <w:b/>
        </w:rPr>
        <w:t xml:space="preserve"> 2</w:t>
      </w:r>
      <w:r w:rsidR="00D70E13" w:rsidRPr="00D70E13">
        <w:rPr>
          <w:b/>
        </w:rPr>
        <w:t>4.</w:t>
      </w:r>
      <w:r w:rsidR="004665D8" w:rsidRPr="00D70E13">
        <w:rPr>
          <w:b/>
        </w:rPr>
        <w:t xml:space="preserve"> </w:t>
      </w:r>
      <w:r w:rsidR="004665D8" w:rsidRPr="00D70E13">
        <w:t xml:space="preserve"> T-scores</w:t>
      </w:r>
      <w:r w:rsidR="004665D8" w:rsidRPr="00DB1D7C">
        <w:t xml:space="preserve"> in selected countries that are equivalent to a 20% 10-year probability of a major fracture (women aged 65 years, prior fracture and a BMI of 24kg/m</w:t>
      </w:r>
      <w:r w:rsidR="004665D8" w:rsidRPr="00DB1D7C">
        <w:rPr>
          <w:vertAlign w:val="superscript"/>
        </w:rPr>
        <w:t>2</w:t>
      </w:r>
      <w:r w:rsidR="004665D8" w:rsidRPr="00DB1D7C">
        <w:t xml:space="preserve">) </w:t>
      </w:r>
      <w:r w:rsidR="00B60D7F">
        <w:t xml:space="preserve"> </w:t>
      </w:r>
      <w:r w:rsidR="00B60D7F" w:rsidRPr="00B60D7F">
        <w:t xml:space="preserve">From </w:t>
      </w:r>
      <w:r w:rsidR="00B245DB" w:rsidRPr="00B60D7F">
        <w:t>[216]</w:t>
      </w:r>
      <w:r w:rsidR="005346BA">
        <w:t xml:space="preserve"> </w:t>
      </w:r>
      <w:r w:rsidR="005346BA" w:rsidRPr="005346BA">
        <w:t>with</w:t>
      </w:r>
      <w:r w:rsidR="004665D8" w:rsidRPr="005346BA">
        <w:t xml:space="preserve"> permission from </w:t>
      </w:r>
      <w:r w:rsidR="005346BA" w:rsidRPr="005346BA">
        <w:rPr>
          <w:color w:val="000000"/>
        </w:rPr>
        <w:t>John Wiley and Sons</w:t>
      </w:r>
      <w:r w:rsidR="005346BA">
        <w:rPr>
          <w:color w:val="000000"/>
        </w:rPr>
        <w:t>.</w:t>
      </w:r>
    </w:p>
    <w:p w14:paraId="7610E9FC" w14:textId="77777777" w:rsidR="00B60D7F" w:rsidRPr="00DB1D7C" w:rsidRDefault="00B60D7F" w:rsidP="00201CCF">
      <w:pPr>
        <w:ind w:left="426" w:right="662"/>
      </w:pPr>
    </w:p>
    <w:p w14:paraId="44F10D84" w14:textId="3F02A82E" w:rsidR="004665D8" w:rsidRPr="00DB1D7C" w:rsidRDefault="004665D8" w:rsidP="004665D8">
      <w:pPr>
        <w:spacing w:line="276" w:lineRule="auto"/>
        <w:rPr>
          <w:sz w:val="24"/>
          <w:szCs w:val="24"/>
        </w:rPr>
      </w:pPr>
      <w:r w:rsidRPr="00DB1D7C">
        <w:rPr>
          <w:sz w:val="24"/>
          <w:szCs w:val="24"/>
        </w:rPr>
        <w:t>This argues strongly that intervention thresholds need to be determined on a country</w:t>
      </w:r>
      <w:r w:rsidR="00BE2FB0">
        <w:rPr>
          <w:sz w:val="24"/>
          <w:szCs w:val="24"/>
        </w:rPr>
        <w:t>-</w:t>
      </w:r>
      <w:r w:rsidRPr="00DB1D7C">
        <w:rPr>
          <w:sz w:val="24"/>
          <w:szCs w:val="24"/>
        </w:rPr>
        <w:t>by</w:t>
      </w:r>
      <w:r w:rsidR="00BE2FB0">
        <w:rPr>
          <w:sz w:val="24"/>
          <w:szCs w:val="24"/>
        </w:rPr>
        <w:t>-</w:t>
      </w:r>
      <w:r w:rsidRPr="00DB1D7C">
        <w:rPr>
          <w:sz w:val="24"/>
          <w:szCs w:val="24"/>
        </w:rPr>
        <w:t>country basis.</w:t>
      </w:r>
    </w:p>
    <w:p w14:paraId="6E378779" w14:textId="73C249D9" w:rsidR="00861A92" w:rsidRPr="00DB1D7C" w:rsidRDefault="00861A92" w:rsidP="005D01CB">
      <w:pPr>
        <w:rPr>
          <w:rFonts w:ascii="Calibri" w:hAnsi="Calibri"/>
          <w:i/>
          <w:sz w:val="24"/>
          <w:szCs w:val="24"/>
        </w:rPr>
      </w:pPr>
    </w:p>
    <w:p w14:paraId="4E659A47" w14:textId="690EE4DA" w:rsidR="004B6109" w:rsidRPr="00DB1D7C" w:rsidRDefault="004B6109" w:rsidP="004B6109">
      <w:pPr>
        <w:spacing w:line="276" w:lineRule="auto"/>
        <w:ind w:right="543"/>
        <w:rPr>
          <w:rFonts w:cs="Arial"/>
          <w:b/>
          <w:color w:val="000000"/>
          <w:sz w:val="24"/>
          <w:szCs w:val="24"/>
        </w:rPr>
      </w:pPr>
      <w:r w:rsidRPr="00DB1D7C">
        <w:rPr>
          <w:rFonts w:cs="Arial"/>
          <w:b/>
          <w:color w:val="000000"/>
          <w:sz w:val="24"/>
          <w:szCs w:val="24"/>
        </w:rPr>
        <w:t>Economic thresholds</w:t>
      </w:r>
    </w:p>
    <w:p w14:paraId="0E1EDB60" w14:textId="3EE9C32C" w:rsidR="00482286" w:rsidRPr="00DB1D7C" w:rsidRDefault="00482286" w:rsidP="00482286">
      <w:pPr>
        <w:spacing w:line="276" w:lineRule="auto"/>
        <w:rPr>
          <w:sz w:val="24"/>
          <w:szCs w:val="24"/>
        </w:rPr>
      </w:pPr>
      <w:r w:rsidRPr="00DB1D7C">
        <w:rPr>
          <w:sz w:val="24"/>
          <w:szCs w:val="24"/>
        </w:rPr>
        <w:t>Health economic assessment in the context of intervention thresholds and guideline development has used two approaches with FRAX.  The first has been to set a FRAX intervention threshold at the point at which intervention becomes cost-effective.  This is the approach that historically has been used by the National Institute for Health and C</w:t>
      </w:r>
      <w:r w:rsidR="00BE2FB0">
        <w:rPr>
          <w:sz w:val="24"/>
          <w:szCs w:val="24"/>
        </w:rPr>
        <w:t>are</w:t>
      </w:r>
      <w:r w:rsidRPr="00DB1D7C">
        <w:rPr>
          <w:sz w:val="24"/>
          <w:szCs w:val="24"/>
        </w:rPr>
        <w:t xml:space="preserve"> Excellence in the </w:t>
      </w:r>
      <w:r w:rsidRPr="00B60D7F">
        <w:rPr>
          <w:sz w:val="24"/>
          <w:szCs w:val="24"/>
        </w:rPr>
        <w:t xml:space="preserve">UK </w:t>
      </w:r>
      <w:r w:rsidR="00B245DB" w:rsidRPr="00B60D7F">
        <w:rPr>
          <w:sz w:val="24"/>
          <w:szCs w:val="24"/>
        </w:rPr>
        <w:t xml:space="preserve"> [173, 174]</w:t>
      </w:r>
      <w:r w:rsidRPr="00B60D7F">
        <w:rPr>
          <w:sz w:val="24"/>
          <w:szCs w:val="24"/>
        </w:rPr>
        <w:t xml:space="preserve">. </w:t>
      </w:r>
      <w:r w:rsidR="00B245DB" w:rsidRPr="00B60D7F">
        <w:rPr>
          <w:sz w:val="24"/>
          <w:szCs w:val="24"/>
        </w:rPr>
        <w:t xml:space="preserve"> Other e</w:t>
      </w:r>
      <w:r w:rsidRPr="00B60D7F">
        <w:rPr>
          <w:sz w:val="24"/>
          <w:szCs w:val="24"/>
        </w:rPr>
        <w:t>xamples, reviewed in this report, include the development of the 20</w:t>
      </w:r>
      <w:r w:rsidR="00256A58" w:rsidRPr="00B60D7F">
        <w:rPr>
          <w:sz w:val="24"/>
          <w:szCs w:val="24"/>
        </w:rPr>
        <w:t xml:space="preserve"> </w:t>
      </w:r>
      <w:r w:rsidRPr="00B60D7F">
        <w:rPr>
          <w:sz w:val="24"/>
          <w:szCs w:val="24"/>
        </w:rPr>
        <w:t>% thresholds used in the NOF guidelines of the United States</w:t>
      </w:r>
      <w:r w:rsidR="00B245DB" w:rsidRPr="00B60D7F">
        <w:rPr>
          <w:sz w:val="24"/>
          <w:szCs w:val="24"/>
        </w:rPr>
        <w:t xml:space="preserve"> [124]</w:t>
      </w:r>
      <w:r w:rsidRPr="00B60D7F">
        <w:rPr>
          <w:sz w:val="24"/>
          <w:szCs w:val="24"/>
        </w:rPr>
        <w:t xml:space="preserve">.  The fracture probabilities at which intervention becomes cost-effective have been explored for the use of alendronate </w:t>
      </w:r>
      <w:r w:rsidR="00B245DB" w:rsidRPr="00B60D7F">
        <w:rPr>
          <w:sz w:val="24"/>
          <w:szCs w:val="24"/>
        </w:rPr>
        <w:t>[</w:t>
      </w:r>
      <w:r w:rsidR="00B60D7F" w:rsidRPr="00B60D7F">
        <w:rPr>
          <w:sz w:val="24"/>
          <w:szCs w:val="24"/>
        </w:rPr>
        <w:t xml:space="preserve">105, </w:t>
      </w:r>
      <w:r w:rsidR="00B245DB" w:rsidRPr="00B60D7F">
        <w:rPr>
          <w:sz w:val="24"/>
          <w:szCs w:val="24"/>
        </w:rPr>
        <w:t>165]</w:t>
      </w:r>
      <w:r w:rsidR="00256A58" w:rsidRPr="00B60D7F">
        <w:rPr>
          <w:sz w:val="24"/>
          <w:szCs w:val="24"/>
        </w:rPr>
        <w:t>,</w:t>
      </w:r>
      <w:r w:rsidRPr="00B60D7F">
        <w:rPr>
          <w:sz w:val="24"/>
          <w:szCs w:val="24"/>
        </w:rPr>
        <w:t xml:space="preserve"> risedronate </w:t>
      </w:r>
      <w:r w:rsidR="00B245DB" w:rsidRPr="00B60D7F">
        <w:rPr>
          <w:sz w:val="24"/>
          <w:szCs w:val="24"/>
        </w:rPr>
        <w:t>[166]</w:t>
      </w:r>
      <w:r w:rsidRPr="00B60D7F">
        <w:rPr>
          <w:sz w:val="24"/>
          <w:szCs w:val="24"/>
        </w:rPr>
        <w:t xml:space="preserve">, denosumab </w:t>
      </w:r>
      <w:r w:rsidR="00B245DB" w:rsidRPr="00B60D7F">
        <w:rPr>
          <w:sz w:val="24"/>
          <w:szCs w:val="24"/>
        </w:rPr>
        <w:t>[167]</w:t>
      </w:r>
      <w:r w:rsidRPr="00B60D7F">
        <w:rPr>
          <w:sz w:val="24"/>
          <w:szCs w:val="24"/>
        </w:rPr>
        <w:t>, , raloxifene [</w:t>
      </w:r>
      <w:r w:rsidR="00B60D7F" w:rsidRPr="00B60D7F">
        <w:rPr>
          <w:sz w:val="24"/>
          <w:szCs w:val="24"/>
        </w:rPr>
        <w:t>168</w:t>
      </w:r>
      <w:r w:rsidRPr="00B60D7F">
        <w:rPr>
          <w:sz w:val="24"/>
          <w:szCs w:val="24"/>
        </w:rPr>
        <w:t xml:space="preserve">], strontium </w:t>
      </w:r>
      <w:r w:rsidR="00B245DB" w:rsidRPr="00B60D7F">
        <w:rPr>
          <w:sz w:val="24"/>
          <w:szCs w:val="24"/>
        </w:rPr>
        <w:t>[169]</w:t>
      </w:r>
      <w:r w:rsidRPr="00B60D7F">
        <w:rPr>
          <w:sz w:val="24"/>
          <w:szCs w:val="24"/>
        </w:rPr>
        <w:t xml:space="preserve"> and bazedoxifene </w:t>
      </w:r>
      <w:r w:rsidR="00B245DB" w:rsidRPr="00B60D7F">
        <w:rPr>
          <w:sz w:val="24"/>
          <w:szCs w:val="24"/>
        </w:rPr>
        <w:t>[163</w:t>
      </w:r>
      <w:r w:rsidR="00B60D7F" w:rsidRPr="00B60D7F">
        <w:rPr>
          <w:sz w:val="24"/>
          <w:szCs w:val="24"/>
        </w:rPr>
        <w:t xml:space="preserve">, </w:t>
      </w:r>
      <w:r w:rsidR="00B245DB" w:rsidRPr="00B60D7F">
        <w:rPr>
          <w:sz w:val="24"/>
          <w:szCs w:val="24"/>
        </w:rPr>
        <w:t>170]</w:t>
      </w:r>
      <w:r w:rsidRPr="00B60D7F">
        <w:rPr>
          <w:sz w:val="24"/>
          <w:szCs w:val="24"/>
        </w:rPr>
        <w:t>.  As would be expected, analysis of each intervention produces different thresholds.  Moreover</w:t>
      </w:r>
      <w:r w:rsidRPr="00DB1D7C">
        <w:rPr>
          <w:sz w:val="24"/>
          <w:szCs w:val="24"/>
        </w:rPr>
        <w:t>, a threshold determined for one country cannot inform a threshold in another.  This poses problems in the application of the guidance to primary care if intervention thresholds are drug-specific.  This has led to analyses being based on a basket o</w:t>
      </w:r>
      <w:r w:rsidR="00DF3CAF">
        <w:rPr>
          <w:sz w:val="24"/>
          <w:szCs w:val="24"/>
        </w:rPr>
        <w:t>f</w:t>
      </w:r>
      <w:r w:rsidRPr="00DB1D7C">
        <w:rPr>
          <w:sz w:val="24"/>
          <w:szCs w:val="24"/>
        </w:rPr>
        <w:t xml:space="preserve"> interventions, an approach that has been resisted by </w:t>
      </w:r>
      <w:r w:rsidRPr="00120E42">
        <w:rPr>
          <w:sz w:val="24"/>
          <w:szCs w:val="24"/>
        </w:rPr>
        <w:t>NICE</w:t>
      </w:r>
      <w:r w:rsidR="00E03EF2" w:rsidRPr="00120E42">
        <w:rPr>
          <w:sz w:val="24"/>
          <w:szCs w:val="24"/>
        </w:rPr>
        <w:t xml:space="preserve"> [108]</w:t>
      </w:r>
      <w:r w:rsidRPr="00120E42">
        <w:rPr>
          <w:sz w:val="24"/>
          <w:szCs w:val="24"/>
        </w:rPr>
        <w:t>.</w:t>
      </w:r>
      <w:r w:rsidRPr="00DB1D7C">
        <w:rPr>
          <w:sz w:val="24"/>
          <w:szCs w:val="24"/>
        </w:rPr>
        <w:t xml:space="preserve">  </w:t>
      </w:r>
      <w:r w:rsidR="00256A58" w:rsidRPr="00DB1D7C">
        <w:rPr>
          <w:sz w:val="24"/>
          <w:szCs w:val="24"/>
        </w:rPr>
        <w:t xml:space="preserve">This in turn raises additional problems of management.  Imagine, for example, Mrs x aged 56 years with a prior vertebral fracture whose probability of a major </w:t>
      </w:r>
      <w:r w:rsidR="00256A58" w:rsidRPr="00DB1D7C">
        <w:rPr>
          <w:sz w:val="24"/>
          <w:szCs w:val="24"/>
        </w:rPr>
        <w:lastRenderedPageBreak/>
        <w:t>osteoporotic fracture is 10</w:t>
      </w:r>
      <w:r w:rsidR="00256A58">
        <w:rPr>
          <w:sz w:val="24"/>
          <w:szCs w:val="24"/>
        </w:rPr>
        <w:t xml:space="preserve"> </w:t>
      </w:r>
      <w:r w:rsidR="00256A58" w:rsidRPr="00DB1D7C">
        <w:rPr>
          <w:sz w:val="24"/>
          <w:szCs w:val="24"/>
        </w:rPr>
        <w:t>%</w:t>
      </w:r>
      <w:r w:rsidR="00256A58">
        <w:rPr>
          <w:sz w:val="24"/>
          <w:szCs w:val="24"/>
        </w:rPr>
        <w:t>,</w:t>
      </w:r>
      <w:r w:rsidR="00256A58" w:rsidRPr="00DB1D7C">
        <w:rPr>
          <w:sz w:val="24"/>
          <w:szCs w:val="24"/>
        </w:rPr>
        <w:t xml:space="preserve"> well </w:t>
      </w:r>
      <w:r w:rsidR="00256A58">
        <w:rPr>
          <w:sz w:val="24"/>
          <w:szCs w:val="24"/>
        </w:rPr>
        <w:t>above</w:t>
      </w:r>
      <w:r w:rsidR="00256A58" w:rsidRPr="00DB1D7C">
        <w:rPr>
          <w:sz w:val="24"/>
          <w:szCs w:val="24"/>
        </w:rPr>
        <w:t xml:space="preserve"> the threshold where treatment with alendronate is reimbursed.  She is given alendronate</w:t>
      </w:r>
      <w:r w:rsidR="00256A58">
        <w:rPr>
          <w:sz w:val="24"/>
          <w:szCs w:val="24"/>
        </w:rPr>
        <w:t>,</w:t>
      </w:r>
      <w:r w:rsidR="00256A58" w:rsidRPr="00DB1D7C">
        <w:rPr>
          <w:sz w:val="24"/>
          <w:szCs w:val="24"/>
        </w:rPr>
        <w:t xml:space="preserve"> which is poorly tolerated</w:t>
      </w:r>
      <w:r w:rsidR="00256A58">
        <w:rPr>
          <w:sz w:val="24"/>
          <w:szCs w:val="24"/>
        </w:rPr>
        <w:t>,</w:t>
      </w:r>
      <w:r w:rsidR="00256A58" w:rsidRPr="00DB1D7C">
        <w:rPr>
          <w:sz w:val="24"/>
          <w:szCs w:val="24"/>
        </w:rPr>
        <w:t xml:space="preserve"> but </w:t>
      </w:r>
      <w:r w:rsidR="00256A58">
        <w:rPr>
          <w:sz w:val="24"/>
          <w:szCs w:val="24"/>
        </w:rPr>
        <w:t xml:space="preserve">she </w:t>
      </w:r>
      <w:r w:rsidR="00256A58" w:rsidRPr="00DB1D7C">
        <w:rPr>
          <w:sz w:val="24"/>
          <w:szCs w:val="24"/>
        </w:rPr>
        <w:t>cannot be offered an alternative treatment</w:t>
      </w:r>
      <w:r w:rsidR="00256A58">
        <w:rPr>
          <w:sz w:val="24"/>
          <w:szCs w:val="24"/>
        </w:rPr>
        <w:t xml:space="preserve"> </w:t>
      </w:r>
      <w:r w:rsidR="00256A58" w:rsidRPr="00DB1D7C">
        <w:rPr>
          <w:sz w:val="24"/>
          <w:szCs w:val="24"/>
        </w:rPr>
        <w:t>(e.g. risedronate) until her fracture probability has increased to 18</w:t>
      </w:r>
      <w:r w:rsidR="00256A58">
        <w:rPr>
          <w:sz w:val="24"/>
          <w:szCs w:val="24"/>
        </w:rPr>
        <w:t xml:space="preserve"> </w:t>
      </w:r>
      <w:r w:rsidR="00256A58" w:rsidRPr="00DB1D7C">
        <w:rPr>
          <w:sz w:val="24"/>
          <w:szCs w:val="24"/>
        </w:rPr>
        <w:t>%</w:t>
      </w:r>
      <w:r w:rsidR="00256A58">
        <w:rPr>
          <w:sz w:val="24"/>
          <w:szCs w:val="24"/>
        </w:rPr>
        <w:t>,</w:t>
      </w:r>
      <w:r w:rsidR="00256A58" w:rsidRPr="00DB1D7C">
        <w:rPr>
          <w:sz w:val="24"/>
          <w:szCs w:val="24"/>
        </w:rPr>
        <w:t xml:space="preserve"> because the agent-specific threshold had not been reached.  In this example a wait of 11 years is required, all </w:t>
      </w:r>
      <w:r w:rsidR="00256A58">
        <w:rPr>
          <w:sz w:val="24"/>
          <w:szCs w:val="24"/>
        </w:rPr>
        <w:t xml:space="preserve">other </w:t>
      </w:r>
      <w:r w:rsidR="00256A58" w:rsidRPr="00DB1D7C">
        <w:rPr>
          <w:sz w:val="24"/>
          <w:szCs w:val="24"/>
        </w:rPr>
        <w:t>things being equal.  Such guidance is cumbersome and cannot be readily used in the primary care</w:t>
      </w:r>
      <w:r w:rsidR="00256A58" w:rsidRPr="006548F3">
        <w:rPr>
          <w:sz w:val="24"/>
          <w:szCs w:val="24"/>
        </w:rPr>
        <w:t xml:space="preserve"> </w:t>
      </w:r>
      <w:r w:rsidR="00256A58" w:rsidRPr="00DB1D7C">
        <w:rPr>
          <w:sz w:val="24"/>
          <w:szCs w:val="24"/>
        </w:rPr>
        <w:t>setting. Moreover, thresholds produced in this way are very sensitive in that even a modest change in the cost of intervention will invalidate the threshold.</w:t>
      </w:r>
    </w:p>
    <w:p w14:paraId="50D2ACD8" w14:textId="536B15E2" w:rsidR="00482286" w:rsidRPr="00DB1D7C" w:rsidRDefault="00482286" w:rsidP="00482286">
      <w:pPr>
        <w:spacing w:line="276" w:lineRule="auto"/>
        <w:rPr>
          <w:sz w:val="24"/>
          <w:szCs w:val="24"/>
        </w:rPr>
      </w:pPr>
      <w:r w:rsidRPr="00DB1D7C">
        <w:rPr>
          <w:sz w:val="24"/>
          <w:szCs w:val="24"/>
        </w:rPr>
        <w:t>The second and alternative approach, adopted by NOGG was to devise intervention thresholds based on clinical imperatives, always provided that the strategy proves to be cost-</w:t>
      </w:r>
      <w:r w:rsidRPr="00120E42">
        <w:rPr>
          <w:sz w:val="24"/>
          <w:szCs w:val="24"/>
        </w:rPr>
        <w:t xml:space="preserve">effective </w:t>
      </w:r>
      <w:r w:rsidR="00335280" w:rsidRPr="00120E42">
        <w:rPr>
          <w:rFonts w:ascii="Calibri" w:hAnsi="Calibri"/>
          <w:sz w:val="24"/>
          <w:szCs w:val="24"/>
        </w:rPr>
        <w:t>[139]</w:t>
      </w:r>
      <w:r w:rsidRPr="00120E42">
        <w:rPr>
          <w:sz w:val="24"/>
          <w:szCs w:val="24"/>
        </w:rPr>
        <w:t>.  In</w:t>
      </w:r>
      <w:r w:rsidRPr="00DB1D7C">
        <w:rPr>
          <w:sz w:val="24"/>
          <w:szCs w:val="24"/>
        </w:rPr>
        <w:t xml:space="preserve"> the former scenario, health technology assessment sets intervention thresholds and in the latter, intervention thresholds are validated by economic analysis.  The major intervention in the UK and many </w:t>
      </w:r>
      <w:r w:rsidRPr="00120E42">
        <w:rPr>
          <w:sz w:val="24"/>
          <w:szCs w:val="24"/>
        </w:rPr>
        <w:t xml:space="preserve">other countries is alendronate </w:t>
      </w:r>
      <w:r w:rsidR="007D5CFA" w:rsidRPr="00120E42">
        <w:rPr>
          <w:rFonts w:ascii="Calibri" w:hAnsi="Calibri"/>
          <w:sz w:val="24"/>
          <w:szCs w:val="24"/>
        </w:rPr>
        <w:t>[2]</w:t>
      </w:r>
      <w:r w:rsidRPr="00120E42">
        <w:rPr>
          <w:sz w:val="24"/>
          <w:szCs w:val="24"/>
        </w:rPr>
        <w:t>.  In the case of generic alendronate treatment compared to no treatment was found to be cost-effective at a 10-year probability of a major fracture of approximately 7</w:t>
      </w:r>
      <w:r w:rsidR="00E8657B" w:rsidRPr="00120E42">
        <w:rPr>
          <w:sz w:val="24"/>
          <w:szCs w:val="24"/>
        </w:rPr>
        <w:t xml:space="preserve"> </w:t>
      </w:r>
      <w:r w:rsidRPr="00120E42">
        <w:rPr>
          <w:sz w:val="24"/>
          <w:szCs w:val="24"/>
        </w:rPr>
        <w:t xml:space="preserve">% indicating that the use of NOGG thresholds were cost-effective </w:t>
      </w:r>
      <w:r w:rsidR="00E03EF2" w:rsidRPr="00120E42">
        <w:rPr>
          <w:sz w:val="24"/>
          <w:szCs w:val="24"/>
        </w:rPr>
        <w:t>[165]</w:t>
      </w:r>
      <w:r w:rsidRPr="00120E42">
        <w:rPr>
          <w:sz w:val="24"/>
          <w:szCs w:val="24"/>
        </w:rPr>
        <w:t xml:space="preserve">.  </w:t>
      </w:r>
    </w:p>
    <w:p w14:paraId="2ADC860A" w14:textId="77777777" w:rsidR="004B6109" w:rsidRPr="00DB1D7C" w:rsidRDefault="004B6109" w:rsidP="004B6109">
      <w:pPr>
        <w:spacing w:line="276" w:lineRule="auto"/>
        <w:ind w:right="543"/>
        <w:rPr>
          <w:rFonts w:cs="Arial"/>
          <w:b/>
          <w:i/>
          <w:color w:val="000000"/>
          <w:sz w:val="24"/>
          <w:szCs w:val="24"/>
        </w:rPr>
      </w:pPr>
    </w:p>
    <w:p w14:paraId="588315A9" w14:textId="77777777" w:rsidR="004B6109" w:rsidRPr="00DB1D7C" w:rsidRDefault="004B6109" w:rsidP="004B6109">
      <w:pPr>
        <w:spacing w:line="276" w:lineRule="auto"/>
        <w:ind w:right="543"/>
        <w:rPr>
          <w:rFonts w:cs="Arial"/>
          <w:b/>
          <w:color w:val="000000"/>
          <w:sz w:val="24"/>
          <w:szCs w:val="24"/>
        </w:rPr>
      </w:pPr>
      <w:r w:rsidRPr="00DB1D7C">
        <w:rPr>
          <w:rFonts w:cs="Arial"/>
          <w:b/>
          <w:color w:val="000000"/>
          <w:sz w:val="24"/>
          <w:szCs w:val="24"/>
        </w:rPr>
        <w:t>Age-dependent intervention thresholds</w:t>
      </w:r>
    </w:p>
    <w:p w14:paraId="37E2D86D" w14:textId="45BF0817" w:rsidR="004B6109" w:rsidRPr="00935BD2" w:rsidRDefault="004B6109" w:rsidP="00482286">
      <w:pPr>
        <w:spacing w:line="276" w:lineRule="auto"/>
        <w:rPr>
          <w:rFonts w:ascii="Calibri" w:hAnsi="Calibri"/>
          <w:sz w:val="24"/>
          <w:szCs w:val="24"/>
        </w:rPr>
      </w:pPr>
      <w:r w:rsidRPr="00DB1D7C">
        <w:rPr>
          <w:rFonts w:ascii="Calibri" w:hAnsi="Calibri"/>
          <w:sz w:val="24"/>
          <w:szCs w:val="24"/>
        </w:rPr>
        <w:t>Prior to the advent of FRAX, many guidelines in Europe, North America and elsewhere recommended treatment in women with a previous fragility fracture (a prior vertebral or hip fracture in some countries) in the absence of information on</w:t>
      </w:r>
      <w:r w:rsidRPr="00DB1D7C">
        <w:rPr>
          <w:sz w:val="24"/>
          <w:szCs w:val="24"/>
        </w:rPr>
        <w:t xml:space="preserve"> </w:t>
      </w:r>
      <w:r w:rsidRPr="00DB1D7C">
        <w:rPr>
          <w:rFonts w:ascii="Calibri" w:hAnsi="Calibri"/>
          <w:sz w:val="24"/>
          <w:szCs w:val="24"/>
        </w:rPr>
        <w:t xml:space="preserve">BMD. This gave rise to the view that intervention thresholds in women without a prior fracture could be set at the age-specific fracture probability equivalent to women with a prior fragility fracture and therefore rises with age. In other words, the intervention threshold is set at the ‘fracture threshold’. This approach to intervention thresholds, first adopted by the National Osteoporosis Guideline Group (NOGG) for </w:t>
      </w:r>
      <w:r w:rsidRPr="00120E42">
        <w:rPr>
          <w:rFonts w:ascii="Calibri" w:hAnsi="Calibri"/>
          <w:sz w:val="24"/>
          <w:szCs w:val="24"/>
        </w:rPr>
        <w:t xml:space="preserve">the </w:t>
      </w:r>
      <w:r w:rsidR="00120E42" w:rsidRPr="00120E42">
        <w:rPr>
          <w:rFonts w:ascii="Calibri" w:hAnsi="Calibri"/>
          <w:sz w:val="24"/>
          <w:szCs w:val="24"/>
        </w:rPr>
        <w:t xml:space="preserve">UK </w:t>
      </w:r>
      <w:r w:rsidR="00120E42" w:rsidRPr="00120E42">
        <w:rPr>
          <w:bCs/>
          <w:sz w:val="24"/>
          <w:szCs w:val="24"/>
        </w:rPr>
        <w:t xml:space="preserve">[140, </w:t>
      </w:r>
      <w:r w:rsidR="008777D2" w:rsidRPr="00120E42">
        <w:rPr>
          <w:bCs/>
          <w:sz w:val="24"/>
          <w:szCs w:val="24"/>
        </w:rPr>
        <w:t>141</w:t>
      </w:r>
      <w:r w:rsidR="00120E42" w:rsidRPr="00120E42">
        <w:rPr>
          <w:bCs/>
          <w:sz w:val="24"/>
          <w:szCs w:val="24"/>
        </w:rPr>
        <w:t xml:space="preserve">] </w:t>
      </w:r>
      <w:r w:rsidRPr="00120E42">
        <w:rPr>
          <w:rFonts w:ascii="Calibri" w:hAnsi="Calibri"/>
          <w:sz w:val="24"/>
          <w:szCs w:val="24"/>
        </w:rPr>
        <w:t xml:space="preserve">is now used </w:t>
      </w:r>
      <w:r w:rsidRPr="00120E42">
        <w:rPr>
          <w:rFonts w:cs="Arial"/>
          <w:sz w:val="24"/>
          <w:szCs w:val="24"/>
        </w:rPr>
        <w:t xml:space="preserve">in two European guidelines (one for postmenopausal osteoporosis </w:t>
      </w:r>
      <w:r w:rsidR="00C32BC5" w:rsidRPr="00120E42">
        <w:rPr>
          <w:rFonts w:ascii="Calibri" w:hAnsi="Calibri"/>
          <w:sz w:val="24"/>
          <w:szCs w:val="24"/>
        </w:rPr>
        <w:t>[3]</w:t>
      </w:r>
      <w:r w:rsidRPr="00120E42">
        <w:rPr>
          <w:rFonts w:cs="Arial"/>
          <w:sz w:val="24"/>
          <w:szCs w:val="24"/>
        </w:rPr>
        <w:t xml:space="preserve"> and the other for glucocorticoid-induced osteoporosis </w:t>
      </w:r>
      <w:r w:rsidR="00E03EF2" w:rsidRPr="00120E42">
        <w:rPr>
          <w:sz w:val="24"/>
          <w:szCs w:val="24"/>
        </w:rPr>
        <w:t>[149]</w:t>
      </w:r>
      <w:r w:rsidRPr="00120E42">
        <w:rPr>
          <w:sz w:val="24"/>
          <w:szCs w:val="24"/>
        </w:rPr>
        <w:t xml:space="preserve">, </w:t>
      </w:r>
      <w:r w:rsidR="00120E42" w:rsidRPr="00120E42">
        <w:rPr>
          <w:sz w:val="24"/>
          <w:szCs w:val="24"/>
        </w:rPr>
        <w:t>12</w:t>
      </w:r>
      <w:r w:rsidRPr="00120E42">
        <w:rPr>
          <w:sz w:val="24"/>
          <w:szCs w:val="24"/>
        </w:rPr>
        <w:t xml:space="preserve"> practice guidelines and explored in 10 another research papers (see Table </w:t>
      </w:r>
      <w:r w:rsidR="00461F15" w:rsidRPr="00120E42">
        <w:rPr>
          <w:sz w:val="24"/>
          <w:szCs w:val="24"/>
        </w:rPr>
        <w:t>6</w:t>
      </w:r>
      <w:r w:rsidRPr="00120E42">
        <w:rPr>
          <w:sz w:val="24"/>
          <w:szCs w:val="24"/>
        </w:rPr>
        <w:t xml:space="preserve">). </w:t>
      </w:r>
      <w:r w:rsidRPr="00120E42">
        <w:rPr>
          <w:rFonts w:ascii="Calibri" w:hAnsi="Calibri"/>
          <w:sz w:val="24"/>
          <w:szCs w:val="24"/>
        </w:rPr>
        <w:t>The same intervention threshold is applied</w:t>
      </w:r>
      <w:r w:rsidRPr="00935BD2">
        <w:rPr>
          <w:rFonts w:ascii="Calibri" w:hAnsi="Calibri"/>
          <w:sz w:val="24"/>
          <w:szCs w:val="24"/>
        </w:rPr>
        <w:t xml:space="preserve"> to men, since the effectiveness and cost-effectiveness of intervention in men are broadly similar to that in women for equivalent risk. </w:t>
      </w:r>
    </w:p>
    <w:p w14:paraId="149593E2" w14:textId="1BDC97DA" w:rsidR="004B6109" w:rsidRPr="00DB1D7C" w:rsidRDefault="004B6109" w:rsidP="00887C06">
      <w:pPr>
        <w:spacing w:line="276" w:lineRule="auto"/>
        <w:rPr>
          <w:rFonts w:ascii="Calibri" w:hAnsi="Calibri"/>
          <w:sz w:val="24"/>
          <w:szCs w:val="24"/>
        </w:rPr>
      </w:pPr>
      <w:r w:rsidRPr="00935BD2">
        <w:rPr>
          <w:rFonts w:ascii="Calibri" w:hAnsi="Calibri"/>
          <w:sz w:val="24"/>
          <w:szCs w:val="24"/>
        </w:rPr>
        <w:t xml:space="preserve">The present review has identified several merits of the use of FRAX and, in particular, age-specific thresholds that are summarised in Table </w:t>
      </w:r>
      <w:r w:rsidR="00461F15" w:rsidRPr="00935BD2">
        <w:rPr>
          <w:rFonts w:ascii="Calibri" w:hAnsi="Calibri"/>
          <w:sz w:val="24"/>
          <w:szCs w:val="24"/>
        </w:rPr>
        <w:t>15</w:t>
      </w:r>
      <w:r w:rsidRPr="00935BD2">
        <w:rPr>
          <w:rFonts w:ascii="Calibri" w:hAnsi="Calibri"/>
          <w:sz w:val="24"/>
          <w:szCs w:val="24"/>
        </w:rPr>
        <w:t>.  They include the wide availability of well</w:t>
      </w:r>
      <w:r w:rsidR="00256A58" w:rsidRPr="00935BD2">
        <w:rPr>
          <w:rFonts w:ascii="Calibri" w:hAnsi="Calibri"/>
          <w:sz w:val="24"/>
          <w:szCs w:val="24"/>
        </w:rPr>
        <w:t>-</w:t>
      </w:r>
      <w:r w:rsidRPr="00935BD2">
        <w:rPr>
          <w:rFonts w:ascii="Calibri" w:hAnsi="Calibri"/>
          <w:sz w:val="24"/>
          <w:szCs w:val="24"/>
        </w:rPr>
        <w:t>calibrated models which can be applied to a large segment</w:t>
      </w:r>
      <w:r w:rsidRPr="00DB1D7C">
        <w:rPr>
          <w:rFonts w:ascii="Calibri" w:hAnsi="Calibri"/>
          <w:sz w:val="24"/>
          <w:szCs w:val="24"/>
        </w:rPr>
        <w:t xml:space="preserve"> of the world population.  Indeed the 62 FRAX models in 57 countries that are available to date, cover approximately 80</w:t>
      </w:r>
      <w:r w:rsidR="00E8657B">
        <w:rPr>
          <w:rFonts w:ascii="Calibri" w:hAnsi="Calibri"/>
          <w:sz w:val="24"/>
          <w:szCs w:val="24"/>
        </w:rPr>
        <w:t xml:space="preserve"> </w:t>
      </w:r>
      <w:r w:rsidRPr="00DB1D7C">
        <w:rPr>
          <w:rFonts w:ascii="Calibri" w:hAnsi="Calibri"/>
          <w:sz w:val="24"/>
          <w:szCs w:val="24"/>
        </w:rPr>
        <w:t xml:space="preserve">% of the world </w:t>
      </w:r>
      <w:r w:rsidRPr="00120E42">
        <w:rPr>
          <w:rFonts w:ascii="Calibri" w:hAnsi="Calibri"/>
          <w:sz w:val="24"/>
          <w:szCs w:val="24"/>
        </w:rPr>
        <w:t xml:space="preserve">population </w:t>
      </w:r>
      <w:r w:rsidR="00120E42" w:rsidRPr="00120E42">
        <w:rPr>
          <w:rFonts w:ascii="Calibri" w:hAnsi="Calibri"/>
          <w:sz w:val="24"/>
          <w:szCs w:val="24"/>
        </w:rPr>
        <w:t>[</w:t>
      </w:r>
      <w:r w:rsidR="00727840" w:rsidRPr="00120E42">
        <w:rPr>
          <w:rFonts w:ascii="Calibri" w:hAnsi="Calibri"/>
          <w:sz w:val="24"/>
          <w:szCs w:val="24"/>
        </w:rPr>
        <w:t>221]</w:t>
      </w:r>
      <w:r w:rsidRPr="00120E42">
        <w:rPr>
          <w:rFonts w:ascii="Calibri" w:hAnsi="Calibri"/>
          <w:sz w:val="24"/>
          <w:szCs w:val="24"/>
        </w:rPr>
        <w:t>. With</w:t>
      </w:r>
      <w:r w:rsidRPr="00DB1D7C">
        <w:rPr>
          <w:rFonts w:ascii="Calibri" w:hAnsi="Calibri"/>
          <w:sz w:val="24"/>
          <w:szCs w:val="24"/>
        </w:rPr>
        <w:t xml:space="preserve"> regard to the strategy itself, there are several features which indicate that the performance characteristics are significantly better than the UK or European guidance that it replaces.  Of strategic importance, the use of age-dependent thresholds </w:t>
      </w:r>
      <w:r w:rsidR="00256A58" w:rsidRPr="00256A58">
        <w:rPr>
          <w:rFonts w:ascii="Calibri" w:hAnsi="Calibri"/>
          <w:sz w:val="24"/>
          <w:szCs w:val="24"/>
        </w:rPr>
        <w:t>has been demonstrated</w:t>
      </w:r>
      <w:r w:rsidRPr="00DB1D7C">
        <w:rPr>
          <w:rFonts w:ascii="Calibri" w:hAnsi="Calibri"/>
          <w:sz w:val="24"/>
          <w:szCs w:val="24"/>
        </w:rPr>
        <w:t xml:space="preserve"> to be more effective than fixed thresholds in </w:t>
      </w:r>
      <w:r w:rsidRPr="00DB1D7C">
        <w:rPr>
          <w:rFonts w:ascii="Calibri" w:hAnsi="Calibri"/>
          <w:sz w:val="24"/>
          <w:szCs w:val="24"/>
        </w:rPr>
        <w:lastRenderedPageBreak/>
        <w:t>identifying populations at high risk.</w:t>
      </w:r>
      <w:r w:rsidR="00887C06" w:rsidRPr="00DB1D7C">
        <w:rPr>
          <w:rFonts w:ascii="Calibri" w:hAnsi="Calibri"/>
          <w:sz w:val="24"/>
          <w:szCs w:val="24"/>
        </w:rPr>
        <w:t xml:space="preserve">  In the UK, there appears to be high concordance between clinician-determined treatment </w:t>
      </w:r>
      <w:r w:rsidR="00EA5B7D" w:rsidRPr="00DB1D7C">
        <w:rPr>
          <w:rFonts w:ascii="Calibri" w:hAnsi="Calibri"/>
          <w:sz w:val="24"/>
          <w:szCs w:val="24"/>
        </w:rPr>
        <w:t>interventions</w:t>
      </w:r>
      <w:r w:rsidR="00887C06" w:rsidRPr="00DB1D7C">
        <w:rPr>
          <w:rFonts w:ascii="Calibri" w:hAnsi="Calibri"/>
          <w:sz w:val="24"/>
          <w:szCs w:val="24"/>
        </w:rPr>
        <w:t xml:space="preserve"> to reduce fracture risk compared with FRAX-NOGG output data. The predominant reason for differences in opinion was the use of lumb</w:t>
      </w:r>
      <w:r w:rsidR="00DF3CAF">
        <w:rPr>
          <w:rFonts w:ascii="Calibri" w:hAnsi="Calibri"/>
          <w:sz w:val="24"/>
          <w:szCs w:val="24"/>
        </w:rPr>
        <w:t>a</w:t>
      </w:r>
      <w:r w:rsidR="00887C06" w:rsidRPr="00DB1D7C">
        <w:rPr>
          <w:rFonts w:ascii="Calibri" w:hAnsi="Calibri"/>
          <w:sz w:val="24"/>
          <w:szCs w:val="24"/>
        </w:rPr>
        <w:t xml:space="preserve">r spine BMD to help assess fracture risk by </w:t>
      </w:r>
      <w:r w:rsidR="00887C06" w:rsidRPr="00120E42">
        <w:rPr>
          <w:rFonts w:ascii="Calibri" w:hAnsi="Calibri"/>
          <w:sz w:val="24"/>
          <w:szCs w:val="24"/>
        </w:rPr>
        <w:t>clinicians</w:t>
      </w:r>
      <w:r w:rsidR="00EA5B7D" w:rsidRPr="00120E42">
        <w:rPr>
          <w:rFonts w:ascii="Calibri" w:hAnsi="Calibri"/>
          <w:sz w:val="24"/>
          <w:szCs w:val="24"/>
        </w:rPr>
        <w:t xml:space="preserve"> </w:t>
      </w:r>
      <w:r w:rsidR="00E03EF2" w:rsidRPr="00120E42">
        <w:rPr>
          <w:rFonts w:ascii="Calibri" w:hAnsi="Calibri"/>
          <w:sz w:val="24"/>
          <w:szCs w:val="24"/>
        </w:rPr>
        <w:t>[22</w:t>
      </w:r>
      <w:r w:rsidR="00727840" w:rsidRPr="00120E42">
        <w:rPr>
          <w:rFonts w:ascii="Calibri" w:hAnsi="Calibri"/>
          <w:sz w:val="24"/>
          <w:szCs w:val="24"/>
        </w:rPr>
        <w:t>2</w:t>
      </w:r>
      <w:r w:rsidR="00E03EF2" w:rsidRPr="00120E42">
        <w:rPr>
          <w:rFonts w:ascii="Calibri" w:hAnsi="Calibri"/>
          <w:sz w:val="24"/>
          <w:szCs w:val="24"/>
        </w:rPr>
        <w:t>]</w:t>
      </w:r>
      <w:r w:rsidR="00EA5B7D" w:rsidRPr="00120E42">
        <w:rPr>
          <w:rFonts w:ascii="Calibri" w:hAnsi="Calibri"/>
          <w:sz w:val="24"/>
          <w:szCs w:val="24"/>
        </w:rPr>
        <w:t>.</w:t>
      </w:r>
    </w:p>
    <w:p w14:paraId="4957071D" w14:textId="77777777" w:rsidR="004B6109" w:rsidRPr="00DB1D7C" w:rsidRDefault="004B6109" w:rsidP="004B6109">
      <w:pPr>
        <w:rPr>
          <w:rFonts w:ascii="Calibri" w:hAnsi="Calibri"/>
        </w:rPr>
      </w:pPr>
    </w:p>
    <w:p w14:paraId="2AB8BE5A" w14:textId="68CFEEFD" w:rsidR="004B6109" w:rsidRPr="00DB1D7C" w:rsidRDefault="004B6109" w:rsidP="004B6109">
      <w:pPr>
        <w:rPr>
          <w:rFonts w:ascii="Calibri" w:hAnsi="Calibri"/>
        </w:rPr>
      </w:pPr>
      <w:r w:rsidRPr="00935BD2">
        <w:rPr>
          <w:rFonts w:ascii="Calibri" w:hAnsi="Calibri"/>
          <w:b/>
        </w:rPr>
        <w:t xml:space="preserve">Table </w:t>
      </w:r>
      <w:r w:rsidR="00461F15" w:rsidRPr="00935BD2">
        <w:rPr>
          <w:rFonts w:ascii="Calibri" w:hAnsi="Calibri"/>
          <w:b/>
        </w:rPr>
        <w:t>15</w:t>
      </w:r>
      <w:r w:rsidRPr="00935BD2">
        <w:rPr>
          <w:rFonts w:ascii="Calibri" w:hAnsi="Calibri"/>
          <w:b/>
        </w:rPr>
        <w:t>.</w:t>
      </w:r>
      <w:r w:rsidRPr="00935BD2">
        <w:rPr>
          <w:rFonts w:ascii="Calibri" w:hAnsi="Calibri"/>
        </w:rPr>
        <w:t xml:space="preserve"> Strengths</w:t>
      </w:r>
      <w:r w:rsidRPr="00DB1D7C">
        <w:rPr>
          <w:rFonts w:ascii="Calibri" w:hAnsi="Calibri"/>
        </w:rPr>
        <w:t xml:space="preserve"> of FRAX and the age-dependent NOGG approach</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843"/>
        <w:gridCol w:w="1417"/>
      </w:tblGrid>
      <w:tr w:rsidR="004B6109" w:rsidRPr="00DB1D7C" w14:paraId="078379E0" w14:textId="77777777" w:rsidTr="0094412E">
        <w:tc>
          <w:tcPr>
            <w:tcW w:w="4678" w:type="dxa"/>
            <w:tcBorders>
              <w:top w:val="single" w:sz="4" w:space="0" w:color="auto"/>
              <w:bottom w:val="single" w:sz="4" w:space="0" w:color="auto"/>
            </w:tcBorders>
          </w:tcPr>
          <w:p w14:paraId="0C6B3BDE" w14:textId="77777777" w:rsidR="004B6109" w:rsidRPr="00DB1D7C" w:rsidRDefault="004B6109" w:rsidP="00E83DA8">
            <w:pPr>
              <w:spacing w:after="120"/>
              <w:rPr>
                <w:rFonts w:ascii="Calibri" w:hAnsi="Calibri"/>
              </w:rPr>
            </w:pPr>
          </w:p>
        </w:tc>
        <w:tc>
          <w:tcPr>
            <w:tcW w:w="1843" w:type="dxa"/>
            <w:tcBorders>
              <w:top w:val="single" w:sz="4" w:space="0" w:color="auto"/>
              <w:bottom w:val="single" w:sz="4" w:space="0" w:color="auto"/>
            </w:tcBorders>
          </w:tcPr>
          <w:p w14:paraId="08E47DD5" w14:textId="77777777" w:rsidR="004B6109" w:rsidRPr="00DB1D7C" w:rsidRDefault="004B6109" w:rsidP="00E83DA8">
            <w:pPr>
              <w:spacing w:after="120"/>
              <w:rPr>
                <w:rFonts w:ascii="Calibri" w:hAnsi="Calibri"/>
              </w:rPr>
            </w:pPr>
            <w:r w:rsidRPr="00DB1D7C">
              <w:rPr>
                <w:rFonts w:ascii="Calibri" w:hAnsi="Calibri"/>
              </w:rPr>
              <w:t>Country</w:t>
            </w:r>
          </w:p>
        </w:tc>
        <w:tc>
          <w:tcPr>
            <w:tcW w:w="1417" w:type="dxa"/>
            <w:tcBorders>
              <w:top w:val="single" w:sz="4" w:space="0" w:color="auto"/>
              <w:bottom w:val="single" w:sz="4" w:space="0" w:color="auto"/>
            </w:tcBorders>
          </w:tcPr>
          <w:p w14:paraId="40BC011D" w14:textId="77777777" w:rsidR="004B6109" w:rsidRPr="00DB1D7C" w:rsidRDefault="004B6109" w:rsidP="00120E42">
            <w:pPr>
              <w:spacing w:after="120"/>
              <w:jc w:val="center"/>
              <w:rPr>
                <w:rFonts w:ascii="Calibri" w:hAnsi="Calibri"/>
              </w:rPr>
            </w:pPr>
            <w:r w:rsidRPr="00DB1D7C">
              <w:rPr>
                <w:rFonts w:ascii="Calibri" w:hAnsi="Calibri"/>
              </w:rPr>
              <w:t>Reference</w:t>
            </w:r>
          </w:p>
        </w:tc>
      </w:tr>
      <w:tr w:rsidR="004B6109" w:rsidRPr="00DB1D7C" w14:paraId="5F1A892B" w14:textId="77777777" w:rsidTr="0094412E">
        <w:tc>
          <w:tcPr>
            <w:tcW w:w="4678" w:type="dxa"/>
            <w:tcBorders>
              <w:top w:val="single" w:sz="4" w:space="0" w:color="auto"/>
            </w:tcBorders>
          </w:tcPr>
          <w:p w14:paraId="59E72CA9" w14:textId="77777777" w:rsidR="004B6109" w:rsidRPr="00DB1D7C" w:rsidRDefault="004B6109" w:rsidP="00E83DA8">
            <w:pPr>
              <w:spacing w:after="120"/>
              <w:rPr>
                <w:rFonts w:ascii="Calibri" w:hAnsi="Calibri"/>
                <w:b/>
                <w:i/>
              </w:rPr>
            </w:pPr>
            <w:r w:rsidRPr="00DB1D7C">
              <w:rPr>
                <w:rFonts w:ascii="Calibri" w:hAnsi="Calibri"/>
                <w:b/>
                <w:i/>
              </w:rPr>
              <w:t>FRAX</w:t>
            </w:r>
          </w:p>
        </w:tc>
        <w:tc>
          <w:tcPr>
            <w:tcW w:w="1843" w:type="dxa"/>
            <w:tcBorders>
              <w:top w:val="single" w:sz="4" w:space="0" w:color="auto"/>
            </w:tcBorders>
          </w:tcPr>
          <w:p w14:paraId="14A948A2" w14:textId="77777777" w:rsidR="004B6109" w:rsidRPr="00DB1D7C" w:rsidRDefault="004B6109" w:rsidP="00E83DA8">
            <w:pPr>
              <w:spacing w:after="120"/>
              <w:rPr>
                <w:rFonts w:ascii="Calibri" w:hAnsi="Calibri"/>
              </w:rPr>
            </w:pPr>
          </w:p>
        </w:tc>
        <w:tc>
          <w:tcPr>
            <w:tcW w:w="1417" w:type="dxa"/>
            <w:tcBorders>
              <w:top w:val="single" w:sz="4" w:space="0" w:color="auto"/>
            </w:tcBorders>
          </w:tcPr>
          <w:p w14:paraId="3D541E48" w14:textId="77777777" w:rsidR="004B6109" w:rsidRPr="00DB1D7C" w:rsidRDefault="004B6109" w:rsidP="00120E42">
            <w:pPr>
              <w:spacing w:after="120"/>
              <w:jc w:val="center"/>
              <w:rPr>
                <w:rFonts w:ascii="Calibri" w:hAnsi="Calibri"/>
              </w:rPr>
            </w:pPr>
          </w:p>
        </w:tc>
      </w:tr>
      <w:tr w:rsidR="004B6109" w:rsidRPr="00DB1D7C" w14:paraId="50FB4FD2" w14:textId="77777777" w:rsidTr="0094412E">
        <w:tc>
          <w:tcPr>
            <w:tcW w:w="4678" w:type="dxa"/>
          </w:tcPr>
          <w:p w14:paraId="180D2EBC" w14:textId="77777777" w:rsidR="004B6109" w:rsidRPr="00DB1D7C" w:rsidRDefault="004B6109" w:rsidP="00E83DA8">
            <w:pPr>
              <w:spacing w:after="120"/>
              <w:rPr>
                <w:rFonts w:ascii="Calibri" w:hAnsi="Calibri"/>
              </w:rPr>
            </w:pPr>
            <w:r w:rsidRPr="00DB1D7C">
              <w:rPr>
                <w:rFonts w:ascii="Calibri" w:hAnsi="Calibri"/>
              </w:rPr>
              <w:t>Models internally calibrated</w:t>
            </w:r>
          </w:p>
        </w:tc>
        <w:tc>
          <w:tcPr>
            <w:tcW w:w="1843" w:type="dxa"/>
          </w:tcPr>
          <w:p w14:paraId="4CC69C4A" w14:textId="77777777" w:rsidR="004B6109" w:rsidRPr="00DB1D7C" w:rsidRDefault="004B6109" w:rsidP="00E83DA8">
            <w:pPr>
              <w:spacing w:after="120"/>
              <w:rPr>
                <w:rFonts w:ascii="Calibri" w:hAnsi="Calibri"/>
              </w:rPr>
            </w:pPr>
            <w:r w:rsidRPr="00DB1D7C">
              <w:rPr>
                <w:rFonts w:ascii="Calibri" w:hAnsi="Calibri"/>
              </w:rPr>
              <w:t>All models</w:t>
            </w:r>
          </w:p>
        </w:tc>
        <w:tc>
          <w:tcPr>
            <w:tcW w:w="1417" w:type="dxa"/>
          </w:tcPr>
          <w:p w14:paraId="7A66B359" w14:textId="1EB5C575" w:rsidR="004B6109" w:rsidRPr="00120E42" w:rsidRDefault="00120E42" w:rsidP="00120E42">
            <w:pPr>
              <w:spacing w:after="120"/>
              <w:jc w:val="center"/>
              <w:rPr>
                <w:rFonts w:ascii="Calibri" w:hAnsi="Calibri"/>
              </w:rPr>
            </w:pPr>
            <w:r w:rsidRPr="00120E42">
              <w:rPr>
                <w:rFonts w:ascii="Calibri" w:hAnsi="Calibri"/>
                <w:sz w:val="24"/>
                <w:szCs w:val="24"/>
              </w:rPr>
              <w:t xml:space="preserve"> </w:t>
            </w:r>
            <w:r w:rsidR="00755086" w:rsidRPr="00120E42">
              <w:rPr>
                <w:rFonts w:ascii="Calibri" w:hAnsi="Calibri"/>
                <w:sz w:val="24"/>
                <w:szCs w:val="24"/>
              </w:rPr>
              <w:t>[8]</w:t>
            </w:r>
            <w:r w:rsidR="00510C70" w:rsidRPr="00120E42">
              <w:rPr>
                <w:rFonts w:ascii="Calibri" w:hAnsi="Calibri"/>
              </w:rPr>
              <w:t xml:space="preserve"> </w:t>
            </w:r>
          </w:p>
        </w:tc>
      </w:tr>
      <w:tr w:rsidR="004B6109" w:rsidRPr="00DB1D7C" w14:paraId="70D3D604" w14:textId="77777777" w:rsidTr="0094412E">
        <w:trPr>
          <w:trHeight w:val="882"/>
        </w:trPr>
        <w:tc>
          <w:tcPr>
            <w:tcW w:w="4678" w:type="dxa"/>
          </w:tcPr>
          <w:p w14:paraId="54321A1B" w14:textId="77777777" w:rsidR="004B6109" w:rsidRPr="00DB1D7C" w:rsidRDefault="004B6109" w:rsidP="00E83DA8">
            <w:pPr>
              <w:spacing w:after="120"/>
              <w:rPr>
                <w:rFonts w:ascii="Calibri" w:hAnsi="Calibri"/>
              </w:rPr>
            </w:pPr>
            <w:r w:rsidRPr="00DB1D7C">
              <w:rPr>
                <w:rFonts w:ascii="Calibri" w:hAnsi="Calibri"/>
              </w:rPr>
              <w:t>Well calibrated externally</w:t>
            </w:r>
          </w:p>
        </w:tc>
        <w:tc>
          <w:tcPr>
            <w:tcW w:w="1843" w:type="dxa"/>
          </w:tcPr>
          <w:p w14:paraId="21207073" w14:textId="21B1CC8A" w:rsidR="004B6109" w:rsidRPr="00DB1D7C" w:rsidRDefault="004B6109" w:rsidP="00E83DA8">
            <w:pPr>
              <w:spacing w:after="120"/>
              <w:rPr>
                <w:rFonts w:ascii="Calibri" w:hAnsi="Calibri"/>
              </w:rPr>
            </w:pPr>
            <w:r w:rsidRPr="00DB1D7C">
              <w:rPr>
                <w:rFonts w:ascii="Calibri" w:hAnsi="Calibri"/>
              </w:rPr>
              <w:t>UK</w:t>
            </w:r>
            <w:r w:rsidRPr="00DB1D7C">
              <w:rPr>
                <w:rFonts w:ascii="Calibri" w:hAnsi="Calibri"/>
              </w:rPr>
              <w:br/>
              <w:t>Canada</w:t>
            </w:r>
            <w:r w:rsidRPr="00DB1D7C">
              <w:rPr>
                <w:rFonts w:ascii="Calibri" w:hAnsi="Calibri"/>
              </w:rPr>
              <w:br/>
              <w:t>Finland</w:t>
            </w:r>
            <w:r w:rsidR="0094412E">
              <w:rPr>
                <w:rFonts w:ascii="Calibri" w:hAnsi="Calibri"/>
              </w:rPr>
              <w:br/>
              <w:t>Denmark</w:t>
            </w:r>
          </w:p>
        </w:tc>
        <w:tc>
          <w:tcPr>
            <w:tcW w:w="1417" w:type="dxa"/>
          </w:tcPr>
          <w:p w14:paraId="7486C22B" w14:textId="17499BA7" w:rsidR="0094412E" w:rsidRPr="00DB6399" w:rsidRDefault="00510C70" w:rsidP="00DB6399">
            <w:pPr>
              <w:spacing w:after="120"/>
              <w:jc w:val="center"/>
              <w:rPr>
                <w:rFonts w:ascii="Calibri" w:hAnsi="Calibri"/>
              </w:rPr>
            </w:pPr>
            <w:r w:rsidRPr="00DB6399">
              <w:rPr>
                <w:rFonts w:ascii="Calibri" w:hAnsi="Calibri"/>
              </w:rPr>
              <w:t xml:space="preserve"> </w:t>
            </w:r>
            <w:r w:rsidR="003E244A" w:rsidRPr="00DB6399">
              <w:rPr>
                <w:sz w:val="24"/>
                <w:szCs w:val="24"/>
              </w:rPr>
              <w:t>[13</w:t>
            </w:r>
            <w:r w:rsidRPr="00DB6399">
              <w:rPr>
                <w:rFonts w:ascii="Calibri" w:hAnsi="Calibri"/>
              </w:rPr>
              <w:t>]</w:t>
            </w:r>
            <w:r w:rsidR="00A26F53" w:rsidRPr="00DB6399">
              <w:rPr>
                <w:rFonts w:ascii="Calibri" w:hAnsi="Calibri"/>
              </w:rPr>
              <w:br/>
            </w:r>
            <w:r w:rsidR="00E03EF2" w:rsidRPr="00DB6399">
              <w:rPr>
                <w:rFonts w:cs="AdvP9B22"/>
                <w:sz w:val="24"/>
                <w:szCs w:val="24"/>
              </w:rPr>
              <w:t>[194]</w:t>
            </w:r>
            <w:r w:rsidR="00A26F53" w:rsidRPr="00DB6399">
              <w:rPr>
                <w:rFonts w:cs="AdvP9B22"/>
                <w:sz w:val="24"/>
                <w:szCs w:val="24"/>
              </w:rPr>
              <w:br/>
            </w:r>
            <w:r w:rsidR="00B15005" w:rsidRPr="00DB6399">
              <w:rPr>
                <w:rFonts w:ascii="Calibri" w:hAnsi="Calibri"/>
              </w:rPr>
              <w:t>[19</w:t>
            </w:r>
            <w:r w:rsidR="00DB6399" w:rsidRPr="00DB6399">
              <w:rPr>
                <w:rFonts w:ascii="Calibri" w:hAnsi="Calibri"/>
              </w:rPr>
              <w:t>8</w:t>
            </w:r>
            <w:r w:rsidR="00B15005" w:rsidRPr="00DB6399">
              <w:rPr>
                <w:rFonts w:ascii="Calibri" w:hAnsi="Calibri"/>
              </w:rPr>
              <w:t>]</w:t>
            </w:r>
            <w:r w:rsidR="0094412E" w:rsidRPr="00DB6399">
              <w:rPr>
                <w:rFonts w:ascii="Calibri" w:hAnsi="Calibri"/>
              </w:rPr>
              <w:br/>
              <w:t>[19</w:t>
            </w:r>
            <w:r w:rsidR="00DB6399" w:rsidRPr="00DB6399">
              <w:rPr>
                <w:rFonts w:ascii="Calibri" w:hAnsi="Calibri"/>
              </w:rPr>
              <w:t>7</w:t>
            </w:r>
            <w:r w:rsidR="0094412E" w:rsidRPr="00DB6399">
              <w:rPr>
                <w:rFonts w:ascii="Calibri" w:hAnsi="Calibri"/>
              </w:rPr>
              <w:t>]</w:t>
            </w:r>
          </w:p>
        </w:tc>
      </w:tr>
      <w:tr w:rsidR="00A26F53" w:rsidRPr="00A64269" w14:paraId="618B4004" w14:textId="77777777" w:rsidTr="0094412E">
        <w:trPr>
          <w:trHeight w:val="471"/>
        </w:trPr>
        <w:tc>
          <w:tcPr>
            <w:tcW w:w="4678" w:type="dxa"/>
          </w:tcPr>
          <w:p w14:paraId="2CFA33EA" w14:textId="7791D697" w:rsidR="00A26F53" w:rsidRPr="00A64269" w:rsidRDefault="00A26F53" w:rsidP="00A26F53">
            <w:pPr>
              <w:spacing w:after="120"/>
              <w:rPr>
                <w:rFonts w:ascii="Calibri" w:hAnsi="Calibri"/>
              </w:rPr>
            </w:pPr>
            <w:r w:rsidRPr="00A64269">
              <w:rPr>
                <w:rFonts w:ascii="Calibri" w:hAnsi="Calibri"/>
              </w:rPr>
              <w:t xml:space="preserve">Extensively validated </w:t>
            </w:r>
          </w:p>
        </w:tc>
        <w:tc>
          <w:tcPr>
            <w:tcW w:w="1843" w:type="dxa"/>
            <w:shd w:val="clear" w:color="auto" w:fill="auto"/>
          </w:tcPr>
          <w:p w14:paraId="15A67153" w14:textId="186F70BE" w:rsidR="00A26F53" w:rsidRPr="00A64269" w:rsidRDefault="00A26F53" w:rsidP="00E83DA8">
            <w:pPr>
              <w:spacing w:after="120"/>
              <w:rPr>
                <w:rFonts w:ascii="Calibri" w:hAnsi="Calibri"/>
              </w:rPr>
            </w:pPr>
            <w:r w:rsidRPr="00A64269">
              <w:rPr>
                <w:rFonts w:ascii="Calibri" w:hAnsi="Calibri"/>
              </w:rPr>
              <w:t>Worldwide</w:t>
            </w:r>
          </w:p>
        </w:tc>
        <w:tc>
          <w:tcPr>
            <w:tcW w:w="1417" w:type="dxa"/>
            <w:shd w:val="clear" w:color="auto" w:fill="auto"/>
          </w:tcPr>
          <w:p w14:paraId="2D564469" w14:textId="72D7875D" w:rsidR="00A26F53" w:rsidRPr="00120E42" w:rsidRDefault="00120E42" w:rsidP="00120E42">
            <w:pPr>
              <w:spacing w:after="120"/>
              <w:jc w:val="center"/>
              <w:rPr>
                <w:rFonts w:ascii="Calibri" w:hAnsi="Calibri"/>
              </w:rPr>
            </w:pPr>
            <w:r w:rsidRPr="00120E42">
              <w:rPr>
                <w:rFonts w:ascii="Calibri" w:hAnsi="Calibri"/>
                <w:sz w:val="24"/>
                <w:szCs w:val="24"/>
              </w:rPr>
              <w:t xml:space="preserve"> </w:t>
            </w:r>
            <w:r w:rsidR="00755086" w:rsidRPr="00120E42">
              <w:rPr>
                <w:rFonts w:ascii="Calibri" w:hAnsi="Calibri"/>
                <w:sz w:val="24"/>
                <w:szCs w:val="24"/>
              </w:rPr>
              <w:t>[8]</w:t>
            </w:r>
          </w:p>
        </w:tc>
      </w:tr>
      <w:tr w:rsidR="0089652E" w:rsidRPr="00A64269" w14:paraId="20934AF5" w14:textId="77777777" w:rsidTr="0094412E">
        <w:trPr>
          <w:trHeight w:val="471"/>
        </w:trPr>
        <w:tc>
          <w:tcPr>
            <w:tcW w:w="4678" w:type="dxa"/>
          </w:tcPr>
          <w:p w14:paraId="25CBA147" w14:textId="374DF2FE" w:rsidR="0089652E" w:rsidRPr="00DB1D7C" w:rsidRDefault="0089652E" w:rsidP="00A26F53">
            <w:pPr>
              <w:spacing w:after="120"/>
              <w:rPr>
                <w:rFonts w:ascii="Calibri" w:hAnsi="Calibri"/>
              </w:rPr>
            </w:pPr>
            <w:r w:rsidRPr="00DB1D7C">
              <w:rPr>
                <w:rFonts w:ascii="Calibri" w:hAnsi="Calibri"/>
              </w:rPr>
              <w:t>Readily administered in primary care</w:t>
            </w:r>
          </w:p>
        </w:tc>
        <w:tc>
          <w:tcPr>
            <w:tcW w:w="1843" w:type="dxa"/>
            <w:shd w:val="clear" w:color="auto" w:fill="auto"/>
          </w:tcPr>
          <w:p w14:paraId="0FF6D505" w14:textId="0C105C25" w:rsidR="0089652E" w:rsidRPr="00A64269" w:rsidRDefault="00A64269" w:rsidP="00E83DA8">
            <w:pPr>
              <w:spacing w:after="120"/>
              <w:rPr>
                <w:rFonts w:ascii="Calibri" w:hAnsi="Calibri"/>
              </w:rPr>
            </w:pPr>
            <w:r w:rsidRPr="00A64269">
              <w:rPr>
                <w:rFonts w:ascii="Calibri" w:hAnsi="Calibri"/>
              </w:rPr>
              <w:t>UK</w:t>
            </w:r>
          </w:p>
        </w:tc>
        <w:tc>
          <w:tcPr>
            <w:tcW w:w="1417" w:type="dxa"/>
            <w:shd w:val="clear" w:color="auto" w:fill="auto"/>
          </w:tcPr>
          <w:p w14:paraId="0B56EB73" w14:textId="0E025904" w:rsidR="0089652E" w:rsidRPr="00120E42" w:rsidRDefault="00510C70" w:rsidP="00120E42">
            <w:pPr>
              <w:spacing w:after="120"/>
              <w:jc w:val="center"/>
              <w:rPr>
                <w:rFonts w:ascii="Calibri" w:hAnsi="Calibri"/>
              </w:rPr>
            </w:pPr>
            <w:r w:rsidRPr="00120E42">
              <w:rPr>
                <w:rFonts w:ascii="Calibri" w:hAnsi="Calibri"/>
              </w:rPr>
              <w:t xml:space="preserve"> [</w:t>
            </w:r>
            <w:r w:rsidR="00E03EF2" w:rsidRPr="00120E42">
              <w:rPr>
                <w:rFonts w:ascii="Calibri" w:hAnsi="Calibri"/>
              </w:rPr>
              <w:t>22</w:t>
            </w:r>
            <w:r w:rsidR="00727840" w:rsidRPr="00120E42">
              <w:rPr>
                <w:rFonts w:ascii="Calibri" w:hAnsi="Calibri"/>
              </w:rPr>
              <w:t>3</w:t>
            </w:r>
            <w:r w:rsidRPr="00120E42">
              <w:rPr>
                <w:rFonts w:ascii="Calibri" w:hAnsi="Calibri"/>
              </w:rPr>
              <w:t>]</w:t>
            </w:r>
          </w:p>
        </w:tc>
      </w:tr>
      <w:tr w:rsidR="00887C06" w:rsidRPr="00DB1D7C" w14:paraId="373ADDBA" w14:textId="77777777" w:rsidTr="0094412E">
        <w:trPr>
          <w:trHeight w:val="471"/>
        </w:trPr>
        <w:tc>
          <w:tcPr>
            <w:tcW w:w="4678" w:type="dxa"/>
          </w:tcPr>
          <w:p w14:paraId="3A6AA1D9" w14:textId="566C2F46" w:rsidR="00887C06" w:rsidRPr="00DB1D7C" w:rsidRDefault="00887C06" w:rsidP="00887C06">
            <w:pPr>
              <w:spacing w:after="120"/>
              <w:rPr>
                <w:rFonts w:ascii="Calibri" w:hAnsi="Calibri"/>
              </w:rPr>
            </w:pPr>
            <w:r w:rsidRPr="00DB1D7C">
              <w:rPr>
                <w:rFonts w:ascii="Calibri" w:hAnsi="Calibri"/>
              </w:rPr>
              <w:t>Attuned to clinical practice</w:t>
            </w:r>
          </w:p>
        </w:tc>
        <w:tc>
          <w:tcPr>
            <w:tcW w:w="1843" w:type="dxa"/>
          </w:tcPr>
          <w:p w14:paraId="27CFCEC9" w14:textId="15897D3A" w:rsidR="00887C06" w:rsidRPr="00DB1D7C" w:rsidRDefault="00887C06" w:rsidP="00887C06">
            <w:pPr>
              <w:spacing w:after="120"/>
              <w:rPr>
                <w:rFonts w:ascii="Calibri" w:hAnsi="Calibri"/>
              </w:rPr>
            </w:pPr>
            <w:r w:rsidRPr="00DB1D7C">
              <w:rPr>
                <w:rFonts w:ascii="Calibri" w:hAnsi="Calibri"/>
              </w:rPr>
              <w:t>UK</w:t>
            </w:r>
          </w:p>
        </w:tc>
        <w:tc>
          <w:tcPr>
            <w:tcW w:w="1417" w:type="dxa"/>
            <w:shd w:val="clear" w:color="auto" w:fill="auto"/>
          </w:tcPr>
          <w:p w14:paraId="6A3CBD66" w14:textId="29D382A0" w:rsidR="00887C06" w:rsidRPr="00120E42" w:rsidRDefault="00510C70" w:rsidP="00120E42">
            <w:pPr>
              <w:spacing w:after="120"/>
              <w:jc w:val="center"/>
              <w:rPr>
                <w:rFonts w:ascii="Calibri" w:hAnsi="Calibri"/>
              </w:rPr>
            </w:pPr>
            <w:r w:rsidRPr="00120E42">
              <w:rPr>
                <w:rFonts w:ascii="Calibri" w:hAnsi="Calibri"/>
              </w:rPr>
              <w:t xml:space="preserve"> [</w:t>
            </w:r>
            <w:r w:rsidR="00E03EF2" w:rsidRPr="00120E42">
              <w:rPr>
                <w:rFonts w:ascii="Calibri" w:hAnsi="Calibri"/>
              </w:rPr>
              <w:t>22</w:t>
            </w:r>
            <w:r w:rsidR="00727840" w:rsidRPr="00120E42">
              <w:rPr>
                <w:rFonts w:ascii="Calibri" w:hAnsi="Calibri"/>
              </w:rPr>
              <w:t>2</w:t>
            </w:r>
            <w:r w:rsidRPr="00120E42">
              <w:rPr>
                <w:rFonts w:ascii="Calibri" w:hAnsi="Calibri"/>
              </w:rPr>
              <w:t>]</w:t>
            </w:r>
          </w:p>
        </w:tc>
      </w:tr>
      <w:tr w:rsidR="004B6109" w:rsidRPr="00DB1D7C" w14:paraId="128B547A" w14:textId="77777777" w:rsidTr="0094412E">
        <w:tc>
          <w:tcPr>
            <w:tcW w:w="4678" w:type="dxa"/>
          </w:tcPr>
          <w:p w14:paraId="09C654F6" w14:textId="77777777" w:rsidR="004B6109" w:rsidRPr="00DB1D7C" w:rsidRDefault="004B6109" w:rsidP="00E83DA8">
            <w:pPr>
              <w:spacing w:after="120"/>
              <w:rPr>
                <w:rFonts w:ascii="Calibri" w:hAnsi="Calibri"/>
              </w:rPr>
            </w:pPr>
            <w:r w:rsidRPr="00DB1D7C">
              <w:rPr>
                <w:rFonts w:ascii="Calibri" w:hAnsi="Calibri"/>
              </w:rPr>
              <w:t>Can be applied to all countries with a FRAX model or a surrogate</w:t>
            </w:r>
          </w:p>
        </w:tc>
        <w:tc>
          <w:tcPr>
            <w:tcW w:w="1843" w:type="dxa"/>
          </w:tcPr>
          <w:p w14:paraId="18B61E70" w14:textId="6C723064" w:rsidR="004B6109" w:rsidRPr="00DB1D7C" w:rsidRDefault="004B6109" w:rsidP="00E83DA8">
            <w:pPr>
              <w:spacing w:after="120"/>
              <w:rPr>
                <w:rFonts w:ascii="Calibri" w:hAnsi="Calibri"/>
              </w:rPr>
            </w:pPr>
            <w:r w:rsidRPr="00DB1D7C">
              <w:rPr>
                <w:rFonts w:ascii="Calibri" w:hAnsi="Calibri"/>
              </w:rPr>
              <w:t>80</w:t>
            </w:r>
            <w:r w:rsidR="00E8657B">
              <w:rPr>
                <w:rFonts w:ascii="Calibri" w:hAnsi="Calibri"/>
              </w:rPr>
              <w:t xml:space="preserve"> </w:t>
            </w:r>
            <w:r w:rsidRPr="00DB1D7C">
              <w:rPr>
                <w:rFonts w:ascii="Calibri" w:hAnsi="Calibri"/>
              </w:rPr>
              <w:t xml:space="preserve">% of world </w:t>
            </w:r>
          </w:p>
        </w:tc>
        <w:tc>
          <w:tcPr>
            <w:tcW w:w="1417" w:type="dxa"/>
          </w:tcPr>
          <w:p w14:paraId="1DBA6397" w14:textId="4DB71741" w:rsidR="004B6109" w:rsidRPr="00120E42" w:rsidRDefault="00120E42" w:rsidP="00120E42">
            <w:pPr>
              <w:spacing w:after="120"/>
              <w:jc w:val="center"/>
              <w:rPr>
                <w:rFonts w:ascii="Calibri" w:hAnsi="Calibri"/>
              </w:rPr>
            </w:pPr>
            <w:r w:rsidRPr="00120E42">
              <w:rPr>
                <w:rFonts w:ascii="Calibri" w:hAnsi="Calibri"/>
              </w:rPr>
              <w:t>[</w:t>
            </w:r>
            <w:r w:rsidR="00727840" w:rsidRPr="00120E42">
              <w:rPr>
                <w:rFonts w:ascii="Calibri" w:hAnsi="Calibri"/>
              </w:rPr>
              <w:t>221]</w:t>
            </w:r>
          </w:p>
        </w:tc>
      </w:tr>
      <w:tr w:rsidR="004B6109" w:rsidRPr="00DB1D7C" w14:paraId="0522A51D" w14:textId="77777777" w:rsidTr="0094412E">
        <w:tc>
          <w:tcPr>
            <w:tcW w:w="4678" w:type="dxa"/>
          </w:tcPr>
          <w:p w14:paraId="06347DC7" w14:textId="77777777" w:rsidR="004B6109" w:rsidRPr="00DB1D7C" w:rsidRDefault="004B6109" w:rsidP="00E83DA8">
            <w:pPr>
              <w:spacing w:after="120"/>
              <w:rPr>
                <w:rFonts w:ascii="Calibri" w:hAnsi="Calibri"/>
              </w:rPr>
            </w:pPr>
            <w:r w:rsidRPr="00DB1D7C">
              <w:rPr>
                <w:rFonts w:ascii="Calibri" w:hAnsi="Calibri"/>
              </w:rPr>
              <w:t>Multimedia availability including densitometers</w:t>
            </w:r>
          </w:p>
        </w:tc>
        <w:tc>
          <w:tcPr>
            <w:tcW w:w="1843" w:type="dxa"/>
          </w:tcPr>
          <w:p w14:paraId="26C9EA46" w14:textId="77777777" w:rsidR="004B6109" w:rsidRPr="00DB1D7C" w:rsidRDefault="004B6109" w:rsidP="00E83DA8">
            <w:pPr>
              <w:spacing w:after="120"/>
              <w:rPr>
                <w:rFonts w:ascii="Calibri" w:hAnsi="Calibri"/>
              </w:rPr>
            </w:pPr>
            <w:r w:rsidRPr="00DB1D7C">
              <w:rPr>
                <w:rFonts w:ascii="Calibri" w:hAnsi="Calibri"/>
              </w:rPr>
              <w:t>Worldwide</w:t>
            </w:r>
          </w:p>
        </w:tc>
        <w:tc>
          <w:tcPr>
            <w:tcW w:w="1417" w:type="dxa"/>
          </w:tcPr>
          <w:p w14:paraId="2B2D5500" w14:textId="77777777" w:rsidR="004B6109" w:rsidRPr="00120E42" w:rsidRDefault="004B6109" w:rsidP="00120E42">
            <w:pPr>
              <w:spacing w:after="120"/>
              <w:jc w:val="center"/>
              <w:rPr>
                <w:rFonts w:ascii="Calibri" w:hAnsi="Calibri"/>
              </w:rPr>
            </w:pPr>
          </w:p>
        </w:tc>
      </w:tr>
      <w:tr w:rsidR="000E3CE9" w:rsidRPr="00DB1D7C" w14:paraId="22BA41E2" w14:textId="77777777" w:rsidTr="0094412E">
        <w:tc>
          <w:tcPr>
            <w:tcW w:w="4678" w:type="dxa"/>
          </w:tcPr>
          <w:p w14:paraId="5E0D55E5" w14:textId="4F85ED6E" w:rsidR="000E3CE9" w:rsidRPr="00DB1D7C" w:rsidRDefault="000E3CE9" w:rsidP="000E3CE9">
            <w:pPr>
              <w:spacing w:after="120"/>
              <w:rPr>
                <w:rFonts w:ascii="Calibri" w:hAnsi="Calibri"/>
              </w:rPr>
            </w:pPr>
            <w:r w:rsidRPr="00DB1D7C">
              <w:rPr>
                <w:rFonts w:ascii="Calibri" w:hAnsi="Calibri"/>
              </w:rPr>
              <w:t xml:space="preserve">More accurate than simpler models </w:t>
            </w:r>
          </w:p>
        </w:tc>
        <w:tc>
          <w:tcPr>
            <w:tcW w:w="1843" w:type="dxa"/>
          </w:tcPr>
          <w:p w14:paraId="40A517DF" w14:textId="4B2FB89C" w:rsidR="000E3CE9" w:rsidRPr="00DB1D7C" w:rsidRDefault="000E3CE9" w:rsidP="000E3CE9">
            <w:pPr>
              <w:spacing w:after="120"/>
              <w:rPr>
                <w:rFonts w:ascii="Calibri" w:hAnsi="Calibri"/>
              </w:rPr>
            </w:pPr>
            <w:r w:rsidRPr="00DB1D7C">
              <w:rPr>
                <w:rFonts w:ascii="Calibri" w:hAnsi="Calibri"/>
              </w:rPr>
              <w:t>Canada</w:t>
            </w:r>
          </w:p>
        </w:tc>
        <w:tc>
          <w:tcPr>
            <w:tcW w:w="1417" w:type="dxa"/>
          </w:tcPr>
          <w:p w14:paraId="18918C26" w14:textId="00CA0F71" w:rsidR="000E3CE9" w:rsidRPr="00120E42" w:rsidRDefault="000E3CE9" w:rsidP="000E3CE9">
            <w:pPr>
              <w:spacing w:after="120"/>
              <w:jc w:val="center"/>
              <w:rPr>
                <w:rFonts w:ascii="Calibri" w:hAnsi="Calibri"/>
              </w:rPr>
            </w:pPr>
            <w:r w:rsidRPr="00120E42">
              <w:rPr>
                <w:rFonts w:ascii="Calibri" w:hAnsi="Calibri"/>
              </w:rPr>
              <w:t xml:space="preserve"> [217]</w:t>
            </w:r>
          </w:p>
        </w:tc>
      </w:tr>
      <w:tr w:rsidR="000E3CE9" w:rsidRPr="00DB1D7C" w14:paraId="37076038" w14:textId="77777777" w:rsidTr="0094412E">
        <w:tc>
          <w:tcPr>
            <w:tcW w:w="4678" w:type="dxa"/>
          </w:tcPr>
          <w:p w14:paraId="1D250149" w14:textId="77777777" w:rsidR="000E3CE9" w:rsidRPr="00DB1D7C" w:rsidRDefault="000E3CE9" w:rsidP="000E3CE9">
            <w:pPr>
              <w:spacing w:after="120"/>
              <w:rPr>
                <w:rFonts w:ascii="Calibri" w:hAnsi="Calibri"/>
                <w:b/>
                <w:i/>
              </w:rPr>
            </w:pPr>
            <w:r w:rsidRPr="00DB1D7C">
              <w:rPr>
                <w:rFonts w:ascii="Calibri" w:hAnsi="Calibri"/>
                <w:b/>
                <w:i/>
              </w:rPr>
              <w:t xml:space="preserve">Age-dependent thresholds </w:t>
            </w:r>
          </w:p>
        </w:tc>
        <w:tc>
          <w:tcPr>
            <w:tcW w:w="1843" w:type="dxa"/>
          </w:tcPr>
          <w:p w14:paraId="2FAF0664" w14:textId="77777777" w:rsidR="000E3CE9" w:rsidRPr="00DB1D7C" w:rsidRDefault="000E3CE9" w:rsidP="000E3CE9">
            <w:pPr>
              <w:spacing w:after="120"/>
              <w:rPr>
                <w:rFonts w:ascii="Calibri" w:hAnsi="Calibri"/>
              </w:rPr>
            </w:pPr>
          </w:p>
        </w:tc>
        <w:tc>
          <w:tcPr>
            <w:tcW w:w="1417" w:type="dxa"/>
          </w:tcPr>
          <w:p w14:paraId="6894FEFF" w14:textId="77777777" w:rsidR="000E3CE9" w:rsidRPr="00120E42" w:rsidRDefault="000E3CE9" w:rsidP="000E3CE9">
            <w:pPr>
              <w:spacing w:after="120"/>
              <w:jc w:val="center"/>
              <w:rPr>
                <w:rFonts w:ascii="Calibri" w:hAnsi="Calibri"/>
              </w:rPr>
            </w:pPr>
          </w:p>
        </w:tc>
      </w:tr>
      <w:tr w:rsidR="000E3CE9" w:rsidRPr="00DB1D7C" w14:paraId="27B92E3E" w14:textId="77777777" w:rsidTr="0094412E">
        <w:tc>
          <w:tcPr>
            <w:tcW w:w="4678" w:type="dxa"/>
          </w:tcPr>
          <w:p w14:paraId="3103072E" w14:textId="77777777" w:rsidR="000E3CE9" w:rsidRPr="00DB1D7C" w:rsidRDefault="000E3CE9" w:rsidP="000E3CE9">
            <w:pPr>
              <w:spacing w:after="120"/>
              <w:rPr>
                <w:rFonts w:ascii="Calibri" w:hAnsi="Calibri"/>
              </w:rPr>
            </w:pPr>
            <w:r w:rsidRPr="00DB1D7C">
              <w:rPr>
                <w:rFonts w:ascii="Calibri" w:hAnsi="Calibri"/>
              </w:rPr>
              <w:t>Strategy is cost-effective</w:t>
            </w:r>
          </w:p>
        </w:tc>
        <w:tc>
          <w:tcPr>
            <w:tcW w:w="1843" w:type="dxa"/>
          </w:tcPr>
          <w:p w14:paraId="5C374A73" w14:textId="77777777" w:rsidR="000E3CE9" w:rsidRPr="00DB1D7C" w:rsidRDefault="000E3CE9" w:rsidP="000E3CE9">
            <w:pPr>
              <w:spacing w:after="120"/>
              <w:rPr>
                <w:rFonts w:ascii="Calibri" w:hAnsi="Calibri"/>
              </w:rPr>
            </w:pPr>
            <w:r w:rsidRPr="00DB1D7C">
              <w:rPr>
                <w:rFonts w:ascii="Calibri" w:hAnsi="Calibri"/>
              </w:rPr>
              <w:t>UK</w:t>
            </w:r>
          </w:p>
          <w:p w14:paraId="502FF658" w14:textId="77777777" w:rsidR="000E3CE9" w:rsidRPr="00DB1D7C" w:rsidRDefault="000E3CE9" w:rsidP="000E3CE9">
            <w:pPr>
              <w:spacing w:after="120"/>
              <w:rPr>
                <w:rFonts w:ascii="Calibri" w:hAnsi="Calibri"/>
              </w:rPr>
            </w:pPr>
            <w:r w:rsidRPr="00DB1D7C">
              <w:rPr>
                <w:rFonts w:ascii="Calibri" w:hAnsi="Calibri"/>
              </w:rPr>
              <w:t>Switzerland</w:t>
            </w:r>
          </w:p>
        </w:tc>
        <w:tc>
          <w:tcPr>
            <w:tcW w:w="1417" w:type="dxa"/>
          </w:tcPr>
          <w:p w14:paraId="5B0A5C44" w14:textId="3E63C356" w:rsidR="000E3CE9" w:rsidRPr="00120E42" w:rsidRDefault="000E3CE9" w:rsidP="000E3CE9">
            <w:pPr>
              <w:spacing w:after="120"/>
              <w:jc w:val="center"/>
              <w:rPr>
                <w:rFonts w:ascii="Calibri" w:hAnsi="Calibri"/>
              </w:rPr>
            </w:pPr>
            <w:r w:rsidRPr="00120E42">
              <w:rPr>
                <w:rFonts w:ascii="Calibri" w:hAnsi="Calibri"/>
              </w:rPr>
              <w:t xml:space="preserve"> </w:t>
            </w:r>
            <w:r w:rsidRPr="00120E42">
              <w:rPr>
                <w:rFonts w:ascii="Calibri" w:hAnsi="Calibri"/>
                <w:sz w:val="24"/>
                <w:szCs w:val="24"/>
              </w:rPr>
              <w:t>[140]</w:t>
            </w:r>
            <w:r w:rsidRPr="00120E42">
              <w:rPr>
                <w:rFonts w:ascii="Calibri" w:hAnsi="Calibri"/>
              </w:rPr>
              <w:t xml:space="preserve"> </w:t>
            </w:r>
          </w:p>
          <w:p w14:paraId="378295CA" w14:textId="14498B8B" w:rsidR="000E3CE9" w:rsidRPr="00120E42" w:rsidRDefault="000E3CE9" w:rsidP="000E3CE9">
            <w:pPr>
              <w:spacing w:after="120"/>
              <w:jc w:val="center"/>
              <w:rPr>
                <w:rFonts w:ascii="Calibri" w:hAnsi="Calibri"/>
              </w:rPr>
            </w:pPr>
            <w:r w:rsidRPr="00120E42">
              <w:rPr>
                <w:rFonts w:ascii="Calibri" w:hAnsi="Calibri"/>
              </w:rPr>
              <w:t xml:space="preserve"> [105]</w:t>
            </w:r>
          </w:p>
        </w:tc>
      </w:tr>
      <w:tr w:rsidR="000E3CE9" w:rsidRPr="00DB1D7C" w14:paraId="5C3EC3AC" w14:textId="77777777" w:rsidTr="0094412E">
        <w:tc>
          <w:tcPr>
            <w:tcW w:w="4678" w:type="dxa"/>
          </w:tcPr>
          <w:p w14:paraId="062FBB6C" w14:textId="77777777" w:rsidR="000E3CE9" w:rsidRPr="00DB1D7C" w:rsidRDefault="000E3CE9" w:rsidP="000E3CE9">
            <w:pPr>
              <w:spacing w:after="120"/>
              <w:rPr>
                <w:rFonts w:ascii="Calibri" w:hAnsi="Calibri"/>
              </w:rPr>
            </w:pPr>
            <w:r w:rsidRPr="00DB1D7C">
              <w:rPr>
                <w:rFonts w:ascii="Calibri" w:hAnsi="Calibri"/>
              </w:rPr>
              <w:t>Lower costs per fracture case identified than RCP guidelines</w:t>
            </w:r>
          </w:p>
        </w:tc>
        <w:tc>
          <w:tcPr>
            <w:tcW w:w="1843" w:type="dxa"/>
          </w:tcPr>
          <w:p w14:paraId="7035C8DE" w14:textId="77777777" w:rsidR="000E3CE9" w:rsidRPr="00DB1D7C" w:rsidRDefault="000E3CE9" w:rsidP="000E3CE9">
            <w:pPr>
              <w:spacing w:after="120"/>
              <w:rPr>
                <w:rFonts w:ascii="Calibri" w:hAnsi="Calibri"/>
              </w:rPr>
            </w:pPr>
            <w:r w:rsidRPr="00DB1D7C">
              <w:rPr>
                <w:rFonts w:ascii="Calibri" w:hAnsi="Calibri"/>
              </w:rPr>
              <w:t>UK</w:t>
            </w:r>
          </w:p>
        </w:tc>
        <w:tc>
          <w:tcPr>
            <w:tcW w:w="1417" w:type="dxa"/>
          </w:tcPr>
          <w:p w14:paraId="5A67D40C" w14:textId="48A0D0E5" w:rsidR="000E3CE9" w:rsidRPr="00120E42" w:rsidRDefault="000E3CE9" w:rsidP="000E3CE9">
            <w:pPr>
              <w:spacing w:after="120"/>
              <w:jc w:val="center"/>
              <w:rPr>
                <w:rFonts w:ascii="Calibri" w:hAnsi="Calibri"/>
              </w:rPr>
            </w:pPr>
            <w:r w:rsidRPr="00120E42">
              <w:rPr>
                <w:rFonts w:ascii="Calibri" w:hAnsi="Calibri"/>
              </w:rPr>
              <w:t xml:space="preserve"> [144]</w:t>
            </w:r>
          </w:p>
        </w:tc>
      </w:tr>
      <w:tr w:rsidR="000E3CE9" w:rsidRPr="00DB1D7C" w14:paraId="1B78B0BE" w14:textId="77777777" w:rsidTr="0094412E">
        <w:tc>
          <w:tcPr>
            <w:tcW w:w="4678" w:type="dxa"/>
          </w:tcPr>
          <w:p w14:paraId="6EE58C3A" w14:textId="6DE36678" w:rsidR="000E3CE9" w:rsidRPr="00DB1D7C" w:rsidRDefault="000E3CE9" w:rsidP="000E3CE9">
            <w:pPr>
              <w:spacing w:after="120"/>
              <w:rPr>
                <w:rFonts w:ascii="Calibri" w:hAnsi="Calibri"/>
              </w:rPr>
            </w:pPr>
            <w:r w:rsidRPr="00DB1D7C">
              <w:rPr>
                <w:rFonts w:ascii="Calibri" w:hAnsi="Calibri"/>
              </w:rPr>
              <w:t>More economic use of BMD tests than RCP or NOF guidelines</w:t>
            </w:r>
          </w:p>
        </w:tc>
        <w:tc>
          <w:tcPr>
            <w:tcW w:w="1843" w:type="dxa"/>
          </w:tcPr>
          <w:p w14:paraId="774178BD" w14:textId="77777777" w:rsidR="000E3CE9" w:rsidRPr="00DB1D7C" w:rsidRDefault="000E3CE9" w:rsidP="000E3CE9">
            <w:pPr>
              <w:spacing w:after="120"/>
              <w:rPr>
                <w:rFonts w:ascii="Calibri" w:hAnsi="Calibri"/>
              </w:rPr>
            </w:pPr>
            <w:r w:rsidRPr="00DB1D7C">
              <w:rPr>
                <w:rFonts w:ascii="Calibri" w:hAnsi="Calibri"/>
              </w:rPr>
              <w:t>UK</w:t>
            </w:r>
          </w:p>
        </w:tc>
        <w:tc>
          <w:tcPr>
            <w:tcW w:w="1417" w:type="dxa"/>
          </w:tcPr>
          <w:p w14:paraId="25C1EB9D" w14:textId="5604769F" w:rsidR="000E3CE9" w:rsidRPr="00120E42" w:rsidRDefault="000E3CE9" w:rsidP="000E3CE9">
            <w:pPr>
              <w:spacing w:after="120"/>
              <w:jc w:val="center"/>
              <w:rPr>
                <w:rFonts w:ascii="Calibri" w:hAnsi="Calibri"/>
              </w:rPr>
            </w:pPr>
            <w:r w:rsidRPr="00120E42">
              <w:rPr>
                <w:rFonts w:ascii="Calibri" w:hAnsi="Calibri"/>
              </w:rPr>
              <w:t xml:space="preserve"> [144]</w:t>
            </w:r>
            <w:r w:rsidRPr="00120E42">
              <w:rPr>
                <w:rFonts w:ascii="Calibri" w:hAnsi="Calibri"/>
              </w:rPr>
              <w:br/>
              <w:t>[145]</w:t>
            </w:r>
          </w:p>
        </w:tc>
      </w:tr>
      <w:tr w:rsidR="000E3CE9" w:rsidRPr="00DB1D7C" w14:paraId="54323267" w14:textId="77777777" w:rsidTr="0094412E">
        <w:tc>
          <w:tcPr>
            <w:tcW w:w="4678" w:type="dxa"/>
          </w:tcPr>
          <w:p w14:paraId="0021202D" w14:textId="77777777" w:rsidR="000E3CE9" w:rsidRPr="00DB1D7C" w:rsidRDefault="000E3CE9" w:rsidP="000E3CE9">
            <w:pPr>
              <w:spacing w:after="120"/>
              <w:rPr>
                <w:rFonts w:ascii="Calibri" w:hAnsi="Calibri"/>
              </w:rPr>
            </w:pPr>
            <w:r w:rsidRPr="00DB1D7C">
              <w:rPr>
                <w:rFonts w:ascii="Calibri" w:hAnsi="Calibri"/>
              </w:rPr>
              <w:t>Treatment decisions not wholly based on BMD</w:t>
            </w:r>
          </w:p>
        </w:tc>
        <w:tc>
          <w:tcPr>
            <w:tcW w:w="1843" w:type="dxa"/>
          </w:tcPr>
          <w:p w14:paraId="11DC05D7" w14:textId="77777777" w:rsidR="000E3CE9" w:rsidRPr="00DB1D7C" w:rsidRDefault="000E3CE9" w:rsidP="000E3CE9">
            <w:pPr>
              <w:spacing w:after="120"/>
              <w:rPr>
                <w:rFonts w:ascii="Calibri" w:hAnsi="Calibri"/>
              </w:rPr>
            </w:pPr>
          </w:p>
        </w:tc>
        <w:tc>
          <w:tcPr>
            <w:tcW w:w="1417" w:type="dxa"/>
          </w:tcPr>
          <w:p w14:paraId="40D8B205" w14:textId="4BBF67B6" w:rsidR="000E3CE9" w:rsidRPr="00120E42" w:rsidRDefault="000E3CE9" w:rsidP="000E3CE9">
            <w:pPr>
              <w:spacing w:after="120"/>
              <w:jc w:val="center"/>
              <w:rPr>
                <w:rFonts w:ascii="Calibri" w:hAnsi="Calibri"/>
              </w:rPr>
            </w:pPr>
            <w:r w:rsidRPr="00120E42">
              <w:rPr>
                <w:rFonts w:ascii="Calibri" w:hAnsi="Calibri"/>
              </w:rPr>
              <w:t xml:space="preserve"> </w:t>
            </w:r>
            <w:r w:rsidRPr="00120E42">
              <w:rPr>
                <w:rFonts w:ascii="Calibri" w:hAnsi="Calibri"/>
                <w:sz w:val="24"/>
                <w:szCs w:val="24"/>
              </w:rPr>
              <w:t>[140]</w:t>
            </w:r>
          </w:p>
        </w:tc>
      </w:tr>
      <w:tr w:rsidR="000E3CE9" w:rsidRPr="00DB1D7C" w14:paraId="0A3F8232" w14:textId="77777777" w:rsidTr="0094412E">
        <w:tc>
          <w:tcPr>
            <w:tcW w:w="4678" w:type="dxa"/>
          </w:tcPr>
          <w:p w14:paraId="24C47B80" w14:textId="77777777" w:rsidR="000E3CE9" w:rsidRPr="00DB1D7C" w:rsidRDefault="000E3CE9" w:rsidP="000E3CE9">
            <w:pPr>
              <w:spacing w:after="120"/>
              <w:rPr>
                <w:rFonts w:ascii="Calibri" w:hAnsi="Calibri"/>
              </w:rPr>
            </w:pPr>
            <w:r w:rsidRPr="00DB1D7C">
              <w:rPr>
                <w:rFonts w:ascii="Calibri" w:hAnsi="Calibri"/>
              </w:rPr>
              <w:t xml:space="preserve">Fewer but higher risk patients identified than RCP guidelines </w:t>
            </w:r>
          </w:p>
        </w:tc>
        <w:tc>
          <w:tcPr>
            <w:tcW w:w="1843" w:type="dxa"/>
          </w:tcPr>
          <w:p w14:paraId="20C2AE6D" w14:textId="77777777" w:rsidR="000E3CE9" w:rsidRPr="00DB1D7C" w:rsidRDefault="000E3CE9" w:rsidP="000E3CE9">
            <w:pPr>
              <w:spacing w:after="120"/>
              <w:rPr>
                <w:rFonts w:ascii="Calibri" w:hAnsi="Calibri"/>
              </w:rPr>
            </w:pPr>
            <w:r w:rsidRPr="00DB1D7C">
              <w:rPr>
                <w:rFonts w:ascii="Calibri" w:hAnsi="Calibri"/>
              </w:rPr>
              <w:t>UK</w:t>
            </w:r>
          </w:p>
        </w:tc>
        <w:tc>
          <w:tcPr>
            <w:tcW w:w="1417" w:type="dxa"/>
          </w:tcPr>
          <w:p w14:paraId="67AA45AA" w14:textId="5BFEC276" w:rsidR="000E3CE9" w:rsidRPr="00120E42" w:rsidRDefault="000E3CE9" w:rsidP="000E3CE9">
            <w:pPr>
              <w:spacing w:after="120"/>
              <w:jc w:val="center"/>
              <w:rPr>
                <w:rFonts w:ascii="Calibri" w:hAnsi="Calibri"/>
              </w:rPr>
            </w:pPr>
            <w:r w:rsidRPr="00120E42">
              <w:rPr>
                <w:rFonts w:ascii="Calibri" w:hAnsi="Calibri"/>
              </w:rPr>
              <w:t xml:space="preserve"> [144]</w:t>
            </w:r>
          </w:p>
        </w:tc>
      </w:tr>
      <w:tr w:rsidR="000E3CE9" w:rsidRPr="00DB1D7C" w14:paraId="715B4D5C" w14:textId="77777777" w:rsidTr="0094412E">
        <w:tc>
          <w:tcPr>
            <w:tcW w:w="4678" w:type="dxa"/>
          </w:tcPr>
          <w:p w14:paraId="4172802C" w14:textId="215EF8F2" w:rsidR="000E3CE9" w:rsidRPr="00DB1D7C" w:rsidRDefault="000E3CE9" w:rsidP="000E3CE9">
            <w:pPr>
              <w:spacing w:after="120"/>
              <w:rPr>
                <w:rFonts w:ascii="Calibri" w:hAnsi="Calibri"/>
              </w:rPr>
            </w:pPr>
            <w:r w:rsidRPr="00DB1D7C">
              <w:rPr>
                <w:rFonts w:ascii="Calibri" w:hAnsi="Calibri"/>
              </w:rPr>
              <w:t>Fewer but higher risk patients identified than NOF guidelines</w:t>
            </w:r>
          </w:p>
        </w:tc>
        <w:tc>
          <w:tcPr>
            <w:tcW w:w="1843" w:type="dxa"/>
          </w:tcPr>
          <w:p w14:paraId="60ABE0D0" w14:textId="77777777" w:rsidR="000E3CE9" w:rsidRPr="00DB1D7C" w:rsidRDefault="000E3CE9" w:rsidP="000E3CE9">
            <w:pPr>
              <w:spacing w:after="120"/>
              <w:rPr>
                <w:rFonts w:ascii="Calibri" w:hAnsi="Calibri"/>
              </w:rPr>
            </w:pPr>
            <w:r w:rsidRPr="00DB1D7C">
              <w:rPr>
                <w:rFonts w:ascii="Calibri" w:hAnsi="Calibri"/>
              </w:rPr>
              <w:t>US</w:t>
            </w:r>
          </w:p>
        </w:tc>
        <w:tc>
          <w:tcPr>
            <w:tcW w:w="1417" w:type="dxa"/>
          </w:tcPr>
          <w:p w14:paraId="3CDC7AAF" w14:textId="4872581B" w:rsidR="000E3CE9" w:rsidRPr="00120E42" w:rsidRDefault="000E3CE9" w:rsidP="000E3CE9">
            <w:pPr>
              <w:spacing w:after="120"/>
              <w:jc w:val="center"/>
              <w:rPr>
                <w:rFonts w:ascii="Calibri" w:hAnsi="Calibri"/>
              </w:rPr>
            </w:pPr>
            <w:r w:rsidRPr="00120E42">
              <w:rPr>
                <w:rFonts w:ascii="Calibri" w:hAnsi="Calibri"/>
              </w:rPr>
              <w:t xml:space="preserve"> [216]</w:t>
            </w:r>
          </w:p>
        </w:tc>
      </w:tr>
      <w:tr w:rsidR="000E3CE9" w:rsidRPr="00DB1D7C" w14:paraId="62981CAE" w14:textId="77777777" w:rsidTr="0094412E">
        <w:tc>
          <w:tcPr>
            <w:tcW w:w="4678" w:type="dxa"/>
          </w:tcPr>
          <w:p w14:paraId="56B3AEB1" w14:textId="77777777" w:rsidR="000E3CE9" w:rsidRPr="00DB1D7C" w:rsidRDefault="000E3CE9" w:rsidP="000E3CE9">
            <w:pPr>
              <w:spacing w:after="120"/>
              <w:rPr>
                <w:rFonts w:ascii="Calibri" w:hAnsi="Calibri"/>
              </w:rPr>
            </w:pPr>
            <w:r w:rsidRPr="00DB1D7C">
              <w:rPr>
                <w:rFonts w:ascii="Calibri" w:hAnsi="Calibri"/>
              </w:rPr>
              <w:t>More effective than fixed thresholds</w:t>
            </w:r>
          </w:p>
        </w:tc>
        <w:tc>
          <w:tcPr>
            <w:tcW w:w="1843" w:type="dxa"/>
          </w:tcPr>
          <w:p w14:paraId="4641A846" w14:textId="77777777" w:rsidR="000E3CE9" w:rsidRPr="00DB1D7C" w:rsidRDefault="000E3CE9" w:rsidP="000E3CE9">
            <w:pPr>
              <w:spacing w:after="120"/>
              <w:rPr>
                <w:rFonts w:ascii="Calibri" w:hAnsi="Calibri"/>
              </w:rPr>
            </w:pPr>
            <w:r w:rsidRPr="00DB1D7C">
              <w:rPr>
                <w:rFonts w:ascii="Calibri" w:hAnsi="Calibri"/>
              </w:rPr>
              <w:t>US</w:t>
            </w:r>
            <w:r w:rsidRPr="00DB1D7C">
              <w:rPr>
                <w:rFonts w:ascii="Calibri" w:hAnsi="Calibri"/>
              </w:rPr>
              <w:br/>
              <w:t>Poland</w:t>
            </w:r>
          </w:p>
        </w:tc>
        <w:tc>
          <w:tcPr>
            <w:tcW w:w="1417" w:type="dxa"/>
          </w:tcPr>
          <w:p w14:paraId="5FE15574" w14:textId="56695ABE" w:rsidR="000E3CE9" w:rsidRPr="00120E42" w:rsidRDefault="000E3CE9" w:rsidP="000E3CE9">
            <w:pPr>
              <w:spacing w:after="120"/>
              <w:jc w:val="center"/>
              <w:rPr>
                <w:rFonts w:ascii="Calibri" w:hAnsi="Calibri"/>
              </w:rPr>
            </w:pPr>
            <w:r w:rsidRPr="00120E42">
              <w:rPr>
                <w:rFonts w:ascii="Calibri" w:hAnsi="Calibri"/>
              </w:rPr>
              <w:t xml:space="preserve"> [216]</w:t>
            </w:r>
            <w:r w:rsidRPr="00120E42">
              <w:rPr>
                <w:rFonts w:ascii="Calibri" w:hAnsi="Calibri"/>
              </w:rPr>
              <w:br/>
              <w:t>[89]</w:t>
            </w:r>
          </w:p>
        </w:tc>
      </w:tr>
    </w:tbl>
    <w:p w14:paraId="272FDDF7" w14:textId="77777777" w:rsidR="004B6109" w:rsidRPr="00DB1D7C" w:rsidRDefault="004B6109" w:rsidP="004B6109">
      <w:pPr>
        <w:spacing w:after="120"/>
        <w:rPr>
          <w:rFonts w:ascii="Calibri" w:hAnsi="Calibri"/>
        </w:rPr>
      </w:pPr>
    </w:p>
    <w:p w14:paraId="1EF51435" w14:textId="77777777" w:rsidR="005D333E" w:rsidRPr="00DB1D7C" w:rsidRDefault="005D333E" w:rsidP="004B6109">
      <w:pPr>
        <w:spacing w:after="120"/>
        <w:rPr>
          <w:rFonts w:ascii="Calibri" w:hAnsi="Calibri"/>
          <w:b/>
          <w:i/>
          <w:sz w:val="24"/>
          <w:szCs w:val="24"/>
        </w:rPr>
      </w:pPr>
    </w:p>
    <w:p w14:paraId="0416900B" w14:textId="77777777" w:rsidR="00FA72C0" w:rsidRDefault="00FA72C0" w:rsidP="00762316">
      <w:pPr>
        <w:spacing w:line="276" w:lineRule="auto"/>
        <w:rPr>
          <w:rFonts w:ascii="Calibri" w:hAnsi="Calibri"/>
          <w:b/>
          <w:sz w:val="24"/>
          <w:szCs w:val="24"/>
        </w:rPr>
      </w:pPr>
    </w:p>
    <w:p w14:paraId="2E3924DF" w14:textId="77777777" w:rsidR="00A42B72" w:rsidRPr="00DB1D7C" w:rsidRDefault="00A42B72" w:rsidP="00762316">
      <w:pPr>
        <w:spacing w:line="276" w:lineRule="auto"/>
        <w:rPr>
          <w:rFonts w:ascii="Calibri" w:hAnsi="Calibri"/>
          <w:b/>
          <w:sz w:val="24"/>
          <w:szCs w:val="24"/>
        </w:rPr>
      </w:pPr>
      <w:r w:rsidRPr="00DB1D7C">
        <w:rPr>
          <w:rFonts w:ascii="Calibri" w:hAnsi="Calibri"/>
          <w:b/>
          <w:sz w:val="24"/>
          <w:szCs w:val="24"/>
        </w:rPr>
        <w:lastRenderedPageBreak/>
        <w:t>Limitations of FRAX</w:t>
      </w:r>
    </w:p>
    <w:p w14:paraId="4F514ECB" w14:textId="6DFD8627" w:rsidR="00573265" w:rsidRPr="00935BD2" w:rsidRDefault="00260C45" w:rsidP="00762316">
      <w:pPr>
        <w:spacing w:line="276" w:lineRule="auto"/>
        <w:rPr>
          <w:sz w:val="24"/>
          <w:szCs w:val="24"/>
        </w:rPr>
      </w:pPr>
      <w:r w:rsidRPr="00DB1D7C">
        <w:rPr>
          <w:sz w:val="24"/>
          <w:szCs w:val="24"/>
        </w:rPr>
        <w:t>No risk assessment engine is perfect.  The introduction of FRAX</w:t>
      </w:r>
      <w:r w:rsidR="00B2410D" w:rsidRPr="00DB1D7C">
        <w:rPr>
          <w:sz w:val="24"/>
          <w:szCs w:val="24"/>
        </w:rPr>
        <w:t>, particularly with BMD</w:t>
      </w:r>
      <w:r w:rsidRPr="00DB1D7C">
        <w:rPr>
          <w:sz w:val="24"/>
          <w:szCs w:val="24"/>
        </w:rPr>
        <w:t xml:space="preserve"> </w:t>
      </w:r>
      <w:r w:rsidR="00B2410D" w:rsidRPr="00DB1D7C">
        <w:rPr>
          <w:sz w:val="24"/>
          <w:szCs w:val="24"/>
        </w:rPr>
        <w:t>has increased</w:t>
      </w:r>
      <w:r w:rsidRPr="00DB1D7C">
        <w:rPr>
          <w:sz w:val="24"/>
          <w:szCs w:val="24"/>
        </w:rPr>
        <w:t xml:space="preserve"> the sensitivity of fracture risk prediction</w:t>
      </w:r>
      <w:r w:rsidR="00B2410D" w:rsidRPr="00DB1D7C">
        <w:rPr>
          <w:sz w:val="24"/>
          <w:szCs w:val="24"/>
        </w:rPr>
        <w:t xml:space="preserve">.  In the </w:t>
      </w:r>
      <w:r w:rsidR="00BB4522" w:rsidRPr="00DB1D7C">
        <w:rPr>
          <w:sz w:val="24"/>
          <w:szCs w:val="24"/>
        </w:rPr>
        <w:t>c</w:t>
      </w:r>
      <w:r w:rsidR="00B2410D" w:rsidRPr="00DB1D7C">
        <w:rPr>
          <w:sz w:val="24"/>
          <w:szCs w:val="24"/>
        </w:rPr>
        <w:t>ase of FRAX without BMD included the gradient of ris</w:t>
      </w:r>
      <w:r w:rsidR="00BB4522" w:rsidRPr="00DB1D7C">
        <w:rPr>
          <w:sz w:val="24"/>
          <w:szCs w:val="24"/>
        </w:rPr>
        <w:t>k</w:t>
      </w:r>
      <w:r w:rsidR="00B2410D" w:rsidRPr="00DB1D7C">
        <w:rPr>
          <w:sz w:val="24"/>
          <w:szCs w:val="24"/>
        </w:rPr>
        <w:t xml:space="preserve"> for a major osteoporotic fracture is </w:t>
      </w:r>
      <w:r w:rsidR="00BB4522" w:rsidRPr="00DB1D7C">
        <w:rPr>
          <w:sz w:val="24"/>
          <w:szCs w:val="24"/>
        </w:rPr>
        <w:t>approximately</w:t>
      </w:r>
      <w:r w:rsidR="00B2410D" w:rsidRPr="00DB1D7C">
        <w:rPr>
          <w:sz w:val="24"/>
          <w:szCs w:val="24"/>
        </w:rPr>
        <w:t xml:space="preserve"> equal to that of BMD </w:t>
      </w:r>
      <w:r w:rsidR="00B2410D" w:rsidRPr="00120E42">
        <w:rPr>
          <w:sz w:val="24"/>
          <w:szCs w:val="24"/>
        </w:rPr>
        <w:t>alone</w:t>
      </w:r>
      <w:r w:rsidR="003E244A" w:rsidRPr="00120E42">
        <w:rPr>
          <w:rFonts w:ascii="Calibri" w:hAnsi="Calibri"/>
          <w:sz w:val="24"/>
          <w:szCs w:val="24"/>
        </w:rPr>
        <w:t xml:space="preserve"> [14]</w:t>
      </w:r>
      <w:r w:rsidR="00B2410D" w:rsidRPr="00120E42">
        <w:rPr>
          <w:sz w:val="24"/>
          <w:szCs w:val="24"/>
        </w:rPr>
        <w:t>.</w:t>
      </w:r>
      <w:r w:rsidR="00B2410D" w:rsidRPr="00DB1D7C">
        <w:rPr>
          <w:sz w:val="24"/>
          <w:szCs w:val="24"/>
        </w:rPr>
        <w:t xml:space="preserve">  Despite the step change in prognostic value</w:t>
      </w:r>
      <w:r w:rsidR="00BB4522" w:rsidRPr="00DB1D7C">
        <w:rPr>
          <w:sz w:val="24"/>
          <w:szCs w:val="24"/>
        </w:rPr>
        <w:t>,</w:t>
      </w:r>
      <w:r w:rsidR="00B2410D" w:rsidRPr="00DB1D7C">
        <w:rPr>
          <w:sz w:val="24"/>
          <w:szCs w:val="24"/>
        </w:rPr>
        <w:t xml:space="preserve"> sensitivity remains low</w:t>
      </w:r>
      <w:r w:rsidR="00BB4522" w:rsidRPr="00DB1D7C">
        <w:rPr>
          <w:sz w:val="24"/>
          <w:szCs w:val="24"/>
        </w:rPr>
        <w:t xml:space="preserve">.  </w:t>
      </w:r>
      <w:r w:rsidR="00B2410D" w:rsidRPr="00DB1D7C">
        <w:rPr>
          <w:sz w:val="24"/>
          <w:szCs w:val="24"/>
        </w:rPr>
        <w:t xml:space="preserve"> </w:t>
      </w:r>
      <w:r w:rsidR="00BB4522" w:rsidRPr="00DB1D7C">
        <w:rPr>
          <w:sz w:val="24"/>
          <w:szCs w:val="24"/>
        </w:rPr>
        <w:t>Thus FRAX should not be viewed through rose tinted spectacles but considered as a reference platform to aid but not replace decision</w:t>
      </w:r>
      <w:r w:rsidR="00BE2FB0">
        <w:rPr>
          <w:sz w:val="24"/>
          <w:szCs w:val="24"/>
        </w:rPr>
        <w:t>-</w:t>
      </w:r>
      <w:r w:rsidR="00BB4522" w:rsidRPr="00DB1D7C">
        <w:rPr>
          <w:sz w:val="24"/>
          <w:szCs w:val="24"/>
        </w:rPr>
        <w:t xml:space="preserve">making.  The rapid and widespread uptake of FRAX has </w:t>
      </w:r>
      <w:r w:rsidR="00BE2FB0">
        <w:rPr>
          <w:sz w:val="24"/>
          <w:szCs w:val="24"/>
        </w:rPr>
        <w:t>made it</w:t>
      </w:r>
      <w:r w:rsidR="00BB4522" w:rsidRPr="00DB1D7C">
        <w:rPr>
          <w:sz w:val="24"/>
          <w:szCs w:val="24"/>
        </w:rPr>
        <w:t xml:space="preserve"> the subject of great scrutiny and the limitations </w:t>
      </w:r>
      <w:r w:rsidR="00BE2FB0">
        <w:rPr>
          <w:sz w:val="24"/>
          <w:szCs w:val="24"/>
        </w:rPr>
        <w:t xml:space="preserve">have been </w:t>
      </w:r>
      <w:r w:rsidR="00BB4522" w:rsidRPr="00DB1D7C">
        <w:rPr>
          <w:sz w:val="24"/>
          <w:szCs w:val="24"/>
        </w:rPr>
        <w:t xml:space="preserve">widely articulated.  In some instances concerns have been raised over FRAX in general </w:t>
      </w:r>
      <w:r w:rsidR="00573265" w:rsidRPr="00DB1D7C">
        <w:rPr>
          <w:sz w:val="24"/>
          <w:szCs w:val="24"/>
        </w:rPr>
        <w:t>or</w:t>
      </w:r>
      <w:r w:rsidR="00BB4522" w:rsidRPr="00DB1D7C">
        <w:rPr>
          <w:sz w:val="24"/>
          <w:szCs w:val="24"/>
        </w:rPr>
        <w:t xml:space="preserve"> its </w:t>
      </w:r>
      <w:r w:rsidR="00BB4522" w:rsidRPr="00935BD2">
        <w:rPr>
          <w:sz w:val="24"/>
          <w:szCs w:val="24"/>
        </w:rPr>
        <w:t>use in assessment guidelines (Tabl</w:t>
      </w:r>
      <w:r w:rsidR="00573265" w:rsidRPr="00935BD2">
        <w:rPr>
          <w:sz w:val="24"/>
          <w:szCs w:val="24"/>
        </w:rPr>
        <w:t>e</w:t>
      </w:r>
      <w:r w:rsidR="00BB4522" w:rsidRPr="00935BD2">
        <w:rPr>
          <w:sz w:val="24"/>
          <w:szCs w:val="24"/>
        </w:rPr>
        <w:t xml:space="preserve"> </w:t>
      </w:r>
      <w:r w:rsidR="00FD5500" w:rsidRPr="00935BD2">
        <w:rPr>
          <w:sz w:val="24"/>
          <w:szCs w:val="24"/>
        </w:rPr>
        <w:t>16</w:t>
      </w:r>
      <w:r w:rsidR="00BB4522" w:rsidRPr="00935BD2">
        <w:rPr>
          <w:sz w:val="24"/>
          <w:szCs w:val="24"/>
        </w:rPr>
        <w:t>)</w:t>
      </w:r>
      <w:r w:rsidR="00256A58" w:rsidRPr="00935BD2">
        <w:rPr>
          <w:sz w:val="24"/>
          <w:szCs w:val="24"/>
        </w:rPr>
        <w:t>,</w:t>
      </w:r>
      <w:r w:rsidR="00573265" w:rsidRPr="00935BD2">
        <w:rPr>
          <w:sz w:val="24"/>
          <w:szCs w:val="24"/>
        </w:rPr>
        <w:t xml:space="preserve"> which are reviewed briefly.</w:t>
      </w:r>
      <w:r w:rsidR="00B2410D" w:rsidRPr="00935BD2">
        <w:rPr>
          <w:sz w:val="24"/>
          <w:szCs w:val="24"/>
        </w:rPr>
        <w:t xml:space="preserve"> </w:t>
      </w:r>
    </w:p>
    <w:p w14:paraId="119A47AA" w14:textId="335F3BE8" w:rsidR="00762316" w:rsidRPr="00DB1D7C" w:rsidRDefault="00260C45" w:rsidP="00762316">
      <w:r w:rsidRPr="00935BD2">
        <w:t xml:space="preserve"> </w:t>
      </w:r>
      <w:r w:rsidR="00762316" w:rsidRPr="00A860AD">
        <w:rPr>
          <w:b/>
        </w:rPr>
        <w:t xml:space="preserve">Table </w:t>
      </w:r>
      <w:r w:rsidR="00FD5500" w:rsidRPr="00A860AD">
        <w:rPr>
          <w:b/>
        </w:rPr>
        <w:t>16</w:t>
      </w:r>
      <w:r w:rsidR="00762316" w:rsidRPr="00935BD2">
        <w:t>. Limitations of FRAX</w:t>
      </w:r>
      <w:r w:rsidR="00762316" w:rsidRPr="00DB1D7C">
        <w:t xml:space="preserve"> – real and perceived</w:t>
      </w:r>
    </w:p>
    <w:p w14:paraId="66BC10E2" w14:textId="77777777" w:rsidR="00762316" w:rsidRPr="00DB1D7C" w:rsidRDefault="00762316" w:rsidP="00EE7C4E">
      <w:pPr>
        <w:pBdr>
          <w:top w:val="single" w:sz="4" w:space="1" w:color="auto"/>
          <w:left w:val="single" w:sz="4" w:space="4" w:color="auto"/>
          <w:bottom w:val="single" w:sz="4" w:space="1" w:color="auto"/>
          <w:right w:val="single" w:sz="4" w:space="4" w:color="auto"/>
        </w:pBdr>
        <w:ind w:right="3497"/>
      </w:pPr>
      <w:r w:rsidRPr="00DB1D7C">
        <w:t>FRAX in general</w:t>
      </w:r>
    </w:p>
    <w:p w14:paraId="5EF0D603" w14:textId="5805ED4F" w:rsidR="00762316" w:rsidRPr="00DB1D7C" w:rsidRDefault="00762316" w:rsidP="00EE7C4E">
      <w:pPr>
        <w:pBdr>
          <w:top w:val="single" w:sz="4" w:space="1" w:color="auto"/>
          <w:left w:val="single" w:sz="4" w:space="4" w:color="auto"/>
          <w:bottom w:val="single" w:sz="4" w:space="1" w:color="auto"/>
          <w:right w:val="single" w:sz="4" w:space="4" w:color="auto"/>
        </w:pBdr>
        <w:ind w:right="3497"/>
      </w:pPr>
      <w:r w:rsidRPr="00DB1D7C">
        <w:tab/>
        <w:t>Reliance on computer access</w:t>
      </w:r>
    </w:p>
    <w:p w14:paraId="584F077B" w14:textId="77777777" w:rsidR="00762316" w:rsidRPr="00DB1D7C" w:rsidRDefault="00762316" w:rsidP="00EE7C4E">
      <w:pPr>
        <w:pBdr>
          <w:top w:val="single" w:sz="4" w:space="1" w:color="auto"/>
          <w:left w:val="single" w:sz="4" w:space="4" w:color="auto"/>
          <w:bottom w:val="single" w:sz="4" w:space="1" w:color="auto"/>
          <w:right w:val="single" w:sz="4" w:space="4" w:color="auto"/>
        </w:pBdr>
        <w:ind w:right="3497"/>
      </w:pPr>
      <w:r w:rsidRPr="00DB1D7C">
        <w:tab/>
        <w:t>Not all countries have FRAX models</w:t>
      </w:r>
    </w:p>
    <w:p w14:paraId="6ADEE414" w14:textId="77777777" w:rsidR="00762316" w:rsidRPr="00DB1D7C" w:rsidRDefault="00762316" w:rsidP="00EE7C4E">
      <w:pPr>
        <w:pBdr>
          <w:top w:val="single" w:sz="4" w:space="1" w:color="auto"/>
          <w:left w:val="single" w:sz="4" w:space="4" w:color="auto"/>
          <w:bottom w:val="single" w:sz="4" w:space="1" w:color="auto"/>
          <w:right w:val="single" w:sz="4" w:space="4" w:color="auto"/>
        </w:pBdr>
        <w:ind w:right="3497"/>
      </w:pPr>
      <w:r w:rsidRPr="00DB1D7C">
        <w:tab/>
        <w:t>Efficacy in patients selected without BMD</w:t>
      </w:r>
    </w:p>
    <w:p w14:paraId="03E0D0C6" w14:textId="77777777" w:rsidR="00762316" w:rsidRPr="00DB1D7C" w:rsidRDefault="00762316" w:rsidP="00EE7C4E">
      <w:pPr>
        <w:pBdr>
          <w:top w:val="single" w:sz="4" w:space="1" w:color="auto"/>
          <w:left w:val="single" w:sz="4" w:space="4" w:color="auto"/>
          <w:bottom w:val="single" w:sz="4" w:space="1" w:color="auto"/>
          <w:right w:val="single" w:sz="4" w:space="4" w:color="auto"/>
        </w:pBdr>
        <w:ind w:right="3497"/>
      </w:pPr>
      <w:r w:rsidRPr="00DB1D7C">
        <w:t>FRAX in guideline development</w:t>
      </w:r>
    </w:p>
    <w:p w14:paraId="62B5F8FF" w14:textId="77777777" w:rsidR="00762316" w:rsidRPr="00DB1D7C" w:rsidRDefault="00762316" w:rsidP="00EE7C4E">
      <w:pPr>
        <w:pBdr>
          <w:top w:val="single" w:sz="4" w:space="1" w:color="auto"/>
          <w:left w:val="single" w:sz="4" w:space="4" w:color="auto"/>
          <w:bottom w:val="single" w:sz="4" w:space="1" w:color="auto"/>
          <w:right w:val="single" w:sz="4" w:space="4" w:color="auto"/>
        </w:pBdr>
        <w:ind w:right="3497"/>
      </w:pPr>
      <w:r w:rsidRPr="00DB1D7C">
        <w:tab/>
        <w:t>No controlled trials</w:t>
      </w:r>
    </w:p>
    <w:p w14:paraId="7A1E29E5" w14:textId="77777777" w:rsidR="00762316" w:rsidRPr="00DB1D7C" w:rsidRDefault="00762316" w:rsidP="00EE7C4E">
      <w:pPr>
        <w:pBdr>
          <w:top w:val="single" w:sz="4" w:space="1" w:color="auto"/>
          <w:left w:val="single" w:sz="4" w:space="4" w:color="auto"/>
          <w:bottom w:val="single" w:sz="4" w:space="1" w:color="auto"/>
          <w:right w:val="single" w:sz="4" w:space="4" w:color="auto"/>
        </w:pBdr>
        <w:ind w:right="3497"/>
      </w:pPr>
      <w:r w:rsidRPr="00DB1D7C">
        <w:tab/>
        <w:t>Age-dependent thresholds are ageist</w:t>
      </w:r>
    </w:p>
    <w:p w14:paraId="723A3F88" w14:textId="77777777" w:rsidR="00762316" w:rsidRPr="00DB1D7C" w:rsidRDefault="00762316" w:rsidP="00EE7C4E">
      <w:pPr>
        <w:pBdr>
          <w:top w:val="single" w:sz="4" w:space="1" w:color="auto"/>
          <w:left w:val="single" w:sz="4" w:space="4" w:color="auto"/>
          <w:bottom w:val="single" w:sz="4" w:space="1" w:color="auto"/>
          <w:right w:val="single" w:sz="4" w:space="4" w:color="auto"/>
        </w:pBdr>
        <w:ind w:right="3497"/>
      </w:pPr>
      <w:r w:rsidRPr="00DB1D7C">
        <w:tab/>
        <w:t>Inequity across countries</w:t>
      </w:r>
    </w:p>
    <w:p w14:paraId="3FA442A9" w14:textId="77777777" w:rsidR="00762316" w:rsidRPr="00DB1D7C" w:rsidRDefault="00762316" w:rsidP="00EE7C4E">
      <w:pPr>
        <w:pBdr>
          <w:top w:val="single" w:sz="4" w:space="1" w:color="auto"/>
          <w:left w:val="single" w:sz="4" w:space="4" w:color="auto"/>
          <w:bottom w:val="single" w:sz="4" w:space="1" w:color="auto"/>
          <w:right w:val="single" w:sz="4" w:space="4" w:color="auto"/>
        </w:pBdr>
        <w:ind w:right="3497"/>
      </w:pPr>
      <w:r w:rsidRPr="00DB1D7C">
        <w:tab/>
        <w:t>Sensitivity of NOGG in subgroups</w:t>
      </w:r>
    </w:p>
    <w:p w14:paraId="1B9E29C9" w14:textId="77777777" w:rsidR="00762316" w:rsidRPr="00DB1D7C" w:rsidRDefault="00762316" w:rsidP="00762316"/>
    <w:p w14:paraId="312DB204" w14:textId="2E26C4A5" w:rsidR="00E83DA8" w:rsidRPr="00DB1D7C" w:rsidRDefault="00E83DA8" w:rsidP="00EE7C4E">
      <w:pPr>
        <w:spacing w:line="276" w:lineRule="auto"/>
        <w:rPr>
          <w:i/>
          <w:sz w:val="24"/>
          <w:szCs w:val="24"/>
        </w:rPr>
      </w:pPr>
      <w:r w:rsidRPr="00DB1D7C">
        <w:rPr>
          <w:i/>
          <w:sz w:val="24"/>
          <w:szCs w:val="24"/>
        </w:rPr>
        <w:t>Well established limitations</w:t>
      </w:r>
      <w:r w:rsidR="00A42B72" w:rsidRPr="00DB1D7C">
        <w:rPr>
          <w:i/>
          <w:sz w:val="24"/>
          <w:szCs w:val="24"/>
        </w:rPr>
        <w:t xml:space="preserve"> of FRAX</w:t>
      </w:r>
    </w:p>
    <w:p w14:paraId="411301A5" w14:textId="262B39EA" w:rsidR="00E83DA8" w:rsidRPr="00DB1D7C" w:rsidRDefault="00E83DA8" w:rsidP="00EE7C4E">
      <w:pPr>
        <w:spacing w:line="276" w:lineRule="auto"/>
        <w:rPr>
          <w:rFonts w:cs="AdvTT3713a231"/>
          <w:color w:val="131313"/>
          <w:sz w:val="24"/>
          <w:szCs w:val="24"/>
        </w:rPr>
      </w:pPr>
      <w:r w:rsidRPr="00FD0159">
        <w:rPr>
          <w:sz w:val="24"/>
          <w:szCs w:val="24"/>
        </w:rPr>
        <w:t xml:space="preserve">The limitations of FRAX have been extensively reviewed </w:t>
      </w:r>
      <w:r w:rsidR="00883B35" w:rsidRPr="00FD0159">
        <w:rPr>
          <w:sz w:val="24"/>
          <w:szCs w:val="24"/>
        </w:rPr>
        <w:t xml:space="preserve">[8, 18] </w:t>
      </w:r>
      <w:r w:rsidRPr="00FD0159">
        <w:rPr>
          <w:sz w:val="24"/>
          <w:szCs w:val="24"/>
        </w:rPr>
        <w:t>and are</w:t>
      </w:r>
      <w:r w:rsidRPr="00DB1D7C">
        <w:rPr>
          <w:sz w:val="24"/>
          <w:szCs w:val="24"/>
        </w:rPr>
        <w:t xml:space="preserve"> only briefly mentioned. The </w:t>
      </w:r>
      <w:r w:rsidRPr="00DB1D7C">
        <w:rPr>
          <w:rFonts w:cs="AdvTT3713a231"/>
          <w:color w:val="131313"/>
          <w:sz w:val="24"/>
          <w:szCs w:val="24"/>
        </w:rPr>
        <w:t xml:space="preserve">risk factors included in FRAX were chosen carefully to limit the number and complexity, for ease of input, and to include only well-recognised, independent contributors to fracture risk. In addition, it was important that the factors used identified a risk that was amenable to an </w:t>
      </w:r>
      <w:r w:rsidRPr="00FD0159">
        <w:rPr>
          <w:rFonts w:cs="AdvTT3713a231"/>
          <w:color w:val="131313"/>
          <w:sz w:val="24"/>
          <w:szCs w:val="24"/>
        </w:rPr>
        <w:t xml:space="preserve">intervention </w:t>
      </w:r>
      <w:r w:rsidR="00755086" w:rsidRPr="00FD0159">
        <w:rPr>
          <w:rFonts w:ascii="Calibri" w:hAnsi="Calibri"/>
          <w:sz w:val="24"/>
          <w:szCs w:val="24"/>
        </w:rPr>
        <w:t>[8</w:t>
      </w:r>
      <w:r w:rsidR="00FD0159" w:rsidRPr="00FD0159">
        <w:rPr>
          <w:rFonts w:ascii="Calibri" w:hAnsi="Calibri"/>
          <w:sz w:val="24"/>
          <w:szCs w:val="24"/>
        </w:rPr>
        <w:t>, 15</w:t>
      </w:r>
      <w:r w:rsidR="00755086" w:rsidRPr="00FD0159">
        <w:rPr>
          <w:rFonts w:ascii="Calibri" w:hAnsi="Calibri"/>
          <w:sz w:val="24"/>
          <w:szCs w:val="24"/>
        </w:rPr>
        <w:t>]</w:t>
      </w:r>
      <w:r w:rsidRPr="00FD0159">
        <w:rPr>
          <w:rFonts w:cs="AdvTT3713a231"/>
          <w:color w:val="131313"/>
          <w:sz w:val="24"/>
          <w:szCs w:val="24"/>
        </w:rPr>
        <w:t>. The</w:t>
      </w:r>
      <w:r w:rsidRPr="00DB1D7C">
        <w:rPr>
          <w:rFonts w:cs="AdvTT3713a231"/>
          <w:color w:val="131313"/>
          <w:sz w:val="24"/>
          <w:szCs w:val="24"/>
        </w:rPr>
        <w:t xml:space="preserve"> FRAX tool has been appreciated for its simplicity for use in primary care but criticised for the same reason because it does not take account of exposure response. For example, the risk of fracture increases with exposure to glucocorticoids, but FRAX only accommodates a yes/no response to the relevant question. Other well-researched examples of </w:t>
      </w:r>
      <w:r w:rsidRPr="00DB1D7C">
        <w:rPr>
          <w:rFonts w:cs="AdvTT3713a231+20"/>
          <w:color w:val="131313"/>
          <w:sz w:val="24"/>
          <w:szCs w:val="24"/>
        </w:rPr>
        <w:t>‘</w:t>
      </w:r>
      <w:r w:rsidRPr="00DB1D7C">
        <w:rPr>
          <w:rFonts w:cs="AdvTT3713a231"/>
          <w:color w:val="131313"/>
          <w:sz w:val="24"/>
          <w:szCs w:val="24"/>
        </w:rPr>
        <w:t>dose</w:t>
      </w:r>
      <w:r w:rsidRPr="00DB1D7C">
        <w:rPr>
          <w:rFonts w:cs="AdvTT3713a231+20"/>
          <w:color w:val="131313"/>
          <w:sz w:val="24"/>
          <w:szCs w:val="24"/>
        </w:rPr>
        <w:t>–</w:t>
      </w:r>
      <w:r w:rsidRPr="00DB1D7C">
        <w:rPr>
          <w:rFonts w:cs="AdvTT3713a231"/>
          <w:color w:val="131313"/>
          <w:sz w:val="24"/>
          <w:szCs w:val="24"/>
        </w:rPr>
        <w:t>response</w:t>
      </w:r>
      <w:r w:rsidRPr="00DB1D7C">
        <w:rPr>
          <w:rFonts w:cs="AdvTT3713a231+20"/>
          <w:color w:val="131313"/>
          <w:sz w:val="24"/>
          <w:szCs w:val="24"/>
        </w:rPr>
        <w:t xml:space="preserve">’ </w:t>
      </w:r>
      <w:r w:rsidRPr="00DB1D7C">
        <w:rPr>
          <w:rFonts w:cs="AdvTT3713a231"/>
          <w:color w:val="131313"/>
          <w:sz w:val="24"/>
          <w:szCs w:val="24"/>
        </w:rPr>
        <w:t xml:space="preserve">include the number of prior fractures and the consumption of alcohol. Other concerns are the lack of provision for lumbar spine BMD which is commonly recommended in treatment guidelines, </w:t>
      </w:r>
      <w:r w:rsidR="00256A58">
        <w:rPr>
          <w:rFonts w:cs="AdvTT3713a231"/>
          <w:color w:val="131313"/>
          <w:sz w:val="24"/>
          <w:szCs w:val="24"/>
        </w:rPr>
        <w:t xml:space="preserve">and </w:t>
      </w:r>
      <w:r w:rsidRPr="00DB1D7C">
        <w:rPr>
          <w:rFonts w:cs="AdvTT3713a231"/>
          <w:color w:val="131313"/>
          <w:sz w:val="24"/>
          <w:szCs w:val="24"/>
        </w:rPr>
        <w:t xml:space="preserve">the absence of measurements of the material or structural properties of bone. </w:t>
      </w:r>
      <w:r w:rsidR="00256A58">
        <w:rPr>
          <w:rFonts w:cs="AdvTT3713a231"/>
          <w:color w:val="131313"/>
          <w:sz w:val="24"/>
          <w:szCs w:val="24"/>
        </w:rPr>
        <w:t xml:space="preserve"> </w:t>
      </w:r>
      <w:r w:rsidRPr="00DB1D7C">
        <w:rPr>
          <w:rFonts w:cs="AdvTT3713a231"/>
          <w:color w:val="131313"/>
          <w:sz w:val="24"/>
          <w:szCs w:val="24"/>
        </w:rPr>
        <w:t xml:space="preserve">A concern that treatment might invalidate the interpretation of FRAX is </w:t>
      </w:r>
      <w:r w:rsidRPr="00FD0159">
        <w:rPr>
          <w:rFonts w:cs="AdvTT3713a231"/>
          <w:color w:val="131313"/>
          <w:sz w:val="24"/>
          <w:szCs w:val="24"/>
        </w:rPr>
        <w:t xml:space="preserve">misplaced </w:t>
      </w:r>
      <w:r w:rsidR="00FD0159" w:rsidRPr="00FD0159">
        <w:rPr>
          <w:rFonts w:cs="AdvTT3713a231"/>
          <w:color w:val="131313"/>
          <w:sz w:val="24"/>
          <w:szCs w:val="24"/>
        </w:rPr>
        <w:t>[</w:t>
      </w:r>
      <w:r w:rsidR="00DB6399">
        <w:rPr>
          <w:rFonts w:cs="AdvTT3713a231"/>
          <w:color w:val="131313"/>
          <w:sz w:val="24"/>
          <w:szCs w:val="24"/>
        </w:rPr>
        <w:t>196</w:t>
      </w:r>
      <w:r w:rsidR="00760198" w:rsidRPr="00FD0159">
        <w:rPr>
          <w:rFonts w:cs="AdvTT3713a231"/>
          <w:color w:val="131313"/>
          <w:sz w:val="24"/>
          <w:szCs w:val="24"/>
        </w:rPr>
        <w:t>]</w:t>
      </w:r>
      <w:r w:rsidRPr="00FD0159">
        <w:rPr>
          <w:rFonts w:cs="AdvTT3713a231"/>
          <w:color w:val="131313"/>
          <w:sz w:val="24"/>
          <w:szCs w:val="24"/>
        </w:rPr>
        <w:t>.</w:t>
      </w:r>
    </w:p>
    <w:p w14:paraId="1132E7A4" w14:textId="77777777" w:rsidR="00E83DA8" w:rsidRPr="00DB1D7C" w:rsidRDefault="00E83DA8" w:rsidP="00EE7C4E">
      <w:pPr>
        <w:spacing w:line="276" w:lineRule="auto"/>
        <w:rPr>
          <w:rFonts w:cs="AdvTT3713a231"/>
          <w:color w:val="131313"/>
          <w:sz w:val="24"/>
          <w:szCs w:val="24"/>
        </w:rPr>
      </w:pPr>
      <w:r w:rsidRPr="00DB1D7C">
        <w:rPr>
          <w:rFonts w:cs="AdvTT3713a231"/>
          <w:color w:val="131313"/>
          <w:sz w:val="24"/>
          <w:szCs w:val="24"/>
        </w:rPr>
        <w:lastRenderedPageBreak/>
        <w:t>If FRAX is to be made more accurate by the inclusion of different degrees of exposure, then information is required not only on the risk of fracture associated with these exposures but also on their dependence on the other risk variables in FRAX and their independent effect on the death hazard. This demands the collection of new population cohorts that include such information as well as the other FRAX variables in sufficient numbers and with wide geographical representation.</w:t>
      </w:r>
    </w:p>
    <w:p w14:paraId="68ED4A1B" w14:textId="77777777" w:rsidR="00E83DA8" w:rsidRPr="00DB1D7C" w:rsidRDefault="00E83DA8" w:rsidP="00EE7C4E">
      <w:pPr>
        <w:spacing w:line="276" w:lineRule="auto"/>
        <w:rPr>
          <w:rFonts w:cs="AdvTT3713a231"/>
          <w:color w:val="131313"/>
          <w:sz w:val="24"/>
          <w:szCs w:val="24"/>
        </w:rPr>
      </w:pPr>
      <w:r w:rsidRPr="00DB1D7C">
        <w:rPr>
          <w:rFonts w:cs="AdvTT3713a231"/>
          <w:color w:val="131313"/>
          <w:sz w:val="24"/>
          <w:szCs w:val="24"/>
        </w:rPr>
        <w:t>In order to overcome some of these demands, relatively simple arithmetic procedures have been formulated which can be applied to conventional FRAX estimates of probabilities of hip fracture and a major fracture to adjust the probability assessment with knowledge of:</w:t>
      </w:r>
    </w:p>
    <w:p w14:paraId="7240CB3E" w14:textId="77419B47" w:rsidR="00E83DA8" w:rsidRPr="00FD0159" w:rsidRDefault="00E83DA8" w:rsidP="00EE7C4E">
      <w:pPr>
        <w:spacing w:after="0"/>
        <w:ind w:left="426"/>
        <w:rPr>
          <w:rFonts w:cs="AdvTT3713a231"/>
          <w:color w:val="131313"/>
          <w:sz w:val="24"/>
          <w:szCs w:val="24"/>
        </w:rPr>
      </w:pPr>
      <w:r w:rsidRPr="00DB1D7C">
        <w:rPr>
          <w:rFonts w:cs="AdvTT3713a231"/>
          <w:color w:val="131313"/>
          <w:sz w:val="24"/>
          <w:szCs w:val="24"/>
        </w:rPr>
        <w:t xml:space="preserve">High, </w:t>
      </w:r>
      <w:r w:rsidRPr="00FD0159">
        <w:rPr>
          <w:rFonts w:cs="AdvTT3713a231"/>
          <w:color w:val="131313"/>
          <w:sz w:val="24"/>
          <w:szCs w:val="24"/>
        </w:rPr>
        <w:t xml:space="preserve">moderate and low exposure to glucocorticoids </w:t>
      </w:r>
      <w:r w:rsidR="005F1C25" w:rsidRPr="00FD0159">
        <w:rPr>
          <w:rFonts w:cs="AdvTT3713a231"/>
          <w:color w:val="131313"/>
          <w:sz w:val="24"/>
          <w:szCs w:val="24"/>
        </w:rPr>
        <w:t>[20]</w:t>
      </w:r>
    </w:p>
    <w:p w14:paraId="3AC1F6C5" w14:textId="6FB9A350" w:rsidR="00E83DA8" w:rsidRPr="00FD0159" w:rsidRDefault="00E83DA8" w:rsidP="00EE7C4E">
      <w:pPr>
        <w:spacing w:after="0"/>
        <w:ind w:left="426"/>
        <w:rPr>
          <w:rFonts w:cs="AdvTT3713a231"/>
          <w:color w:val="131313"/>
          <w:sz w:val="24"/>
          <w:szCs w:val="24"/>
        </w:rPr>
      </w:pPr>
      <w:r w:rsidRPr="00FD0159">
        <w:rPr>
          <w:rFonts w:cs="AdvTT3713a231"/>
          <w:color w:val="131313"/>
          <w:sz w:val="24"/>
          <w:szCs w:val="24"/>
        </w:rPr>
        <w:t xml:space="preserve">Concurrent data on lumbar spine BMD </w:t>
      </w:r>
      <w:r w:rsidR="005F1C25" w:rsidRPr="00FD0159">
        <w:rPr>
          <w:rFonts w:ascii="Calibri" w:hAnsi="Calibri"/>
          <w:sz w:val="24"/>
          <w:szCs w:val="24"/>
        </w:rPr>
        <w:t>[21</w:t>
      </w:r>
      <w:r w:rsidR="00FD0159" w:rsidRPr="00FD0159">
        <w:rPr>
          <w:rFonts w:ascii="Calibri" w:hAnsi="Calibri"/>
          <w:sz w:val="24"/>
          <w:szCs w:val="24"/>
        </w:rPr>
        <w:t>, 22</w:t>
      </w:r>
      <w:r w:rsidR="005F1C25" w:rsidRPr="00FD0159">
        <w:rPr>
          <w:rFonts w:ascii="Calibri" w:hAnsi="Calibri"/>
          <w:sz w:val="24"/>
          <w:szCs w:val="24"/>
        </w:rPr>
        <w:t xml:space="preserve">] </w:t>
      </w:r>
    </w:p>
    <w:p w14:paraId="3E24B71D" w14:textId="1C68F2CC" w:rsidR="00E83DA8" w:rsidRPr="00FD0159" w:rsidRDefault="00E83DA8" w:rsidP="00EE7C4E">
      <w:pPr>
        <w:spacing w:after="0"/>
        <w:ind w:left="426"/>
        <w:rPr>
          <w:rFonts w:cs="AdvTT3713a231"/>
          <w:color w:val="131313"/>
          <w:sz w:val="24"/>
          <w:szCs w:val="24"/>
        </w:rPr>
      </w:pPr>
      <w:r w:rsidRPr="00FD0159">
        <w:rPr>
          <w:rFonts w:cs="AdvTT3713a231"/>
          <w:color w:val="131313"/>
          <w:sz w:val="24"/>
          <w:szCs w:val="24"/>
        </w:rPr>
        <w:t xml:space="preserve">Information on trabecular bone score (TBS) </w:t>
      </w:r>
      <w:r w:rsidR="00741ED4" w:rsidRPr="00FD0159">
        <w:rPr>
          <w:rFonts w:cs="AdvTT3713a231"/>
          <w:color w:val="131313"/>
          <w:sz w:val="24"/>
          <w:szCs w:val="24"/>
        </w:rPr>
        <w:t>23</w:t>
      </w:r>
      <w:r w:rsidR="00FD0159" w:rsidRPr="00FD0159">
        <w:rPr>
          <w:rFonts w:cs="AdvTT3713a231"/>
          <w:color w:val="131313"/>
          <w:sz w:val="24"/>
          <w:szCs w:val="24"/>
        </w:rPr>
        <w:t>-25</w:t>
      </w:r>
      <w:r w:rsidR="00741ED4" w:rsidRPr="00FD0159">
        <w:rPr>
          <w:rFonts w:cs="AdvTT3713a231"/>
          <w:color w:val="131313"/>
          <w:sz w:val="24"/>
          <w:szCs w:val="24"/>
        </w:rPr>
        <w:t>]</w:t>
      </w:r>
      <w:r w:rsidRPr="00FD0159">
        <w:rPr>
          <w:rFonts w:cs="AdvTT3713a231"/>
          <w:color w:val="131313"/>
          <w:sz w:val="24"/>
          <w:szCs w:val="24"/>
        </w:rPr>
        <w:t xml:space="preserve"> </w:t>
      </w:r>
    </w:p>
    <w:p w14:paraId="21919B52" w14:textId="0446A9E3" w:rsidR="00E83DA8" w:rsidRPr="00FD0159" w:rsidRDefault="00E83DA8" w:rsidP="00EE7C4E">
      <w:pPr>
        <w:spacing w:after="0"/>
        <w:ind w:left="426"/>
        <w:rPr>
          <w:rFonts w:cs="AdvTT3713a231"/>
          <w:color w:val="131313"/>
          <w:sz w:val="24"/>
          <w:szCs w:val="24"/>
        </w:rPr>
      </w:pPr>
      <w:r w:rsidRPr="00FD0159">
        <w:rPr>
          <w:rFonts w:cs="AdvTT3713a231"/>
          <w:color w:val="131313"/>
          <w:sz w:val="24"/>
          <w:szCs w:val="24"/>
        </w:rPr>
        <w:t xml:space="preserve">Hip axis length </w:t>
      </w:r>
      <w:r w:rsidR="00741ED4" w:rsidRPr="00FD0159">
        <w:rPr>
          <w:rFonts w:cs="AdvTT3713a231"/>
          <w:color w:val="131313"/>
          <w:sz w:val="24"/>
          <w:szCs w:val="24"/>
        </w:rPr>
        <w:t>[26]</w:t>
      </w:r>
    </w:p>
    <w:p w14:paraId="60A19204" w14:textId="63064A67" w:rsidR="009F2007" w:rsidRPr="00DB1D7C" w:rsidRDefault="009F2007" w:rsidP="00EE7C4E">
      <w:pPr>
        <w:spacing w:after="0"/>
        <w:ind w:left="426"/>
        <w:rPr>
          <w:rFonts w:cs="AdvTT3713a231"/>
          <w:color w:val="131313"/>
          <w:sz w:val="24"/>
          <w:szCs w:val="24"/>
        </w:rPr>
      </w:pPr>
      <w:r w:rsidRPr="00FD0159">
        <w:rPr>
          <w:rFonts w:cs="AdvTT3713a231"/>
          <w:color w:val="131313"/>
          <w:sz w:val="24"/>
          <w:szCs w:val="24"/>
        </w:rPr>
        <w:t xml:space="preserve">Falls history </w:t>
      </w:r>
      <w:r w:rsidR="00741ED4" w:rsidRPr="00FD0159">
        <w:rPr>
          <w:rFonts w:cs="AdvTT3713a231"/>
          <w:color w:val="131313"/>
          <w:sz w:val="24"/>
          <w:szCs w:val="24"/>
        </w:rPr>
        <w:t>[27]</w:t>
      </w:r>
    </w:p>
    <w:p w14:paraId="6A004CB6" w14:textId="77777777" w:rsidR="00E83DA8" w:rsidRPr="00DB1D7C" w:rsidRDefault="00E83DA8" w:rsidP="00E83DA8">
      <w:pPr>
        <w:spacing w:after="0"/>
        <w:rPr>
          <w:rFonts w:cs="AdvTT3713a231"/>
          <w:color w:val="131313"/>
          <w:sz w:val="24"/>
          <w:szCs w:val="24"/>
        </w:rPr>
      </w:pPr>
    </w:p>
    <w:p w14:paraId="288BDD9A" w14:textId="77777777" w:rsidR="00E83DA8" w:rsidRPr="00DB1D7C" w:rsidRDefault="00E83DA8" w:rsidP="00EE7C4E">
      <w:pPr>
        <w:spacing w:line="276" w:lineRule="auto"/>
        <w:rPr>
          <w:rFonts w:cs="AdvTT3713a231"/>
          <w:color w:val="131313"/>
          <w:sz w:val="24"/>
          <w:szCs w:val="24"/>
        </w:rPr>
      </w:pPr>
      <w:r w:rsidRPr="00DB1D7C">
        <w:rPr>
          <w:rFonts w:cs="AdvTT3713a231"/>
          <w:color w:val="131313"/>
          <w:sz w:val="24"/>
          <w:szCs w:val="24"/>
        </w:rPr>
        <w:t>Such analyses can inform the clinician how to temper clinical judgement on the existing output of the FRAX models.</w:t>
      </w:r>
    </w:p>
    <w:p w14:paraId="18C11D9C" w14:textId="16C92538" w:rsidR="00E83DA8" w:rsidRPr="00DB1D7C" w:rsidRDefault="00E83DA8" w:rsidP="00EE7C4E">
      <w:pPr>
        <w:spacing w:line="276" w:lineRule="auto"/>
        <w:rPr>
          <w:b/>
          <w:sz w:val="24"/>
          <w:szCs w:val="24"/>
        </w:rPr>
      </w:pPr>
      <w:r w:rsidRPr="00DB1D7C">
        <w:rPr>
          <w:rFonts w:cs="AdvTT3713a231"/>
          <w:color w:val="131313"/>
          <w:sz w:val="24"/>
          <w:szCs w:val="24"/>
        </w:rPr>
        <w:t>The most frequent concern, however, is the omission of falls as a risk variable in the FRAX model, particularly as this is included in other risk assessment tools. Indeed, a Task Force of the ISCD</w:t>
      </w:r>
      <w:r w:rsidRPr="00DB1D7C">
        <w:rPr>
          <w:sz w:val="24"/>
          <w:szCs w:val="24"/>
        </w:rPr>
        <w:t xml:space="preserve"> </w:t>
      </w:r>
      <w:r w:rsidRPr="00DB1D7C">
        <w:rPr>
          <w:rFonts w:cs="AdvTT3713a231"/>
          <w:color w:val="131313"/>
          <w:sz w:val="24"/>
          <w:szCs w:val="24"/>
        </w:rPr>
        <w:t xml:space="preserve">recommended that falls should be incorporated into FRAX </w:t>
      </w:r>
      <w:r w:rsidR="00BE3917" w:rsidRPr="00FD0159">
        <w:rPr>
          <w:rFonts w:cs="AdvTT3713a231"/>
          <w:color w:val="131313"/>
          <w:sz w:val="24"/>
          <w:szCs w:val="24"/>
        </w:rPr>
        <w:t>[27]</w:t>
      </w:r>
      <w:r w:rsidRPr="00FD0159">
        <w:rPr>
          <w:rFonts w:cs="AdvTT3713a231"/>
          <w:color w:val="131313"/>
          <w:sz w:val="24"/>
          <w:szCs w:val="24"/>
        </w:rPr>
        <w:t>.</w:t>
      </w:r>
      <w:r w:rsidRPr="00DB1D7C">
        <w:rPr>
          <w:rFonts w:cs="AdvTT3713a231"/>
          <w:color w:val="131313"/>
          <w:sz w:val="24"/>
          <w:szCs w:val="24"/>
        </w:rPr>
        <w:t xml:space="preserve">  </w:t>
      </w:r>
      <w:r w:rsidRPr="00DB1D7C">
        <w:rPr>
          <w:sz w:val="24"/>
          <w:szCs w:val="24"/>
        </w:rPr>
        <w:t xml:space="preserve">Whereas this view is a sound academic conclusion from the literature on falls risk, the incorporation into FRAX is problematic for several reasons. First, at the time of the release of FRAX, existing </w:t>
      </w:r>
      <w:r w:rsidR="00256A58">
        <w:rPr>
          <w:sz w:val="24"/>
          <w:szCs w:val="24"/>
        </w:rPr>
        <w:t xml:space="preserve">falls </w:t>
      </w:r>
      <w:r w:rsidRPr="00DB1D7C">
        <w:rPr>
          <w:sz w:val="24"/>
          <w:szCs w:val="24"/>
        </w:rPr>
        <w:t>data were not of adequate quality, including the heterogeneous construct of questions on falls.  Second, falls risk is inherently taken into account in the algorithm, though not as an input variable. Thus, the fracture probability given for any combination of risk</w:t>
      </w:r>
      <w:r w:rsidRPr="00DB1D7C">
        <w:rPr>
          <w:rFonts w:ascii="AdvTT3713a231" w:hAnsi="AdvTT3713a231" w:cs="AdvTT3713a231"/>
          <w:color w:val="131313"/>
          <w:sz w:val="24"/>
          <w:szCs w:val="24"/>
        </w:rPr>
        <w:t xml:space="preserve"> </w:t>
      </w:r>
      <w:r w:rsidRPr="00DB1D7C">
        <w:rPr>
          <w:sz w:val="24"/>
          <w:szCs w:val="24"/>
        </w:rPr>
        <w:t>factors assumes that the falls risk is that observed (but not documented) in the cohorts used to construct FRAX.  Third, the interrelationship of falls risk with the other FRAX variables has been inadequately explored on an international basis. Fourth, the relationship between the risk variable and mortality needs to be accounted for, but there are no data available.</w:t>
      </w:r>
      <w:r w:rsidRPr="00DB1D7C">
        <w:rPr>
          <w:b/>
          <w:sz w:val="24"/>
          <w:szCs w:val="24"/>
        </w:rPr>
        <w:t xml:space="preserve"> </w:t>
      </w:r>
    </w:p>
    <w:p w14:paraId="4399BA25" w14:textId="25DBE13B" w:rsidR="00E83DA8" w:rsidRPr="00DB1D7C" w:rsidRDefault="00E83DA8" w:rsidP="00EE7C4E">
      <w:pPr>
        <w:spacing w:line="276" w:lineRule="auto"/>
        <w:rPr>
          <w:b/>
          <w:sz w:val="24"/>
          <w:szCs w:val="24"/>
        </w:rPr>
      </w:pPr>
      <w:r w:rsidRPr="00DB1D7C">
        <w:rPr>
          <w:sz w:val="24"/>
          <w:szCs w:val="24"/>
        </w:rPr>
        <w:t xml:space="preserve">These technical problems aside, FRAX is intended to identify a risk that is amenable to a therapeutic intervention. In a single study, a post hoc analysis of a community-based intervention study with clodronate in elderly </w:t>
      </w:r>
      <w:r w:rsidRPr="00FD0159">
        <w:rPr>
          <w:sz w:val="24"/>
          <w:szCs w:val="24"/>
        </w:rPr>
        <w:t>women</w:t>
      </w:r>
      <w:r w:rsidR="00FD0159" w:rsidRPr="00FD0159">
        <w:rPr>
          <w:sz w:val="24"/>
          <w:szCs w:val="24"/>
        </w:rPr>
        <w:t xml:space="preserve"> </w:t>
      </w:r>
      <w:r w:rsidR="00CD5C1E" w:rsidRPr="00FD0159">
        <w:rPr>
          <w:sz w:val="24"/>
          <w:szCs w:val="24"/>
        </w:rPr>
        <w:t>[224]</w:t>
      </w:r>
      <w:r w:rsidRPr="00FD0159">
        <w:rPr>
          <w:sz w:val="24"/>
          <w:szCs w:val="24"/>
        </w:rPr>
        <w:t xml:space="preserve"> showed</w:t>
      </w:r>
      <w:r w:rsidRPr="00DB1D7C">
        <w:rPr>
          <w:sz w:val="24"/>
          <w:szCs w:val="24"/>
        </w:rPr>
        <w:t xml:space="preserve"> that fracture reduction was similar in women with or without recent multiple falls or in those with impaired ability in rising from a chair.  This finding suggests that falls or falls risk may identify a risk amenable to intervention. In contrast, in the phase III trial of risedronate, where hip fracture was the primary end point, hip fracture</w:t>
      </w:r>
      <w:r w:rsidRPr="00DB1D7C">
        <w:rPr>
          <w:rFonts w:ascii="AdvTT3713a231" w:hAnsi="AdvTT3713a231" w:cs="AdvTT3713a231"/>
          <w:color w:val="131313"/>
          <w:sz w:val="24"/>
          <w:szCs w:val="24"/>
        </w:rPr>
        <w:t xml:space="preserve"> </w:t>
      </w:r>
      <w:r w:rsidRPr="00DB1D7C">
        <w:rPr>
          <w:sz w:val="24"/>
          <w:szCs w:val="24"/>
        </w:rPr>
        <w:t xml:space="preserve">risk was not significantly decreased in </w:t>
      </w:r>
      <w:r w:rsidR="00BE2FB0">
        <w:rPr>
          <w:sz w:val="24"/>
          <w:szCs w:val="24"/>
        </w:rPr>
        <w:t>women</w:t>
      </w:r>
      <w:r w:rsidRPr="00DB1D7C">
        <w:rPr>
          <w:sz w:val="24"/>
          <w:szCs w:val="24"/>
        </w:rPr>
        <w:t xml:space="preserve"> over the age of 80 years, the majority of whom were purportedly selected on the basis of falls </w:t>
      </w:r>
      <w:r w:rsidRPr="00FD0159">
        <w:rPr>
          <w:sz w:val="24"/>
          <w:szCs w:val="24"/>
        </w:rPr>
        <w:t>risk</w:t>
      </w:r>
      <w:r w:rsidR="00CD5C1E" w:rsidRPr="00FD0159">
        <w:rPr>
          <w:sz w:val="24"/>
          <w:szCs w:val="24"/>
        </w:rPr>
        <w:t xml:space="preserve"> [225]</w:t>
      </w:r>
      <w:r w:rsidRPr="00FD0159">
        <w:rPr>
          <w:sz w:val="24"/>
          <w:szCs w:val="24"/>
        </w:rPr>
        <w:t>. Thus, falls</w:t>
      </w:r>
      <w:r w:rsidRPr="00DB1D7C">
        <w:rPr>
          <w:sz w:val="24"/>
          <w:szCs w:val="24"/>
        </w:rPr>
        <w:t xml:space="preserve"> as a risk variable does not </w:t>
      </w:r>
      <w:r w:rsidR="00CB2495">
        <w:rPr>
          <w:sz w:val="24"/>
          <w:szCs w:val="24"/>
        </w:rPr>
        <w:t xml:space="preserve">consistently </w:t>
      </w:r>
      <w:r w:rsidRPr="00DB1D7C">
        <w:rPr>
          <w:sz w:val="24"/>
          <w:szCs w:val="24"/>
        </w:rPr>
        <w:t xml:space="preserve">pass the test of reversibility of risk, a necessary feature of any risk variable used in </w:t>
      </w:r>
      <w:r w:rsidRPr="00FD0159">
        <w:rPr>
          <w:sz w:val="24"/>
          <w:szCs w:val="24"/>
        </w:rPr>
        <w:t xml:space="preserve">FRAX </w:t>
      </w:r>
      <w:r w:rsidR="00755086" w:rsidRPr="00FD0159">
        <w:rPr>
          <w:rFonts w:ascii="Calibri" w:hAnsi="Calibri"/>
          <w:sz w:val="24"/>
          <w:szCs w:val="24"/>
        </w:rPr>
        <w:t>[8</w:t>
      </w:r>
      <w:r w:rsidR="00FD0159" w:rsidRPr="00FD0159">
        <w:rPr>
          <w:rFonts w:ascii="Calibri" w:hAnsi="Calibri"/>
          <w:sz w:val="24"/>
          <w:szCs w:val="24"/>
        </w:rPr>
        <w:t>, 15]</w:t>
      </w:r>
      <w:r w:rsidRPr="00FD0159">
        <w:rPr>
          <w:sz w:val="24"/>
          <w:szCs w:val="24"/>
        </w:rPr>
        <w:t>. More</w:t>
      </w:r>
      <w:r w:rsidRPr="00DB1D7C">
        <w:rPr>
          <w:sz w:val="24"/>
          <w:szCs w:val="24"/>
        </w:rPr>
        <w:t xml:space="preserve"> recently, both FRAX and past falls were shown to be associated with falls on follow-up in elderly men. Whereas </w:t>
      </w:r>
      <w:r w:rsidRPr="00DB1D7C">
        <w:rPr>
          <w:sz w:val="24"/>
          <w:szCs w:val="24"/>
        </w:rPr>
        <w:lastRenderedPageBreak/>
        <w:t>past falls were a significant predictor of incident falls, even after adjustment for FRAX, the hazard ratio decreased markedly with increasing follow-</w:t>
      </w:r>
      <w:r w:rsidRPr="00FD0159">
        <w:rPr>
          <w:sz w:val="24"/>
          <w:szCs w:val="24"/>
        </w:rPr>
        <w:t xml:space="preserve">up time </w:t>
      </w:r>
      <w:r w:rsidR="00CD5C1E" w:rsidRPr="00FD0159">
        <w:rPr>
          <w:sz w:val="24"/>
          <w:szCs w:val="24"/>
        </w:rPr>
        <w:t>[226]</w:t>
      </w:r>
      <w:r w:rsidRPr="00FD0159">
        <w:rPr>
          <w:sz w:val="24"/>
          <w:szCs w:val="24"/>
        </w:rPr>
        <w:t xml:space="preserve"> and</w:t>
      </w:r>
      <w:r w:rsidRPr="00DB1D7C">
        <w:rPr>
          <w:sz w:val="24"/>
          <w:szCs w:val="24"/>
        </w:rPr>
        <w:t xml:space="preserve"> an analysis in the same cohort, only available as a meeting abstract, indicated the predictive value of falls for fracture also waned significantly with </w:t>
      </w:r>
      <w:r w:rsidRPr="00FD0159">
        <w:rPr>
          <w:sz w:val="24"/>
          <w:szCs w:val="24"/>
        </w:rPr>
        <w:t xml:space="preserve">time </w:t>
      </w:r>
      <w:r w:rsidR="00CD5C1E" w:rsidRPr="00FD0159">
        <w:rPr>
          <w:sz w:val="24"/>
          <w:szCs w:val="24"/>
        </w:rPr>
        <w:t>[227]</w:t>
      </w:r>
      <w:r w:rsidRPr="00FD0159">
        <w:rPr>
          <w:sz w:val="24"/>
          <w:szCs w:val="24"/>
        </w:rPr>
        <w:t>.</w:t>
      </w:r>
      <w:r w:rsidRPr="00DB1D7C">
        <w:rPr>
          <w:sz w:val="24"/>
          <w:szCs w:val="24"/>
        </w:rPr>
        <w:t xml:space="preserve">  If the phenomenon is replicated more generally, then this would call into question the utility of falls history in the long term (e.g. 10-year) assessment of fracture risk.  Thus a useful role of falls history in fracture risk assessment remains </w:t>
      </w:r>
      <w:r w:rsidRPr="000E74CB">
        <w:rPr>
          <w:i/>
          <w:sz w:val="24"/>
          <w:szCs w:val="24"/>
        </w:rPr>
        <w:t xml:space="preserve">sub </w:t>
      </w:r>
      <w:proofErr w:type="spellStart"/>
      <w:r w:rsidRPr="000E74CB">
        <w:rPr>
          <w:i/>
          <w:sz w:val="24"/>
          <w:szCs w:val="24"/>
        </w:rPr>
        <w:t>judice</w:t>
      </w:r>
      <w:proofErr w:type="spellEnd"/>
      <w:r w:rsidRPr="00DB1D7C">
        <w:rPr>
          <w:sz w:val="24"/>
          <w:szCs w:val="24"/>
        </w:rPr>
        <w:t xml:space="preserve">.  </w:t>
      </w:r>
    </w:p>
    <w:p w14:paraId="563E7EFE" w14:textId="77777777" w:rsidR="00E83DA8" w:rsidRPr="00DB1D7C" w:rsidRDefault="00E83DA8" w:rsidP="00EE7C4E">
      <w:pPr>
        <w:spacing w:after="120" w:line="276" w:lineRule="auto"/>
        <w:rPr>
          <w:rFonts w:ascii="Calibri" w:hAnsi="Calibri"/>
          <w:b/>
          <w:i/>
          <w:sz w:val="24"/>
          <w:szCs w:val="24"/>
        </w:rPr>
      </w:pPr>
    </w:p>
    <w:p w14:paraId="11AF9B22" w14:textId="77777777" w:rsidR="00573265" w:rsidRPr="00DB1D7C" w:rsidRDefault="00573265" w:rsidP="00EE7C4E">
      <w:pPr>
        <w:spacing w:line="276" w:lineRule="auto"/>
        <w:rPr>
          <w:i/>
          <w:sz w:val="24"/>
          <w:szCs w:val="24"/>
        </w:rPr>
      </w:pPr>
      <w:r w:rsidRPr="00DB1D7C">
        <w:rPr>
          <w:i/>
          <w:sz w:val="24"/>
          <w:szCs w:val="24"/>
        </w:rPr>
        <w:t>Reliance on computer access</w:t>
      </w:r>
    </w:p>
    <w:p w14:paraId="18DF2937" w14:textId="7F5C6547" w:rsidR="00573265" w:rsidRPr="00DB1D7C" w:rsidRDefault="00573265" w:rsidP="00EE7C4E">
      <w:pPr>
        <w:spacing w:line="276" w:lineRule="auto"/>
        <w:rPr>
          <w:sz w:val="24"/>
          <w:szCs w:val="24"/>
        </w:rPr>
      </w:pPr>
      <w:r w:rsidRPr="00DB1D7C">
        <w:rPr>
          <w:sz w:val="24"/>
          <w:szCs w:val="24"/>
        </w:rPr>
        <w:t xml:space="preserve">The vast majority of FRAX </w:t>
      </w:r>
      <w:r w:rsidR="00002798">
        <w:rPr>
          <w:sz w:val="24"/>
          <w:szCs w:val="24"/>
        </w:rPr>
        <w:t xml:space="preserve">calculations </w:t>
      </w:r>
      <w:r w:rsidRPr="00DB1D7C">
        <w:rPr>
          <w:sz w:val="24"/>
          <w:szCs w:val="24"/>
        </w:rPr>
        <w:t xml:space="preserve">are undertaken through the FRAX website so that there is a reliance on access to computers.  In this context a link from the FRAX website to a site that plots the result on a country specific chart allows easy interpretation of result according </w:t>
      </w:r>
      <w:r w:rsidR="00BE2FB0">
        <w:rPr>
          <w:sz w:val="24"/>
          <w:szCs w:val="24"/>
        </w:rPr>
        <w:t xml:space="preserve">to </w:t>
      </w:r>
      <w:r w:rsidRPr="00DB1D7C">
        <w:rPr>
          <w:sz w:val="24"/>
          <w:szCs w:val="24"/>
        </w:rPr>
        <w:t>the relevant guideline.  Such links are available for the models of Finland, Lebanon</w:t>
      </w:r>
      <w:r w:rsidR="00CB2495">
        <w:rPr>
          <w:sz w:val="24"/>
          <w:szCs w:val="24"/>
        </w:rPr>
        <w:t xml:space="preserve">, Romania </w:t>
      </w:r>
      <w:r w:rsidR="00CB2495" w:rsidRPr="00DB1D7C">
        <w:rPr>
          <w:sz w:val="24"/>
          <w:szCs w:val="24"/>
        </w:rPr>
        <w:t>and</w:t>
      </w:r>
      <w:r w:rsidRPr="00DB1D7C">
        <w:rPr>
          <w:sz w:val="24"/>
          <w:szCs w:val="24"/>
        </w:rPr>
        <w:t xml:space="preserve"> the UK. A recent audit from the UK indicated a high uptake of this </w:t>
      </w:r>
      <w:r w:rsidRPr="00FD0159">
        <w:rPr>
          <w:sz w:val="24"/>
          <w:szCs w:val="24"/>
        </w:rPr>
        <w:t xml:space="preserve">facility </w:t>
      </w:r>
      <w:r w:rsidR="00CD5C1E" w:rsidRPr="00FD0159">
        <w:rPr>
          <w:sz w:val="24"/>
          <w:szCs w:val="24"/>
        </w:rPr>
        <w:t>[22</w:t>
      </w:r>
      <w:r w:rsidR="00727840" w:rsidRPr="00FD0159">
        <w:rPr>
          <w:sz w:val="24"/>
          <w:szCs w:val="24"/>
        </w:rPr>
        <w:t>3</w:t>
      </w:r>
      <w:r w:rsidR="00CD5C1E" w:rsidRPr="00FD0159">
        <w:rPr>
          <w:sz w:val="24"/>
          <w:szCs w:val="24"/>
        </w:rPr>
        <w:t xml:space="preserve">] </w:t>
      </w:r>
      <w:r w:rsidRPr="00FD0159">
        <w:rPr>
          <w:sz w:val="24"/>
          <w:szCs w:val="24"/>
        </w:rPr>
        <w:t>and the</w:t>
      </w:r>
      <w:r w:rsidRPr="00DB1D7C">
        <w:rPr>
          <w:sz w:val="24"/>
          <w:szCs w:val="24"/>
        </w:rPr>
        <w:t xml:space="preserve"> approach could usefully be adopted in all countries for which a FRAX model and a guideline </w:t>
      </w:r>
      <w:r w:rsidR="00BE2FB0">
        <w:rPr>
          <w:sz w:val="24"/>
          <w:szCs w:val="24"/>
        </w:rPr>
        <w:t>are</w:t>
      </w:r>
      <w:r w:rsidRPr="00DB1D7C">
        <w:rPr>
          <w:sz w:val="24"/>
          <w:szCs w:val="24"/>
        </w:rPr>
        <w:t xml:space="preserve"> available. </w:t>
      </w:r>
    </w:p>
    <w:p w14:paraId="443CEFDB" w14:textId="1F8F6BED" w:rsidR="00573265" w:rsidRPr="00DB1D7C" w:rsidRDefault="00573265" w:rsidP="00EE7C4E">
      <w:pPr>
        <w:spacing w:line="276" w:lineRule="auto"/>
        <w:rPr>
          <w:sz w:val="24"/>
          <w:szCs w:val="24"/>
        </w:rPr>
      </w:pPr>
      <w:r w:rsidRPr="00DB1D7C">
        <w:rPr>
          <w:sz w:val="24"/>
          <w:szCs w:val="24"/>
        </w:rPr>
        <w:t>In countries with limited electronic access in primary care, downloadable country-specific charts are available through the FRAX we</w:t>
      </w:r>
      <w:r w:rsidR="00002798">
        <w:rPr>
          <w:sz w:val="24"/>
          <w:szCs w:val="24"/>
        </w:rPr>
        <w:t>b</w:t>
      </w:r>
      <w:r w:rsidRPr="00DB1D7C">
        <w:rPr>
          <w:sz w:val="24"/>
          <w:szCs w:val="24"/>
        </w:rPr>
        <w:t xml:space="preserve">site.  These provide a simplified assessment, relying on the number of clinical risk factors rather than on their independent weights. They are used in Belgium, Japan, Mexico, Poland and Russia The web site is not the sole portal for the calculation of fracture probabilities.  </w:t>
      </w:r>
      <w:r w:rsidR="00CB2495" w:rsidRPr="00CB2495">
        <w:rPr>
          <w:sz w:val="24"/>
          <w:szCs w:val="24"/>
        </w:rPr>
        <w:t>FRAX is also available in most BMD equipment</w:t>
      </w:r>
      <w:r w:rsidR="00BE2FB0">
        <w:rPr>
          <w:sz w:val="24"/>
          <w:szCs w:val="24"/>
        </w:rPr>
        <w:t xml:space="preserve"> that measures the femoral neck</w:t>
      </w:r>
      <w:r w:rsidR="00CB2495" w:rsidRPr="00CB2495">
        <w:rPr>
          <w:sz w:val="24"/>
          <w:szCs w:val="24"/>
        </w:rPr>
        <w:t xml:space="preserve">.  Versions for use on smartphones, tablets and computer driven versions that do not rely on internet connection are available through the International Osteoporosis Foundation.  </w:t>
      </w:r>
      <w:r w:rsidRPr="00DB1D7C">
        <w:rPr>
          <w:sz w:val="24"/>
          <w:szCs w:val="24"/>
        </w:rPr>
        <w:t xml:space="preserve"> </w:t>
      </w:r>
    </w:p>
    <w:p w14:paraId="20508D4B" w14:textId="77777777" w:rsidR="00263209" w:rsidRPr="00DB1D7C" w:rsidRDefault="00263209" w:rsidP="00EE7C4E">
      <w:pPr>
        <w:spacing w:line="276" w:lineRule="auto"/>
        <w:rPr>
          <w:sz w:val="24"/>
          <w:szCs w:val="24"/>
        </w:rPr>
      </w:pPr>
    </w:p>
    <w:p w14:paraId="74FB0D5B" w14:textId="77777777" w:rsidR="00744D36" w:rsidRPr="00DB1D7C" w:rsidRDefault="00744D36" w:rsidP="00EE7C4E">
      <w:pPr>
        <w:spacing w:line="276" w:lineRule="auto"/>
        <w:rPr>
          <w:rFonts w:ascii="Calibri" w:hAnsi="Calibri"/>
          <w:i/>
          <w:sz w:val="24"/>
          <w:szCs w:val="24"/>
        </w:rPr>
      </w:pPr>
      <w:r w:rsidRPr="00DB1D7C">
        <w:rPr>
          <w:rFonts w:ascii="Calibri" w:hAnsi="Calibri"/>
          <w:i/>
          <w:sz w:val="24"/>
          <w:szCs w:val="24"/>
        </w:rPr>
        <w:t>Not all countries have FRAX models</w:t>
      </w:r>
    </w:p>
    <w:p w14:paraId="5E3C6267" w14:textId="7B7C515F" w:rsidR="00744D36" w:rsidRPr="00DB1D7C" w:rsidRDefault="00744D36" w:rsidP="00EE7C4E">
      <w:pPr>
        <w:spacing w:line="276" w:lineRule="auto"/>
        <w:rPr>
          <w:sz w:val="24"/>
          <w:szCs w:val="24"/>
        </w:rPr>
      </w:pPr>
      <w:r w:rsidRPr="00DB1D7C">
        <w:rPr>
          <w:sz w:val="24"/>
          <w:szCs w:val="24"/>
        </w:rPr>
        <w:t>The creation of a FRAX model requires high quality (preferably national) data o</w:t>
      </w:r>
      <w:r w:rsidR="00C67F17" w:rsidRPr="00DB1D7C">
        <w:rPr>
          <w:sz w:val="24"/>
          <w:szCs w:val="24"/>
        </w:rPr>
        <w:t>n</w:t>
      </w:r>
      <w:r w:rsidRPr="00DB1D7C">
        <w:rPr>
          <w:sz w:val="24"/>
          <w:szCs w:val="24"/>
        </w:rPr>
        <w:t xml:space="preserve"> fracture risk and mortality.  At present, there are upwards of </w:t>
      </w:r>
      <w:r w:rsidR="00BE2FB0">
        <w:rPr>
          <w:sz w:val="24"/>
          <w:szCs w:val="24"/>
        </w:rPr>
        <w:t>6</w:t>
      </w:r>
      <w:r w:rsidRPr="00DB1D7C">
        <w:rPr>
          <w:sz w:val="24"/>
          <w:szCs w:val="24"/>
        </w:rPr>
        <w:t xml:space="preserve">0 models available but </w:t>
      </w:r>
      <w:r w:rsidR="00BE2FB0">
        <w:rPr>
          <w:sz w:val="24"/>
          <w:szCs w:val="24"/>
        </w:rPr>
        <w:t xml:space="preserve">this number </w:t>
      </w:r>
      <w:r w:rsidRPr="00DB1D7C">
        <w:rPr>
          <w:sz w:val="24"/>
          <w:szCs w:val="24"/>
        </w:rPr>
        <w:t>will increase at a rate that depends on the generation of new data.  Thus</w:t>
      </w:r>
      <w:r w:rsidR="000103CD" w:rsidRPr="00DB1D7C">
        <w:rPr>
          <w:sz w:val="24"/>
          <w:szCs w:val="24"/>
        </w:rPr>
        <w:t>,</w:t>
      </w:r>
      <w:r w:rsidRPr="00DB1D7C">
        <w:rPr>
          <w:sz w:val="24"/>
          <w:szCs w:val="24"/>
        </w:rPr>
        <w:t xml:space="preserve"> the options are to use a surrogate model from another country where the fracture risk is judged to be similar to the index country.  Indeed the UK model was used for several years in Poland before a Polish model became available.  At present, </w:t>
      </w:r>
      <w:r w:rsidRPr="00A64269">
        <w:rPr>
          <w:sz w:val="24"/>
          <w:szCs w:val="24"/>
        </w:rPr>
        <w:t xml:space="preserve">approximately </w:t>
      </w:r>
      <w:r w:rsidR="00CB2495">
        <w:rPr>
          <w:sz w:val="24"/>
          <w:szCs w:val="24"/>
        </w:rPr>
        <w:t>15-20</w:t>
      </w:r>
      <w:r w:rsidR="00E8657B" w:rsidRPr="00A64269">
        <w:rPr>
          <w:sz w:val="24"/>
          <w:szCs w:val="24"/>
        </w:rPr>
        <w:t xml:space="preserve"> </w:t>
      </w:r>
      <w:r w:rsidRPr="00A64269">
        <w:rPr>
          <w:sz w:val="24"/>
          <w:szCs w:val="24"/>
        </w:rPr>
        <w:t>% of</w:t>
      </w:r>
      <w:r w:rsidRPr="00DB1D7C">
        <w:rPr>
          <w:sz w:val="24"/>
          <w:szCs w:val="24"/>
        </w:rPr>
        <w:t xml:space="preserve"> FRAX visits to the UK web site arise from outside the UK.  In this regard, it may be recalled that the categorisation of risk will be very similar irrespective of the model </w:t>
      </w:r>
      <w:r w:rsidRPr="00DB6399">
        <w:rPr>
          <w:sz w:val="24"/>
          <w:szCs w:val="24"/>
        </w:rPr>
        <w:t xml:space="preserve">used </w:t>
      </w:r>
      <w:r w:rsidR="00F91F35" w:rsidRPr="00DB6399">
        <w:rPr>
          <w:sz w:val="24"/>
          <w:szCs w:val="24"/>
        </w:rPr>
        <w:t>[20</w:t>
      </w:r>
      <w:r w:rsidR="00DB6399" w:rsidRPr="00DB6399">
        <w:rPr>
          <w:sz w:val="24"/>
          <w:szCs w:val="24"/>
        </w:rPr>
        <w:t>9</w:t>
      </w:r>
      <w:r w:rsidR="00F91F35" w:rsidRPr="00DB6399">
        <w:rPr>
          <w:sz w:val="24"/>
          <w:szCs w:val="24"/>
        </w:rPr>
        <w:t>]</w:t>
      </w:r>
      <w:r w:rsidRPr="00DB6399">
        <w:rPr>
          <w:sz w:val="24"/>
          <w:szCs w:val="24"/>
        </w:rPr>
        <w:t>.</w:t>
      </w:r>
      <w:r w:rsidRPr="00FD0159">
        <w:rPr>
          <w:sz w:val="24"/>
          <w:szCs w:val="24"/>
        </w:rPr>
        <w:t xml:space="preserve">  A</w:t>
      </w:r>
      <w:r w:rsidRPr="00DB1D7C">
        <w:rPr>
          <w:sz w:val="24"/>
          <w:szCs w:val="24"/>
        </w:rPr>
        <w:t xml:space="preserve"> more satisfactory solution is to adopt a surrogate country but to incorporate the death hazard of the index country, as recommended by the International Society for Clinical </w:t>
      </w:r>
      <w:r w:rsidRPr="00FD0159">
        <w:rPr>
          <w:sz w:val="24"/>
          <w:szCs w:val="24"/>
        </w:rPr>
        <w:t xml:space="preserve">Densitometry </w:t>
      </w:r>
      <w:r w:rsidR="00B91CDF" w:rsidRPr="00FD0159">
        <w:rPr>
          <w:sz w:val="24"/>
          <w:szCs w:val="24"/>
        </w:rPr>
        <w:t>[228]</w:t>
      </w:r>
      <w:r w:rsidRPr="00FD0159">
        <w:rPr>
          <w:sz w:val="24"/>
          <w:szCs w:val="24"/>
        </w:rPr>
        <w:t>.</w:t>
      </w:r>
      <w:r w:rsidRPr="00DB1D7C">
        <w:rPr>
          <w:sz w:val="24"/>
          <w:szCs w:val="24"/>
        </w:rPr>
        <w:t xml:space="preserve">  This type of surrogate model is available for </w:t>
      </w:r>
      <w:r w:rsidR="00BE2FB0">
        <w:rPr>
          <w:sz w:val="24"/>
          <w:szCs w:val="24"/>
        </w:rPr>
        <w:t xml:space="preserve">Armenia, </w:t>
      </w:r>
      <w:r w:rsidRPr="00DB1D7C">
        <w:rPr>
          <w:sz w:val="24"/>
          <w:szCs w:val="24"/>
        </w:rPr>
        <w:t>India</w:t>
      </w:r>
      <w:r w:rsidR="00A64269">
        <w:rPr>
          <w:sz w:val="24"/>
          <w:szCs w:val="24"/>
        </w:rPr>
        <w:t>, Sri Lanka</w:t>
      </w:r>
      <w:r w:rsidRPr="00DB1D7C">
        <w:rPr>
          <w:sz w:val="24"/>
          <w:szCs w:val="24"/>
        </w:rPr>
        <w:t xml:space="preserve"> and Palestine.</w:t>
      </w:r>
    </w:p>
    <w:p w14:paraId="721D278A" w14:textId="77777777" w:rsidR="00260C45" w:rsidRPr="00DB1D7C" w:rsidRDefault="00260C45" w:rsidP="00EE7C4E">
      <w:pPr>
        <w:spacing w:line="276" w:lineRule="auto"/>
        <w:rPr>
          <w:sz w:val="24"/>
          <w:szCs w:val="24"/>
        </w:rPr>
      </w:pPr>
    </w:p>
    <w:p w14:paraId="2EC513B4" w14:textId="77777777" w:rsidR="00B61661" w:rsidRPr="00DB1D7C" w:rsidRDefault="00B61661" w:rsidP="00EE7C4E">
      <w:pPr>
        <w:spacing w:line="276" w:lineRule="auto"/>
        <w:rPr>
          <w:i/>
          <w:sz w:val="24"/>
          <w:szCs w:val="24"/>
        </w:rPr>
      </w:pPr>
      <w:r w:rsidRPr="00DB1D7C">
        <w:rPr>
          <w:i/>
          <w:sz w:val="24"/>
          <w:szCs w:val="24"/>
        </w:rPr>
        <w:t>Efficacy in patients selected without BMD</w:t>
      </w:r>
    </w:p>
    <w:p w14:paraId="43FEB97F" w14:textId="7B1F404E" w:rsidR="00B61661" w:rsidRPr="00DB1D7C" w:rsidRDefault="00B61661" w:rsidP="00EE7C4E">
      <w:pPr>
        <w:spacing w:line="276" w:lineRule="auto"/>
        <w:rPr>
          <w:sz w:val="24"/>
          <w:szCs w:val="24"/>
        </w:rPr>
      </w:pPr>
      <w:r w:rsidRPr="00DB1D7C">
        <w:rPr>
          <w:sz w:val="24"/>
          <w:szCs w:val="24"/>
        </w:rPr>
        <w:t xml:space="preserve">A concern that is raised with the NOGG guidelines is that treatment is offered to patients in whom BMD is unknown, since BMD is tested in a minority of </w:t>
      </w:r>
      <w:r w:rsidRPr="00FD0159">
        <w:rPr>
          <w:sz w:val="24"/>
          <w:szCs w:val="24"/>
        </w:rPr>
        <w:t xml:space="preserve">patients </w:t>
      </w:r>
      <w:r w:rsidR="008546A7" w:rsidRPr="00FD0159">
        <w:rPr>
          <w:rFonts w:ascii="Calibri" w:hAnsi="Calibri"/>
          <w:sz w:val="24"/>
          <w:szCs w:val="24"/>
        </w:rPr>
        <w:t>[32</w:t>
      </w:r>
      <w:r w:rsidR="00FD0159" w:rsidRPr="00FD0159">
        <w:rPr>
          <w:rFonts w:ascii="Calibri" w:hAnsi="Calibri"/>
          <w:sz w:val="24"/>
          <w:szCs w:val="24"/>
        </w:rPr>
        <w:t>, 173, 174,</w:t>
      </w:r>
      <w:r w:rsidR="00FD0159" w:rsidRPr="00FD0159">
        <w:rPr>
          <w:sz w:val="24"/>
          <w:szCs w:val="24"/>
        </w:rPr>
        <w:t xml:space="preserve"> </w:t>
      </w:r>
      <w:r w:rsidR="00FD0159" w:rsidRPr="00FD0159">
        <w:rPr>
          <w:rFonts w:ascii="Calibri" w:hAnsi="Calibri"/>
          <w:sz w:val="24"/>
          <w:szCs w:val="24"/>
        </w:rPr>
        <w:t>229]</w:t>
      </w:r>
      <w:r w:rsidRPr="00DB1D7C">
        <w:rPr>
          <w:sz w:val="24"/>
          <w:szCs w:val="24"/>
        </w:rPr>
        <w:t xml:space="preserve">.  For example, the SIGN guidance states “that the beneficial effects (of treatment) on fracture risk is restricted to patients with osteoporosis as defined by the presence of pre-existing vertebral fractures and or those with BMD values that lie within or close to the osteoporotic range.” The concern is misplaced in that the use of FRAX (without BMD) preferentially selects individuals with low </w:t>
      </w:r>
      <w:r w:rsidRPr="00FD0159">
        <w:rPr>
          <w:sz w:val="24"/>
          <w:szCs w:val="24"/>
        </w:rPr>
        <w:t xml:space="preserve">BMD </w:t>
      </w:r>
      <w:r w:rsidR="00FD0159" w:rsidRPr="00FD0159">
        <w:rPr>
          <w:sz w:val="24"/>
          <w:szCs w:val="24"/>
        </w:rPr>
        <w:t xml:space="preserve">[15, 142, </w:t>
      </w:r>
      <w:r w:rsidR="00B91CDF" w:rsidRPr="00FD0159">
        <w:rPr>
          <w:sz w:val="24"/>
          <w:szCs w:val="24"/>
        </w:rPr>
        <w:t>216</w:t>
      </w:r>
      <w:r w:rsidR="00FD0159" w:rsidRPr="00FD0159">
        <w:rPr>
          <w:sz w:val="24"/>
          <w:szCs w:val="24"/>
        </w:rPr>
        <w:t>,</w:t>
      </w:r>
      <w:r w:rsidR="00FD0159">
        <w:rPr>
          <w:sz w:val="24"/>
          <w:szCs w:val="24"/>
        </w:rPr>
        <w:t xml:space="preserve"> </w:t>
      </w:r>
      <w:r w:rsidR="00FD0159" w:rsidRPr="00FD0159">
        <w:rPr>
          <w:sz w:val="24"/>
          <w:szCs w:val="24"/>
        </w:rPr>
        <w:t>230</w:t>
      </w:r>
      <w:r w:rsidR="00B91CDF" w:rsidRPr="00FD0159">
        <w:rPr>
          <w:sz w:val="24"/>
          <w:szCs w:val="24"/>
        </w:rPr>
        <w:t>]</w:t>
      </w:r>
      <w:r w:rsidRPr="00FD0159">
        <w:rPr>
          <w:sz w:val="24"/>
          <w:szCs w:val="24"/>
        </w:rPr>
        <w:t xml:space="preserve">.  </w:t>
      </w:r>
    </w:p>
    <w:p w14:paraId="1E1F1FE5" w14:textId="248D0EDF" w:rsidR="00B61661" w:rsidRPr="00DB1D7C" w:rsidRDefault="00B61661" w:rsidP="00EE7C4E">
      <w:pPr>
        <w:spacing w:line="276" w:lineRule="auto"/>
        <w:rPr>
          <w:sz w:val="24"/>
          <w:szCs w:val="24"/>
        </w:rPr>
      </w:pPr>
      <w:r w:rsidRPr="00DB1D7C">
        <w:rPr>
          <w:sz w:val="24"/>
          <w:szCs w:val="24"/>
        </w:rPr>
        <w:t xml:space="preserve">For example, in a population sample of approximately 2000 older women (aged 75 years or more), those characterized at higher fracture probability (by a precursor of FRAX but not FRAX) without the inclusion of BMD had progressively lower mean femoral neck BMD values </w:t>
      </w:r>
      <w:r w:rsidRPr="00D70E13">
        <w:rPr>
          <w:sz w:val="24"/>
          <w:szCs w:val="24"/>
        </w:rPr>
        <w:t xml:space="preserve">(Figure </w:t>
      </w:r>
      <w:r w:rsidR="00A118CD" w:rsidRPr="00D70E13">
        <w:rPr>
          <w:sz w:val="24"/>
          <w:szCs w:val="24"/>
        </w:rPr>
        <w:t>2</w:t>
      </w:r>
      <w:r w:rsidR="00D70E13" w:rsidRPr="00D70E13">
        <w:rPr>
          <w:sz w:val="24"/>
          <w:szCs w:val="24"/>
        </w:rPr>
        <w:t>5</w:t>
      </w:r>
      <w:r w:rsidRPr="00D70E13">
        <w:rPr>
          <w:sz w:val="24"/>
          <w:szCs w:val="24"/>
        </w:rPr>
        <w:t>). In</w:t>
      </w:r>
      <w:r w:rsidRPr="00DB1D7C">
        <w:rPr>
          <w:sz w:val="24"/>
          <w:szCs w:val="24"/>
        </w:rPr>
        <w:t xml:space="preserve"> women above an arbitrary risk threshold (e.g. 30</w:t>
      </w:r>
      <w:r w:rsidR="00002798">
        <w:rPr>
          <w:sz w:val="24"/>
          <w:szCs w:val="24"/>
        </w:rPr>
        <w:t xml:space="preserve"> </w:t>
      </w:r>
      <w:r w:rsidRPr="00DB1D7C">
        <w:rPr>
          <w:sz w:val="24"/>
          <w:szCs w:val="24"/>
        </w:rPr>
        <w:t>% 10</w:t>
      </w:r>
      <w:r w:rsidR="00002798">
        <w:rPr>
          <w:sz w:val="24"/>
          <w:szCs w:val="24"/>
        </w:rPr>
        <w:t>-</w:t>
      </w:r>
      <w:r w:rsidRPr="00DB1D7C">
        <w:rPr>
          <w:sz w:val="24"/>
          <w:szCs w:val="24"/>
        </w:rPr>
        <w:t xml:space="preserve">year fracture probability), mean femoral neck BMD was approximately 1 SD lower than in women below the </w:t>
      </w:r>
      <w:r w:rsidRPr="00FD0159">
        <w:rPr>
          <w:sz w:val="24"/>
          <w:szCs w:val="24"/>
        </w:rPr>
        <w:t xml:space="preserve">threshold </w:t>
      </w:r>
      <w:r w:rsidR="008777D2" w:rsidRPr="00FD0159">
        <w:rPr>
          <w:sz w:val="24"/>
          <w:szCs w:val="24"/>
        </w:rPr>
        <w:t>[142</w:t>
      </w:r>
      <w:r w:rsidR="008777D2">
        <w:rPr>
          <w:sz w:val="24"/>
          <w:szCs w:val="24"/>
        </w:rPr>
        <w:t>]</w:t>
      </w:r>
      <w:r w:rsidRPr="00DB1D7C">
        <w:rPr>
          <w:sz w:val="24"/>
          <w:szCs w:val="24"/>
        </w:rPr>
        <w:t>.</w:t>
      </w:r>
    </w:p>
    <w:p w14:paraId="2B17571B" w14:textId="248D620E" w:rsidR="00B61661" w:rsidRPr="00DB1D7C" w:rsidRDefault="00B6422F" w:rsidP="00B61661">
      <w:pPr>
        <w:jc w:val="center"/>
      </w:pPr>
      <w:r>
        <w:rPr>
          <w:rFonts w:ascii="Times New Roman" w:eastAsia="MS Mincho" w:hAnsi="Times New Roman" w:cs="Times New Roman"/>
          <w:sz w:val="24"/>
          <w:szCs w:val="24"/>
          <w:lang w:eastAsia="ja-JP"/>
        </w:rPr>
        <w:pict w14:anchorId="1CDB93E2">
          <v:shape id="_x0000_i1026" type="#_x0000_t75" style="width:5in;height:207pt">
            <v:imagedata r:id="rId42" o:title="" croptop="7747f"/>
          </v:shape>
        </w:pict>
      </w:r>
    </w:p>
    <w:p w14:paraId="39756227" w14:textId="633B35CD" w:rsidR="00B61661" w:rsidRPr="00DB1D7C" w:rsidRDefault="00B61661" w:rsidP="00B61661">
      <w:pPr>
        <w:ind w:left="709" w:right="946"/>
        <w:rPr>
          <w:rFonts w:eastAsia="MS Mincho" w:cs="Times New Roman"/>
          <w:lang w:eastAsia="ja-JP"/>
        </w:rPr>
      </w:pPr>
      <w:r w:rsidRPr="00D70E13">
        <w:rPr>
          <w:rFonts w:eastAsia="MS Mincho" w:cs="Times New Roman"/>
          <w:b/>
          <w:bCs/>
          <w:lang w:eastAsia="ja-JP"/>
        </w:rPr>
        <w:t xml:space="preserve">Figure </w:t>
      </w:r>
      <w:r w:rsidR="00A118CD" w:rsidRPr="00D70E13">
        <w:rPr>
          <w:rFonts w:eastAsia="MS Mincho" w:cs="Times New Roman"/>
          <w:b/>
          <w:bCs/>
          <w:lang w:eastAsia="ja-JP"/>
        </w:rPr>
        <w:t>2</w:t>
      </w:r>
      <w:r w:rsidR="00D70E13" w:rsidRPr="00D70E13">
        <w:rPr>
          <w:rFonts w:eastAsia="MS Mincho" w:cs="Times New Roman"/>
          <w:b/>
          <w:bCs/>
          <w:lang w:eastAsia="ja-JP"/>
        </w:rPr>
        <w:t>5</w:t>
      </w:r>
      <w:r w:rsidRPr="00D70E13">
        <w:rPr>
          <w:rFonts w:eastAsia="MS Mincho" w:cs="Times New Roman"/>
          <w:b/>
          <w:bCs/>
          <w:lang w:eastAsia="ja-JP"/>
        </w:rPr>
        <w:t>.</w:t>
      </w:r>
      <w:r w:rsidRPr="00DB1D7C">
        <w:rPr>
          <w:rFonts w:eastAsia="MS Mincho" w:cs="Times New Roman"/>
          <w:b/>
          <w:bCs/>
          <w:lang w:eastAsia="ja-JP"/>
        </w:rPr>
        <w:t xml:space="preserve"> </w:t>
      </w:r>
      <w:r w:rsidRPr="00DB1D7C">
        <w:rPr>
          <w:rFonts w:eastAsia="MS Mincho" w:cs="Times New Roman"/>
          <w:lang w:eastAsia="ja-JP"/>
        </w:rPr>
        <w:t xml:space="preserve">  Mean BMD at the femoral neck (with 95</w:t>
      </w:r>
      <w:r w:rsidR="00E8657B">
        <w:rPr>
          <w:rFonts w:eastAsia="MS Mincho" w:cs="Times New Roman"/>
          <w:lang w:eastAsia="ja-JP"/>
        </w:rPr>
        <w:t xml:space="preserve"> </w:t>
      </w:r>
      <w:r w:rsidRPr="00DB1D7C">
        <w:rPr>
          <w:rFonts w:eastAsia="MS Mincho" w:cs="Times New Roman"/>
          <w:lang w:eastAsia="ja-JP"/>
        </w:rPr>
        <w:t>% confidence intervals) in randomly selected women aged 75 years or more according to their 10-year probability of a major fracture calculated without BMD</w:t>
      </w:r>
      <w:r w:rsidR="00FD0159">
        <w:rPr>
          <w:rFonts w:eastAsia="MS Mincho" w:cs="Times New Roman"/>
          <w:lang w:eastAsia="ja-JP"/>
        </w:rPr>
        <w:t>.</w:t>
      </w:r>
      <w:r w:rsidRPr="00DB1D7C">
        <w:rPr>
          <w:rFonts w:eastAsia="MS Mincho" w:cs="Times New Roman"/>
          <w:lang w:eastAsia="ja-JP"/>
        </w:rPr>
        <w:t xml:space="preserve"> </w:t>
      </w:r>
      <w:r w:rsidR="00FD0159">
        <w:rPr>
          <w:rFonts w:eastAsia="MS Mincho" w:cs="Times New Roman"/>
          <w:lang w:eastAsia="ja-JP"/>
        </w:rPr>
        <w:t xml:space="preserve"> </w:t>
      </w:r>
      <w:r w:rsidRPr="00DB1D7C">
        <w:rPr>
          <w:rFonts w:eastAsia="MS Mincho" w:cs="Times New Roman"/>
          <w:lang w:eastAsia="ja-JP"/>
        </w:rPr>
        <w:t xml:space="preserve">Figure derived from data </w:t>
      </w:r>
      <w:r w:rsidRPr="00FD0159">
        <w:rPr>
          <w:rFonts w:eastAsia="MS Mincho" w:cs="Times New Roman"/>
          <w:lang w:eastAsia="ja-JP"/>
        </w:rPr>
        <w:t xml:space="preserve">in </w:t>
      </w:r>
      <w:r w:rsidR="008777D2" w:rsidRPr="00FD0159">
        <w:rPr>
          <w:sz w:val="24"/>
          <w:szCs w:val="24"/>
        </w:rPr>
        <w:t>[142]</w:t>
      </w:r>
      <w:r w:rsidR="00FD0159" w:rsidRPr="00FD0159">
        <w:rPr>
          <w:sz w:val="24"/>
          <w:szCs w:val="24"/>
        </w:rPr>
        <w:t>.</w:t>
      </w:r>
    </w:p>
    <w:p w14:paraId="6743469C" w14:textId="4575C3F1" w:rsidR="00B61661" w:rsidRPr="00935BD2" w:rsidRDefault="00B61661" w:rsidP="00A42B72">
      <w:pPr>
        <w:spacing w:line="276" w:lineRule="auto"/>
        <w:rPr>
          <w:sz w:val="24"/>
          <w:szCs w:val="24"/>
        </w:rPr>
      </w:pPr>
      <w:r w:rsidRPr="00DB1D7C">
        <w:rPr>
          <w:sz w:val="24"/>
          <w:szCs w:val="24"/>
        </w:rPr>
        <w:t xml:space="preserve">Similar findings were reported in a large referral population from Manitoba, </w:t>
      </w:r>
      <w:r w:rsidRPr="00FD0159">
        <w:rPr>
          <w:sz w:val="24"/>
          <w:szCs w:val="24"/>
        </w:rPr>
        <w:t xml:space="preserve">Canada </w:t>
      </w:r>
      <w:r w:rsidR="00B91CDF" w:rsidRPr="00FD0159">
        <w:rPr>
          <w:sz w:val="24"/>
          <w:szCs w:val="24"/>
        </w:rPr>
        <w:t>[231]</w:t>
      </w:r>
      <w:r w:rsidRPr="00FD0159">
        <w:rPr>
          <w:sz w:val="24"/>
          <w:szCs w:val="24"/>
        </w:rPr>
        <w:t>.</w:t>
      </w:r>
      <w:r w:rsidRPr="00DB1D7C">
        <w:rPr>
          <w:sz w:val="24"/>
          <w:szCs w:val="24"/>
        </w:rPr>
        <w:t xml:space="preserve">  In this study, the minimum T-score (of measurements at the femoral neck, total hip, trochanter or lumbar spine) decreased progressively with increasing FRAX probability measured without BMD.  Thus, in patients categorised at low risk using FRAX without BMD (&lt;10</w:t>
      </w:r>
      <w:r w:rsidR="00002798">
        <w:rPr>
          <w:sz w:val="24"/>
          <w:szCs w:val="24"/>
        </w:rPr>
        <w:t xml:space="preserve"> </w:t>
      </w:r>
      <w:r w:rsidRPr="00DB1D7C">
        <w:rPr>
          <w:sz w:val="24"/>
          <w:szCs w:val="24"/>
        </w:rPr>
        <w:t>% probability of a major fracture), the mean minimum T-score was -1.5 SD.  In those at intermediate risk (10-</w:t>
      </w:r>
      <w:r w:rsidR="00BE2FB0">
        <w:rPr>
          <w:sz w:val="24"/>
          <w:szCs w:val="24"/>
        </w:rPr>
        <w:t>20</w:t>
      </w:r>
      <w:r w:rsidRPr="00DB1D7C">
        <w:rPr>
          <w:sz w:val="24"/>
          <w:szCs w:val="24"/>
        </w:rPr>
        <w:t xml:space="preserve">% probability), the T-score was -2.2 SD, and in those at high risk (&gt; 20% </w:t>
      </w:r>
      <w:r w:rsidRPr="00935BD2">
        <w:rPr>
          <w:sz w:val="24"/>
          <w:szCs w:val="24"/>
        </w:rPr>
        <w:t>probability) was -2.8 SD.</w:t>
      </w:r>
    </w:p>
    <w:p w14:paraId="4C2AFBD4" w14:textId="29484C2A" w:rsidR="00EE7C4E" w:rsidRPr="00935BD2" w:rsidRDefault="00B61661" w:rsidP="00A42B72">
      <w:pPr>
        <w:spacing w:line="276" w:lineRule="auto"/>
        <w:rPr>
          <w:sz w:val="24"/>
          <w:szCs w:val="24"/>
        </w:rPr>
      </w:pPr>
      <w:r w:rsidRPr="00935BD2">
        <w:rPr>
          <w:sz w:val="24"/>
          <w:szCs w:val="24"/>
        </w:rPr>
        <w:lastRenderedPageBreak/>
        <w:t xml:space="preserve">Low BMD values are also noted when the NOGG strategy is applied to a simulated UK population (Table </w:t>
      </w:r>
      <w:r w:rsidR="00FD5500" w:rsidRPr="00935BD2">
        <w:rPr>
          <w:sz w:val="24"/>
          <w:szCs w:val="24"/>
        </w:rPr>
        <w:t>17</w:t>
      </w:r>
      <w:r w:rsidRPr="00935BD2">
        <w:rPr>
          <w:sz w:val="24"/>
          <w:szCs w:val="24"/>
        </w:rPr>
        <w:t xml:space="preserve">). </w:t>
      </w:r>
    </w:p>
    <w:p w14:paraId="1AF8C3B6" w14:textId="280BDD5E" w:rsidR="00B61661" w:rsidRPr="00935BD2" w:rsidRDefault="00B61661" w:rsidP="00B61661">
      <w:pPr>
        <w:rPr>
          <w:sz w:val="24"/>
          <w:szCs w:val="24"/>
        </w:rPr>
      </w:pPr>
      <w:r w:rsidRPr="00935BD2">
        <w:rPr>
          <w:sz w:val="24"/>
          <w:szCs w:val="24"/>
        </w:rPr>
        <w:t xml:space="preserve"> </w:t>
      </w:r>
    </w:p>
    <w:p w14:paraId="5478EC51" w14:textId="51EAD3C9" w:rsidR="00B61661" w:rsidRPr="00DB1D7C" w:rsidRDefault="00B61661" w:rsidP="00B61661">
      <w:pPr>
        <w:rPr>
          <w:rFonts w:ascii="Calibri" w:hAnsi="Calibri"/>
        </w:rPr>
      </w:pPr>
      <w:r w:rsidRPr="00935BD2">
        <w:rPr>
          <w:rFonts w:ascii="Calibri" w:hAnsi="Calibri"/>
          <w:b/>
        </w:rPr>
        <w:t xml:space="preserve">Table </w:t>
      </w:r>
      <w:r w:rsidR="00FD5500" w:rsidRPr="00935BD2">
        <w:rPr>
          <w:rFonts w:ascii="Calibri" w:hAnsi="Calibri"/>
          <w:b/>
        </w:rPr>
        <w:t xml:space="preserve">17. </w:t>
      </w:r>
      <w:r w:rsidRPr="00935BD2">
        <w:rPr>
          <w:rFonts w:ascii="Calibri" w:hAnsi="Calibri"/>
        </w:rPr>
        <w:t xml:space="preserve"> NOGG strategy</w:t>
      </w:r>
      <w:r w:rsidRPr="00DB1D7C">
        <w:rPr>
          <w:rFonts w:ascii="Calibri" w:hAnsi="Calibri"/>
        </w:rPr>
        <w:t xml:space="preserve"> applied to women from without prior fracture, by age (/</w:t>
      </w:r>
      <w:r w:rsidRPr="00FD0159">
        <w:rPr>
          <w:rFonts w:ascii="Calibri" w:hAnsi="Calibri"/>
        </w:rPr>
        <w:t xml:space="preserve">1000) </w:t>
      </w:r>
      <w:r w:rsidR="00FB7217" w:rsidRPr="00FD0159">
        <w:rPr>
          <w:rFonts w:ascii="Calibri" w:hAnsi="Calibri"/>
        </w:rPr>
        <w:t>[144]</w:t>
      </w:r>
      <w:r w:rsidRPr="00FD0159">
        <w:rPr>
          <w:rFonts w:ascii="Calibri" w:hAnsi="Calibri"/>
        </w:rPr>
        <w:t xml:space="preserve"> with</w:t>
      </w:r>
      <w:r w:rsidRPr="00DB1D7C">
        <w:rPr>
          <w:rFonts w:ascii="Calibri" w:hAnsi="Calibri"/>
        </w:rPr>
        <w:t xml:space="preserve"> </w:t>
      </w:r>
      <w:r w:rsidRPr="00DB1D7C">
        <w:rPr>
          <w:rFonts w:ascii="Calibri" w:hAnsi="Calibri"/>
          <w:bCs/>
        </w:rPr>
        <w:t xml:space="preserve">kind permission from Springer </w:t>
      </w:r>
      <w:proofErr w:type="spellStart"/>
      <w:r w:rsidRPr="00DB1D7C">
        <w:rPr>
          <w:rFonts w:ascii="Calibri" w:hAnsi="Calibri"/>
          <w:bCs/>
        </w:rPr>
        <w:t>Science+Business</w:t>
      </w:r>
      <w:proofErr w:type="spellEnd"/>
      <w:r w:rsidRPr="00DB1D7C">
        <w:rPr>
          <w:rFonts w:ascii="Calibri" w:hAnsi="Calibri"/>
          <w:bCs/>
        </w:rPr>
        <w:t xml:space="preserve"> Media B.V.</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4"/>
        <w:gridCol w:w="1464"/>
        <w:gridCol w:w="1464"/>
        <w:gridCol w:w="1464"/>
        <w:gridCol w:w="1464"/>
        <w:gridCol w:w="1464"/>
      </w:tblGrid>
      <w:tr w:rsidR="00B61661" w:rsidRPr="00DB1D7C" w14:paraId="30E01F6D" w14:textId="77777777" w:rsidTr="00E83DA8">
        <w:tc>
          <w:tcPr>
            <w:tcW w:w="1464" w:type="dxa"/>
            <w:tcBorders>
              <w:top w:val="single" w:sz="4" w:space="0" w:color="auto"/>
              <w:bottom w:val="single" w:sz="4" w:space="0" w:color="auto"/>
            </w:tcBorders>
          </w:tcPr>
          <w:p w14:paraId="3E0EB90A" w14:textId="77777777" w:rsidR="00B61661" w:rsidRPr="00DB1D7C" w:rsidRDefault="00B61661" w:rsidP="00E83DA8">
            <w:pPr>
              <w:spacing w:after="160"/>
            </w:pPr>
            <w:r w:rsidRPr="00DB1D7C">
              <w:t>Age (years)</w:t>
            </w:r>
          </w:p>
        </w:tc>
        <w:tc>
          <w:tcPr>
            <w:tcW w:w="1464" w:type="dxa"/>
            <w:tcBorders>
              <w:top w:val="single" w:sz="4" w:space="0" w:color="auto"/>
              <w:bottom w:val="single" w:sz="4" w:space="0" w:color="auto"/>
            </w:tcBorders>
          </w:tcPr>
          <w:p w14:paraId="55DD97C3" w14:textId="77777777" w:rsidR="00B61661" w:rsidRPr="00DB1D7C" w:rsidRDefault="00B61661" w:rsidP="00E83DA8">
            <w:pPr>
              <w:spacing w:after="160"/>
            </w:pPr>
            <w:r w:rsidRPr="00DB1D7C">
              <w:t>Number scanned</w:t>
            </w:r>
          </w:p>
        </w:tc>
        <w:tc>
          <w:tcPr>
            <w:tcW w:w="1464" w:type="dxa"/>
            <w:tcBorders>
              <w:top w:val="single" w:sz="4" w:space="0" w:color="auto"/>
              <w:bottom w:val="single" w:sz="4" w:space="0" w:color="auto"/>
            </w:tcBorders>
          </w:tcPr>
          <w:p w14:paraId="3113F998" w14:textId="77777777" w:rsidR="00B61661" w:rsidRPr="00DB1D7C" w:rsidRDefault="00B61661" w:rsidP="00E83DA8">
            <w:pPr>
              <w:spacing w:after="160"/>
            </w:pPr>
            <w:r w:rsidRPr="00DB1D7C">
              <w:t>Number selected</w:t>
            </w:r>
          </w:p>
        </w:tc>
        <w:tc>
          <w:tcPr>
            <w:tcW w:w="1464" w:type="dxa"/>
            <w:tcBorders>
              <w:top w:val="single" w:sz="4" w:space="0" w:color="auto"/>
              <w:bottom w:val="single" w:sz="4" w:space="0" w:color="auto"/>
            </w:tcBorders>
          </w:tcPr>
          <w:p w14:paraId="665B0951" w14:textId="77777777" w:rsidR="00B61661" w:rsidRPr="00DB1D7C" w:rsidRDefault="00B61661" w:rsidP="00E83DA8">
            <w:pPr>
              <w:spacing w:after="160"/>
            </w:pPr>
            <w:r w:rsidRPr="00DB1D7C">
              <w:t>Expected hip fractures</w:t>
            </w:r>
          </w:p>
        </w:tc>
        <w:tc>
          <w:tcPr>
            <w:tcW w:w="1464" w:type="dxa"/>
            <w:tcBorders>
              <w:top w:val="single" w:sz="4" w:space="0" w:color="auto"/>
              <w:bottom w:val="single" w:sz="4" w:space="0" w:color="auto"/>
            </w:tcBorders>
          </w:tcPr>
          <w:p w14:paraId="4D81651B" w14:textId="77777777" w:rsidR="00B61661" w:rsidRPr="00DB1D7C" w:rsidRDefault="00B61661" w:rsidP="00E83DA8">
            <w:pPr>
              <w:spacing w:after="160"/>
            </w:pPr>
            <w:r w:rsidRPr="00DB1D7C">
              <w:t>Expected</w:t>
            </w:r>
            <w:r w:rsidRPr="00DB1D7C">
              <w:br/>
              <w:t>MOF</w:t>
            </w:r>
          </w:p>
        </w:tc>
        <w:tc>
          <w:tcPr>
            <w:tcW w:w="1464" w:type="dxa"/>
            <w:tcBorders>
              <w:top w:val="single" w:sz="4" w:space="0" w:color="auto"/>
              <w:bottom w:val="single" w:sz="4" w:space="0" w:color="auto"/>
            </w:tcBorders>
          </w:tcPr>
          <w:p w14:paraId="7810A03C" w14:textId="77777777" w:rsidR="00B61661" w:rsidRPr="00DB1D7C" w:rsidRDefault="00B61661" w:rsidP="00E83DA8">
            <w:pPr>
              <w:spacing w:after="160"/>
            </w:pPr>
            <w:r w:rsidRPr="00DB1D7C">
              <w:t xml:space="preserve">Mean FN </w:t>
            </w:r>
            <w:r w:rsidRPr="00DB1D7C">
              <w:br/>
              <w:t>T-score</w:t>
            </w:r>
          </w:p>
        </w:tc>
      </w:tr>
      <w:tr w:rsidR="00B61661" w:rsidRPr="00DB1D7C" w14:paraId="0DEAD921" w14:textId="77777777" w:rsidTr="00E83DA8">
        <w:tc>
          <w:tcPr>
            <w:tcW w:w="1464" w:type="dxa"/>
            <w:tcBorders>
              <w:top w:val="single" w:sz="4" w:space="0" w:color="auto"/>
            </w:tcBorders>
          </w:tcPr>
          <w:p w14:paraId="2122555E" w14:textId="77777777" w:rsidR="00B61661" w:rsidRPr="00DB1D7C" w:rsidRDefault="00B61661" w:rsidP="00E83DA8">
            <w:pPr>
              <w:spacing w:after="160"/>
            </w:pPr>
            <w:r w:rsidRPr="00DB1D7C">
              <w:t>50</w:t>
            </w:r>
          </w:p>
        </w:tc>
        <w:tc>
          <w:tcPr>
            <w:tcW w:w="1464" w:type="dxa"/>
            <w:tcBorders>
              <w:top w:val="single" w:sz="4" w:space="0" w:color="auto"/>
            </w:tcBorders>
          </w:tcPr>
          <w:p w14:paraId="3D31B68A" w14:textId="77777777" w:rsidR="00B61661" w:rsidRPr="00DB1D7C" w:rsidRDefault="00B61661" w:rsidP="00E83DA8">
            <w:pPr>
              <w:spacing w:after="160"/>
            </w:pPr>
            <w:r w:rsidRPr="00DB1D7C">
              <w:t>63</w:t>
            </w:r>
          </w:p>
        </w:tc>
        <w:tc>
          <w:tcPr>
            <w:tcW w:w="1464" w:type="dxa"/>
            <w:tcBorders>
              <w:top w:val="single" w:sz="4" w:space="0" w:color="auto"/>
            </w:tcBorders>
          </w:tcPr>
          <w:p w14:paraId="3734993C" w14:textId="77777777" w:rsidR="00B61661" w:rsidRPr="00DB1D7C" w:rsidRDefault="00B61661" w:rsidP="00E83DA8">
            <w:pPr>
              <w:spacing w:after="160"/>
            </w:pPr>
            <w:r w:rsidRPr="00DB1D7C">
              <w:t>22</w:t>
            </w:r>
          </w:p>
        </w:tc>
        <w:tc>
          <w:tcPr>
            <w:tcW w:w="1464" w:type="dxa"/>
            <w:tcBorders>
              <w:top w:val="single" w:sz="4" w:space="0" w:color="auto"/>
            </w:tcBorders>
          </w:tcPr>
          <w:p w14:paraId="77E7691C" w14:textId="77777777" w:rsidR="00B61661" w:rsidRPr="00DB1D7C" w:rsidRDefault="00B61661" w:rsidP="00E83DA8">
            <w:pPr>
              <w:spacing w:after="160"/>
            </w:pPr>
            <w:r w:rsidRPr="00DB1D7C">
              <w:t>2</w:t>
            </w:r>
          </w:p>
        </w:tc>
        <w:tc>
          <w:tcPr>
            <w:tcW w:w="1464" w:type="dxa"/>
            <w:tcBorders>
              <w:top w:val="single" w:sz="4" w:space="0" w:color="auto"/>
            </w:tcBorders>
          </w:tcPr>
          <w:p w14:paraId="03B860F8" w14:textId="77777777" w:rsidR="00B61661" w:rsidRPr="00DB1D7C" w:rsidRDefault="00B61661" w:rsidP="00E83DA8">
            <w:pPr>
              <w:spacing w:after="160"/>
            </w:pPr>
            <w:r w:rsidRPr="00DB1D7C">
              <w:t>52</w:t>
            </w:r>
          </w:p>
        </w:tc>
        <w:tc>
          <w:tcPr>
            <w:tcW w:w="1464" w:type="dxa"/>
            <w:tcBorders>
              <w:top w:val="single" w:sz="4" w:space="0" w:color="auto"/>
            </w:tcBorders>
          </w:tcPr>
          <w:p w14:paraId="536CBF11" w14:textId="77777777" w:rsidR="00B61661" w:rsidRPr="00DB1D7C" w:rsidRDefault="00B61661" w:rsidP="00E83DA8">
            <w:pPr>
              <w:spacing w:after="160"/>
            </w:pPr>
            <w:r w:rsidRPr="00DB1D7C">
              <w:t>-1.78</w:t>
            </w:r>
          </w:p>
        </w:tc>
      </w:tr>
      <w:tr w:rsidR="00B61661" w:rsidRPr="00DB1D7C" w14:paraId="22652134" w14:textId="77777777" w:rsidTr="00E83DA8">
        <w:tc>
          <w:tcPr>
            <w:tcW w:w="1464" w:type="dxa"/>
          </w:tcPr>
          <w:p w14:paraId="05987453" w14:textId="77777777" w:rsidR="00B61661" w:rsidRPr="00DB1D7C" w:rsidRDefault="00B61661" w:rsidP="00E83DA8">
            <w:pPr>
              <w:spacing w:after="160"/>
            </w:pPr>
            <w:r w:rsidRPr="00DB1D7C">
              <w:t>55</w:t>
            </w:r>
          </w:p>
        </w:tc>
        <w:tc>
          <w:tcPr>
            <w:tcW w:w="1464" w:type="dxa"/>
          </w:tcPr>
          <w:p w14:paraId="44B34382" w14:textId="77777777" w:rsidR="00B61661" w:rsidRPr="00DB1D7C" w:rsidRDefault="00B61661" w:rsidP="00E83DA8">
            <w:pPr>
              <w:spacing w:after="160"/>
            </w:pPr>
            <w:r w:rsidRPr="00DB1D7C">
              <w:t>48</w:t>
            </w:r>
          </w:p>
        </w:tc>
        <w:tc>
          <w:tcPr>
            <w:tcW w:w="1464" w:type="dxa"/>
          </w:tcPr>
          <w:p w14:paraId="2C31A446" w14:textId="77777777" w:rsidR="00B61661" w:rsidRPr="00DB1D7C" w:rsidRDefault="00B61661" w:rsidP="00E83DA8">
            <w:pPr>
              <w:spacing w:after="160"/>
            </w:pPr>
            <w:r w:rsidRPr="00DB1D7C">
              <w:t>16</w:t>
            </w:r>
          </w:p>
        </w:tc>
        <w:tc>
          <w:tcPr>
            <w:tcW w:w="1464" w:type="dxa"/>
          </w:tcPr>
          <w:p w14:paraId="0777E74D" w14:textId="77777777" w:rsidR="00B61661" w:rsidRPr="00DB1D7C" w:rsidRDefault="00B61661" w:rsidP="00E83DA8">
            <w:pPr>
              <w:spacing w:after="160"/>
            </w:pPr>
            <w:r w:rsidRPr="00DB1D7C">
              <w:t>2</w:t>
            </w:r>
          </w:p>
        </w:tc>
        <w:tc>
          <w:tcPr>
            <w:tcW w:w="1464" w:type="dxa"/>
          </w:tcPr>
          <w:p w14:paraId="1DF12E98" w14:textId="77777777" w:rsidR="00B61661" w:rsidRPr="00DB1D7C" w:rsidRDefault="00B61661" w:rsidP="00E83DA8">
            <w:pPr>
              <w:spacing w:after="160"/>
            </w:pPr>
            <w:r w:rsidRPr="00DB1D7C">
              <w:t>27</w:t>
            </w:r>
          </w:p>
        </w:tc>
        <w:tc>
          <w:tcPr>
            <w:tcW w:w="1464" w:type="dxa"/>
          </w:tcPr>
          <w:p w14:paraId="48954AD8" w14:textId="77777777" w:rsidR="00B61661" w:rsidRPr="00DB1D7C" w:rsidRDefault="00B61661" w:rsidP="00E83DA8">
            <w:pPr>
              <w:spacing w:after="160"/>
            </w:pPr>
            <w:r w:rsidRPr="00DB1D7C">
              <w:t>-2.28</w:t>
            </w:r>
          </w:p>
        </w:tc>
      </w:tr>
      <w:tr w:rsidR="00B61661" w:rsidRPr="00DB1D7C" w14:paraId="277BDBD0" w14:textId="77777777" w:rsidTr="00E83DA8">
        <w:tc>
          <w:tcPr>
            <w:tcW w:w="1464" w:type="dxa"/>
          </w:tcPr>
          <w:p w14:paraId="1CB78E7A" w14:textId="77777777" w:rsidR="00B61661" w:rsidRPr="00DB1D7C" w:rsidRDefault="00B61661" w:rsidP="00E83DA8">
            <w:pPr>
              <w:spacing w:after="160"/>
            </w:pPr>
            <w:r w:rsidRPr="00DB1D7C">
              <w:t>60</w:t>
            </w:r>
          </w:p>
        </w:tc>
        <w:tc>
          <w:tcPr>
            <w:tcW w:w="1464" w:type="dxa"/>
          </w:tcPr>
          <w:p w14:paraId="48E195D8" w14:textId="77777777" w:rsidR="00B61661" w:rsidRPr="00DB1D7C" w:rsidRDefault="00B61661" w:rsidP="00E83DA8">
            <w:pPr>
              <w:spacing w:after="160"/>
            </w:pPr>
            <w:r w:rsidRPr="00DB1D7C">
              <w:t>59</w:t>
            </w:r>
          </w:p>
        </w:tc>
        <w:tc>
          <w:tcPr>
            <w:tcW w:w="1464" w:type="dxa"/>
          </w:tcPr>
          <w:p w14:paraId="113E49CD" w14:textId="77777777" w:rsidR="00B61661" w:rsidRPr="00DB1D7C" w:rsidRDefault="00B61661" w:rsidP="00E83DA8">
            <w:pPr>
              <w:spacing w:after="160"/>
            </w:pPr>
            <w:r w:rsidRPr="00DB1D7C">
              <w:t>14</w:t>
            </w:r>
          </w:p>
        </w:tc>
        <w:tc>
          <w:tcPr>
            <w:tcW w:w="1464" w:type="dxa"/>
          </w:tcPr>
          <w:p w14:paraId="1DA1F825" w14:textId="77777777" w:rsidR="00B61661" w:rsidRPr="00DB1D7C" w:rsidRDefault="00B61661" w:rsidP="00E83DA8">
            <w:pPr>
              <w:spacing w:after="160"/>
            </w:pPr>
            <w:r w:rsidRPr="00DB1D7C">
              <w:t>2</w:t>
            </w:r>
          </w:p>
        </w:tc>
        <w:tc>
          <w:tcPr>
            <w:tcW w:w="1464" w:type="dxa"/>
          </w:tcPr>
          <w:p w14:paraId="69B95F88" w14:textId="77777777" w:rsidR="00B61661" w:rsidRPr="00DB1D7C" w:rsidRDefault="00B61661" w:rsidP="00E83DA8">
            <w:pPr>
              <w:spacing w:after="160"/>
            </w:pPr>
            <w:r w:rsidRPr="00DB1D7C">
              <w:t>17</w:t>
            </w:r>
          </w:p>
        </w:tc>
        <w:tc>
          <w:tcPr>
            <w:tcW w:w="1464" w:type="dxa"/>
          </w:tcPr>
          <w:p w14:paraId="0792D82D" w14:textId="77777777" w:rsidR="00B61661" w:rsidRPr="00DB1D7C" w:rsidRDefault="00B61661" w:rsidP="00E83DA8">
            <w:pPr>
              <w:spacing w:after="160"/>
            </w:pPr>
            <w:r w:rsidRPr="00DB1D7C">
              <w:t>-2.67</w:t>
            </w:r>
          </w:p>
        </w:tc>
      </w:tr>
      <w:tr w:rsidR="00B61661" w:rsidRPr="00DB1D7C" w14:paraId="344F2818" w14:textId="77777777" w:rsidTr="00E83DA8">
        <w:tc>
          <w:tcPr>
            <w:tcW w:w="1464" w:type="dxa"/>
          </w:tcPr>
          <w:p w14:paraId="55AC8D82" w14:textId="77777777" w:rsidR="00B61661" w:rsidRPr="00DB1D7C" w:rsidRDefault="00B61661" w:rsidP="00E83DA8">
            <w:pPr>
              <w:spacing w:after="160"/>
            </w:pPr>
            <w:r w:rsidRPr="00DB1D7C">
              <w:t>65</w:t>
            </w:r>
          </w:p>
        </w:tc>
        <w:tc>
          <w:tcPr>
            <w:tcW w:w="1464" w:type="dxa"/>
          </w:tcPr>
          <w:p w14:paraId="57BD90FD" w14:textId="77777777" w:rsidR="00B61661" w:rsidRPr="00DB1D7C" w:rsidRDefault="00B61661" w:rsidP="00E83DA8">
            <w:pPr>
              <w:spacing w:after="160"/>
            </w:pPr>
            <w:r w:rsidRPr="00DB1D7C">
              <w:t>131</w:t>
            </w:r>
          </w:p>
        </w:tc>
        <w:tc>
          <w:tcPr>
            <w:tcW w:w="1464" w:type="dxa"/>
          </w:tcPr>
          <w:p w14:paraId="1E700ECE" w14:textId="77777777" w:rsidR="00B61661" w:rsidRPr="00DB1D7C" w:rsidRDefault="00B61661" w:rsidP="00E83DA8">
            <w:pPr>
              <w:spacing w:after="160"/>
            </w:pPr>
            <w:r w:rsidRPr="00DB1D7C">
              <w:t>38</w:t>
            </w:r>
          </w:p>
        </w:tc>
        <w:tc>
          <w:tcPr>
            <w:tcW w:w="1464" w:type="dxa"/>
          </w:tcPr>
          <w:p w14:paraId="4BF4C6F5" w14:textId="77777777" w:rsidR="00B61661" w:rsidRPr="00DB1D7C" w:rsidRDefault="00B61661" w:rsidP="00E83DA8">
            <w:pPr>
              <w:spacing w:after="160"/>
            </w:pPr>
            <w:r w:rsidRPr="00DB1D7C">
              <w:t>7</w:t>
            </w:r>
          </w:p>
        </w:tc>
        <w:tc>
          <w:tcPr>
            <w:tcW w:w="1464" w:type="dxa"/>
          </w:tcPr>
          <w:p w14:paraId="088181D8" w14:textId="77777777" w:rsidR="00B61661" w:rsidRPr="00DB1D7C" w:rsidRDefault="00B61661" w:rsidP="00E83DA8">
            <w:pPr>
              <w:spacing w:after="160"/>
            </w:pPr>
            <w:r w:rsidRPr="00DB1D7C">
              <w:t>48</w:t>
            </w:r>
          </w:p>
        </w:tc>
        <w:tc>
          <w:tcPr>
            <w:tcW w:w="1464" w:type="dxa"/>
          </w:tcPr>
          <w:p w14:paraId="6B5EF0F7" w14:textId="77777777" w:rsidR="00B61661" w:rsidRPr="00DB1D7C" w:rsidRDefault="00B61661" w:rsidP="00E83DA8">
            <w:pPr>
              <w:spacing w:after="160"/>
            </w:pPr>
            <w:r w:rsidRPr="00DB1D7C">
              <w:t>-2.58</w:t>
            </w:r>
          </w:p>
        </w:tc>
      </w:tr>
      <w:tr w:rsidR="00B61661" w:rsidRPr="00DB1D7C" w14:paraId="7B61172F" w14:textId="77777777" w:rsidTr="00E83DA8">
        <w:tc>
          <w:tcPr>
            <w:tcW w:w="1464" w:type="dxa"/>
          </w:tcPr>
          <w:p w14:paraId="5BC1FE01" w14:textId="77777777" w:rsidR="00B61661" w:rsidRPr="00DB1D7C" w:rsidRDefault="00B61661" w:rsidP="00E83DA8">
            <w:pPr>
              <w:spacing w:after="160"/>
            </w:pPr>
            <w:r w:rsidRPr="00DB1D7C">
              <w:t>70</w:t>
            </w:r>
          </w:p>
        </w:tc>
        <w:tc>
          <w:tcPr>
            <w:tcW w:w="1464" w:type="dxa"/>
          </w:tcPr>
          <w:p w14:paraId="3C3A4BAC" w14:textId="77777777" w:rsidR="00B61661" w:rsidRPr="00DB1D7C" w:rsidRDefault="00B61661" w:rsidP="00E83DA8">
            <w:pPr>
              <w:spacing w:after="160"/>
            </w:pPr>
            <w:r w:rsidRPr="00DB1D7C">
              <w:t>140</w:t>
            </w:r>
          </w:p>
        </w:tc>
        <w:tc>
          <w:tcPr>
            <w:tcW w:w="1464" w:type="dxa"/>
          </w:tcPr>
          <w:p w14:paraId="2375E120" w14:textId="77777777" w:rsidR="00B61661" w:rsidRPr="00DB1D7C" w:rsidRDefault="00B61661" w:rsidP="00E83DA8">
            <w:pPr>
              <w:spacing w:after="160"/>
            </w:pPr>
            <w:r w:rsidRPr="00DB1D7C">
              <w:t>29</w:t>
            </w:r>
          </w:p>
        </w:tc>
        <w:tc>
          <w:tcPr>
            <w:tcW w:w="1464" w:type="dxa"/>
          </w:tcPr>
          <w:p w14:paraId="7C4A41B8" w14:textId="77777777" w:rsidR="00B61661" w:rsidRPr="00DB1D7C" w:rsidRDefault="00B61661" w:rsidP="00E83DA8">
            <w:pPr>
              <w:spacing w:after="160"/>
            </w:pPr>
            <w:r w:rsidRPr="00DB1D7C">
              <w:t>8</w:t>
            </w:r>
          </w:p>
        </w:tc>
        <w:tc>
          <w:tcPr>
            <w:tcW w:w="1464" w:type="dxa"/>
          </w:tcPr>
          <w:p w14:paraId="47C8196B" w14:textId="77777777" w:rsidR="00B61661" w:rsidRPr="00DB1D7C" w:rsidRDefault="00B61661" w:rsidP="00E83DA8">
            <w:pPr>
              <w:spacing w:after="160"/>
            </w:pPr>
            <w:r w:rsidRPr="00DB1D7C">
              <w:t>38</w:t>
            </w:r>
          </w:p>
        </w:tc>
        <w:tc>
          <w:tcPr>
            <w:tcW w:w="1464" w:type="dxa"/>
          </w:tcPr>
          <w:p w14:paraId="6283F529" w14:textId="77777777" w:rsidR="00B61661" w:rsidRPr="00DB1D7C" w:rsidRDefault="00B61661" w:rsidP="00E83DA8">
            <w:pPr>
              <w:spacing w:after="160"/>
            </w:pPr>
            <w:r w:rsidRPr="00DB1D7C">
              <w:t>-2.91</w:t>
            </w:r>
          </w:p>
        </w:tc>
      </w:tr>
      <w:tr w:rsidR="00B61661" w:rsidRPr="00DB1D7C" w14:paraId="7060DBAA" w14:textId="77777777" w:rsidTr="00E83DA8">
        <w:tc>
          <w:tcPr>
            <w:tcW w:w="1464" w:type="dxa"/>
          </w:tcPr>
          <w:p w14:paraId="56C3587D" w14:textId="77777777" w:rsidR="00B61661" w:rsidRPr="00DB1D7C" w:rsidRDefault="00B61661" w:rsidP="00E83DA8">
            <w:pPr>
              <w:spacing w:after="160"/>
            </w:pPr>
            <w:r w:rsidRPr="00DB1D7C">
              <w:t>75</w:t>
            </w:r>
          </w:p>
        </w:tc>
        <w:tc>
          <w:tcPr>
            <w:tcW w:w="1464" w:type="dxa"/>
          </w:tcPr>
          <w:p w14:paraId="1F269B57" w14:textId="77777777" w:rsidR="00B61661" w:rsidRPr="00DB1D7C" w:rsidRDefault="00B61661" w:rsidP="00E83DA8">
            <w:pPr>
              <w:spacing w:after="160"/>
            </w:pPr>
            <w:r w:rsidRPr="00DB1D7C">
              <w:t>89</w:t>
            </w:r>
          </w:p>
        </w:tc>
        <w:tc>
          <w:tcPr>
            <w:tcW w:w="1464" w:type="dxa"/>
          </w:tcPr>
          <w:p w14:paraId="2722099C" w14:textId="77777777" w:rsidR="00B61661" w:rsidRPr="00DB1D7C" w:rsidRDefault="00B61661" w:rsidP="00E83DA8">
            <w:pPr>
              <w:spacing w:after="160"/>
            </w:pPr>
            <w:r w:rsidRPr="00DB1D7C">
              <w:t>18</w:t>
            </w:r>
          </w:p>
        </w:tc>
        <w:tc>
          <w:tcPr>
            <w:tcW w:w="1464" w:type="dxa"/>
          </w:tcPr>
          <w:p w14:paraId="5FD77791" w14:textId="77777777" w:rsidR="00B61661" w:rsidRPr="00DB1D7C" w:rsidRDefault="00B61661" w:rsidP="00E83DA8">
            <w:pPr>
              <w:spacing w:after="160"/>
            </w:pPr>
            <w:r w:rsidRPr="00DB1D7C">
              <w:t>6</w:t>
            </w:r>
          </w:p>
        </w:tc>
        <w:tc>
          <w:tcPr>
            <w:tcW w:w="1464" w:type="dxa"/>
          </w:tcPr>
          <w:p w14:paraId="6812E3F8" w14:textId="77777777" w:rsidR="00B61661" w:rsidRPr="00DB1D7C" w:rsidRDefault="00B61661" w:rsidP="00E83DA8">
            <w:pPr>
              <w:spacing w:after="160"/>
            </w:pPr>
            <w:r w:rsidRPr="00DB1D7C">
              <w:t>23</w:t>
            </w:r>
          </w:p>
        </w:tc>
        <w:tc>
          <w:tcPr>
            <w:tcW w:w="1464" w:type="dxa"/>
          </w:tcPr>
          <w:p w14:paraId="37C08952" w14:textId="77777777" w:rsidR="00B61661" w:rsidRPr="00DB1D7C" w:rsidRDefault="00B61661" w:rsidP="00E83DA8">
            <w:pPr>
              <w:spacing w:after="160"/>
            </w:pPr>
            <w:r w:rsidRPr="00DB1D7C">
              <w:t>-3.35</w:t>
            </w:r>
          </w:p>
        </w:tc>
      </w:tr>
      <w:tr w:rsidR="00B61661" w:rsidRPr="00DB1D7C" w14:paraId="21FB58D3" w14:textId="77777777" w:rsidTr="00E83DA8">
        <w:tc>
          <w:tcPr>
            <w:tcW w:w="1464" w:type="dxa"/>
          </w:tcPr>
          <w:p w14:paraId="4ED7F088" w14:textId="77777777" w:rsidR="00B61661" w:rsidRPr="00DB1D7C" w:rsidRDefault="00B61661" w:rsidP="00E83DA8">
            <w:pPr>
              <w:spacing w:after="160"/>
            </w:pPr>
            <w:r w:rsidRPr="00DB1D7C">
              <w:t>80</w:t>
            </w:r>
          </w:p>
        </w:tc>
        <w:tc>
          <w:tcPr>
            <w:tcW w:w="1464" w:type="dxa"/>
          </w:tcPr>
          <w:p w14:paraId="4D338146" w14:textId="77777777" w:rsidR="00B61661" w:rsidRPr="00DB1D7C" w:rsidRDefault="00B61661" w:rsidP="00E83DA8">
            <w:pPr>
              <w:spacing w:after="160"/>
            </w:pPr>
            <w:r w:rsidRPr="00DB1D7C">
              <w:t>69</w:t>
            </w:r>
          </w:p>
        </w:tc>
        <w:tc>
          <w:tcPr>
            <w:tcW w:w="1464" w:type="dxa"/>
          </w:tcPr>
          <w:p w14:paraId="4BF33B89" w14:textId="77777777" w:rsidR="00B61661" w:rsidRPr="00DB1D7C" w:rsidRDefault="00B61661" w:rsidP="00E83DA8">
            <w:pPr>
              <w:spacing w:after="160"/>
            </w:pPr>
            <w:r w:rsidRPr="00DB1D7C">
              <w:t>15</w:t>
            </w:r>
          </w:p>
        </w:tc>
        <w:tc>
          <w:tcPr>
            <w:tcW w:w="1464" w:type="dxa"/>
          </w:tcPr>
          <w:p w14:paraId="4D3FE031" w14:textId="77777777" w:rsidR="00B61661" w:rsidRPr="00DB1D7C" w:rsidRDefault="00B61661" w:rsidP="00E83DA8">
            <w:pPr>
              <w:spacing w:after="160"/>
            </w:pPr>
            <w:r w:rsidRPr="00DB1D7C">
              <w:t>6</w:t>
            </w:r>
          </w:p>
        </w:tc>
        <w:tc>
          <w:tcPr>
            <w:tcW w:w="1464" w:type="dxa"/>
          </w:tcPr>
          <w:p w14:paraId="2688A772" w14:textId="77777777" w:rsidR="00B61661" w:rsidRPr="00DB1D7C" w:rsidRDefault="00B61661" w:rsidP="00E83DA8">
            <w:pPr>
              <w:spacing w:after="160"/>
            </w:pPr>
            <w:r w:rsidRPr="00DB1D7C">
              <w:t>16</w:t>
            </w:r>
          </w:p>
        </w:tc>
        <w:tc>
          <w:tcPr>
            <w:tcW w:w="1464" w:type="dxa"/>
          </w:tcPr>
          <w:p w14:paraId="638C8C9D" w14:textId="77777777" w:rsidR="00B61661" w:rsidRPr="00DB1D7C" w:rsidRDefault="00B61661" w:rsidP="00E83DA8">
            <w:pPr>
              <w:spacing w:after="160"/>
            </w:pPr>
            <w:r w:rsidRPr="00DB1D7C">
              <w:t>-3.60</w:t>
            </w:r>
          </w:p>
        </w:tc>
      </w:tr>
      <w:tr w:rsidR="00B61661" w:rsidRPr="00DB1D7C" w14:paraId="5C78904D" w14:textId="77777777" w:rsidTr="00E83DA8">
        <w:tc>
          <w:tcPr>
            <w:tcW w:w="1464" w:type="dxa"/>
          </w:tcPr>
          <w:p w14:paraId="428B5ECF" w14:textId="77777777" w:rsidR="00B61661" w:rsidRPr="00DB1D7C" w:rsidRDefault="00B61661" w:rsidP="00E83DA8">
            <w:pPr>
              <w:spacing w:after="160"/>
            </w:pPr>
            <w:r w:rsidRPr="00DB1D7C">
              <w:t>85</w:t>
            </w:r>
          </w:p>
        </w:tc>
        <w:tc>
          <w:tcPr>
            <w:tcW w:w="1464" w:type="dxa"/>
          </w:tcPr>
          <w:p w14:paraId="77C101F7" w14:textId="77777777" w:rsidR="00B61661" w:rsidRPr="00DB1D7C" w:rsidRDefault="00B61661" w:rsidP="00E83DA8">
            <w:pPr>
              <w:spacing w:after="160"/>
            </w:pPr>
            <w:r w:rsidRPr="00DB1D7C">
              <w:t>50</w:t>
            </w:r>
          </w:p>
        </w:tc>
        <w:tc>
          <w:tcPr>
            <w:tcW w:w="1464" w:type="dxa"/>
          </w:tcPr>
          <w:p w14:paraId="4275479B" w14:textId="77777777" w:rsidR="00B61661" w:rsidRPr="00DB1D7C" w:rsidRDefault="00B61661" w:rsidP="00E83DA8">
            <w:pPr>
              <w:spacing w:after="160"/>
            </w:pPr>
            <w:r w:rsidRPr="00DB1D7C">
              <w:t>15</w:t>
            </w:r>
          </w:p>
        </w:tc>
        <w:tc>
          <w:tcPr>
            <w:tcW w:w="1464" w:type="dxa"/>
          </w:tcPr>
          <w:p w14:paraId="2848EE49" w14:textId="77777777" w:rsidR="00B61661" w:rsidRPr="00DB1D7C" w:rsidRDefault="00B61661" w:rsidP="00E83DA8">
            <w:pPr>
              <w:spacing w:after="160"/>
            </w:pPr>
            <w:r w:rsidRPr="00DB1D7C">
              <w:t>7</w:t>
            </w:r>
          </w:p>
        </w:tc>
        <w:tc>
          <w:tcPr>
            <w:tcW w:w="1464" w:type="dxa"/>
          </w:tcPr>
          <w:p w14:paraId="10EA2C5B" w14:textId="77777777" w:rsidR="00B61661" w:rsidRPr="00DB1D7C" w:rsidRDefault="00B61661" w:rsidP="00E83DA8">
            <w:pPr>
              <w:spacing w:after="160"/>
            </w:pPr>
            <w:r w:rsidRPr="00DB1D7C">
              <w:t>20</w:t>
            </w:r>
          </w:p>
        </w:tc>
        <w:tc>
          <w:tcPr>
            <w:tcW w:w="1464" w:type="dxa"/>
          </w:tcPr>
          <w:p w14:paraId="02B45DA1" w14:textId="77777777" w:rsidR="00B61661" w:rsidRPr="00DB1D7C" w:rsidRDefault="00B61661" w:rsidP="00E83DA8">
            <w:pPr>
              <w:spacing w:after="160"/>
            </w:pPr>
            <w:r w:rsidRPr="00DB1D7C">
              <w:t>-3.66</w:t>
            </w:r>
          </w:p>
        </w:tc>
      </w:tr>
      <w:tr w:rsidR="00B61661" w:rsidRPr="00DB1D7C" w14:paraId="780E5AF0" w14:textId="77777777" w:rsidTr="00E83DA8">
        <w:tc>
          <w:tcPr>
            <w:tcW w:w="1464" w:type="dxa"/>
          </w:tcPr>
          <w:p w14:paraId="1844B743" w14:textId="77777777" w:rsidR="00B61661" w:rsidRPr="00DB1D7C" w:rsidRDefault="00B61661" w:rsidP="00E83DA8">
            <w:pPr>
              <w:spacing w:after="160"/>
            </w:pPr>
          </w:p>
        </w:tc>
        <w:tc>
          <w:tcPr>
            <w:tcW w:w="1464" w:type="dxa"/>
          </w:tcPr>
          <w:p w14:paraId="1F37554A" w14:textId="77777777" w:rsidR="00B61661" w:rsidRPr="00DB1D7C" w:rsidRDefault="00B61661" w:rsidP="00E83DA8">
            <w:pPr>
              <w:spacing w:after="160"/>
            </w:pPr>
          </w:p>
        </w:tc>
        <w:tc>
          <w:tcPr>
            <w:tcW w:w="1464" w:type="dxa"/>
          </w:tcPr>
          <w:p w14:paraId="28CFCA75" w14:textId="77777777" w:rsidR="00B61661" w:rsidRPr="00DB1D7C" w:rsidRDefault="00B61661" w:rsidP="00E83DA8">
            <w:pPr>
              <w:spacing w:after="160"/>
            </w:pPr>
          </w:p>
        </w:tc>
        <w:tc>
          <w:tcPr>
            <w:tcW w:w="1464" w:type="dxa"/>
          </w:tcPr>
          <w:p w14:paraId="4696A46C" w14:textId="77777777" w:rsidR="00B61661" w:rsidRPr="00DB1D7C" w:rsidRDefault="00B61661" w:rsidP="00E83DA8">
            <w:pPr>
              <w:spacing w:after="160"/>
            </w:pPr>
            <w:r w:rsidRPr="00DB1D7C">
              <w:fldChar w:fldCharType="begin"/>
            </w:r>
            <w:r w:rsidRPr="00DB1D7C">
              <w:instrText xml:space="preserve"> =SUM(ABOVE) </w:instrText>
            </w:r>
            <w:r w:rsidRPr="00DB1D7C">
              <w:fldChar w:fldCharType="separate"/>
            </w:r>
            <w:r w:rsidRPr="00DB1D7C">
              <w:t>40</w:t>
            </w:r>
            <w:r w:rsidRPr="00DB1D7C">
              <w:fldChar w:fldCharType="end"/>
            </w:r>
          </w:p>
        </w:tc>
        <w:tc>
          <w:tcPr>
            <w:tcW w:w="1464" w:type="dxa"/>
          </w:tcPr>
          <w:p w14:paraId="1C2EACBC" w14:textId="77777777" w:rsidR="00B61661" w:rsidRPr="00DB1D7C" w:rsidRDefault="00B61661" w:rsidP="00E83DA8">
            <w:pPr>
              <w:spacing w:after="160"/>
            </w:pPr>
            <w:r w:rsidRPr="00DB1D7C">
              <w:fldChar w:fldCharType="begin"/>
            </w:r>
            <w:r w:rsidRPr="00DB1D7C">
              <w:instrText xml:space="preserve"> =SUM(ABOVE) </w:instrText>
            </w:r>
            <w:r w:rsidRPr="00DB1D7C">
              <w:fldChar w:fldCharType="separate"/>
            </w:r>
            <w:r w:rsidRPr="00DB1D7C">
              <w:t>241</w:t>
            </w:r>
            <w:r w:rsidRPr="00DB1D7C">
              <w:fldChar w:fldCharType="end"/>
            </w:r>
          </w:p>
        </w:tc>
        <w:tc>
          <w:tcPr>
            <w:tcW w:w="1464" w:type="dxa"/>
          </w:tcPr>
          <w:p w14:paraId="45A5788C" w14:textId="77777777" w:rsidR="00B61661" w:rsidRPr="00DB1D7C" w:rsidRDefault="00B61661" w:rsidP="00E83DA8">
            <w:pPr>
              <w:spacing w:after="160"/>
            </w:pPr>
          </w:p>
        </w:tc>
      </w:tr>
    </w:tbl>
    <w:p w14:paraId="59C39F59" w14:textId="77777777" w:rsidR="00B61661" w:rsidRPr="00DB1D7C" w:rsidRDefault="00B61661" w:rsidP="00B61661">
      <w:pPr>
        <w:spacing w:after="0"/>
        <w:rPr>
          <w:rFonts w:ascii="Calibri" w:hAnsi="Calibri"/>
          <w:i/>
        </w:rPr>
      </w:pPr>
      <w:r w:rsidRPr="00DB1D7C">
        <w:rPr>
          <w:rFonts w:ascii="Calibri" w:hAnsi="Calibri"/>
          <w:i/>
        </w:rPr>
        <w:t>FN femoral neck</w:t>
      </w:r>
    </w:p>
    <w:p w14:paraId="40C50468" w14:textId="77777777" w:rsidR="00B61661" w:rsidRPr="00DB1D7C" w:rsidRDefault="00B61661" w:rsidP="00B61661">
      <w:pPr>
        <w:spacing w:after="0"/>
        <w:rPr>
          <w:rFonts w:ascii="Calibri" w:hAnsi="Calibri"/>
          <w:i/>
        </w:rPr>
      </w:pPr>
      <w:r w:rsidRPr="00DB1D7C">
        <w:rPr>
          <w:rFonts w:ascii="Calibri" w:hAnsi="Calibri"/>
          <w:i/>
        </w:rPr>
        <w:t>MOF major osteoporotic fracture (hip, clinical spine, forearm, proximal humerus)</w:t>
      </w:r>
    </w:p>
    <w:p w14:paraId="6146D2E9" w14:textId="77777777" w:rsidR="00B61661" w:rsidRPr="00DB1D7C" w:rsidRDefault="00B61661" w:rsidP="00B61661">
      <w:pPr>
        <w:spacing w:after="0"/>
        <w:rPr>
          <w:rFonts w:ascii="Calibri" w:hAnsi="Calibri"/>
          <w:i/>
        </w:rPr>
      </w:pPr>
    </w:p>
    <w:p w14:paraId="75161945" w14:textId="1B6DFDBC" w:rsidR="00B61661" w:rsidRPr="00DB1D7C" w:rsidRDefault="00B61661" w:rsidP="00EE7C4E">
      <w:pPr>
        <w:spacing w:line="276" w:lineRule="auto"/>
        <w:rPr>
          <w:sz w:val="24"/>
          <w:szCs w:val="24"/>
        </w:rPr>
      </w:pPr>
      <w:r w:rsidRPr="00DB1D7C">
        <w:rPr>
          <w:sz w:val="24"/>
          <w:szCs w:val="24"/>
        </w:rPr>
        <w:t>These data indicate that FRAX without BMD identifies individuals with low BMD.  The reason is that several of the FRAX input variables are weakly correlated with BMD (though of statistical significance) such as age, prior fracture</w:t>
      </w:r>
      <w:r w:rsidR="00E20191">
        <w:rPr>
          <w:sz w:val="24"/>
          <w:szCs w:val="24"/>
        </w:rPr>
        <w:t xml:space="preserve"> and </w:t>
      </w:r>
      <w:r w:rsidRPr="00DB1D7C">
        <w:rPr>
          <w:sz w:val="24"/>
          <w:szCs w:val="24"/>
        </w:rPr>
        <w:t xml:space="preserve">glucocorticoid exposure.  The conclusion is also supported </w:t>
      </w:r>
      <w:r w:rsidRPr="00FD0159">
        <w:rPr>
          <w:sz w:val="24"/>
          <w:szCs w:val="24"/>
        </w:rPr>
        <w:t xml:space="preserve">by NICE </w:t>
      </w:r>
      <w:r w:rsidR="00FB7217" w:rsidRPr="00FD0159">
        <w:rPr>
          <w:sz w:val="24"/>
          <w:szCs w:val="24"/>
        </w:rPr>
        <w:t>[161</w:t>
      </w:r>
      <w:r w:rsidR="00FD0159" w:rsidRPr="00FD0159">
        <w:rPr>
          <w:sz w:val="24"/>
          <w:szCs w:val="24"/>
        </w:rPr>
        <w:t>] which</w:t>
      </w:r>
      <w:r w:rsidRPr="00DB1D7C">
        <w:rPr>
          <w:sz w:val="24"/>
          <w:szCs w:val="24"/>
        </w:rPr>
        <w:t xml:space="preserve"> made two recommendations of relevance in this regard. </w:t>
      </w:r>
    </w:p>
    <w:p w14:paraId="6BD46A18" w14:textId="77777777" w:rsidR="00B61661" w:rsidRPr="00DB1D7C" w:rsidRDefault="00B61661" w:rsidP="00EE7C4E">
      <w:pPr>
        <w:spacing w:line="276" w:lineRule="auto"/>
        <w:ind w:left="567"/>
        <w:rPr>
          <w:sz w:val="24"/>
          <w:szCs w:val="24"/>
        </w:rPr>
      </w:pPr>
      <w:r w:rsidRPr="00DB1D7C">
        <w:rPr>
          <w:sz w:val="24"/>
          <w:szCs w:val="24"/>
        </w:rPr>
        <w:t xml:space="preserve"> </w:t>
      </w:r>
      <w:r w:rsidRPr="00DB1D7C">
        <w:rPr>
          <w:sz w:val="24"/>
          <w:szCs w:val="24"/>
        </w:rPr>
        <w:br/>
      </w:r>
      <w:r w:rsidRPr="00DB1D7C">
        <w:rPr>
          <w:i/>
          <w:sz w:val="24"/>
          <w:szCs w:val="24"/>
        </w:rPr>
        <w:t>Recommendation 6</w:t>
      </w:r>
      <w:r w:rsidRPr="00DB1D7C">
        <w:rPr>
          <w:sz w:val="24"/>
          <w:szCs w:val="24"/>
        </w:rPr>
        <w:t xml:space="preserve">. Do not routinely measure BMD to assess fracture risk without prior assessment using FRAX (without a BMD value) or QFracture. </w:t>
      </w:r>
    </w:p>
    <w:p w14:paraId="4EF708A3" w14:textId="77777777" w:rsidR="00B61661" w:rsidRPr="00DB1D7C" w:rsidRDefault="00B61661" w:rsidP="00EE7C4E">
      <w:pPr>
        <w:spacing w:line="276" w:lineRule="auto"/>
        <w:ind w:left="567"/>
        <w:rPr>
          <w:sz w:val="24"/>
          <w:szCs w:val="24"/>
        </w:rPr>
      </w:pPr>
      <w:r w:rsidRPr="00DB1D7C">
        <w:rPr>
          <w:sz w:val="24"/>
          <w:szCs w:val="24"/>
        </w:rPr>
        <w:t xml:space="preserve"> </w:t>
      </w:r>
      <w:r w:rsidRPr="00DB1D7C">
        <w:rPr>
          <w:i/>
          <w:sz w:val="24"/>
          <w:szCs w:val="24"/>
        </w:rPr>
        <w:t>Recommendation 7</w:t>
      </w:r>
      <w:r w:rsidRPr="00DB1D7C">
        <w:rPr>
          <w:sz w:val="24"/>
          <w:szCs w:val="24"/>
        </w:rPr>
        <w:t>. Following risk assessment with FRAX (without a BMD value) or QFracture, consider measuring BMD with DXA in people whose fracture risk is in the region of an intervention threshold for a proposed treatment, and recalculate absolute risk using FRAX with the BMD value.</w:t>
      </w:r>
    </w:p>
    <w:p w14:paraId="76134109" w14:textId="77777777" w:rsidR="00B61661" w:rsidRPr="00DB1D7C" w:rsidRDefault="00B61661" w:rsidP="00EE7C4E">
      <w:pPr>
        <w:spacing w:line="276" w:lineRule="auto"/>
        <w:rPr>
          <w:sz w:val="24"/>
          <w:szCs w:val="24"/>
        </w:rPr>
      </w:pPr>
      <w:r w:rsidRPr="00DB1D7C">
        <w:rPr>
          <w:sz w:val="24"/>
          <w:szCs w:val="24"/>
        </w:rPr>
        <w:t xml:space="preserve">Both recommendations support the parsimonious use of BMD and the strategy intrinsic to NOGG. </w:t>
      </w:r>
    </w:p>
    <w:p w14:paraId="6CB0F6C4" w14:textId="77777777" w:rsidR="00103C45" w:rsidRDefault="00103C45" w:rsidP="00EE7C4E">
      <w:pPr>
        <w:spacing w:line="276" w:lineRule="auto"/>
        <w:rPr>
          <w:i/>
          <w:sz w:val="24"/>
          <w:szCs w:val="24"/>
        </w:rPr>
      </w:pPr>
    </w:p>
    <w:p w14:paraId="1066D12F" w14:textId="77777777" w:rsidR="00103C45" w:rsidRDefault="00103C45" w:rsidP="00EE7C4E">
      <w:pPr>
        <w:spacing w:line="276" w:lineRule="auto"/>
        <w:rPr>
          <w:i/>
          <w:sz w:val="24"/>
          <w:szCs w:val="24"/>
        </w:rPr>
      </w:pPr>
    </w:p>
    <w:p w14:paraId="737E51EA" w14:textId="77777777" w:rsidR="00263209" w:rsidRPr="00DB1D7C" w:rsidRDefault="00263209" w:rsidP="00EE7C4E">
      <w:pPr>
        <w:spacing w:line="276" w:lineRule="auto"/>
        <w:rPr>
          <w:i/>
          <w:sz w:val="24"/>
          <w:szCs w:val="24"/>
        </w:rPr>
      </w:pPr>
      <w:r w:rsidRPr="00DB1D7C">
        <w:rPr>
          <w:i/>
          <w:sz w:val="24"/>
          <w:szCs w:val="24"/>
        </w:rPr>
        <w:lastRenderedPageBreak/>
        <w:t>Controlled trials</w:t>
      </w:r>
    </w:p>
    <w:p w14:paraId="1446304A" w14:textId="531CE35A" w:rsidR="00002798" w:rsidRPr="00002798" w:rsidRDefault="00002798" w:rsidP="00002798">
      <w:pPr>
        <w:spacing w:line="276" w:lineRule="auto"/>
        <w:rPr>
          <w:sz w:val="24"/>
          <w:szCs w:val="24"/>
        </w:rPr>
      </w:pPr>
      <w:r w:rsidRPr="00002798">
        <w:rPr>
          <w:sz w:val="24"/>
          <w:szCs w:val="24"/>
        </w:rPr>
        <w:t xml:space="preserve">There is no conclusive evidence that providing treatment on the basis of risk assessment will result in better clinical and cost-effective care.  However, the NOGG strategy is less costly than the RCP strategy that it </w:t>
      </w:r>
      <w:r w:rsidRPr="00AB0EAE">
        <w:rPr>
          <w:sz w:val="24"/>
          <w:szCs w:val="24"/>
        </w:rPr>
        <w:t xml:space="preserve">replaces </w:t>
      </w:r>
      <w:r w:rsidR="00FB7217" w:rsidRPr="00AB0EAE">
        <w:rPr>
          <w:sz w:val="24"/>
          <w:szCs w:val="24"/>
        </w:rPr>
        <w:t>[144]</w:t>
      </w:r>
      <w:r w:rsidRPr="00AB0EAE">
        <w:rPr>
          <w:sz w:val="24"/>
          <w:szCs w:val="24"/>
        </w:rPr>
        <w:t xml:space="preserve">, and intervention with alendronate is cost-effective over all intervention scenarios </w:t>
      </w:r>
      <w:r w:rsidR="0030753F" w:rsidRPr="00AB0EAE">
        <w:rPr>
          <w:rFonts w:ascii="Calibri" w:hAnsi="Calibri"/>
          <w:sz w:val="24"/>
          <w:szCs w:val="24"/>
        </w:rPr>
        <w:t>[140]</w:t>
      </w:r>
      <w:r w:rsidRPr="00AB0EAE">
        <w:rPr>
          <w:sz w:val="24"/>
          <w:szCs w:val="24"/>
        </w:rPr>
        <w:t>.  It is relevant</w:t>
      </w:r>
      <w:r w:rsidRPr="00002798">
        <w:rPr>
          <w:sz w:val="24"/>
          <w:szCs w:val="24"/>
        </w:rPr>
        <w:t xml:space="preserve"> to note that no trials have been undertaken with guidelines that are currently used to identify high risk patients.  </w:t>
      </w:r>
      <w:r w:rsidR="00000C7B" w:rsidRPr="00000C7B">
        <w:rPr>
          <w:sz w:val="24"/>
          <w:szCs w:val="24"/>
        </w:rPr>
        <w:t xml:space="preserve">There is an ongoing trial in which the efficacy of treatment in individuals identified by FRAX as being at high risk of fracture is being investigated (the SCOOP study) which will include a health economic </w:t>
      </w:r>
      <w:r w:rsidR="00000C7B" w:rsidRPr="00AB0EAE">
        <w:rPr>
          <w:sz w:val="24"/>
          <w:szCs w:val="24"/>
        </w:rPr>
        <w:t xml:space="preserve">appraisal </w:t>
      </w:r>
      <w:r w:rsidR="00FB7217" w:rsidRPr="00AB0EAE">
        <w:rPr>
          <w:sz w:val="24"/>
          <w:szCs w:val="24"/>
        </w:rPr>
        <w:t>[162]</w:t>
      </w:r>
      <w:r w:rsidR="00000C7B" w:rsidRPr="00AB0EAE">
        <w:rPr>
          <w:sz w:val="24"/>
          <w:szCs w:val="24"/>
        </w:rPr>
        <w:t>.</w:t>
      </w:r>
    </w:p>
    <w:p w14:paraId="60F3C83A" w14:textId="77777777" w:rsidR="00067BF0" w:rsidRPr="00DB1D7C" w:rsidRDefault="00067BF0" w:rsidP="00EE7C4E">
      <w:pPr>
        <w:spacing w:line="276" w:lineRule="auto"/>
        <w:rPr>
          <w:i/>
          <w:sz w:val="24"/>
          <w:szCs w:val="24"/>
        </w:rPr>
      </w:pPr>
      <w:r w:rsidRPr="00DB1D7C">
        <w:rPr>
          <w:i/>
          <w:sz w:val="24"/>
          <w:szCs w:val="24"/>
        </w:rPr>
        <w:t>Age-dependent thresholds are ageist</w:t>
      </w:r>
    </w:p>
    <w:p w14:paraId="035541AD" w14:textId="164AC54C" w:rsidR="00067BF0" w:rsidRPr="00DB1D7C" w:rsidRDefault="00067BF0" w:rsidP="00EE7C4E">
      <w:pPr>
        <w:spacing w:line="276" w:lineRule="auto"/>
        <w:rPr>
          <w:sz w:val="24"/>
          <w:szCs w:val="24"/>
        </w:rPr>
      </w:pPr>
      <w:r w:rsidRPr="00DB1D7C">
        <w:rPr>
          <w:sz w:val="24"/>
          <w:szCs w:val="24"/>
        </w:rPr>
        <w:t xml:space="preserve">It has been said that the NOGG approach discriminates by age and is one of the reasons cited for avoiding </w:t>
      </w:r>
      <w:r w:rsidR="00002798">
        <w:rPr>
          <w:sz w:val="24"/>
          <w:szCs w:val="24"/>
        </w:rPr>
        <w:t>this method of threshold-</w:t>
      </w:r>
      <w:r w:rsidR="00002798" w:rsidRPr="00AB0EAE">
        <w:rPr>
          <w:sz w:val="24"/>
          <w:szCs w:val="24"/>
        </w:rPr>
        <w:t xml:space="preserve">setting </w:t>
      </w:r>
      <w:r w:rsidR="00FB7217" w:rsidRPr="00AB0EAE">
        <w:rPr>
          <w:sz w:val="24"/>
          <w:szCs w:val="24"/>
        </w:rPr>
        <w:t>[44]</w:t>
      </w:r>
      <w:r w:rsidRPr="00AB0EAE">
        <w:rPr>
          <w:sz w:val="24"/>
          <w:szCs w:val="24"/>
        </w:rPr>
        <w:t>.   This</w:t>
      </w:r>
      <w:r w:rsidRPr="00DB1D7C">
        <w:rPr>
          <w:sz w:val="24"/>
          <w:szCs w:val="24"/>
        </w:rPr>
        <w:t xml:space="preserve"> is somewhat ironic given that under the DVO guidelines in Germany, eligibility for testing is age and sex dependent. For example, a woman with a parental history of hip fracture is not eligible for assessment between the ages of 50 and 60 years, but becomes eligible for assessment from the age of 60 years. The corresponding age-dependent thresholds for men are 60–70 </w:t>
      </w:r>
      <w:r w:rsidR="00002798">
        <w:rPr>
          <w:sz w:val="24"/>
          <w:szCs w:val="24"/>
        </w:rPr>
        <w:t xml:space="preserve">years </w:t>
      </w:r>
      <w:r w:rsidRPr="00DB1D7C">
        <w:rPr>
          <w:sz w:val="24"/>
          <w:szCs w:val="24"/>
        </w:rPr>
        <w:t xml:space="preserve">and &gt;70 years, respectively. </w:t>
      </w:r>
      <w:r w:rsidRPr="00D70E13">
        <w:rPr>
          <w:sz w:val="24"/>
          <w:szCs w:val="24"/>
        </w:rPr>
        <w:t xml:space="preserve">Notwithstanding, the intervention threshold used In NOGG is overtly age-dependent but so too is the use of the T-score (see Figure </w:t>
      </w:r>
      <w:r w:rsidR="00D70E13" w:rsidRPr="00D70E13">
        <w:rPr>
          <w:sz w:val="24"/>
          <w:szCs w:val="24"/>
        </w:rPr>
        <w:t>21</w:t>
      </w:r>
      <w:r w:rsidRPr="00D70E13">
        <w:rPr>
          <w:sz w:val="24"/>
          <w:szCs w:val="24"/>
        </w:rPr>
        <w:t xml:space="preserve">) or probability fixed thresholds (see Figure </w:t>
      </w:r>
      <w:r w:rsidR="00D70E13" w:rsidRPr="00D70E13">
        <w:rPr>
          <w:sz w:val="24"/>
          <w:szCs w:val="24"/>
        </w:rPr>
        <w:t>22</w:t>
      </w:r>
      <w:r w:rsidRPr="00D70E13">
        <w:rPr>
          <w:sz w:val="24"/>
          <w:szCs w:val="24"/>
        </w:rPr>
        <w:t>), both of which ‘discriminate’ by age, though somewhat more covertly.</w:t>
      </w:r>
    </w:p>
    <w:p w14:paraId="7ED3170F" w14:textId="77777777" w:rsidR="005C4567" w:rsidRPr="00DB1D7C" w:rsidRDefault="005C4567" w:rsidP="00EE7C4E">
      <w:pPr>
        <w:spacing w:line="276" w:lineRule="auto"/>
        <w:rPr>
          <w:i/>
          <w:sz w:val="24"/>
          <w:szCs w:val="24"/>
        </w:rPr>
      </w:pPr>
      <w:r w:rsidRPr="00DB1D7C">
        <w:rPr>
          <w:i/>
          <w:sz w:val="24"/>
          <w:szCs w:val="24"/>
        </w:rPr>
        <w:t>Inequity across countries</w:t>
      </w:r>
    </w:p>
    <w:p w14:paraId="17486FFC" w14:textId="77777777" w:rsidR="00C92889" w:rsidRDefault="005C4567" w:rsidP="00EE7C4E">
      <w:pPr>
        <w:spacing w:line="276" w:lineRule="auto"/>
        <w:rPr>
          <w:sz w:val="24"/>
          <w:szCs w:val="24"/>
        </w:rPr>
      </w:pPr>
      <w:r w:rsidRPr="00DB1D7C">
        <w:rPr>
          <w:sz w:val="24"/>
          <w:szCs w:val="24"/>
        </w:rPr>
        <w:t xml:space="preserve">The merit of the NOGG approach (age-dependent thresholds) is that it can be readily applied to all countries and is more allied to a fracture threshold.   Given the heterogeneity of mortality and fracture risk in different countries, the intervention threshold (i.e. the fracture threshold) will also differ. An example is </w:t>
      </w:r>
      <w:r w:rsidRPr="00D70E13">
        <w:rPr>
          <w:sz w:val="24"/>
          <w:szCs w:val="24"/>
        </w:rPr>
        <w:t xml:space="preserve">shown in Figure </w:t>
      </w:r>
      <w:r w:rsidR="00A118CD" w:rsidRPr="00D70E13">
        <w:rPr>
          <w:sz w:val="24"/>
          <w:szCs w:val="24"/>
        </w:rPr>
        <w:t>2</w:t>
      </w:r>
      <w:r w:rsidR="00D70E13" w:rsidRPr="00D70E13">
        <w:rPr>
          <w:sz w:val="24"/>
          <w:szCs w:val="24"/>
        </w:rPr>
        <w:t>6</w:t>
      </w:r>
      <w:r w:rsidRPr="00D70E13">
        <w:rPr>
          <w:sz w:val="24"/>
          <w:szCs w:val="24"/>
        </w:rPr>
        <w:t xml:space="preserve"> in</w:t>
      </w:r>
      <w:r w:rsidRPr="00DB1D7C">
        <w:rPr>
          <w:sz w:val="24"/>
          <w:szCs w:val="24"/>
        </w:rPr>
        <w:t xml:space="preserve"> women age 65-70 years for countries </w:t>
      </w:r>
      <w:r w:rsidR="00C92889">
        <w:rPr>
          <w:sz w:val="24"/>
          <w:szCs w:val="24"/>
        </w:rPr>
        <w:t>of</w:t>
      </w:r>
      <w:r w:rsidRPr="00DB1D7C">
        <w:rPr>
          <w:sz w:val="24"/>
          <w:szCs w:val="24"/>
        </w:rPr>
        <w:t xml:space="preserve"> the European </w:t>
      </w:r>
      <w:r w:rsidRPr="00AB0EAE">
        <w:rPr>
          <w:sz w:val="24"/>
          <w:szCs w:val="24"/>
        </w:rPr>
        <w:t xml:space="preserve">Union </w:t>
      </w:r>
      <w:r w:rsidR="007D5CFA" w:rsidRPr="00AB0EAE">
        <w:rPr>
          <w:rFonts w:ascii="Calibri" w:hAnsi="Calibri"/>
          <w:sz w:val="24"/>
          <w:szCs w:val="24"/>
        </w:rPr>
        <w:t>[2]</w:t>
      </w:r>
      <w:r w:rsidRPr="00AB0EAE">
        <w:rPr>
          <w:sz w:val="24"/>
          <w:szCs w:val="24"/>
        </w:rPr>
        <w:t>.  This means</w:t>
      </w:r>
      <w:r w:rsidRPr="00DB1D7C">
        <w:rPr>
          <w:sz w:val="24"/>
          <w:szCs w:val="24"/>
        </w:rPr>
        <w:t xml:space="preserve"> that fracture thresholds need to be tailored individually on a country</w:t>
      </w:r>
      <w:r w:rsidR="00E20191">
        <w:rPr>
          <w:sz w:val="24"/>
          <w:szCs w:val="24"/>
        </w:rPr>
        <w:t>-</w:t>
      </w:r>
      <w:r w:rsidRPr="00DB1D7C">
        <w:rPr>
          <w:sz w:val="24"/>
          <w:szCs w:val="24"/>
        </w:rPr>
        <w:t>by</w:t>
      </w:r>
      <w:r w:rsidR="00E20191">
        <w:rPr>
          <w:sz w:val="24"/>
          <w:szCs w:val="24"/>
        </w:rPr>
        <w:t>-</w:t>
      </w:r>
      <w:r w:rsidRPr="00DB1D7C">
        <w:rPr>
          <w:sz w:val="24"/>
          <w:szCs w:val="24"/>
        </w:rPr>
        <w:t>country basis.  This is a straightforward process but leaves the unsatisfactory position that a woman aged 72 years with a fracture probability of, say 15</w:t>
      </w:r>
      <w:r w:rsidR="00002798">
        <w:rPr>
          <w:sz w:val="24"/>
          <w:szCs w:val="24"/>
        </w:rPr>
        <w:t xml:space="preserve"> </w:t>
      </w:r>
      <w:r w:rsidRPr="00DB1D7C">
        <w:rPr>
          <w:sz w:val="24"/>
          <w:szCs w:val="24"/>
        </w:rPr>
        <w:t xml:space="preserve">%, would be eligible for treatment in Slovakia but not in </w:t>
      </w:r>
      <w:r w:rsidRPr="00D70E13">
        <w:rPr>
          <w:sz w:val="24"/>
          <w:szCs w:val="24"/>
        </w:rPr>
        <w:t xml:space="preserve">Slovenia (see Figure </w:t>
      </w:r>
      <w:r w:rsidR="00A118CD" w:rsidRPr="00D70E13">
        <w:rPr>
          <w:sz w:val="24"/>
          <w:szCs w:val="24"/>
        </w:rPr>
        <w:t>2</w:t>
      </w:r>
      <w:r w:rsidR="00D70E13" w:rsidRPr="00D70E13">
        <w:rPr>
          <w:sz w:val="24"/>
          <w:szCs w:val="24"/>
        </w:rPr>
        <w:t>6</w:t>
      </w:r>
      <w:r w:rsidRPr="00D70E13">
        <w:rPr>
          <w:sz w:val="24"/>
          <w:szCs w:val="24"/>
        </w:rPr>
        <w:t>).</w:t>
      </w:r>
      <w:r w:rsidRPr="00DB1D7C">
        <w:rPr>
          <w:sz w:val="24"/>
          <w:szCs w:val="24"/>
        </w:rPr>
        <w:t xml:space="preserve">  In Europe, the proportion of men and women above the age-dependent threshold varies little from 11-13</w:t>
      </w:r>
      <w:r w:rsidR="00002798">
        <w:rPr>
          <w:sz w:val="24"/>
          <w:szCs w:val="24"/>
        </w:rPr>
        <w:t xml:space="preserve"> </w:t>
      </w:r>
      <w:r w:rsidRPr="00DB1D7C">
        <w:rPr>
          <w:sz w:val="24"/>
          <w:szCs w:val="24"/>
        </w:rPr>
        <w:t xml:space="preserve">% across </w:t>
      </w:r>
      <w:r w:rsidRPr="00AB0EAE">
        <w:rPr>
          <w:sz w:val="24"/>
          <w:szCs w:val="24"/>
        </w:rPr>
        <w:t xml:space="preserve">countries </w:t>
      </w:r>
      <w:r w:rsidR="007D5CFA" w:rsidRPr="00AB0EAE">
        <w:rPr>
          <w:rFonts w:ascii="Calibri" w:hAnsi="Calibri"/>
          <w:sz w:val="24"/>
          <w:szCs w:val="24"/>
        </w:rPr>
        <w:t>[2]</w:t>
      </w:r>
      <w:r w:rsidRPr="00AB0EAE">
        <w:rPr>
          <w:sz w:val="24"/>
          <w:szCs w:val="24"/>
        </w:rPr>
        <w:t>.   Although</w:t>
      </w:r>
      <w:r w:rsidRPr="00DB1D7C">
        <w:rPr>
          <w:sz w:val="24"/>
          <w:szCs w:val="24"/>
        </w:rPr>
        <w:t xml:space="preserve"> age</w:t>
      </w:r>
      <w:r w:rsidR="00002798">
        <w:rPr>
          <w:sz w:val="24"/>
          <w:szCs w:val="24"/>
        </w:rPr>
        <w:t>-</w:t>
      </w:r>
      <w:r w:rsidRPr="00DB1D7C">
        <w:rPr>
          <w:sz w:val="24"/>
          <w:szCs w:val="24"/>
        </w:rPr>
        <w:t>dependent threshold</w:t>
      </w:r>
      <w:r w:rsidR="00002798">
        <w:rPr>
          <w:sz w:val="24"/>
          <w:szCs w:val="24"/>
        </w:rPr>
        <w:t>s</w:t>
      </w:r>
      <w:r w:rsidRPr="00DB1D7C">
        <w:rPr>
          <w:sz w:val="24"/>
          <w:szCs w:val="24"/>
        </w:rPr>
        <w:t xml:space="preserve"> seem to offer several advantages over fixed thresholds, problems of equality remain in that that the probability at which treatment is recommended is country-specific, though varies little in the western world.</w:t>
      </w:r>
    </w:p>
    <w:p w14:paraId="03288860" w14:textId="5829073E" w:rsidR="005C4567" w:rsidRPr="00DB1D7C" w:rsidRDefault="00C92889" w:rsidP="00EE7C4E">
      <w:pPr>
        <w:spacing w:line="276" w:lineRule="auto"/>
        <w:rPr>
          <w:sz w:val="24"/>
          <w:szCs w:val="24"/>
        </w:rPr>
      </w:pPr>
      <w:r w:rsidRPr="00C92889">
        <w:rPr>
          <w:sz w:val="24"/>
          <w:szCs w:val="24"/>
        </w:rPr>
        <w:t xml:space="preserve">  </w:t>
      </w:r>
    </w:p>
    <w:p w14:paraId="450469F8" w14:textId="77777777" w:rsidR="005C4567" w:rsidRPr="00DB1D7C" w:rsidRDefault="005C4567" w:rsidP="005C4567">
      <w:pPr>
        <w:jc w:val="center"/>
      </w:pPr>
      <w:r w:rsidRPr="00DB1D7C">
        <w:rPr>
          <w:rFonts w:cs="Arial"/>
          <w:noProof/>
          <w:lang w:eastAsia="en-GB"/>
        </w:rPr>
        <w:lastRenderedPageBreak/>
        <w:drawing>
          <wp:inline distT="0" distB="0" distL="0" distR="0" wp14:anchorId="63A1D43D" wp14:editId="52581E06">
            <wp:extent cx="4572638" cy="3429479"/>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572638" cy="3429479"/>
                    </a:xfrm>
                    <a:prstGeom prst="rect">
                      <a:avLst/>
                    </a:prstGeom>
                  </pic:spPr>
                </pic:pic>
              </a:graphicData>
            </a:graphic>
          </wp:inline>
        </w:drawing>
      </w:r>
    </w:p>
    <w:p w14:paraId="5562378C" w14:textId="3844031B" w:rsidR="005C4567" w:rsidRPr="00DB1D7C" w:rsidRDefault="005C4567" w:rsidP="005C4567">
      <w:pPr>
        <w:ind w:left="567" w:right="804"/>
      </w:pPr>
      <w:r w:rsidRPr="00D70E13">
        <w:rPr>
          <w:b/>
        </w:rPr>
        <w:t xml:space="preserve">Figure </w:t>
      </w:r>
      <w:r w:rsidR="00A118CD" w:rsidRPr="00D70E13">
        <w:rPr>
          <w:b/>
        </w:rPr>
        <w:t>2</w:t>
      </w:r>
      <w:r w:rsidR="00D70E13" w:rsidRPr="00D70E13">
        <w:rPr>
          <w:b/>
        </w:rPr>
        <w:t>6</w:t>
      </w:r>
      <w:r w:rsidRPr="00D70E13">
        <w:t>.  FRAX</w:t>
      </w:r>
      <w:r w:rsidRPr="00DB1D7C">
        <w:t xml:space="preserve"> 10-year probability (%) of a major osteoporotic fracture (MOF) in women between the ages of 65 and 70 years from the European Union with a previous fracture (no other clinical risk factors, BMI of 24 kg/m</w:t>
      </w:r>
      <w:r w:rsidRPr="00DB1D7C">
        <w:rPr>
          <w:vertAlign w:val="superscript"/>
        </w:rPr>
        <w:t>2</w:t>
      </w:r>
      <w:r w:rsidRPr="00DB1D7C">
        <w:t xml:space="preserve"> and without BMD) representing the age-specific intervention threshold under the NOGG approach. Note that FRAX models were not available for Bulgaria, Cyprus, Estonia, Latvia, Luxembourg and Slovenia (labelled above with an asterisk). For these countries surrogate FRAX models were used.   </w:t>
      </w:r>
      <w:r w:rsidRPr="00AB0EAE">
        <w:t xml:space="preserve">Extracted from </w:t>
      </w:r>
      <w:r w:rsidR="007D5CFA" w:rsidRPr="00AB0EAE">
        <w:rPr>
          <w:rFonts w:ascii="Calibri" w:hAnsi="Calibri"/>
          <w:sz w:val="24"/>
          <w:szCs w:val="24"/>
        </w:rPr>
        <w:t>[2]</w:t>
      </w:r>
      <w:r w:rsidRPr="00AB0EAE">
        <w:t>.</w:t>
      </w:r>
    </w:p>
    <w:p w14:paraId="10854481" w14:textId="5FCF70CA" w:rsidR="005C4567" w:rsidRPr="00DB1D7C" w:rsidRDefault="00C92889" w:rsidP="00EE7C4E">
      <w:pPr>
        <w:spacing w:line="276" w:lineRule="auto"/>
        <w:rPr>
          <w:sz w:val="24"/>
          <w:szCs w:val="24"/>
        </w:rPr>
      </w:pPr>
      <w:r w:rsidRPr="00C92889">
        <w:rPr>
          <w:sz w:val="24"/>
          <w:szCs w:val="24"/>
        </w:rPr>
        <w:t xml:space="preserve">A limitation of country-specific thresholds that are set at the fracture threshold is that, assuming a constant efficacy, there will be a much larger </w:t>
      </w:r>
      <w:r w:rsidR="00755600">
        <w:rPr>
          <w:sz w:val="24"/>
          <w:szCs w:val="24"/>
        </w:rPr>
        <w:t>number of patients treated to prevent one fracture</w:t>
      </w:r>
      <w:r w:rsidRPr="00C92889">
        <w:rPr>
          <w:sz w:val="24"/>
          <w:szCs w:val="24"/>
        </w:rPr>
        <w:t xml:space="preserve"> in countries with lower FRAX probabilities (e.g. China) compared to those counties with higher FRAX scores (e.g. Sweden).</w:t>
      </w:r>
      <w:r w:rsidR="00755600">
        <w:rPr>
          <w:sz w:val="24"/>
          <w:szCs w:val="24"/>
        </w:rPr>
        <w:t xml:space="preserve"> </w:t>
      </w:r>
      <w:r w:rsidR="005C4567" w:rsidRPr="00DB1D7C">
        <w:rPr>
          <w:sz w:val="24"/>
          <w:szCs w:val="24"/>
        </w:rPr>
        <w:t xml:space="preserve">There is of course no obligation to use the fracture threshold </w:t>
      </w:r>
      <w:r w:rsidR="00002798" w:rsidRPr="00002798">
        <w:rPr>
          <w:sz w:val="24"/>
          <w:szCs w:val="24"/>
        </w:rPr>
        <w:t xml:space="preserve">as the route to </w:t>
      </w:r>
      <w:r w:rsidR="005C4567" w:rsidRPr="00DB1D7C">
        <w:rPr>
          <w:sz w:val="24"/>
          <w:szCs w:val="24"/>
        </w:rPr>
        <w:t xml:space="preserve">age dependency. </w:t>
      </w:r>
      <w:r w:rsidR="00755600">
        <w:rPr>
          <w:sz w:val="24"/>
          <w:szCs w:val="24"/>
        </w:rPr>
        <w:t xml:space="preserve"> </w:t>
      </w:r>
      <w:r w:rsidR="005C4567" w:rsidRPr="00DB1D7C">
        <w:rPr>
          <w:sz w:val="24"/>
          <w:szCs w:val="24"/>
        </w:rPr>
        <w:t>In countries with a more conservative approach</w:t>
      </w:r>
      <w:r w:rsidR="00755600">
        <w:rPr>
          <w:sz w:val="24"/>
          <w:szCs w:val="24"/>
        </w:rPr>
        <w:t xml:space="preserve"> or low fracture probabilities</w:t>
      </w:r>
      <w:r w:rsidR="005C4567" w:rsidRPr="00DB1D7C">
        <w:rPr>
          <w:sz w:val="24"/>
          <w:szCs w:val="24"/>
        </w:rPr>
        <w:t>, the threshold can be uplifted, say by 10 or 20</w:t>
      </w:r>
      <w:r w:rsidR="00E8657B">
        <w:rPr>
          <w:sz w:val="24"/>
          <w:szCs w:val="24"/>
        </w:rPr>
        <w:t xml:space="preserve"> </w:t>
      </w:r>
      <w:r w:rsidR="005C4567" w:rsidRPr="00DB1D7C">
        <w:rPr>
          <w:sz w:val="24"/>
          <w:szCs w:val="24"/>
        </w:rPr>
        <w:t>%.  Conversely, an intervention threshold can be downward</w:t>
      </w:r>
      <w:r w:rsidR="00F85591">
        <w:rPr>
          <w:sz w:val="24"/>
          <w:szCs w:val="24"/>
        </w:rPr>
        <w:t>-</w:t>
      </w:r>
      <w:r w:rsidR="005C4567" w:rsidRPr="00DB1D7C">
        <w:rPr>
          <w:sz w:val="24"/>
          <w:szCs w:val="24"/>
        </w:rPr>
        <w:t xml:space="preserve">adjusted where a more liberal approach is desired.  </w:t>
      </w:r>
    </w:p>
    <w:p w14:paraId="47526E1A" w14:textId="77777777" w:rsidR="00D917D4" w:rsidRPr="00DB1D7C" w:rsidRDefault="00D917D4" w:rsidP="00EE7C4E">
      <w:pPr>
        <w:spacing w:line="276" w:lineRule="auto"/>
        <w:rPr>
          <w:sz w:val="24"/>
          <w:szCs w:val="24"/>
        </w:rPr>
      </w:pPr>
    </w:p>
    <w:p w14:paraId="6241C6A0" w14:textId="49D03253" w:rsidR="00C47106" w:rsidRPr="00DB1D7C" w:rsidRDefault="00263209" w:rsidP="00EE7C4E">
      <w:pPr>
        <w:spacing w:line="276" w:lineRule="auto"/>
        <w:rPr>
          <w:rFonts w:cs="Arial"/>
          <w:i/>
          <w:sz w:val="24"/>
          <w:szCs w:val="24"/>
        </w:rPr>
      </w:pPr>
      <w:r w:rsidRPr="00DB1D7C">
        <w:rPr>
          <w:i/>
          <w:sz w:val="24"/>
          <w:szCs w:val="24"/>
        </w:rPr>
        <w:t>Sensitivity of NOGG in subgroups</w:t>
      </w:r>
    </w:p>
    <w:p w14:paraId="106DD90C" w14:textId="77777777" w:rsidR="00C47106" w:rsidRPr="00DB1D7C" w:rsidRDefault="00C47106" w:rsidP="00EE7C4E">
      <w:pPr>
        <w:spacing w:line="276" w:lineRule="auto"/>
        <w:rPr>
          <w:rFonts w:cs="Arial"/>
          <w:sz w:val="24"/>
          <w:szCs w:val="24"/>
        </w:rPr>
      </w:pPr>
      <w:r w:rsidRPr="00DB1D7C">
        <w:rPr>
          <w:rFonts w:cs="Arial"/>
          <w:sz w:val="24"/>
          <w:szCs w:val="24"/>
        </w:rPr>
        <w:t>The concept that women without fracture merit treatment if their risk of fracture is similar to or exceeds that of an average woman with a prior fracture is a concept that attempts to embrace fairness and equity of access to treatment.</w:t>
      </w:r>
    </w:p>
    <w:p w14:paraId="612C4A91" w14:textId="77777777" w:rsidR="00C47106" w:rsidRPr="00DB1D7C" w:rsidRDefault="00C47106" w:rsidP="00EE7C4E">
      <w:pPr>
        <w:spacing w:line="276" w:lineRule="auto"/>
        <w:rPr>
          <w:sz w:val="24"/>
          <w:szCs w:val="24"/>
        </w:rPr>
      </w:pPr>
      <w:r w:rsidRPr="00DB1D7C">
        <w:rPr>
          <w:sz w:val="24"/>
          <w:szCs w:val="24"/>
        </w:rPr>
        <w:t xml:space="preserve">Within a country, it would seem desirable that at any given age, the selection criteria for intervention results in equitable access to therapy for patients with the same age-specific absolute probability of fracture.  </w:t>
      </w:r>
    </w:p>
    <w:p w14:paraId="7B359921" w14:textId="0A934E8E" w:rsidR="00C47106" w:rsidRPr="00DB1D7C" w:rsidRDefault="00E20191" w:rsidP="00EE7C4E">
      <w:pPr>
        <w:spacing w:line="276" w:lineRule="auto"/>
        <w:rPr>
          <w:sz w:val="24"/>
          <w:szCs w:val="24"/>
        </w:rPr>
      </w:pPr>
      <w:r w:rsidRPr="00E20191">
        <w:rPr>
          <w:sz w:val="24"/>
          <w:szCs w:val="24"/>
        </w:rPr>
        <w:lastRenderedPageBreak/>
        <w:t>It is apparent that, following the NOGG guidance, this goal is not realised, particularly at older ages in that that those eligible for treatment without a prior fracture have on average higher probabilities than those eligible on the basis of a previous fragility fracture.</w:t>
      </w:r>
      <w:r>
        <w:rPr>
          <w:sz w:val="24"/>
          <w:szCs w:val="24"/>
        </w:rPr>
        <w:t xml:space="preserve"> </w:t>
      </w:r>
      <w:r w:rsidR="00C47106" w:rsidRPr="00DB1D7C">
        <w:rPr>
          <w:sz w:val="24"/>
          <w:szCs w:val="24"/>
        </w:rPr>
        <w:t xml:space="preserve">This inequity results in a lower sensitivity of the algorithm for individuals without a prior fracture </w:t>
      </w:r>
      <w:r w:rsidR="00FB7217">
        <w:rPr>
          <w:sz w:val="24"/>
          <w:szCs w:val="24"/>
        </w:rPr>
        <w:t>[</w:t>
      </w:r>
      <w:r w:rsidR="00AB0EAE" w:rsidRPr="00AB0EAE">
        <w:rPr>
          <w:sz w:val="24"/>
          <w:szCs w:val="24"/>
        </w:rPr>
        <w:t xml:space="preserve">109, </w:t>
      </w:r>
      <w:r w:rsidR="00FB7217" w:rsidRPr="00AB0EAE">
        <w:rPr>
          <w:sz w:val="24"/>
          <w:szCs w:val="24"/>
        </w:rPr>
        <w:t>144]</w:t>
      </w:r>
      <w:r w:rsidR="00C47106" w:rsidRPr="00AB0EAE">
        <w:rPr>
          <w:sz w:val="24"/>
          <w:szCs w:val="24"/>
        </w:rPr>
        <w:t>.</w:t>
      </w:r>
    </w:p>
    <w:p w14:paraId="52407BE0" w14:textId="551B11C3" w:rsidR="00C47106" w:rsidRPr="00DB1D7C" w:rsidRDefault="00C47106" w:rsidP="00EE7C4E">
      <w:pPr>
        <w:spacing w:line="276" w:lineRule="auto"/>
        <w:rPr>
          <w:sz w:val="24"/>
          <w:szCs w:val="24"/>
        </w:rPr>
      </w:pPr>
      <w:r w:rsidRPr="00DB1D7C">
        <w:rPr>
          <w:sz w:val="24"/>
          <w:szCs w:val="24"/>
        </w:rPr>
        <w:t xml:space="preserve">This appears to be resolved with the </w:t>
      </w:r>
      <w:r w:rsidR="00AB0EAE">
        <w:rPr>
          <w:sz w:val="24"/>
          <w:szCs w:val="24"/>
        </w:rPr>
        <w:t xml:space="preserve">UK </w:t>
      </w:r>
      <w:r w:rsidRPr="00AB0EAE">
        <w:rPr>
          <w:sz w:val="24"/>
          <w:szCs w:val="24"/>
        </w:rPr>
        <w:t xml:space="preserve">hybrid model </w:t>
      </w:r>
      <w:r w:rsidR="00FB7217" w:rsidRPr="00AB0EAE">
        <w:rPr>
          <w:sz w:val="24"/>
          <w:szCs w:val="24"/>
        </w:rPr>
        <w:t>[109]</w:t>
      </w:r>
      <w:r w:rsidRPr="00AB0EAE">
        <w:rPr>
          <w:sz w:val="24"/>
          <w:szCs w:val="24"/>
        </w:rPr>
        <w:t>.  This</w:t>
      </w:r>
      <w:r w:rsidRPr="00DB1D7C">
        <w:rPr>
          <w:sz w:val="24"/>
          <w:szCs w:val="24"/>
        </w:rPr>
        <w:t xml:space="preserve"> uses an age-dependent intervention up to the age of 70 years, and thereafter a fixed threshold of 20</w:t>
      </w:r>
      <w:r w:rsidR="00002798">
        <w:rPr>
          <w:sz w:val="24"/>
          <w:szCs w:val="24"/>
        </w:rPr>
        <w:t xml:space="preserve"> </w:t>
      </w:r>
      <w:r w:rsidRPr="00DB1D7C">
        <w:rPr>
          <w:sz w:val="24"/>
          <w:szCs w:val="24"/>
        </w:rPr>
        <w:t>% probability of a major osteoporotic fracture.   It must be emphasised, however, that the identification of a threshold for major osteoporotic fracture at or around 20</w:t>
      </w:r>
      <w:r w:rsidR="00002798">
        <w:rPr>
          <w:sz w:val="24"/>
          <w:szCs w:val="24"/>
        </w:rPr>
        <w:t xml:space="preserve"> </w:t>
      </w:r>
      <w:r w:rsidRPr="00DB1D7C">
        <w:rPr>
          <w:sz w:val="24"/>
          <w:szCs w:val="24"/>
        </w:rPr>
        <w:t>% is not a validation of this threshold on a global scale, but rather represents a chance occurrence.  Fortuitously, this is the probability at the age of 70 years in a woman with a prior fracture in the UK, but will differ if the same approach is taken to determin</w:t>
      </w:r>
      <w:r w:rsidR="00E20191">
        <w:rPr>
          <w:sz w:val="24"/>
          <w:szCs w:val="24"/>
        </w:rPr>
        <w:t>e</w:t>
      </w:r>
      <w:r w:rsidRPr="00DB1D7C">
        <w:rPr>
          <w:sz w:val="24"/>
          <w:szCs w:val="24"/>
        </w:rPr>
        <w:t xml:space="preserve"> fracture thresholds in other populations.</w:t>
      </w:r>
    </w:p>
    <w:p w14:paraId="088D6B76" w14:textId="77777777" w:rsidR="00BE261E" w:rsidRPr="00DB1D7C" w:rsidRDefault="00BE261E" w:rsidP="00BE261E">
      <w:pPr>
        <w:spacing w:line="276" w:lineRule="auto"/>
        <w:rPr>
          <w:b/>
          <w:sz w:val="24"/>
          <w:szCs w:val="24"/>
        </w:rPr>
      </w:pPr>
      <w:r w:rsidRPr="00DB1D7C">
        <w:rPr>
          <w:b/>
          <w:sz w:val="24"/>
          <w:szCs w:val="24"/>
        </w:rPr>
        <w:t>Acknowledgements</w:t>
      </w:r>
    </w:p>
    <w:p w14:paraId="34603D5F" w14:textId="77777777" w:rsidR="00BE261E" w:rsidRPr="00BE261E" w:rsidRDefault="00BE261E" w:rsidP="00BE261E">
      <w:pPr>
        <w:spacing w:line="276" w:lineRule="auto"/>
      </w:pPr>
      <w:r w:rsidRPr="00BE261E">
        <w:t>We are grateful to the University of Southampton and the International Osteoporosis Foundation for their help with the literature searches. The manuscript was appraised by the members of the Committee of Scientific Advisors of the International Osteoporosis Foundation and the National Osteoporosis Guideline Group (UK) and we appreciate their constructive reviews.   We are grateful to the International Osteoporosis Foundation and the National Osteoporosis Guideline Group for their endorsement of this paper.</w:t>
      </w:r>
    </w:p>
    <w:p w14:paraId="6B1F457E" w14:textId="77777777" w:rsidR="00BE261E" w:rsidRPr="00DB1D7C" w:rsidRDefault="00BE261E" w:rsidP="00BE261E">
      <w:pPr>
        <w:spacing w:line="276" w:lineRule="auto"/>
        <w:rPr>
          <w:b/>
          <w:sz w:val="24"/>
          <w:szCs w:val="24"/>
        </w:rPr>
      </w:pPr>
      <w:r w:rsidRPr="00DB1D7C">
        <w:rPr>
          <w:b/>
          <w:sz w:val="24"/>
          <w:szCs w:val="24"/>
        </w:rPr>
        <w:t>Competing interests</w:t>
      </w:r>
    </w:p>
    <w:p w14:paraId="29B9E6C4" w14:textId="77777777" w:rsidR="00BE261E" w:rsidRDefault="00BE261E" w:rsidP="00BE261E">
      <w:pPr>
        <w:spacing w:line="276" w:lineRule="auto"/>
        <w:rPr>
          <w:color w:val="000000"/>
        </w:rPr>
      </w:pPr>
      <w:r w:rsidRPr="00C16783">
        <w:rPr>
          <w:color w:val="000000"/>
        </w:rPr>
        <w:t xml:space="preserve">Professor Kanis led the team that developed FRAX as director of the WHO Collaborating Centre for Metabolic Bone Diseases; he has no financial interest in FRAX. Professors McCloskey, Oden, Harvey and Dr Johansson are members of the FRAX team. Professors Cooper, Kanis, Harvey and McCloskey are members of the </w:t>
      </w:r>
      <w:r>
        <w:rPr>
          <w:color w:val="000000"/>
        </w:rPr>
        <w:t>A</w:t>
      </w:r>
      <w:r w:rsidRPr="00C16783">
        <w:rPr>
          <w:color w:val="000000"/>
        </w:rPr>
        <w:t xml:space="preserve">dvisory </w:t>
      </w:r>
      <w:r>
        <w:rPr>
          <w:color w:val="000000"/>
        </w:rPr>
        <w:t>Board of</w:t>
      </w:r>
      <w:r w:rsidRPr="00C16783">
        <w:rPr>
          <w:color w:val="000000"/>
        </w:rPr>
        <w:t xml:space="preserve"> the National Osteoporosis Guideline Group</w:t>
      </w:r>
      <w:r>
        <w:rPr>
          <w:color w:val="000000"/>
        </w:rPr>
        <w:t>.</w:t>
      </w:r>
      <w:r w:rsidRPr="00C16783">
        <w:rPr>
          <w:color w:val="000000"/>
        </w:rPr>
        <w:t xml:space="preserve"> </w:t>
      </w:r>
      <w:r>
        <w:rPr>
          <w:color w:val="000000"/>
        </w:rPr>
        <w:t xml:space="preserve"> </w:t>
      </w:r>
      <w:r w:rsidRPr="00E04888">
        <w:rPr>
          <w:color w:val="000000"/>
        </w:rPr>
        <w:t xml:space="preserve"> Ken E Poole, Neil Gittoes </w:t>
      </w:r>
      <w:r>
        <w:rPr>
          <w:color w:val="000000"/>
        </w:rPr>
        <w:t>and</w:t>
      </w:r>
      <w:r w:rsidRPr="00E04888">
        <w:rPr>
          <w:color w:val="000000"/>
        </w:rPr>
        <w:t xml:space="preserve"> Sally Hope </w:t>
      </w:r>
      <w:r>
        <w:rPr>
          <w:color w:val="000000"/>
        </w:rPr>
        <w:t>declare no competing interests with respect to this paper.</w:t>
      </w:r>
    </w:p>
    <w:p w14:paraId="21B3B714" w14:textId="77777777" w:rsidR="00BE261E" w:rsidRPr="00BE261E" w:rsidRDefault="00BE261E" w:rsidP="00BE261E">
      <w:pPr>
        <w:spacing w:after="120" w:line="276" w:lineRule="auto"/>
        <w:rPr>
          <w:rFonts w:ascii="Calibri" w:hAnsi="Calibri"/>
          <w:b/>
          <w:sz w:val="24"/>
          <w:szCs w:val="24"/>
        </w:rPr>
      </w:pPr>
      <w:r w:rsidRPr="00BE261E">
        <w:rPr>
          <w:rFonts w:ascii="Calibri" w:hAnsi="Calibri"/>
          <w:b/>
          <w:sz w:val="24"/>
          <w:szCs w:val="24"/>
        </w:rPr>
        <w:t xml:space="preserve">Funding source </w:t>
      </w:r>
    </w:p>
    <w:p w14:paraId="06834ECA" w14:textId="77777777" w:rsidR="00BE261E" w:rsidRPr="00BE261E" w:rsidRDefault="00BE261E" w:rsidP="00BE261E">
      <w:pPr>
        <w:spacing w:after="120" w:line="276" w:lineRule="auto"/>
        <w:rPr>
          <w:rFonts w:ascii="Calibri" w:hAnsi="Calibri"/>
        </w:rPr>
      </w:pPr>
      <w:r w:rsidRPr="00BE261E">
        <w:rPr>
          <w:rFonts w:ascii="Calibri" w:hAnsi="Calibri"/>
        </w:rPr>
        <w:t>None</w:t>
      </w:r>
    </w:p>
    <w:p w14:paraId="2BFF8585" w14:textId="77777777" w:rsidR="00744D36" w:rsidRPr="00DB1D7C" w:rsidRDefault="00744D36" w:rsidP="004B6109">
      <w:pPr>
        <w:spacing w:after="120"/>
        <w:rPr>
          <w:rFonts w:ascii="Calibri" w:hAnsi="Calibri"/>
          <w:b/>
          <w:i/>
          <w:sz w:val="24"/>
          <w:szCs w:val="24"/>
        </w:rPr>
      </w:pPr>
    </w:p>
    <w:p w14:paraId="5E393E53" w14:textId="77777777" w:rsidR="004B6109" w:rsidRPr="00DB1D7C" w:rsidRDefault="004B6109" w:rsidP="004B6109">
      <w:pPr>
        <w:spacing w:after="120"/>
        <w:rPr>
          <w:rFonts w:ascii="Calibri" w:hAnsi="Calibri"/>
        </w:rPr>
      </w:pPr>
    </w:p>
    <w:p w14:paraId="039C3F9E" w14:textId="77777777" w:rsidR="00EE7C4E" w:rsidRPr="00DB1D7C" w:rsidRDefault="00EE7C4E">
      <w:pPr>
        <w:rPr>
          <w:rFonts w:ascii="Calibri" w:hAnsi="Calibri"/>
          <w:b/>
          <w:sz w:val="28"/>
          <w:szCs w:val="28"/>
        </w:rPr>
      </w:pPr>
      <w:r w:rsidRPr="00DB1D7C">
        <w:rPr>
          <w:rFonts w:ascii="Calibri" w:hAnsi="Calibri"/>
          <w:b/>
          <w:sz w:val="28"/>
          <w:szCs w:val="28"/>
        </w:rPr>
        <w:br w:type="page"/>
      </w:r>
    </w:p>
    <w:p w14:paraId="0A2B6984" w14:textId="748DEBCE" w:rsidR="008819A0" w:rsidRPr="00DB1D7C" w:rsidRDefault="008819A0" w:rsidP="008819A0">
      <w:pPr>
        <w:rPr>
          <w:rFonts w:ascii="Calibri" w:hAnsi="Calibri"/>
          <w:b/>
          <w:sz w:val="28"/>
          <w:szCs w:val="28"/>
        </w:rPr>
      </w:pPr>
      <w:r w:rsidRPr="00DB1D7C">
        <w:rPr>
          <w:rFonts w:ascii="Calibri" w:hAnsi="Calibri"/>
          <w:b/>
          <w:sz w:val="28"/>
          <w:szCs w:val="28"/>
        </w:rPr>
        <w:lastRenderedPageBreak/>
        <w:t>References</w:t>
      </w:r>
    </w:p>
    <w:tbl>
      <w:tblPr>
        <w:tblStyle w:val="TableGrid3"/>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7745"/>
      </w:tblGrid>
      <w:tr w:rsidR="00316577" w:rsidRPr="00316577" w14:paraId="588B9B4B" w14:textId="77777777" w:rsidTr="00316577">
        <w:tc>
          <w:tcPr>
            <w:tcW w:w="704" w:type="dxa"/>
          </w:tcPr>
          <w:p w14:paraId="75764C79" w14:textId="77777777" w:rsidR="00316577" w:rsidRPr="00316577" w:rsidRDefault="00316577" w:rsidP="00316577">
            <w:pPr>
              <w:spacing w:before="240"/>
              <w:rPr>
                <w:sz w:val="20"/>
                <w:szCs w:val="20"/>
              </w:rPr>
            </w:pPr>
            <w:r w:rsidRPr="00316577">
              <w:rPr>
                <w:sz w:val="20"/>
                <w:szCs w:val="20"/>
              </w:rPr>
              <w:t>1.</w:t>
            </w:r>
          </w:p>
        </w:tc>
        <w:tc>
          <w:tcPr>
            <w:tcW w:w="7745" w:type="dxa"/>
          </w:tcPr>
          <w:p w14:paraId="5660BEFC" w14:textId="77777777" w:rsidR="00316577" w:rsidRPr="00316577" w:rsidRDefault="00316577" w:rsidP="00316577">
            <w:pPr>
              <w:spacing w:before="240"/>
              <w:rPr>
                <w:sz w:val="20"/>
                <w:szCs w:val="20"/>
              </w:rPr>
            </w:pPr>
            <w:r w:rsidRPr="00316577">
              <w:rPr>
                <w:sz w:val="20"/>
                <w:szCs w:val="20"/>
              </w:rPr>
              <w:t xml:space="preserve">Johnell O, Kanis JA (2006) An estimate of the worldwide prevalence and disability associated with osteoporotic fractures. Osteoporos </w:t>
            </w:r>
            <w:proofErr w:type="spellStart"/>
            <w:r w:rsidRPr="00316577">
              <w:rPr>
                <w:sz w:val="20"/>
                <w:szCs w:val="20"/>
              </w:rPr>
              <w:t>Int</w:t>
            </w:r>
            <w:proofErr w:type="spellEnd"/>
            <w:r w:rsidRPr="00316577">
              <w:rPr>
                <w:sz w:val="20"/>
                <w:szCs w:val="20"/>
              </w:rPr>
              <w:t xml:space="preserve"> 17:1726–1733</w:t>
            </w:r>
          </w:p>
        </w:tc>
      </w:tr>
      <w:tr w:rsidR="00316577" w:rsidRPr="00316577" w14:paraId="12F3EEB7" w14:textId="77777777" w:rsidTr="00316577">
        <w:tc>
          <w:tcPr>
            <w:tcW w:w="704" w:type="dxa"/>
          </w:tcPr>
          <w:p w14:paraId="7ED16C9A" w14:textId="77777777" w:rsidR="00316577" w:rsidRPr="00316577" w:rsidRDefault="00316577" w:rsidP="00316577">
            <w:pPr>
              <w:autoSpaceDE w:val="0"/>
              <w:autoSpaceDN w:val="0"/>
              <w:adjustRightInd w:val="0"/>
              <w:spacing w:before="240"/>
              <w:rPr>
                <w:sz w:val="20"/>
                <w:szCs w:val="20"/>
              </w:rPr>
            </w:pPr>
            <w:r w:rsidRPr="00316577">
              <w:rPr>
                <w:sz w:val="20"/>
                <w:szCs w:val="20"/>
              </w:rPr>
              <w:t>2.</w:t>
            </w:r>
          </w:p>
        </w:tc>
        <w:tc>
          <w:tcPr>
            <w:tcW w:w="7745" w:type="dxa"/>
          </w:tcPr>
          <w:p w14:paraId="4340406A" w14:textId="77777777" w:rsidR="00316577" w:rsidRPr="00316577" w:rsidRDefault="00316577" w:rsidP="00316577">
            <w:pPr>
              <w:autoSpaceDE w:val="0"/>
              <w:autoSpaceDN w:val="0"/>
              <w:adjustRightInd w:val="0"/>
              <w:spacing w:before="240"/>
              <w:rPr>
                <w:sz w:val="20"/>
                <w:szCs w:val="20"/>
              </w:rPr>
            </w:pPr>
            <w:r w:rsidRPr="00316577">
              <w:rPr>
                <w:sz w:val="20"/>
                <w:szCs w:val="20"/>
              </w:rPr>
              <w:t xml:space="preserve">Hernlund E, Svedbom A, </w:t>
            </w:r>
            <w:proofErr w:type="spellStart"/>
            <w:r w:rsidRPr="00316577">
              <w:rPr>
                <w:sz w:val="20"/>
                <w:szCs w:val="20"/>
              </w:rPr>
              <w:t>Ivergård</w:t>
            </w:r>
            <w:proofErr w:type="spellEnd"/>
            <w:r w:rsidRPr="00316577">
              <w:rPr>
                <w:sz w:val="20"/>
                <w:szCs w:val="20"/>
              </w:rPr>
              <w:t xml:space="preserve"> M et al (2013) Osteoporosis in the European Union: Medical Management, Epidemiology and Economic Burden. A report prepared in collaboration with the International Osteoporosis Foundation (IOF) and the European Federation of Pharmaceutical Industry Associations (EFPIA). Arch Osteoporos 8: 136.</w:t>
            </w:r>
          </w:p>
        </w:tc>
      </w:tr>
      <w:tr w:rsidR="00316577" w:rsidRPr="00316577" w14:paraId="2330AC70" w14:textId="77777777" w:rsidTr="00316577">
        <w:tc>
          <w:tcPr>
            <w:tcW w:w="704" w:type="dxa"/>
          </w:tcPr>
          <w:p w14:paraId="33198B8B" w14:textId="77777777" w:rsidR="00316577" w:rsidRPr="00316577" w:rsidRDefault="00316577" w:rsidP="00316577">
            <w:pPr>
              <w:spacing w:before="240"/>
              <w:rPr>
                <w:sz w:val="20"/>
                <w:szCs w:val="20"/>
              </w:rPr>
            </w:pPr>
            <w:r w:rsidRPr="00316577">
              <w:rPr>
                <w:sz w:val="20"/>
                <w:szCs w:val="20"/>
              </w:rPr>
              <w:t>3.</w:t>
            </w:r>
          </w:p>
        </w:tc>
        <w:tc>
          <w:tcPr>
            <w:tcW w:w="7745" w:type="dxa"/>
          </w:tcPr>
          <w:p w14:paraId="760B1BA6" w14:textId="77777777" w:rsidR="00316577" w:rsidRPr="00316577" w:rsidRDefault="00316577" w:rsidP="00316577">
            <w:pPr>
              <w:spacing w:before="240"/>
              <w:rPr>
                <w:sz w:val="20"/>
                <w:szCs w:val="20"/>
              </w:rPr>
            </w:pPr>
            <w:r w:rsidRPr="00316577">
              <w:rPr>
                <w:sz w:val="20"/>
                <w:szCs w:val="20"/>
              </w:rPr>
              <w:t>Kanis JA, Borgström F,  Compston J et al  (2013) SCOPE: a scorecard for osteoporosis in Europe. Arch Osteoporos  8:144.</w:t>
            </w:r>
          </w:p>
        </w:tc>
      </w:tr>
      <w:tr w:rsidR="00316577" w:rsidRPr="00316577" w14:paraId="24B8349C" w14:textId="77777777" w:rsidTr="00316577">
        <w:tc>
          <w:tcPr>
            <w:tcW w:w="704" w:type="dxa"/>
          </w:tcPr>
          <w:p w14:paraId="1D54055A" w14:textId="77777777" w:rsidR="00316577" w:rsidRPr="00316577" w:rsidRDefault="00316577" w:rsidP="00316577">
            <w:pPr>
              <w:autoSpaceDE w:val="0"/>
              <w:autoSpaceDN w:val="0"/>
              <w:adjustRightInd w:val="0"/>
              <w:spacing w:before="240"/>
              <w:rPr>
                <w:iCs/>
                <w:sz w:val="20"/>
                <w:szCs w:val="20"/>
              </w:rPr>
            </w:pPr>
            <w:r w:rsidRPr="00316577">
              <w:rPr>
                <w:iCs/>
                <w:sz w:val="20"/>
                <w:szCs w:val="20"/>
              </w:rPr>
              <w:t>4.</w:t>
            </w:r>
          </w:p>
        </w:tc>
        <w:tc>
          <w:tcPr>
            <w:tcW w:w="7745" w:type="dxa"/>
          </w:tcPr>
          <w:p w14:paraId="3B5E1E2B" w14:textId="77777777" w:rsidR="00316577" w:rsidRPr="00316577" w:rsidRDefault="00316577" w:rsidP="00316577">
            <w:pPr>
              <w:autoSpaceDE w:val="0"/>
              <w:autoSpaceDN w:val="0"/>
              <w:adjustRightInd w:val="0"/>
              <w:spacing w:before="240"/>
              <w:rPr>
                <w:iCs/>
                <w:sz w:val="20"/>
                <w:szCs w:val="20"/>
              </w:rPr>
            </w:pPr>
            <w:r w:rsidRPr="00316577">
              <w:rPr>
                <w:iCs/>
                <w:sz w:val="20"/>
                <w:szCs w:val="20"/>
              </w:rPr>
              <w:t xml:space="preserve">Elliot-Gibson V, </w:t>
            </w:r>
            <w:proofErr w:type="spellStart"/>
            <w:r w:rsidRPr="00316577">
              <w:rPr>
                <w:iCs/>
                <w:sz w:val="20"/>
                <w:szCs w:val="20"/>
              </w:rPr>
              <w:t>Bogoch</w:t>
            </w:r>
            <w:proofErr w:type="spellEnd"/>
            <w:r w:rsidRPr="00316577">
              <w:rPr>
                <w:iCs/>
                <w:sz w:val="20"/>
                <w:szCs w:val="20"/>
              </w:rPr>
              <w:t xml:space="preserve"> ER, Jamal SA, Beaton DE (2004) Practice patterns in the diagnosis and treatment of osteoporosis after a fragility fracture: a systematic review. Osteoporos </w:t>
            </w:r>
            <w:proofErr w:type="spellStart"/>
            <w:r w:rsidRPr="00316577">
              <w:rPr>
                <w:iCs/>
                <w:sz w:val="20"/>
                <w:szCs w:val="20"/>
              </w:rPr>
              <w:t>Int</w:t>
            </w:r>
            <w:proofErr w:type="spellEnd"/>
            <w:r w:rsidRPr="00316577">
              <w:rPr>
                <w:iCs/>
                <w:sz w:val="20"/>
                <w:szCs w:val="20"/>
              </w:rPr>
              <w:t xml:space="preserve"> 15:767-778</w:t>
            </w:r>
          </w:p>
        </w:tc>
      </w:tr>
      <w:tr w:rsidR="00316577" w:rsidRPr="00316577" w14:paraId="4B318B6C" w14:textId="77777777" w:rsidTr="00316577">
        <w:tc>
          <w:tcPr>
            <w:tcW w:w="704" w:type="dxa"/>
          </w:tcPr>
          <w:p w14:paraId="49C7081B" w14:textId="77777777" w:rsidR="00316577" w:rsidRPr="00316577" w:rsidRDefault="00316577" w:rsidP="00316577">
            <w:pPr>
              <w:spacing w:before="240"/>
              <w:rPr>
                <w:sz w:val="20"/>
                <w:szCs w:val="20"/>
              </w:rPr>
            </w:pPr>
            <w:r w:rsidRPr="00316577">
              <w:rPr>
                <w:sz w:val="20"/>
                <w:szCs w:val="20"/>
              </w:rPr>
              <w:t>5.</w:t>
            </w:r>
          </w:p>
        </w:tc>
        <w:tc>
          <w:tcPr>
            <w:tcW w:w="7745" w:type="dxa"/>
          </w:tcPr>
          <w:p w14:paraId="738EDFED" w14:textId="77777777" w:rsidR="00316577" w:rsidRPr="00316577" w:rsidRDefault="00316577" w:rsidP="00316577">
            <w:pPr>
              <w:spacing w:before="240"/>
              <w:rPr>
                <w:sz w:val="20"/>
                <w:szCs w:val="20"/>
              </w:rPr>
            </w:pPr>
            <w:r w:rsidRPr="00316577">
              <w:rPr>
                <w:sz w:val="20"/>
                <w:szCs w:val="20"/>
              </w:rPr>
              <w:t>Kanis JA (2002) Diagnosis of osteoporosis and assessment of fracture risk. Lancet 359: 1929-36.</w:t>
            </w:r>
          </w:p>
        </w:tc>
      </w:tr>
      <w:tr w:rsidR="00316577" w:rsidRPr="00316577" w14:paraId="3242170A" w14:textId="77777777" w:rsidTr="00316577">
        <w:tc>
          <w:tcPr>
            <w:tcW w:w="704" w:type="dxa"/>
          </w:tcPr>
          <w:p w14:paraId="46BE7FAE" w14:textId="77777777" w:rsidR="00316577" w:rsidRPr="00316577" w:rsidRDefault="00316577" w:rsidP="00316577">
            <w:pPr>
              <w:autoSpaceDE w:val="0"/>
              <w:autoSpaceDN w:val="0"/>
              <w:adjustRightInd w:val="0"/>
              <w:spacing w:before="240"/>
              <w:rPr>
                <w:sz w:val="20"/>
                <w:szCs w:val="20"/>
              </w:rPr>
            </w:pPr>
            <w:r w:rsidRPr="00316577">
              <w:rPr>
                <w:sz w:val="20"/>
                <w:szCs w:val="20"/>
              </w:rPr>
              <w:t>6.</w:t>
            </w:r>
          </w:p>
        </w:tc>
        <w:tc>
          <w:tcPr>
            <w:tcW w:w="7745" w:type="dxa"/>
          </w:tcPr>
          <w:p w14:paraId="15352110" w14:textId="77777777" w:rsidR="00316577" w:rsidRPr="00316577" w:rsidRDefault="00316577" w:rsidP="00316577">
            <w:pPr>
              <w:autoSpaceDE w:val="0"/>
              <w:autoSpaceDN w:val="0"/>
              <w:adjustRightInd w:val="0"/>
              <w:spacing w:before="240"/>
              <w:rPr>
                <w:sz w:val="20"/>
                <w:szCs w:val="20"/>
              </w:rPr>
            </w:pPr>
            <w:r w:rsidRPr="00316577">
              <w:rPr>
                <w:sz w:val="20"/>
                <w:szCs w:val="20"/>
              </w:rPr>
              <w:t xml:space="preserve">Hui SL, </w:t>
            </w:r>
            <w:proofErr w:type="spellStart"/>
            <w:r w:rsidRPr="00316577">
              <w:rPr>
                <w:sz w:val="20"/>
                <w:szCs w:val="20"/>
              </w:rPr>
              <w:t>Slemenda</w:t>
            </w:r>
            <w:proofErr w:type="spellEnd"/>
            <w:r w:rsidRPr="00316577">
              <w:rPr>
                <w:sz w:val="20"/>
                <w:szCs w:val="20"/>
              </w:rPr>
              <w:t xml:space="preserve"> CW, Johnston CC, Jr (1988) Age and bone mass as predictors of fracture in a prospective study. J </w:t>
            </w:r>
            <w:proofErr w:type="spellStart"/>
            <w:r w:rsidRPr="00316577">
              <w:rPr>
                <w:sz w:val="20"/>
                <w:szCs w:val="20"/>
              </w:rPr>
              <w:t>Clin</w:t>
            </w:r>
            <w:proofErr w:type="spellEnd"/>
            <w:r w:rsidRPr="00316577">
              <w:rPr>
                <w:sz w:val="20"/>
                <w:szCs w:val="20"/>
              </w:rPr>
              <w:t xml:space="preserve"> Invest 81: 1804-9.</w:t>
            </w:r>
          </w:p>
        </w:tc>
      </w:tr>
      <w:tr w:rsidR="00316577" w:rsidRPr="00316577" w14:paraId="6ADA9D12" w14:textId="77777777" w:rsidTr="00316577">
        <w:tc>
          <w:tcPr>
            <w:tcW w:w="704" w:type="dxa"/>
          </w:tcPr>
          <w:p w14:paraId="2C7AA543" w14:textId="77777777" w:rsidR="00316577" w:rsidRPr="00316577" w:rsidRDefault="00316577" w:rsidP="00316577">
            <w:pPr>
              <w:spacing w:before="240"/>
              <w:rPr>
                <w:sz w:val="20"/>
                <w:szCs w:val="20"/>
              </w:rPr>
            </w:pPr>
            <w:r w:rsidRPr="00316577">
              <w:rPr>
                <w:sz w:val="20"/>
                <w:szCs w:val="20"/>
              </w:rPr>
              <w:t>7.</w:t>
            </w:r>
          </w:p>
        </w:tc>
        <w:tc>
          <w:tcPr>
            <w:tcW w:w="7745" w:type="dxa"/>
          </w:tcPr>
          <w:p w14:paraId="7822D1E1" w14:textId="77777777" w:rsidR="00316577" w:rsidRPr="00316577" w:rsidRDefault="00316577" w:rsidP="00316577">
            <w:pPr>
              <w:spacing w:before="240"/>
              <w:rPr>
                <w:sz w:val="20"/>
                <w:szCs w:val="20"/>
              </w:rPr>
            </w:pPr>
            <w:r w:rsidRPr="00316577">
              <w:rPr>
                <w:sz w:val="20"/>
                <w:szCs w:val="20"/>
              </w:rPr>
              <w:t xml:space="preserve">Kanis JA, Johnell O, Oden A, Dawson A, De </w:t>
            </w:r>
            <w:proofErr w:type="spellStart"/>
            <w:r w:rsidRPr="00316577">
              <w:rPr>
                <w:sz w:val="20"/>
                <w:szCs w:val="20"/>
              </w:rPr>
              <w:t>Laet</w:t>
            </w:r>
            <w:proofErr w:type="spellEnd"/>
            <w:r w:rsidRPr="00316577">
              <w:rPr>
                <w:sz w:val="20"/>
                <w:szCs w:val="20"/>
              </w:rPr>
              <w:t xml:space="preserve"> C, </w:t>
            </w:r>
            <w:proofErr w:type="spellStart"/>
            <w:r w:rsidRPr="00316577">
              <w:rPr>
                <w:sz w:val="20"/>
                <w:szCs w:val="20"/>
              </w:rPr>
              <w:t>Jonsson</w:t>
            </w:r>
            <w:proofErr w:type="spellEnd"/>
            <w:r w:rsidRPr="00316577">
              <w:rPr>
                <w:sz w:val="20"/>
                <w:szCs w:val="20"/>
              </w:rPr>
              <w:t xml:space="preserve"> B (2001) Ten year probabilities of osteoporotic fractures according to BMD and diagnostic thresholds. Osteoporosis International 12; 989-995.</w:t>
            </w:r>
          </w:p>
        </w:tc>
      </w:tr>
      <w:tr w:rsidR="00316577" w:rsidRPr="00316577" w14:paraId="7E348AAA" w14:textId="77777777" w:rsidTr="00316577">
        <w:tc>
          <w:tcPr>
            <w:tcW w:w="704" w:type="dxa"/>
          </w:tcPr>
          <w:p w14:paraId="5FC8B0F3" w14:textId="77777777" w:rsidR="00316577" w:rsidRPr="00316577" w:rsidRDefault="00316577" w:rsidP="00316577">
            <w:pPr>
              <w:spacing w:before="240"/>
              <w:rPr>
                <w:sz w:val="20"/>
                <w:szCs w:val="20"/>
              </w:rPr>
            </w:pPr>
            <w:r w:rsidRPr="00316577">
              <w:rPr>
                <w:sz w:val="20"/>
                <w:szCs w:val="20"/>
              </w:rPr>
              <w:t>8.</w:t>
            </w:r>
          </w:p>
        </w:tc>
        <w:tc>
          <w:tcPr>
            <w:tcW w:w="7745" w:type="dxa"/>
          </w:tcPr>
          <w:p w14:paraId="31394C65" w14:textId="77777777" w:rsidR="00316577" w:rsidRPr="00316577" w:rsidRDefault="00316577" w:rsidP="00316577">
            <w:pPr>
              <w:spacing w:before="240"/>
              <w:rPr>
                <w:sz w:val="20"/>
                <w:szCs w:val="20"/>
              </w:rPr>
            </w:pPr>
            <w:r w:rsidRPr="00316577">
              <w:rPr>
                <w:sz w:val="20"/>
                <w:szCs w:val="20"/>
              </w:rPr>
              <w:t xml:space="preserve">Kanis JA, on behalf of the World Health Organization Scientific Group (2007) Assessment of osteoporosis at the primary health-care level. Technical Report. World Health Organization Collaborating Centre for Metabolic Bone Diseases, University of Sheffield. Accessed </w:t>
            </w:r>
            <w:hyperlink r:id="rId44" w:history="1">
              <w:r w:rsidRPr="00316577">
                <w:rPr>
                  <w:color w:val="0563C1" w:themeColor="hyperlink"/>
                  <w:u w:val="single"/>
                </w:rPr>
                <w:t>https://www.shef.ac.uk/FRAX/reference.aspx</w:t>
              </w:r>
            </w:hyperlink>
            <w:r w:rsidRPr="00316577">
              <w:rPr>
                <w:sz w:val="20"/>
                <w:szCs w:val="20"/>
              </w:rPr>
              <w:t xml:space="preserve"> 14 July 2015 </w:t>
            </w:r>
          </w:p>
        </w:tc>
      </w:tr>
      <w:tr w:rsidR="00316577" w:rsidRPr="00316577" w14:paraId="1A53609E" w14:textId="77777777" w:rsidTr="00316577">
        <w:tc>
          <w:tcPr>
            <w:tcW w:w="704" w:type="dxa"/>
          </w:tcPr>
          <w:p w14:paraId="40B8A301" w14:textId="77777777" w:rsidR="00316577" w:rsidRPr="00316577" w:rsidRDefault="00316577" w:rsidP="00316577">
            <w:pPr>
              <w:autoSpaceDE w:val="0"/>
              <w:autoSpaceDN w:val="0"/>
              <w:adjustRightInd w:val="0"/>
              <w:spacing w:before="240"/>
              <w:rPr>
                <w:sz w:val="20"/>
                <w:szCs w:val="20"/>
              </w:rPr>
            </w:pPr>
            <w:r w:rsidRPr="00316577">
              <w:rPr>
                <w:sz w:val="20"/>
                <w:szCs w:val="20"/>
              </w:rPr>
              <w:t>9.</w:t>
            </w:r>
          </w:p>
        </w:tc>
        <w:tc>
          <w:tcPr>
            <w:tcW w:w="7745" w:type="dxa"/>
          </w:tcPr>
          <w:p w14:paraId="065231F6" w14:textId="77777777" w:rsidR="00316577" w:rsidRPr="00316577" w:rsidRDefault="00316577" w:rsidP="00316577">
            <w:pPr>
              <w:autoSpaceDE w:val="0"/>
              <w:autoSpaceDN w:val="0"/>
              <w:adjustRightInd w:val="0"/>
              <w:spacing w:before="240"/>
              <w:rPr>
                <w:sz w:val="20"/>
                <w:szCs w:val="20"/>
              </w:rPr>
            </w:pPr>
            <w:proofErr w:type="spellStart"/>
            <w:r w:rsidRPr="00316577">
              <w:rPr>
                <w:sz w:val="20"/>
                <w:szCs w:val="20"/>
              </w:rPr>
              <w:t>Hippisley</w:t>
            </w:r>
            <w:proofErr w:type="spellEnd"/>
            <w:r w:rsidRPr="00316577">
              <w:rPr>
                <w:sz w:val="20"/>
                <w:szCs w:val="20"/>
              </w:rPr>
              <w:t xml:space="preserve">-Cox J, </w:t>
            </w:r>
            <w:proofErr w:type="spellStart"/>
            <w:r w:rsidRPr="00316577">
              <w:rPr>
                <w:sz w:val="20"/>
                <w:szCs w:val="20"/>
              </w:rPr>
              <w:t>Coupland</w:t>
            </w:r>
            <w:proofErr w:type="spellEnd"/>
            <w:r w:rsidRPr="00316577">
              <w:rPr>
                <w:sz w:val="20"/>
                <w:szCs w:val="20"/>
              </w:rPr>
              <w:t xml:space="preserve"> C (2012) Derivation and validation of updated QFracture algorithm to predict risk of osteoporotic fracture in primary care in the United Kingdom: prospective open cohort study. BMJ 344:e3427. </w:t>
            </w:r>
            <w:proofErr w:type="spellStart"/>
            <w:r w:rsidRPr="00316577">
              <w:rPr>
                <w:sz w:val="20"/>
                <w:szCs w:val="20"/>
              </w:rPr>
              <w:t>doi</w:t>
            </w:r>
            <w:proofErr w:type="spellEnd"/>
            <w:r w:rsidRPr="00316577">
              <w:rPr>
                <w:sz w:val="20"/>
                <w:szCs w:val="20"/>
              </w:rPr>
              <w:t>: 10.1136/bmj.e3427</w:t>
            </w:r>
          </w:p>
        </w:tc>
      </w:tr>
      <w:tr w:rsidR="00316577" w:rsidRPr="00316577" w14:paraId="6E2E6852" w14:textId="77777777" w:rsidTr="00316577">
        <w:tc>
          <w:tcPr>
            <w:tcW w:w="704" w:type="dxa"/>
          </w:tcPr>
          <w:p w14:paraId="0BAE545C" w14:textId="77777777" w:rsidR="00316577" w:rsidRPr="00316577" w:rsidRDefault="00316577" w:rsidP="00316577">
            <w:pPr>
              <w:spacing w:before="240"/>
              <w:rPr>
                <w:sz w:val="20"/>
                <w:szCs w:val="20"/>
              </w:rPr>
            </w:pPr>
            <w:r w:rsidRPr="00316577">
              <w:rPr>
                <w:sz w:val="20"/>
                <w:szCs w:val="20"/>
              </w:rPr>
              <w:t>10.</w:t>
            </w:r>
          </w:p>
        </w:tc>
        <w:tc>
          <w:tcPr>
            <w:tcW w:w="7745" w:type="dxa"/>
          </w:tcPr>
          <w:p w14:paraId="39E7016C" w14:textId="77777777" w:rsidR="00316577" w:rsidRPr="00316577" w:rsidRDefault="00316577" w:rsidP="00316577">
            <w:pPr>
              <w:spacing w:before="240"/>
              <w:rPr>
                <w:sz w:val="20"/>
                <w:szCs w:val="20"/>
              </w:rPr>
            </w:pPr>
            <w:r w:rsidRPr="00316577">
              <w:rPr>
                <w:sz w:val="20"/>
                <w:szCs w:val="20"/>
              </w:rPr>
              <w:t xml:space="preserve">Nguyen ND, Frost SA, </w:t>
            </w:r>
            <w:proofErr w:type="spellStart"/>
            <w:r w:rsidRPr="00316577">
              <w:rPr>
                <w:sz w:val="20"/>
                <w:szCs w:val="20"/>
              </w:rPr>
              <w:t>Center</w:t>
            </w:r>
            <w:proofErr w:type="spellEnd"/>
            <w:r w:rsidRPr="00316577">
              <w:rPr>
                <w:sz w:val="20"/>
                <w:szCs w:val="20"/>
              </w:rPr>
              <w:t xml:space="preserve"> JR, </w:t>
            </w:r>
            <w:proofErr w:type="spellStart"/>
            <w:r w:rsidRPr="00316577">
              <w:rPr>
                <w:sz w:val="20"/>
                <w:szCs w:val="20"/>
              </w:rPr>
              <w:t>Eisman</w:t>
            </w:r>
            <w:proofErr w:type="spellEnd"/>
            <w:r w:rsidRPr="00316577">
              <w:rPr>
                <w:sz w:val="20"/>
                <w:szCs w:val="20"/>
              </w:rPr>
              <w:t xml:space="preserve"> JA, Nguyen TV (2008) Development of prognostic nomograms for individualizing 5-year and 10-year fracture risks. Osteoporos </w:t>
            </w:r>
            <w:proofErr w:type="spellStart"/>
            <w:r w:rsidRPr="00316577">
              <w:rPr>
                <w:sz w:val="20"/>
                <w:szCs w:val="20"/>
              </w:rPr>
              <w:t>Int</w:t>
            </w:r>
            <w:proofErr w:type="spellEnd"/>
            <w:r w:rsidRPr="00316577">
              <w:rPr>
                <w:sz w:val="20"/>
                <w:szCs w:val="20"/>
              </w:rPr>
              <w:t xml:space="preserve"> 19:1431–1444</w:t>
            </w:r>
          </w:p>
        </w:tc>
      </w:tr>
      <w:tr w:rsidR="00316577" w:rsidRPr="00316577" w14:paraId="256E780E" w14:textId="77777777" w:rsidTr="00316577">
        <w:tc>
          <w:tcPr>
            <w:tcW w:w="704" w:type="dxa"/>
          </w:tcPr>
          <w:p w14:paraId="0564F4B3" w14:textId="77777777" w:rsidR="00316577" w:rsidRPr="00316577" w:rsidRDefault="00316577" w:rsidP="00316577">
            <w:pPr>
              <w:spacing w:before="240"/>
              <w:rPr>
                <w:sz w:val="20"/>
                <w:szCs w:val="20"/>
              </w:rPr>
            </w:pPr>
            <w:r w:rsidRPr="00316577">
              <w:rPr>
                <w:sz w:val="20"/>
                <w:szCs w:val="20"/>
              </w:rPr>
              <w:t>11.</w:t>
            </w:r>
          </w:p>
        </w:tc>
        <w:tc>
          <w:tcPr>
            <w:tcW w:w="7745" w:type="dxa"/>
          </w:tcPr>
          <w:p w14:paraId="0D0C2184" w14:textId="77777777" w:rsidR="00316577" w:rsidRPr="00316577" w:rsidRDefault="00316577" w:rsidP="00316577">
            <w:pPr>
              <w:spacing w:before="240"/>
              <w:rPr>
                <w:sz w:val="20"/>
                <w:szCs w:val="20"/>
              </w:rPr>
            </w:pPr>
            <w:r w:rsidRPr="00316577">
              <w:rPr>
                <w:sz w:val="20"/>
                <w:szCs w:val="20"/>
              </w:rPr>
              <w:t>National Institute for Health and Care Excellence (2014) NICE Clinical Guideline 146.  Osteoporosis: assessing the risk of fragility fracture. London, UK. https://www.nice.org.uk/guidance/cg146, Accessed18 May 2015</w:t>
            </w:r>
          </w:p>
        </w:tc>
      </w:tr>
      <w:tr w:rsidR="00316577" w:rsidRPr="00316577" w14:paraId="3997F4BC" w14:textId="77777777" w:rsidTr="00316577">
        <w:tc>
          <w:tcPr>
            <w:tcW w:w="704" w:type="dxa"/>
          </w:tcPr>
          <w:p w14:paraId="1A008648" w14:textId="77777777" w:rsidR="00316577" w:rsidRPr="00316577" w:rsidRDefault="00316577" w:rsidP="00316577">
            <w:pPr>
              <w:spacing w:before="240"/>
              <w:rPr>
                <w:sz w:val="20"/>
                <w:szCs w:val="20"/>
              </w:rPr>
            </w:pPr>
            <w:r w:rsidRPr="00316577">
              <w:rPr>
                <w:sz w:val="20"/>
                <w:szCs w:val="20"/>
              </w:rPr>
              <w:t>12.</w:t>
            </w:r>
          </w:p>
        </w:tc>
        <w:tc>
          <w:tcPr>
            <w:tcW w:w="7745" w:type="dxa"/>
          </w:tcPr>
          <w:p w14:paraId="212C3FCA" w14:textId="77777777" w:rsidR="00316577" w:rsidRPr="00316577" w:rsidRDefault="00316577" w:rsidP="00316577">
            <w:pPr>
              <w:spacing w:before="240"/>
              <w:rPr>
                <w:sz w:val="20"/>
                <w:szCs w:val="20"/>
              </w:rPr>
            </w:pPr>
            <w:r w:rsidRPr="00316577">
              <w:rPr>
                <w:sz w:val="20"/>
                <w:szCs w:val="20"/>
              </w:rPr>
              <w:t xml:space="preserve">Collins GS, Mallett S, Altman DG (2011) Predicting risk of osteoporotic and hip fracture in the United Kingdom: Prospective independent and external validation of </w:t>
            </w:r>
            <w:proofErr w:type="spellStart"/>
            <w:r w:rsidRPr="00316577">
              <w:rPr>
                <w:sz w:val="20"/>
                <w:szCs w:val="20"/>
              </w:rPr>
              <w:t>QFractureScores</w:t>
            </w:r>
            <w:proofErr w:type="spellEnd"/>
            <w:r w:rsidRPr="00316577">
              <w:rPr>
                <w:sz w:val="20"/>
                <w:szCs w:val="20"/>
              </w:rPr>
              <w:t>. BMJ 342:d3651</w:t>
            </w:r>
          </w:p>
        </w:tc>
      </w:tr>
      <w:tr w:rsidR="00316577" w:rsidRPr="00316577" w14:paraId="67346A37" w14:textId="77777777" w:rsidTr="00316577">
        <w:tc>
          <w:tcPr>
            <w:tcW w:w="704" w:type="dxa"/>
          </w:tcPr>
          <w:p w14:paraId="1594ADA9" w14:textId="77777777" w:rsidR="00316577" w:rsidRPr="00316577" w:rsidRDefault="00316577" w:rsidP="00316577">
            <w:pPr>
              <w:spacing w:before="240"/>
              <w:rPr>
                <w:sz w:val="20"/>
                <w:szCs w:val="20"/>
              </w:rPr>
            </w:pPr>
            <w:r w:rsidRPr="00316577">
              <w:rPr>
                <w:sz w:val="20"/>
                <w:szCs w:val="20"/>
              </w:rPr>
              <w:t>13.</w:t>
            </w:r>
          </w:p>
        </w:tc>
        <w:tc>
          <w:tcPr>
            <w:tcW w:w="7745" w:type="dxa"/>
          </w:tcPr>
          <w:p w14:paraId="03D6EC50" w14:textId="1A16DD21" w:rsidR="00316577" w:rsidRPr="00316577" w:rsidRDefault="00316577" w:rsidP="00F71248">
            <w:pPr>
              <w:spacing w:before="240"/>
              <w:rPr>
                <w:sz w:val="20"/>
                <w:szCs w:val="20"/>
              </w:rPr>
            </w:pPr>
            <w:r w:rsidRPr="00F71248">
              <w:rPr>
                <w:sz w:val="20"/>
                <w:szCs w:val="20"/>
              </w:rPr>
              <w:t>Kanis JA, Compston J, Cooper C et al (201</w:t>
            </w:r>
            <w:r w:rsidR="00F71248" w:rsidRPr="00F71248">
              <w:rPr>
                <w:sz w:val="20"/>
                <w:szCs w:val="20"/>
              </w:rPr>
              <w:t>6</w:t>
            </w:r>
            <w:r w:rsidRPr="00F71248">
              <w:rPr>
                <w:sz w:val="20"/>
                <w:szCs w:val="20"/>
              </w:rPr>
              <w:t xml:space="preserve">) SIGN guidelines for Scotland.  BMD vs. FRAX vs. QFracture.  </w:t>
            </w:r>
            <w:proofErr w:type="spellStart"/>
            <w:r w:rsidRPr="00F71248">
              <w:rPr>
                <w:sz w:val="20"/>
                <w:szCs w:val="20"/>
              </w:rPr>
              <w:t>Calcif</w:t>
            </w:r>
            <w:proofErr w:type="spellEnd"/>
            <w:r w:rsidRPr="00F71248">
              <w:rPr>
                <w:sz w:val="20"/>
                <w:szCs w:val="20"/>
              </w:rPr>
              <w:t xml:space="preserve"> Tissue </w:t>
            </w:r>
            <w:proofErr w:type="spellStart"/>
            <w:r w:rsidRPr="00F71248">
              <w:rPr>
                <w:sz w:val="20"/>
                <w:szCs w:val="20"/>
              </w:rPr>
              <w:t>Int</w:t>
            </w:r>
            <w:proofErr w:type="spellEnd"/>
            <w:r w:rsidRPr="00F71248">
              <w:rPr>
                <w:sz w:val="20"/>
                <w:szCs w:val="20"/>
              </w:rPr>
              <w:t xml:space="preserve"> </w:t>
            </w:r>
            <w:r w:rsidR="009251FF" w:rsidRPr="00F71248">
              <w:rPr>
                <w:sz w:val="20"/>
                <w:szCs w:val="20"/>
              </w:rPr>
              <w:t>98</w:t>
            </w:r>
            <w:r w:rsidR="00F71248" w:rsidRPr="00F71248">
              <w:rPr>
                <w:sz w:val="20"/>
                <w:szCs w:val="20"/>
              </w:rPr>
              <w:t xml:space="preserve">: </w:t>
            </w:r>
            <w:r w:rsidR="009251FF" w:rsidRPr="00F71248">
              <w:rPr>
                <w:sz w:val="20"/>
                <w:szCs w:val="20"/>
              </w:rPr>
              <w:t>417-25</w:t>
            </w:r>
          </w:p>
        </w:tc>
      </w:tr>
      <w:tr w:rsidR="00316577" w:rsidRPr="00316577" w14:paraId="567F7402" w14:textId="77777777" w:rsidTr="00316577">
        <w:tc>
          <w:tcPr>
            <w:tcW w:w="704" w:type="dxa"/>
          </w:tcPr>
          <w:p w14:paraId="60DB9FD0" w14:textId="77777777" w:rsidR="00316577" w:rsidRPr="00316577" w:rsidRDefault="00316577" w:rsidP="00316577">
            <w:pPr>
              <w:spacing w:before="240"/>
              <w:rPr>
                <w:sz w:val="20"/>
                <w:szCs w:val="20"/>
              </w:rPr>
            </w:pPr>
            <w:r w:rsidRPr="00316577">
              <w:rPr>
                <w:sz w:val="20"/>
                <w:szCs w:val="20"/>
              </w:rPr>
              <w:t>14.</w:t>
            </w:r>
          </w:p>
        </w:tc>
        <w:tc>
          <w:tcPr>
            <w:tcW w:w="7745" w:type="dxa"/>
          </w:tcPr>
          <w:p w14:paraId="648ED49D" w14:textId="77777777" w:rsidR="00316577" w:rsidRPr="00316577" w:rsidRDefault="00316577" w:rsidP="00316577">
            <w:pPr>
              <w:spacing w:before="240"/>
              <w:rPr>
                <w:sz w:val="20"/>
                <w:szCs w:val="20"/>
              </w:rPr>
            </w:pPr>
            <w:r w:rsidRPr="00316577">
              <w:rPr>
                <w:sz w:val="20"/>
                <w:szCs w:val="20"/>
              </w:rPr>
              <w:t xml:space="preserve">Kanis JA, Oden A, Johnell O, Johansson H, De </w:t>
            </w:r>
            <w:proofErr w:type="spellStart"/>
            <w:r w:rsidRPr="00316577">
              <w:rPr>
                <w:sz w:val="20"/>
                <w:szCs w:val="20"/>
              </w:rPr>
              <w:t>Laet</w:t>
            </w:r>
            <w:proofErr w:type="spellEnd"/>
            <w:r w:rsidRPr="00316577">
              <w:rPr>
                <w:sz w:val="20"/>
                <w:szCs w:val="20"/>
              </w:rPr>
              <w:t xml:space="preserve"> C, Brown J, et al (2007) The use of clinical risk factors enhances the performance of BMD in the prediction of hip and osteoporotic fractures in men and women. Osteoporos </w:t>
            </w:r>
            <w:proofErr w:type="spellStart"/>
            <w:r w:rsidRPr="00316577">
              <w:rPr>
                <w:sz w:val="20"/>
                <w:szCs w:val="20"/>
              </w:rPr>
              <w:t>Int</w:t>
            </w:r>
            <w:proofErr w:type="spellEnd"/>
            <w:r w:rsidRPr="00316577">
              <w:rPr>
                <w:sz w:val="20"/>
                <w:szCs w:val="20"/>
              </w:rPr>
              <w:t xml:space="preserve"> 18: 1033-46.</w:t>
            </w:r>
          </w:p>
        </w:tc>
      </w:tr>
      <w:tr w:rsidR="00316577" w:rsidRPr="00316577" w14:paraId="4C507D02" w14:textId="77777777" w:rsidTr="00316577">
        <w:tc>
          <w:tcPr>
            <w:tcW w:w="704" w:type="dxa"/>
          </w:tcPr>
          <w:p w14:paraId="72925CEC" w14:textId="77777777" w:rsidR="00316577" w:rsidRPr="00316577" w:rsidRDefault="00316577" w:rsidP="00316577">
            <w:pPr>
              <w:autoSpaceDE w:val="0"/>
              <w:autoSpaceDN w:val="0"/>
              <w:adjustRightInd w:val="0"/>
              <w:spacing w:before="240"/>
              <w:rPr>
                <w:sz w:val="20"/>
                <w:szCs w:val="20"/>
              </w:rPr>
            </w:pPr>
            <w:r w:rsidRPr="00316577">
              <w:rPr>
                <w:sz w:val="20"/>
                <w:szCs w:val="20"/>
              </w:rPr>
              <w:t>15.</w:t>
            </w:r>
          </w:p>
        </w:tc>
        <w:tc>
          <w:tcPr>
            <w:tcW w:w="7745" w:type="dxa"/>
          </w:tcPr>
          <w:p w14:paraId="7403AEA9" w14:textId="77777777" w:rsidR="00316577" w:rsidRPr="00316577" w:rsidRDefault="00316577" w:rsidP="00316577">
            <w:pPr>
              <w:autoSpaceDE w:val="0"/>
              <w:autoSpaceDN w:val="0"/>
              <w:adjustRightInd w:val="0"/>
              <w:spacing w:before="240"/>
              <w:rPr>
                <w:sz w:val="20"/>
                <w:szCs w:val="20"/>
              </w:rPr>
            </w:pPr>
            <w:r w:rsidRPr="00316577">
              <w:rPr>
                <w:sz w:val="20"/>
                <w:szCs w:val="20"/>
              </w:rPr>
              <w:t xml:space="preserve">Kanis JA, McCloskey E, Johansson H, Oden A, Leslie WD (2012) FRAX with and without BMD. </w:t>
            </w:r>
            <w:proofErr w:type="spellStart"/>
            <w:r w:rsidRPr="00316577">
              <w:rPr>
                <w:sz w:val="20"/>
                <w:szCs w:val="20"/>
              </w:rPr>
              <w:lastRenderedPageBreak/>
              <w:t>Calcif</w:t>
            </w:r>
            <w:proofErr w:type="spellEnd"/>
            <w:r w:rsidRPr="00316577">
              <w:rPr>
                <w:sz w:val="20"/>
                <w:szCs w:val="20"/>
              </w:rPr>
              <w:t xml:space="preserve"> Tissue </w:t>
            </w:r>
            <w:proofErr w:type="spellStart"/>
            <w:r w:rsidRPr="00316577">
              <w:rPr>
                <w:sz w:val="20"/>
                <w:szCs w:val="20"/>
              </w:rPr>
              <w:t>Int</w:t>
            </w:r>
            <w:proofErr w:type="spellEnd"/>
            <w:r w:rsidRPr="00316577">
              <w:rPr>
                <w:sz w:val="20"/>
                <w:szCs w:val="20"/>
              </w:rPr>
              <w:t xml:space="preserve"> 90:1–13.</w:t>
            </w:r>
          </w:p>
        </w:tc>
      </w:tr>
      <w:tr w:rsidR="00316577" w:rsidRPr="00316577" w14:paraId="188C3B6B" w14:textId="77777777" w:rsidTr="00316577">
        <w:tc>
          <w:tcPr>
            <w:tcW w:w="704" w:type="dxa"/>
          </w:tcPr>
          <w:p w14:paraId="46D89A0E" w14:textId="77777777" w:rsidR="00316577" w:rsidRPr="00316577" w:rsidRDefault="00316577" w:rsidP="00316577">
            <w:pPr>
              <w:spacing w:before="240"/>
              <w:rPr>
                <w:sz w:val="20"/>
                <w:szCs w:val="20"/>
              </w:rPr>
            </w:pPr>
            <w:r w:rsidRPr="00316577">
              <w:rPr>
                <w:sz w:val="20"/>
                <w:szCs w:val="20"/>
              </w:rPr>
              <w:lastRenderedPageBreak/>
              <w:t>16.</w:t>
            </w:r>
          </w:p>
        </w:tc>
        <w:tc>
          <w:tcPr>
            <w:tcW w:w="7745" w:type="dxa"/>
          </w:tcPr>
          <w:p w14:paraId="7E9AED3D" w14:textId="77777777" w:rsidR="00316577" w:rsidRPr="00316577" w:rsidRDefault="00316577" w:rsidP="00316577">
            <w:pPr>
              <w:spacing w:before="240"/>
              <w:rPr>
                <w:sz w:val="20"/>
                <w:szCs w:val="20"/>
              </w:rPr>
            </w:pPr>
            <w:r w:rsidRPr="00316577">
              <w:rPr>
                <w:sz w:val="20"/>
                <w:szCs w:val="20"/>
              </w:rPr>
              <w:t xml:space="preserve">Kanis JA, Johnell O (2005) Requirements for DXA for the management of osteoporosis in Europe. Osteoporos </w:t>
            </w:r>
            <w:proofErr w:type="spellStart"/>
            <w:r w:rsidRPr="00316577">
              <w:rPr>
                <w:sz w:val="20"/>
                <w:szCs w:val="20"/>
              </w:rPr>
              <w:t>Int</w:t>
            </w:r>
            <w:proofErr w:type="spellEnd"/>
            <w:r w:rsidRPr="00316577">
              <w:rPr>
                <w:sz w:val="20"/>
                <w:szCs w:val="20"/>
              </w:rPr>
              <w:t xml:space="preserve"> 16:229–238</w:t>
            </w:r>
          </w:p>
        </w:tc>
      </w:tr>
      <w:tr w:rsidR="00316577" w:rsidRPr="00316577" w14:paraId="69085B08" w14:textId="77777777" w:rsidTr="00316577">
        <w:tc>
          <w:tcPr>
            <w:tcW w:w="704" w:type="dxa"/>
          </w:tcPr>
          <w:p w14:paraId="56D02DE5" w14:textId="77777777" w:rsidR="00316577" w:rsidRPr="00316577" w:rsidRDefault="00316577" w:rsidP="00316577">
            <w:pPr>
              <w:autoSpaceDE w:val="0"/>
              <w:autoSpaceDN w:val="0"/>
              <w:adjustRightInd w:val="0"/>
              <w:spacing w:before="240"/>
              <w:rPr>
                <w:sz w:val="20"/>
                <w:szCs w:val="20"/>
              </w:rPr>
            </w:pPr>
            <w:r w:rsidRPr="00316577">
              <w:rPr>
                <w:sz w:val="20"/>
                <w:szCs w:val="20"/>
              </w:rPr>
              <w:t>17.</w:t>
            </w:r>
          </w:p>
        </w:tc>
        <w:tc>
          <w:tcPr>
            <w:tcW w:w="7745" w:type="dxa"/>
          </w:tcPr>
          <w:p w14:paraId="0B7D829C" w14:textId="77777777" w:rsidR="00316577" w:rsidRPr="00316577" w:rsidRDefault="00316577" w:rsidP="00316577">
            <w:pPr>
              <w:autoSpaceDE w:val="0"/>
              <w:autoSpaceDN w:val="0"/>
              <w:adjustRightInd w:val="0"/>
              <w:spacing w:before="240"/>
              <w:rPr>
                <w:sz w:val="20"/>
                <w:szCs w:val="20"/>
              </w:rPr>
            </w:pPr>
            <w:r w:rsidRPr="00316577">
              <w:rPr>
                <w:sz w:val="20"/>
                <w:szCs w:val="20"/>
              </w:rPr>
              <w:t>Kanis JA, Odén A, McCloskey EV, Johansson H, Wahl D, Cyrus Cooper C  on behalf of the IOF Working Group on Epidemiology and Quality of Life (2012) A systematic review of hip fracture incidence and probability of fracture worldwide. Osteoporos Int. 23: 2239-2256.</w:t>
            </w:r>
          </w:p>
        </w:tc>
      </w:tr>
      <w:tr w:rsidR="00316577" w:rsidRPr="00316577" w14:paraId="48FC5538" w14:textId="77777777" w:rsidTr="00316577">
        <w:tc>
          <w:tcPr>
            <w:tcW w:w="704" w:type="dxa"/>
          </w:tcPr>
          <w:p w14:paraId="0099433D" w14:textId="77777777" w:rsidR="00316577" w:rsidRPr="00316577" w:rsidRDefault="00316577" w:rsidP="00316577">
            <w:pPr>
              <w:spacing w:before="240"/>
              <w:rPr>
                <w:sz w:val="20"/>
                <w:szCs w:val="20"/>
              </w:rPr>
            </w:pPr>
            <w:r w:rsidRPr="00316577">
              <w:rPr>
                <w:sz w:val="20"/>
                <w:szCs w:val="20"/>
              </w:rPr>
              <w:t>18.</w:t>
            </w:r>
          </w:p>
        </w:tc>
        <w:tc>
          <w:tcPr>
            <w:tcW w:w="7745" w:type="dxa"/>
          </w:tcPr>
          <w:p w14:paraId="12B51BE8" w14:textId="77777777" w:rsidR="00316577" w:rsidRPr="00316577" w:rsidRDefault="00316577" w:rsidP="00316577">
            <w:pPr>
              <w:spacing w:before="240"/>
              <w:rPr>
                <w:sz w:val="20"/>
                <w:szCs w:val="20"/>
              </w:rPr>
            </w:pPr>
            <w:r w:rsidRPr="00316577">
              <w:rPr>
                <w:sz w:val="20"/>
                <w:szCs w:val="20"/>
              </w:rPr>
              <w:t xml:space="preserve">Kanis JA, Hans D, Cooper C et al (2011) Interpretation and use of FRAX in clinical practice. Osteoporos </w:t>
            </w:r>
            <w:proofErr w:type="spellStart"/>
            <w:r w:rsidRPr="00316577">
              <w:rPr>
                <w:sz w:val="20"/>
                <w:szCs w:val="20"/>
              </w:rPr>
              <w:t>Int</w:t>
            </w:r>
            <w:proofErr w:type="spellEnd"/>
            <w:r w:rsidRPr="00316577">
              <w:rPr>
                <w:sz w:val="20"/>
                <w:szCs w:val="20"/>
              </w:rPr>
              <w:t xml:space="preserve"> 22:2395–2411</w:t>
            </w:r>
          </w:p>
        </w:tc>
      </w:tr>
      <w:tr w:rsidR="00316577" w:rsidRPr="00316577" w14:paraId="600A92AC" w14:textId="77777777" w:rsidTr="00316577">
        <w:tc>
          <w:tcPr>
            <w:tcW w:w="704" w:type="dxa"/>
          </w:tcPr>
          <w:p w14:paraId="135E24B1" w14:textId="77777777" w:rsidR="00316577" w:rsidRPr="00316577" w:rsidRDefault="00316577" w:rsidP="00316577">
            <w:pPr>
              <w:spacing w:before="240"/>
              <w:rPr>
                <w:sz w:val="20"/>
                <w:szCs w:val="20"/>
              </w:rPr>
            </w:pPr>
            <w:r w:rsidRPr="00316577">
              <w:rPr>
                <w:sz w:val="20"/>
                <w:szCs w:val="20"/>
              </w:rPr>
              <w:t>19.</w:t>
            </w:r>
          </w:p>
        </w:tc>
        <w:tc>
          <w:tcPr>
            <w:tcW w:w="7745" w:type="dxa"/>
          </w:tcPr>
          <w:p w14:paraId="1DB26648" w14:textId="77777777" w:rsidR="00316577" w:rsidRPr="00316577" w:rsidRDefault="00316577" w:rsidP="00316577">
            <w:pPr>
              <w:spacing w:before="240"/>
              <w:rPr>
                <w:sz w:val="20"/>
                <w:szCs w:val="20"/>
              </w:rPr>
            </w:pPr>
            <w:r w:rsidRPr="00316577">
              <w:rPr>
                <w:sz w:val="20"/>
                <w:szCs w:val="20"/>
              </w:rPr>
              <w:t xml:space="preserve">Middleton RG, </w:t>
            </w:r>
            <w:proofErr w:type="spellStart"/>
            <w:r w:rsidRPr="00316577">
              <w:rPr>
                <w:sz w:val="20"/>
                <w:szCs w:val="20"/>
              </w:rPr>
              <w:t>Shabani</w:t>
            </w:r>
            <w:proofErr w:type="spellEnd"/>
            <w:r w:rsidRPr="00316577">
              <w:rPr>
                <w:sz w:val="20"/>
                <w:szCs w:val="20"/>
              </w:rPr>
              <w:t xml:space="preserve"> F, </w:t>
            </w:r>
            <w:proofErr w:type="spellStart"/>
            <w:r w:rsidRPr="00316577">
              <w:rPr>
                <w:sz w:val="20"/>
                <w:szCs w:val="20"/>
              </w:rPr>
              <w:t>Uzoigwe</w:t>
            </w:r>
            <w:proofErr w:type="spellEnd"/>
            <w:r w:rsidRPr="00316577">
              <w:rPr>
                <w:sz w:val="20"/>
                <w:szCs w:val="20"/>
              </w:rPr>
              <w:t xml:space="preserve"> CE, </w:t>
            </w:r>
            <w:proofErr w:type="spellStart"/>
            <w:r w:rsidRPr="00316577">
              <w:rPr>
                <w:sz w:val="20"/>
                <w:szCs w:val="20"/>
              </w:rPr>
              <w:t>Shoaib</w:t>
            </w:r>
            <w:proofErr w:type="spellEnd"/>
            <w:r w:rsidRPr="00316577">
              <w:rPr>
                <w:sz w:val="20"/>
                <w:szCs w:val="20"/>
              </w:rPr>
              <w:t xml:space="preserve"> A, </w:t>
            </w:r>
            <w:proofErr w:type="spellStart"/>
            <w:r w:rsidRPr="00316577">
              <w:rPr>
                <w:sz w:val="20"/>
                <w:szCs w:val="20"/>
              </w:rPr>
              <w:t>Moqsith</w:t>
            </w:r>
            <w:proofErr w:type="spellEnd"/>
            <w:r w:rsidRPr="00316577">
              <w:rPr>
                <w:sz w:val="20"/>
                <w:szCs w:val="20"/>
              </w:rPr>
              <w:t xml:space="preserve"> M, </w:t>
            </w:r>
            <w:proofErr w:type="spellStart"/>
            <w:r w:rsidRPr="00316577">
              <w:rPr>
                <w:sz w:val="20"/>
                <w:szCs w:val="20"/>
              </w:rPr>
              <w:t>Venkatesan</w:t>
            </w:r>
            <w:proofErr w:type="spellEnd"/>
            <w:r w:rsidRPr="00316577">
              <w:rPr>
                <w:sz w:val="20"/>
                <w:szCs w:val="20"/>
              </w:rPr>
              <w:t xml:space="preserve"> M (2012) FRAX and the assessment of the risk of developing a fragility fracture. J Bone Joint </w:t>
            </w:r>
            <w:proofErr w:type="spellStart"/>
            <w:r w:rsidRPr="00316577">
              <w:rPr>
                <w:sz w:val="20"/>
                <w:szCs w:val="20"/>
              </w:rPr>
              <w:t>Surg</w:t>
            </w:r>
            <w:proofErr w:type="spellEnd"/>
            <w:r w:rsidRPr="00316577">
              <w:rPr>
                <w:sz w:val="20"/>
                <w:szCs w:val="20"/>
              </w:rPr>
              <w:t xml:space="preserve"> 94B: 1313-20.</w:t>
            </w:r>
          </w:p>
        </w:tc>
      </w:tr>
      <w:tr w:rsidR="00316577" w:rsidRPr="00316577" w14:paraId="5803F8D3" w14:textId="77777777" w:rsidTr="00316577">
        <w:tc>
          <w:tcPr>
            <w:tcW w:w="704" w:type="dxa"/>
          </w:tcPr>
          <w:p w14:paraId="10A9CB5F" w14:textId="77777777" w:rsidR="00316577" w:rsidRPr="00316577" w:rsidRDefault="00316577" w:rsidP="00316577">
            <w:pPr>
              <w:spacing w:before="240"/>
              <w:rPr>
                <w:sz w:val="20"/>
                <w:szCs w:val="20"/>
              </w:rPr>
            </w:pPr>
            <w:r w:rsidRPr="00316577">
              <w:rPr>
                <w:sz w:val="20"/>
                <w:szCs w:val="20"/>
              </w:rPr>
              <w:t>20.</w:t>
            </w:r>
          </w:p>
        </w:tc>
        <w:tc>
          <w:tcPr>
            <w:tcW w:w="7745" w:type="dxa"/>
          </w:tcPr>
          <w:p w14:paraId="5CEBAACA" w14:textId="77777777" w:rsidR="00316577" w:rsidRPr="00316577" w:rsidRDefault="00316577" w:rsidP="00316577">
            <w:pPr>
              <w:spacing w:before="240"/>
              <w:rPr>
                <w:sz w:val="20"/>
                <w:szCs w:val="20"/>
              </w:rPr>
            </w:pPr>
            <w:r w:rsidRPr="00316577">
              <w:rPr>
                <w:sz w:val="20"/>
                <w:szCs w:val="20"/>
              </w:rPr>
              <w:t xml:space="preserve">Kanis JA, Johansson H, Oden A, McCloskey EV (2011) Guidance for the adjustment of FRAX according to the dose of glucocorticoids. Osteoporos </w:t>
            </w:r>
            <w:proofErr w:type="spellStart"/>
            <w:r w:rsidRPr="00316577">
              <w:rPr>
                <w:sz w:val="20"/>
                <w:szCs w:val="20"/>
              </w:rPr>
              <w:t>Int</w:t>
            </w:r>
            <w:proofErr w:type="spellEnd"/>
            <w:r w:rsidRPr="00316577">
              <w:rPr>
                <w:sz w:val="20"/>
                <w:szCs w:val="20"/>
              </w:rPr>
              <w:t xml:space="preserve"> 22: 809-16.</w:t>
            </w:r>
          </w:p>
        </w:tc>
      </w:tr>
      <w:tr w:rsidR="00316577" w:rsidRPr="00316577" w14:paraId="7316D995" w14:textId="77777777" w:rsidTr="00316577">
        <w:tc>
          <w:tcPr>
            <w:tcW w:w="704" w:type="dxa"/>
          </w:tcPr>
          <w:p w14:paraId="2B6D90A5" w14:textId="77777777" w:rsidR="00316577" w:rsidRPr="00316577" w:rsidRDefault="00316577" w:rsidP="00316577">
            <w:pPr>
              <w:spacing w:before="240"/>
              <w:rPr>
                <w:sz w:val="20"/>
                <w:szCs w:val="20"/>
              </w:rPr>
            </w:pPr>
            <w:r w:rsidRPr="00316577">
              <w:rPr>
                <w:sz w:val="20"/>
                <w:szCs w:val="20"/>
              </w:rPr>
              <w:t>21.</w:t>
            </w:r>
          </w:p>
        </w:tc>
        <w:tc>
          <w:tcPr>
            <w:tcW w:w="7745" w:type="dxa"/>
          </w:tcPr>
          <w:p w14:paraId="2552C330" w14:textId="77777777" w:rsidR="00316577" w:rsidRPr="00316577" w:rsidRDefault="00316577" w:rsidP="00316577">
            <w:pPr>
              <w:spacing w:before="240"/>
              <w:rPr>
                <w:sz w:val="20"/>
                <w:szCs w:val="20"/>
              </w:rPr>
            </w:pPr>
            <w:r w:rsidRPr="00316577">
              <w:rPr>
                <w:sz w:val="20"/>
                <w:szCs w:val="20"/>
              </w:rPr>
              <w:t xml:space="preserve">Leslie WD, Lix, LM Johansson H, Oden A, </w:t>
            </w:r>
            <w:proofErr w:type="spellStart"/>
            <w:r w:rsidRPr="00316577">
              <w:rPr>
                <w:sz w:val="20"/>
                <w:szCs w:val="20"/>
              </w:rPr>
              <w:t>McLoskey</w:t>
            </w:r>
            <w:proofErr w:type="spellEnd"/>
            <w:r w:rsidRPr="00316577">
              <w:rPr>
                <w:sz w:val="20"/>
                <w:szCs w:val="20"/>
              </w:rPr>
              <w:t xml:space="preserve">, EV, Kanis JA for the Manitoba Bone Density Program (2011) Spine-hip discordance and fracture risk assessment: A physician-friendly FRAX enhancement.  Osteoporos </w:t>
            </w:r>
            <w:proofErr w:type="spellStart"/>
            <w:r w:rsidRPr="00316577">
              <w:rPr>
                <w:sz w:val="20"/>
                <w:szCs w:val="20"/>
              </w:rPr>
              <w:t>Int</w:t>
            </w:r>
            <w:proofErr w:type="spellEnd"/>
            <w:r w:rsidRPr="00316577">
              <w:rPr>
                <w:sz w:val="20"/>
                <w:szCs w:val="20"/>
              </w:rPr>
              <w:t xml:space="preserve"> 22 : 839-47.</w:t>
            </w:r>
          </w:p>
        </w:tc>
      </w:tr>
      <w:tr w:rsidR="00316577" w:rsidRPr="00316577" w14:paraId="4C5D8735" w14:textId="77777777" w:rsidTr="00316577">
        <w:tc>
          <w:tcPr>
            <w:tcW w:w="704" w:type="dxa"/>
          </w:tcPr>
          <w:p w14:paraId="4EA61E77" w14:textId="77777777" w:rsidR="00316577" w:rsidRPr="00316577" w:rsidRDefault="00316577" w:rsidP="00316577">
            <w:pPr>
              <w:spacing w:before="240"/>
              <w:rPr>
                <w:sz w:val="20"/>
                <w:szCs w:val="20"/>
              </w:rPr>
            </w:pPr>
            <w:r w:rsidRPr="00316577">
              <w:rPr>
                <w:sz w:val="20"/>
                <w:szCs w:val="20"/>
              </w:rPr>
              <w:t>22.</w:t>
            </w:r>
          </w:p>
        </w:tc>
        <w:tc>
          <w:tcPr>
            <w:tcW w:w="7745" w:type="dxa"/>
          </w:tcPr>
          <w:p w14:paraId="55EBA674" w14:textId="77777777" w:rsidR="00316577" w:rsidRPr="00316577" w:rsidRDefault="00316577" w:rsidP="00316577">
            <w:pPr>
              <w:spacing w:before="240"/>
              <w:rPr>
                <w:sz w:val="20"/>
                <w:szCs w:val="20"/>
              </w:rPr>
            </w:pPr>
            <w:r w:rsidRPr="00316577">
              <w:rPr>
                <w:sz w:val="20"/>
                <w:szCs w:val="20"/>
              </w:rPr>
              <w:t xml:space="preserve">Johansson H, Kanis JA, Odén A et al (2014) Impact of femoral neck and lumbar spine BMD discordances on FRAX probabilities in women: a meta-analysis of international cohorts. </w:t>
            </w:r>
            <w:proofErr w:type="spellStart"/>
            <w:r w:rsidRPr="00316577">
              <w:rPr>
                <w:sz w:val="20"/>
                <w:szCs w:val="20"/>
              </w:rPr>
              <w:t>Calc</w:t>
            </w:r>
            <w:proofErr w:type="spellEnd"/>
            <w:r w:rsidRPr="00316577">
              <w:rPr>
                <w:sz w:val="20"/>
                <w:szCs w:val="20"/>
              </w:rPr>
              <w:t xml:space="preserve"> </w:t>
            </w:r>
            <w:proofErr w:type="spellStart"/>
            <w:r w:rsidRPr="00316577">
              <w:rPr>
                <w:sz w:val="20"/>
                <w:szCs w:val="20"/>
              </w:rPr>
              <w:t>Tiss</w:t>
            </w:r>
            <w:proofErr w:type="spellEnd"/>
            <w:r w:rsidRPr="00316577">
              <w:rPr>
                <w:sz w:val="20"/>
                <w:szCs w:val="20"/>
              </w:rPr>
              <w:t xml:space="preserve"> </w:t>
            </w:r>
            <w:proofErr w:type="spellStart"/>
            <w:r w:rsidRPr="00316577">
              <w:rPr>
                <w:sz w:val="20"/>
                <w:szCs w:val="20"/>
              </w:rPr>
              <w:t>Int</w:t>
            </w:r>
            <w:proofErr w:type="spellEnd"/>
            <w:r w:rsidRPr="00316577">
              <w:rPr>
                <w:sz w:val="20"/>
                <w:szCs w:val="20"/>
              </w:rPr>
              <w:t xml:space="preserve"> 95: 428-35.</w:t>
            </w:r>
          </w:p>
        </w:tc>
      </w:tr>
      <w:tr w:rsidR="00316577" w:rsidRPr="00316577" w14:paraId="6BA66DFF" w14:textId="77777777" w:rsidTr="00316577">
        <w:tc>
          <w:tcPr>
            <w:tcW w:w="704" w:type="dxa"/>
          </w:tcPr>
          <w:p w14:paraId="3B18D8A4" w14:textId="77777777" w:rsidR="00316577" w:rsidRPr="00316577" w:rsidRDefault="00316577" w:rsidP="00316577">
            <w:pPr>
              <w:spacing w:before="240"/>
              <w:rPr>
                <w:sz w:val="20"/>
                <w:szCs w:val="20"/>
              </w:rPr>
            </w:pPr>
            <w:r w:rsidRPr="00316577">
              <w:rPr>
                <w:sz w:val="20"/>
                <w:szCs w:val="20"/>
              </w:rPr>
              <w:t>23.</w:t>
            </w:r>
          </w:p>
        </w:tc>
        <w:tc>
          <w:tcPr>
            <w:tcW w:w="7745" w:type="dxa"/>
          </w:tcPr>
          <w:p w14:paraId="433BE3FE" w14:textId="77777777" w:rsidR="00316577" w:rsidRPr="00316577" w:rsidRDefault="00316577" w:rsidP="00316577">
            <w:pPr>
              <w:spacing w:before="240"/>
              <w:rPr>
                <w:sz w:val="20"/>
                <w:szCs w:val="20"/>
              </w:rPr>
            </w:pPr>
            <w:r w:rsidRPr="00316577">
              <w:rPr>
                <w:sz w:val="20"/>
                <w:szCs w:val="20"/>
              </w:rPr>
              <w:t xml:space="preserve">Leslie WD , Johansson H, Kanis JA, </w:t>
            </w:r>
            <w:proofErr w:type="spellStart"/>
            <w:r w:rsidRPr="00316577">
              <w:rPr>
                <w:sz w:val="20"/>
                <w:szCs w:val="20"/>
              </w:rPr>
              <w:t>Lamy</w:t>
            </w:r>
            <w:proofErr w:type="spellEnd"/>
            <w:r w:rsidRPr="00316577">
              <w:rPr>
                <w:sz w:val="20"/>
                <w:szCs w:val="20"/>
              </w:rPr>
              <w:t xml:space="preserve"> O, Oden A, McCloskey EV, Hans D (2014) Lumbar spine texture enhances ten-year fracture probability assessment.  Osteoporos </w:t>
            </w:r>
            <w:proofErr w:type="spellStart"/>
            <w:r w:rsidRPr="00316577">
              <w:rPr>
                <w:sz w:val="20"/>
                <w:szCs w:val="20"/>
              </w:rPr>
              <w:t>Int</w:t>
            </w:r>
            <w:proofErr w:type="spellEnd"/>
            <w:r w:rsidRPr="00316577">
              <w:rPr>
                <w:sz w:val="20"/>
                <w:szCs w:val="20"/>
              </w:rPr>
              <w:t xml:space="preserve"> 25: 2271-7.</w:t>
            </w:r>
          </w:p>
        </w:tc>
      </w:tr>
      <w:tr w:rsidR="00316577" w:rsidRPr="00316577" w14:paraId="0A7E6BDD" w14:textId="77777777" w:rsidTr="00316577">
        <w:tc>
          <w:tcPr>
            <w:tcW w:w="704" w:type="dxa"/>
          </w:tcPr>
          <w:p w14:paraId="6AD6D0F6" w14:textId="77777777" w:rsidR="00316577" w:rsidRPr="00316577" w:rsidRDefault="00316577" w:rsidP="00316577">
            <w:pPr>
              <w:spacing w:before="240"/>
              <w:rPr>
                <w:sz w:val="20"/>
                <w:szCs w:val="20"/>
              </w:rPr>
            </w:pPr>
            <w:r w:rsidRPr="00316577">
              <w:rPr>
                <w:sz w:val="20"/>
                <w:szCs w:val="20"/>
              </w:rPr>
              <w:t>24.</w:t>
            </w:r>
          </w:p>
        </w:tc>
        <w:tc>
          <w:tcPr>
            <w:tcW w:w="7745" w:type="dxa"/>
          </w:tcPr>
          <w:p w14:paraId="4E1B5AFD" w14:textId="77777777" w:rsidR="00316577" w:rsidRPr="00316577" w:rsidRDefault="00316577" w:rsidP="00316577">
            <w:pPr>
              <w:spacing w:before="240"/>
              <w:rPr>
                <w:sz w:val="20"/>
                <w:szCs w:val="20"/>
              </w:rPr>
            </w:pPr>
            <w:r w:rsidRPr="00316577">
              <w:rPr>
                <w:sz w:val="20"/>
                <w:szCs w:val="20"/>
              </w:rPr>
              <w:t>McCloskey EV, Odén A, Harvey NC et al (2015) Adjusting fracture probability by trabecular bone score.</w:t>
            </w:r>
            <w:r w:rsidRPr="00316577">
              <w:t xml:space="preserve"> </w:t>
            </w:r>
            <w:proofErr w:type="spellStart"/>
            <w:r w:rsidRPr="00316577">
              <w:rPr>
                <w:sz w:val="20"/>
                <w:szCs w:val="20"/>
              </w:rPr>
              <w:t>Calcif</w:t>
            </w:r>
            <w:proofErr w:type="spellEnd"/>
            <w:r w:rsidRPr="00316577">
              <w:rPr>
                <w:sz w:val="20"/>
                <w:szCs w:val="20"/>
              </w:rPr>
              <w:t xml:space="preserve"> </w:t>
            </w:r>
            <w:proofErr w:type="spellStart"/>
            <w:r w:rsidRPr="00316577">
              <w:rPr>
                <w:sz w:val="20"/>
                <w:szCs w:val="20"/>
              </w:rPr>
              <w:t>Tiss</w:t>
            </w:r>
            <w:proofErr w:type="spellEnd"/>
            <w:r w:rsidRPr="00316577">
              <w:rPr>
                <w:sz w:val="20"/>
                <w:szCs w:val="20"/>
              </w:rPr>
              <w:t xml:space="preserve"> </w:t>
            </w:r>
            <w:proofErr w:type="spellStart"/>
            <w:r w:rsidRPr="00316577">
              <w:rPr>
                <w:sz w:val="20"/>
                <w:szCs w:val="20"/>
              </w:rPr>
              <w:t>Int</w:t>
            </w:r>
            <w:proofErr w:type="spellEnd"/>
            <w:r w:rsidRPr="00316577">
              <w:rPr>
                <w:sz w:val="20"/>
                <w:szCs w:val="20"/>
              </w:rPr>
              <w:t xml:space="preserve"> 96: 500-9.</w:t>
            </w:r>
          </w:p>
        </w:tc>
      </w:tr>
      <w:tr w:rsidR="00316577" w:rsidRPr="00316577" w14:paraId="308A2D96" w14:textId="77777777" w:rsidTr="00316577">
        <w:tc>
          <w:tcPr>
            <w:tcW w:w="704" w:type="dxa"/>
          </w:tcPr>
          <w:p w14:paraId="2EFCA97F" w14:textId="77777777" w:rsidR="00316577" w:rsidRPr="00316577" w:rsidRDefault="00316577" w:rsidP="00316577">
            <w:pPr>
              <w:spacing w:before="240"/>
              <w:rPr>
                <w:sz w:val="20"/>
                <w:szCs w:val="20"/>
              </w:rPr>
            </w:pPr>
            <w:r w:rsidRPr="00316577">
              <w:rPr>
                <w:sz w:val="20"/>
                <w:szCs w:val="20"/>
              </w:rPr>
              <w:t>25.</w:t>
            </w:r>
          </w:p>
        </w:tc>
        <w:tc>
          <w:tcPr>
            <w:tcW w:w="7745" w:type="dxa"/>
          </w:tcPr>
          <w:p w14:paraId="2DFF270F" w14:textId="3E535150" w:rsidR="00316577" w:rsidRPr="00316577" w:rsidRDefault="00316577" w:rsidP="00F71248">
            <w:pPr>
              <w:spacing w:before="240"/>
              <w:rPr>
                <w:sz w:val="20"/>
                <w:szCs w:val="20"/>
              </w:rPr>
            </w:pPr>
            <w:r w:rsidRPr="00316577">
              <w:rPr>
                <w:sz w:val="20"/>
                <w:szCs w:val="20"/>
              </w:rPr>
              <w:t xml:space="preserve">McCloskey EV, Odén A, Harvey </w:t>
            </w:r>
            <w:r w:rsidRPr="00F71248">
              <w:rPr>
                <w:sz w:val="20"/>
                <w:szCs w:val="20"/>
              </w:rPr>
              <w:t>NC et al (201</w:t>
            </w:r>
            <w:r w:rsidR="00F71248" w:rsidRPr="00F71248">
              <w:rPr>
                <w:sz w:val="20"/>
                <w:szCs w:val="20"/>
              </w:rPr>
              <w:t>6</w:t>
            </w:r>
            <w:r w:rsidRPr="00F71248">
              <w:rPr>
                <w:sz w:val="20"/>
                <w:szCs w:val="20"/>
              </w:rPr>
              <w:t>) A meta-analysis of trabecular bone score in fracture risk prediction and its dependence on FRAX. J</w:t>
            </w:r>
            <w:r w:rsidRPr="00316577">
              <w:rPr>
                <w:sz w:val="20"/>
                <w:szCs w:val="20"/>
              </w:rPr>
              <w:t xml:space="preserve"> Bone Miner Res </w:t>
            </w:r>
            <w:r w:rsidR="00F71248" w:rsidRPr="00F71248">
              <w:rPr>
                <w:sz w:val="20"/>
                <w:szCs w:val="20"/>
              </w:rPr>
              <w:t>31</w:t>
            </w:r>
            <w:r w:rsidR="00F71248">
              <w:rPr>
                <w:sz w:val="20"/>
                <w:szCs w:val="20"/>
              </w:rPr>
              <w:t xml:space="preserve">: </w:t>
            </w:r>
            <w:r w:rsidR="00F71248" w:rsidRPr="00F71248">
              <w:rPr>
                <w:sz w:val="20"/>
                <w:szCs w:val="20"/>
              </w:rPr>
              <w:t>940-8.</w:t>
            </w:r>
          </w:p>
        </w:tc>
      </w:tr>
      <w:tr w:rsidR="00316577" w:rsidRPr="00316577" w14:paraId="27E5739C" w14:textId="77777777" w:rsidTr="00316577">
        <w:tc>
          <w:tcPr>
            <w:tcW w:w="704" w:type="dxa"/>
          </w:tcPr>
          <w:p w14:paraId="4003A3BE" w14:textId="77777777" w:rsidR="00316577" w:rsidRPr="00316577" w:rsidRDefault="00316577" w:rsidP="00316577">
            <w:pPr>
              <w:spacing w:before="240"/>
              <w:rPr>
                <w:sz w:val="20"/>
                <w:szCs w:val="20"/>
              </w:rPr>
            </w:pPr>
            <w:r w:rsidRPr="00316577">
              <w:rPr>
                <w:sz w:val="20"/>
                <w:szCs w:val="20"/>
              </w:rPr>
              <w:t>26.</w:t>
            </w:r>
          </w:p>
        </w:tc>
        <w:tc>
          <w:tcPr>
            <w:tcW w:w="7745" w:type="dxa"/>
          </w:tcPr>
          <w:p w14:paraId="66AD781A" w14:textId="77777777" w:rsidR="00316577" w:rsidRPr="00316577" w:rsidRDefault="00316577" w:rsidP="00316577">
            <w:pPr>
              <w:spacing w:before="240"/>
              <w:rPr>
                <w:sz w:val="20"/>
                <w:szCs w:val="20"/>
              </w:rPr>
            </w:pPr>
            <w:r w:rsidRPr="00316577">
              <w:rPr>
                <w:sz w:val="20"/>
                <w:szCs w:val="20"/>
              </w:rPr>
              <w:t xml:space="preserve">Leslie WD, Lix LM, Morin SN et al (2015) Adjusting Hip Fracture Probability in Men and Women Using Hip Axis Length: the Manitoba Bone Density Database. J </w:t>
            </w:r>
            <w:proofErr w:type="spellStart"/>
            <w:r w:rsidRPr="00316577">
              <w:rPr>
                <w:sz w:val="20"/>
                <w:szCs w:val="20"/>
              </w:rPr>
              <w:t>Clin</w:t>
            </w:r>
            <w:proofErr w:type="spellEnd"/>
            <w:r w:rsidRPr="00316577">
              <w:rPr>
                <w:sz w:val="20"/>
                <w:szCs w:val="20"/>
              </w:rPr>
              <w:t xml:space="preserve"> </w:t>
            </w:r>
            <w:proofErr w:type="spellStart"/>
            <w:r w:rsidRPr="00316577">
              <w:rPr>
                <w:sz w:val="20"/>
                <w:szCs w:val="20"/>
              </w:rPr>
              <w:t>Densitom</w:t>
            </w:r>
            <w:proofErr w:type="spellEnd"/>
            <w:r w:rsidRPr="00316577">
              <w:rPr>
                <w:sz w:val="20"/>
                <w:szCs w:val="20"/>
              </w:rPr>
              <w:t xml:space="preserve">. Aug 6. pii:S1094-6950(15)00145-6. </w:t>
            </w:r>
            <w:proofErr w:type="spellStart"/>
            <w:r w:rsidRPr="00316577">
              <w:rPr>
                <w:sz w:val="20"/>
                <w:szCs w:val="20"/>
              </w:rPr>
              <w:t>doi</w:t>
            </w:r>
            <w:proofErr w:type="spellEnd"/>
            <w:r w:rsidRPr="00316577">
              <w:rPr>
                <w:sz w:val="20"/>
                <w:szCs w:val="20"/>
              </w:rPr>
              <w:t>: 10.1016/j.jocd.2015.07.004. [</w:t>
            </w:r>
            <w:proofErr w:type="spellStart"/>
            <w:r w:rsidRPr="00316577">
              <w:rPr>
                <w:sz w:val="20"/>
                <w:szCs w:val="20"/>
              </w:rPr>
              <w:t>Epub</w:t>
            </w:r>
            <w:proofErr w:type="spellEnd"/>
            <w:r w:rsidRPr="00316577">
              <w:rPr>
                <w:sz w:val="20"/>
                <w:szCs w:val="20"/>
              </w:rPr>
              <w:t xml:space="preserve"> ahead of print]</w:t>
            </w:r>
          </w:p>
        </w:tc>
      </w:tr>
      <w:tr w:rsidR="00316577" w:rsidRPr="00316577" w14:paraId="05B264AD" w14:textId="77777777" w:rsidTr="00316577">
        <w:tc>
          <w:tcPr>
            <w:tcW w:w="704" w:type="dxa"/>
          </w:tcPr>
          <w:p w14:paraId="2890EC4F" w14:textId="77777777" w:rsidR="00316577" w:rsidRPr="00316577" w:rsidRDefault="00316577" w:rsidP="00316577">
            <w:pPr>
              <w:spacing w:before="240"/>
              <w:rPr>
                <w:sz w:val="20"/>
                <w:szCs w:val="20"/>
              </w:rPr>
            </w:pPr>
            <w:r w:rsidRPr="00316577">
              <w:rPr>
                <w:sz w:val="20"/>
                <w:szCs w:val="20"/>
              </w:rPr>
              <w:t>27.</w:t>
            </w:r>
          </w:p>
        </w:tc>
        <w:tc>
          <w:tcPr>
            <w:tcW w:w="7745" w:type="dxa"/>
          </w:tcPr>
          <w:p w14:paraId="5AC654DC" w14:textId="77777777" w:rsidR="00316577" w:rsidRPr="00316577" w:rsidRDefault="00316577" w:rsidP="00316577">
            <w:pPr>
              <w:spacing w:before="240"/>
              <w:rPr>
                <w:sz w:val="20"/>
                <w:szCs w:val="20"/>
              </w:rPr>
            </w:pPr>
            <w:proofErr w:type="spellStart"/>
            <w:r w:rsidRPr="00316577">
              <w:rPr>
                <w:sz w:val="20"/>
                <w:szCs w:val="20"/>
              </w:rPr>
              <w:t>Masud</w:t>
            </w:r>
            <w:proofErr w:type="spellEnd"/>
            <w:r w:rsidRPr="00316577">
              <w:rPr>
                <w:sz w:val="20"/>
                <w:szCs w:val="20"/>
              </w:rPr>
              <w:t xml:space="preserve"> T, Binkley N, Boonen S, </w:t>
            </w:r>
            <w:proofErr w:type="spellStart"/>
            <w:r w:rsidRPr="00316577">
              <w:rPr>
                <w:sz w:val="20"/>
                <w:szCs w:val="20"/>
              </w:rPr>
              <w:t>Hannan</w:t>
            </w:r>
            <w:proofErr w:type="spellEnd"/>
            <w:r w:rsidRPr="00316577">
              <w:rPr>
                <w:sz w:val="20"/>
                <w:szCs w:val="20"/>
              </w:rPr>
              <w:t xml:space="preserve"> MT; FRAX® Position Development Conference Members (2011) Official Positions for FRAX® clinical regarding falls and frailty: can falls and frailty be used in FRAX®? From Joint Official Positions Development Conference of the International Society for Clinical Densitometry and International Osteoporosis Foundation on FRAX®. J </w:t>
            </w:r>
            <w:proofErr w:type="spellStart"/>
            <w:r w:rsidRPr="00316577">
              <w:rPr>
                <w:sz w:val="20"/>
                <w:szCs w:val="20"/>
              </w:rPr>
              <w:t>Clinl</w:t>
            </w:r>
            <w:proofErr w:type="spellEnd"/>
            <w:r w:rsidRPr="00316577">
              <w:rPr>
                <w:sz w:val="20"/>
                <w:szCs w:val="20"/>
              </w:rPr>
              <w:t xml:space="preserve"> </w:t>
            </w:r>
            <w:proofErr w:type="spellStart"/>
            <w:r w:rsidRPr="00316577">
              <w:rPr>
                <w:sz w:val="20"/>
                <w:szCs w:val="20"/>
              </w:rPr>
              <w:t>Densitom</w:t>
            </w:r>
            <w:proofErr w:type="spellEnd"/>
            <w:r w:rsidRPr="00316577">
              <w:rPr>
                <w:sz w:val="20"/>
                <w:szCs w:val="20"/>
              </w:rPr>
              <w:t xml:space="preserve"> 14: 194-204.</w:t>
            </w:r>
          </w:p>
        </w:tc>
      </w:tr>
      <w:tr w:rsidR="00316577" w:rsidRPr="00316577" w14:paraId="29B498C3" w14:textId="77777777" w:rsidTr="00316577">
        <w:tc>
          <w:tcPr>
            <w:tcW w:w="704" w:type="dxa"/>
          </w:tcPr>
          <w:p w14:paraId="27CCF1C7" w14:textId="77777777" w:rsidR="00316577" w:rsidRPr="00316577" w:rsidRDefault="00316577" w:rsidP="00316577">
            <w:pPr>
              <w:autoSpaceDE w:val="0"/>
              <w:autoSpaceDN w:val="0"/>
              <w:adjustRightInd w:val="0"/>
              <w:spacing w:before="240"/>
              <w:rPr>
                <w:sz w:val="20"/>
                <w:szCs w:val="20"/>
              </w:rPr>
            </w:pPr>
            <w:r w:rsidRPr="00316577">
              <w:rPr>
                <w:sz w:val="20"/>
                <w:szCs w:val="20"/>
              </w:rPr>
              <w:t>28.</w:t>
            </w:r>
          </w:p>
        </w:tc>
        <w:tc>
          <w:tcPr>
            <w:tcW w:w="7745" w:type="dxa"/>
          </w:tcPr>
          <w:p w14:paraId="7C642A38" w14:textId="77777777" w:rsidR="00316577" w:rsidRPr="00316577" w:rsidRDefault="00316577" w:rsidP="00316577">
            <w:pPr>
              <w:autoSpaceDE w:val="0"/>
              <w:autoSpaceDN w:val="0"/>
              <w:adjustRightInd w:val="0"/>
              <w:spacing w:before="240"/>
              <w:rPr>
                <w:sz w:val="20"/>
                <w:szCs w:val="20"/>
              </w:rPr>
            </w:pPr>
            <w:r w:rsidRPr="00316577">
              <w:rPr>
                <w:sz w:val="20"/>
                <w:szCs w:val="20"/>
              </w:rPr>
              <w:t>Kanis JA McCloskey EV, Johansson H, Cooper C, Rizzoli R, Reginster J-Y   on behalf of the Scientific Advisory Board of the European Society for Clinical and Economic Aspects of Osteoporosis and Osteoarthritis (ESCEO)  and the Committee of Scientific Advisors of the International Osteoporosis Foundation ( IOF) (2013) European guidance for the diagnosis and management of osteoporosis in postmenopausal women.  Osteoporos Int. 24: 23-57.</w:t>
            </w:r>
          </w:p>
        </w:tc>
      </w:tr>
      <w:tr w:rsidR="00316577" w:rsidRPr="00316577" w14:paraId="2DA2A0EB" w14:textId="77777777" w:rsidTr="00316577">
        <w:tc>
          <w:tcPr>
            <w:tcW w:w="704" w:type="dxa"/>
          </w:tcPr>
          <w:p w14:paraId="10553268" w14:textId="77777777" w:rsidR="00316577" w:rsidRPr="00316577" w:rsidRDefault="00316577" w:rsidP="00316577">
            <w:pPr>
              <w:spacing w:before="240"/>
              <w:rPr>
                <w:sz w:val="20"/>
                <w:szCs w:val="20"/>
              </w:rPr>
            </w:pPr>
            <w:r w:rsidRPr="00316577">
              <w:rPr>
                <w:sz w:val="20"/>
                <w:szCs w:val="20"/>
              </w:rPr>
              <w:t>29.</w:t>
            </w:r>
          </w:p>
        </w:tc>
        <w:tc>
          <w:tcPr>
            <w:tcW w:w="7745" w:type="dxa"/>
          </w:tcPr>
          <w:p w14:paraId="2F7B70C9" w14:textId="77777777" w:rsidR="00316577" w:rsidRPr="00316577" w:rsidRDefault="00316577" w:rsidP="00316577">
            <w:pPr>
              <w:spacing w:before="240"/>
              <w:rPr>
                <w:sz w:val="20"/>
                <w:szCs w:val="20"/>
              </w:rPr>
            </w:pPr>
            <w:proofErr w:type="spellStart"/>
            <w:r w:rsidRPr="00316577">
              <w:rPr>
                <w:sz w:val="20"/>
                <w:szCs w:val="20"/>
              </w:rPr>
              <w:t>Papaioannou</w:t>
            </w:r>
            <w:proofErr w:type="spellEnd"/>
            <w:r w:rsidRPr="00316577">
              <w:rPr>
                <w:sz w:val="20"/>
                <w:szCs w:val="20"/>
              </w:rPr>
              <w:t xml:space="preserve"> A, Morin S, Cheung AM et al (2010) Clinical practice guidelines for the diagnosis and management of osteoporosis in Canada: summary. CMAJ. 2010; 182: 1864-73</w:t>
            </w:r>
          </w:p>
        </w:tc>
      </w:tr>
      <w:tr w:rsidR="00316577" w:rsidRPr="00316577" w14:paraId="6E013267" w14:textId="77777777" w:rsidTr="00316577">
        <w:tc>
          <w:tcPr>
            <w:tcW w:w="704" w:type="dxa"/>
            <w:shd w:val="clear" w:color="auto" w:fill="auto"/>
          </w:tcPr>
          <w:p w14:paraId="53041F4D" w14:textId="77777777" w:rsidR="00316577" w:rsidRPr="00316577" w:rsidRDefault="00316577" w:rsidP="00316577">
            <w:pPr>
              <w:autoSpaceDE w:val="0"/>
              <w:autoSpaceDN w:val="0"/>
              <w:adjustRightInd w:val="0"/>
              <w:spacing w:before="240"/>
              <w:rPr>
                <w:sz w:val="20"/>
                <w:szCs w:val="20"/>
              </w:rPr>
            </w:pPr>
            <w:r w:rsidRPr="00316577">
              <w:rPr>
                <w:sz w:val="20"/>
                <w:szCs w:val="20"/>
              </w:rPr>
              <w:t>30.</w:t>
            </w:r>
          </w:p>
        </w:tc>
        <w:tc>
          <w:tcPr>
            <w:tcW w:w="7745" w:type="dxa"/>
            <w:shd w:val="clear" w:color="auto" w:fill="auto"/>
          </w:tcPr>
          <w:p w14:paraId="6031B532" w14:textId="77777777" w:rsidR="00316577" w:rsidRPr="00316577" w:rsidRDefault="00316577" w:rsidP="00316577">
            <w:pPr>
              <w:autoSpaceDE w:val="0"/>
              <w:autoSpaceDN w:val="0"/>
              <w:adjustRightInd w:val="0"/>
              <w:spacing w:before="240"/>
              <w:rPr>
                <w:sz w:val="20"/>
                <w:szCs w:val="20"/>
              </w:rPr>
            </w:pPr>
            <w:r w:rsidRPr="00316577">
              <w:rPr>
                <w:sz w:val="20"/>
                <w:szCs w:val="20"/>
              </w:rPr>
              <w:t xml:space="preserve">Dawson-Hughes B, National Osteoporosis Foundation Guide Committee (2008) A revised clinician’s guide to the prevention and treatment of osteoporosis. J </w:t>
            </w:r>
            <w:proofErr w:type="spellStart"/>
            <w:r w:rsidRPr="00316577">
              <w:rPr>
                <w:sz w:val="20"/>
                <w:szCs w:val="20"/>
              </w:rPr>
              <w:t>Clin</w:t>
            </w:r>
            <w:proofErr w:type="spellEnd"/>
            <w:r w:rsidRPr="00316577">
              <w:rPr>
                <w:sz w:val="20"/>
                <w:szCs w:val="20"/>
              </w:rPr>
              <w:t xml:space="preserve"> </w:t>
            </w:r>
            <w:proofErr w:type="spellStart"/>
            <w:r w:rsidRPr="00316577">
              <w:rPr>
                <w:sz w:val="20"/>
                <w:szCs w:val="20"/>
              </w:rPr>
              <w:t>Endocrinol</w:t>
            </w:r>
            <w:proofErr w:type="spellEnd"/>
            <w:r w:rsidRPr="00316577">
              <w:rPr>
                <w:sz w:val="20"/>
                <w:szCs w:val="20"/>
              </w:rPr>
              <w:t xml:space="preserve"> </w:t>
            </w:r>
            <w:proofErr w:type="spellStart"/>
            <w:r w:rsidRPr="00316577">
              <w:rPr>
                <w:sz w:val="20"/>
                <w:szCs w:val="20"/>
              </w:rPr>
              <w:t>Metab</w:t>
            </w:r>
            <w:proofErr w:type="spellEnd"/>
            <w:r w:rsidRPr="00316577">
              <w:rPr>
                <w:sz w:val="20"/>
                <w:szCs w:val="20"/>
              </w:rPr>
              <w:t xml:space="preserve"> </w:t>
            </w:r>
            <w:r w:rsidRPr="00316577">
              <w:rPr>
                <w:sz w:val="20"/>
                <w:szCs w:val="20"/>
              </w:rPr>
              <w:lastRenderedPageBreak/>
              <w:t>93:2463–2465</w:t>
            </w:r>
          </w:p>
        </w:tc>
      </w:tr>
      <w:tr w:rsidR="00316577" w:rsidRPr="00316577" w14:paraId="5D9F953A" w14:textId="77777777" w:rsidTr="00316577">
        <w:tc>
          <w:tcPr>
            <w:tcW w:w="704" w:type="dxa"/>
            <w:shd w:val="clear" w:color="auto" w:fill="auto"/>
          </w:tcPr>
          <w:p w14:paraId="3EF78132" w14:textId="77777777" w:rsidR="00316577" w:rsidRPr="00316577" w:rsidRDefault="00316577" w:rsidP="00316577">
            <w:pPr>
              <w:spacing w:before="240"/>
              <w:rPr>
                <w:sz w:val="20"/>
                <w:szCs w:val="20"/>
                <w:lang w:val="fr-FR"/>
              </w:rPr>
            </w:pPr>
            <w:r w:rsidRPr="00316577">
              <w:rPr>
                <w:sz w:val="20"/>
                <w:szCs w:val="20"/>
                <w:lang w:val="fr-FR"/>
              </w:rPr>
              <w:lastRenderedPageBreak/>
              <w:t>31.</w:t>
            </w:r>
          </w:p>
        </w:tc>
        <w:tc>
          <w:tcPr>
            <w:tcW w:w="7745" w:type="dxa"/>
            <w:shd w:val="clear" w:color="auto" w:fill="auto"/>
          </w:tcPr>
          <w:p w14:paraId="382424AB" w14:textId="77777777" w:rsidR="00316577" w:rsidRPr="00316577" w:rsidRDefault="00316577" w:rsidP="00316577">
            <w:pPr>
              <w:spacing w:before="240"/>
              <w:rPr>
                <w:sz w:val="20"/>
                <w:szCs w:val="20"/>
              </w:rPr>
            </w:pPr>
            <w:proofErr w:type="spellStart"/>
            <w:r w:rsidRPr="00316577">
              <w:rPr>
                <w:sz w:val="20"/>
                <w:szCs w:val="20"/>
                <w:lang w:val="fr-FR"/>
              </w:rPr>
              <w:t>Orimo</w:t>
            </w:r>
            <w:proofErr w:type="spellEnd"/>
            <w:r w:rsidRPr="00316577">
              <w:rPr>
                <w:sz w:val="20"/>
                <w:szCs w:val="20"/>
                <w:lang w:val="fr-FR"/>
              </w:rPr>
              <w:t xml:space="preserve"> H, Nakamura T, </w:t>
            </w:r>
            <w:proofErr w:type="spellStart"/>
            <w:r w:rsidRPr="00316577">
              <w:rPr>
                <w:sz w:val="20"/>
                <w:szCs w:val="20"/>
                <w:lang w:val="fr-FR"/>
              </w:rPr>
              <w:t>Hosoi</w:t>
            </w:r>
            <w:proofErr w:type="spellEnd"/>
            <w:r w:rsidRPr="00316577">
              <w:rPr>
                <w:sz w:val="20"/>
                <w:szCs w:val="20"/>
                <w:lang w:val="fr-FR"/>
              </w:rPr>
              <w:t xml:space="preserve"> T et al. </w:t>
            </w:r>
            <w:r w:rsidRPr="00316577">
              <w:rPr>
                <w:sz w:val="20"/>
                <w:szCs w:val="20"/>
              </w:rPr>
              <w:t>Japanese 2011 guidelines for prevention and treatment of osteoporosis--executive summary.  Arch Osteoporos. 2012; 7: 3-20.</w:t>
            </w:r>
          </w:p>
        </w:tc>
      </w:tr>
      <w:tr w:rsidR="00316577" w:rsidRPr="00316577" w14:paraId="1ADF9513" w14:textId="77777777" w:rsidTr="00316577">
        <w:tc>
          <w:tcPr>
            <w:tcW w:w="704" w:type="dxa"/>
            <w:shd w:val="clear" w:color="auto" w:fill="auto"/>
          </w:tcPr>
          <w:p w14:paraId="4E2CBB7E" w14:textId="77777777" w:rsidR="00316577" w:rsidRPr="00316577" w:rsidRDefault="00316577" w:rsidP="00316577">
            <w:pPr>
              <w:spacing w:before="240"/>
              <w:rPr>
                <w:sz w:val="20"/>
                <w:szCs w:val="20"/>
              </w:rPr>
            </w:pPr>
            <w:r w:rsidRPr="00316577">
              <w:rPr>
                <w:sz w:val="20"/>
                <w:szCs w:val="20"/>
              </w:rPr>
              <w:t>32.</w:t>
            </w:r>
          </w:p>
        </w:tc>
        <w:tc>
          <w:tcPr>
            <w:tcW w:w="7745" w:type="dxa"/>
            <w:shd w:val="clear" w:color="auto" w:fill="auto"/>
          </w:tcPr>
          <w:p w14:paraId="2521C06B" w14:textId="77777777" w:rsidR="00316577" w:rsidRPr="00316577" w:rsidRDefault="00316577" w:rsidP="00316577">
            <w:pPr>
              <w:spacing w:before="240"/>
              <w:rPr>
                <w:sz w:val="20"/>
                <w:szCs w:val="20"/>
              </w:rPr>
            </w:pPr>
            <w:r w:rsidRPr="00316577">
              <w:rPr>
                <w:sz w:val="20"/>
                <w:szCs w:val="20"/>
              </w:rPr>
              <w:t xml:space="preserve">Scottish Intercollegiate Guidelines Network (SIGN) (2015) Management of osteoporosis and the prevention of fragility fractures. Edinburgh: SIGN; 2015. (SIGN publication no. 142). [March 2015]. Available from URL: </w:t>
            </w:r>
            <w:hyperlink r:id="rId45" w:history="1">
              <w:r w:rsidRPr="00316577">
                <w:rPr>
                  <w:color w:val="0563C1" w:themeColor="hyperlink"/>
                  <w:u w:val="single"/>
                </w:rPr>
                <w:t>http://www.sign.ac.uk</w:t>
              </w:r>
            </w:hyperlink>
            <w:r w:rsidRPr="00316577">
              <w:rPr>
                <w:sz w:val="20"/>
                <w:szCs w:val="20"/>
              </w:rPr>
              <w:t xml:space="preserve">  accessed May 11th, 2015</w:t>
            </w:r>
          </w:p>
        </w:tc>
      </w:tr>
      <w:tr w:rsidR="00316577" w:rsidRPr="00316577" w14:paraId="5F6A9440" w14:textId="77777777" w:rsidTr="00316577">
        <w:tc>
          <w:tcPr>
            <w:tcW w:w="704" w:type="dxa"/>
          </w:tcPr>
          <w:p w14:paraId="0E66C954" w14:textId="77777777" w:rsidR="00316577" w:rsidRPr="00316577" w:rsidRDefault="00316577" w:rsidP="00316577">
            <w:pPr>
              <w:spacing w:before="240"/>
              <w:rPr>
                <w:sz w:val="20"/>
                <w:szCs w:val="20"/>
                <w:lang w:val="fr-FR"/>
              </w:rPr>
            </w:pPr>
            <w:r w:rsidRPr="00316577">
              <w:rPr>
                <w:sz w:val="20"/>
                <w:szCs w:val="20"/>
                <w:lang w:val="fr-FR"/>
              </w:rPr>
              <w:t>33.</w:t>
            </w:r>
          </w:p>
        </w:tc>
        <w:tc>
          <w:tcPr>
            <w:tcW w:w="7745" w:type="dxa"/>
          </w:tcPr>
          <w:p w14:paraId="184663AD" w14:textId="77777777" w:rsidR="00316577" w:rsidRPr="00316577" w:rsidRDefault="00316577" w:rsidP="00316577">
            <w:pPr>
              <w:spacing w:before="240"/>
              <w:rPr>
                <w:sz w:val="20"/>
                <w:szCs w:val="20"/>
              </w:rPr>
            </w:pPr>
            <w:proofErr w:type="spellStart"/>
            <w:r w:rsidRPr="00316577">
              <w:rPr>
                <w:sz w:val="20"/>
                <w:szCs w:val="20"/>
                <w:lang w:val="fr-FR"/>
              </w:rPr>
              <w:t>Schurman</w:t>
            </w:r>
            <w:proofErr w:type="spellEnd"/>
            <w:r w:rsidRPr="00316577">
              <w:rPr>
                <w:sz w:val="20"/>
                <w:szCs w:val="20"/>
                <w:lang w:val="fr-FR"/>
              </w:rPr>
              <w:t xml:space="preserve"> L, </w:t>
            </w:r>
            <w:proofErr w:type="spellStart"/>
            <w:r w:rsidRPr="00316577">
              <w:rPr>
                <w:sz w:val="20"/>
                <w:szCs w:val="20"/>
                <w:lang w:val="fr-FR"/>
              </w:rPr>
              <w:t>Bagur</w:t>
            </w:r>
            <w:proofErr w:type="spellEnd"/>
            <w:r w:rsidRPr="00316577">
              <w:rPr>
                <w:sz w:val="20"/>
                <w:szCs w:val="20"/>
                <w:lang w:val="fr-FR"/>
              </w:rPr>
              <w:t xml:space="preserve"> A, Claus-</w:t>
            </w:r>
            <w:proofErr w:type="spellStart"/>
            <w:r w:rsidRPr="00316577">
              <w:rPr>
                <w:sz w:val="20"/>
                <w:szCs w:val="20"/>
                <w:lang w:val="fr-FR"/>
              </w:rPr>
              <w:t>Hemberg</w:t>
            </w:r>
            <w:proofErr w:type="spellEnd"/>
            <w:r w:rsidRPr="00316577">
              <w:rPr>
                <w:sz w:val="20"/>
                <w:szCs w:val="20"/>
                <w:lang w:val="fr-FR"/>
              </w:rPr>
              <w:t xml:space="preserve"> H, </w:t>
            </w:r>
            <w:proofErr w:type="spellStart"/>
            <w:r w:rsidRPr="00316577">
              <w:rPr>
                <w:sz w:val="20"/>
                <w:szCs w:val="20"/>
                <w:lang w:val="fr-FR"/>
              </w:rPr>
              <w:t>Messina</w:t>
            </w:r>
            <w:proofErr w:type="spellEnd"/>
            <w:r w:rsidRPr="00316577">
              <w:rPr>
                <w:sz w:val="20"/>
                <w:szCs w:val="20"/>
                <w:lang w:val="fr-FR"/>
              </w:rPr>
              <w:t xml:space="preserve"> OD, et al (2013) </w:t>
            </w:r>
            <w:proofErr w:type="spellStart"/>
            <w:r w:rsidRPr="00316577">
              <w:rPr>
                <w:sz w:val="20"/>
                <w:szCs w:val="20"/>
                <w:lang w:val="fr-FR"/>
              </w:rPr>
              <w:t>Guias</w:t>
            </w:r>
            <w:proofErr w:type="spellEnd"/>
            <w:r w:rsidRPr="00316577">
              <w:rPr>
                <w:sz w:val="20"/>
                <w:szCs w:val="20"/>
                <w:lang w:val="fr-FR"/>
              </w:rPr>
              <w:t xml:space="preserve"> 2012 para el </w:t>
            </w:r>
            <w:proofErr w:type="spellStart"/>
            <w:r w:rsidRPr="00316577">
              <w:rPr>
                <w:sz w:val="20"/>
                <w:szCs w:val="20"/>
                <w:lang w:val="fr-FR"/>
              </w:rPr>
              <w:t>diagnostico</w:t>
            </w:r>
            <w:proofErr w:type="spellEnd"/>
            <w:r w:rsidRPr="00316577">
              <w:rPr>
                <w:sz w:val="20"/>
                <w:szCs w:val="20"/>
                <w:lang w:val="fr-FR"/>
              </w:rPr>
              <w:t xml:space="preserve">, la </w:t>
            </w:r>
            <w:proofErr w:type="spellStart"/>
            <w:r w:rsidRPr="00316577">
              <w:rPr>
                <w:sz w:val="20"/>
                <w:szCs w:val="20"/>
                <w:lang w:val="fr-FR"/>
              </w:rPr>
              <w:t>prevencion</w:t>
            </w:r>
            <w:proofErr w:type="spellEnd"/>
            <w:r w:rsidRPr="00316577">
              <w:rPr>
                <w:sz w:val="20"/>
                <w:szCs w:val="20"/>
                <w:lang w:val="fr-FR"/>
              </w:rPr>
              <w:t xml:space="preserve"> y el </w:t>
            </w:r>
            <w:proofErr w:type="spellStart"/>
            <w:r w:rsidRPr="00316577">
              <w:rPr>
                <w:sz w:val="20"/>
                <w:szCs w:val="20"/>
                <w:lang w:val="fr-FR"/>
              </w:rPr>
              <w:t>tratamiento</w:t>
            </w:r>
            <w:proofErr w:type="spellEnd"/>
            <w:r w:rsidRPr="00316577">
              <w:rPr>
                <w:sz w:val="20"/>
                <w:szCs w:val="20"/>
                <w:lang w:val="fr-FR"/>
              </w:rPr>
              <w:t xml:space="preserve"> de la </w:t>
            </w:r>
            <w:proofErr w:type="spellStart"/>
            <w:r w:rsidRPr="00316577">
              <w:rPr>
                <w:sz w:val="20"/>
                <w:szCs w:val="20"/>
                <w:lang w:val="fr-FR"/>
              </w:rPr>
              <w:t>osteoporosis</w:t>
            </w:r>
            <w:proofErr w:type="spellEnd"/>
            <w:r w:rsidRPr="00316577">
              <w:rPr>
                <w:sz w:val="20"/>
                <w:szCs w:val="20"/>
                <w:lang w:val="fr-FR"/>
              </w:rPr>
              <w:t xml:space="preserve">. </w:t>
            </w:r>
            <w:proofErr w:type="spellStart"/>
            <w:r w:rsidRPr="00316577">
              <w:rPr>
                <w:sz w:val="20"/>
                <w:szCs w:val="20"/>
              </w:rPr>
              <w:t>Medcina</w:t>
            </w:r>
            <w:proofErr w:type="spellEnd"/>
            <w:r w:rsidRPr="00316577">
              <w:rPr>
                <w:sz w:val="20"/>
                <w:szCs w:val="20"/>
              </w:rPr>
              <w:t xml:space="preserve">  (Buenos Aires) 73: 55-74</w:t>
            </w:r>
          </w:p>
        </w:tc>
      </w:tr>
      <w:tr w:rsidR="00316577" w:rsidRPr="00316577" w14:paraId="0FAB2FE9" w14:textId="77777777" w:rsidTr="00316577">
        <w:tc>
          <w:tcPr>
            <w:tcW w:w="704" w:type="dxa"/>
          </w:tcPr>
          <w:p w14:paraId="16C64221" w14:textId="77777777" w:rsidR="00316577" w:rsidRPr="00316577" w:rsidRDefault="00316577" w:rsidP="00316577">
            <w:pPr>
              <w:spacing w:before="240"/>
              <w:rPr>
                <w:sz w:val="20"/>
                <w:szCs w:val="20"/>
              </w:rPr>
            </w:pPr>
            <w:r w:rsidRPr="00316577">
              <w:rPr>
                <w:sz w:val="20"/>
                <w:szCs w:val="20"/>
              </w:rPr>
              <w:t>34.</w:t>
            </w:r>
          </w:p>
        </w:tc>
        <w:tc>
          <w:tcPr>
            <w:tcW w:w="7745" w:type="dxa"/>
          </w:tcPr>
          <w:p w14:paraId="4EE3AE86" w14:textId="77777777" w:rsidR="00316577" w:rsidRPr="00316577" w:rsidRDefault="00316577" w:rsidP="00316577">
            <w:pPr>
              <w:spacing w:before="240"/>
              <w:rPr>
                <w:sz w:val="20"/>
                <w:szCs w:val="20"/>
              </w:rPr>
            </w:pPr>
            <w:r w:rsidRPr="00316577">
              <w:rPr>
                <w:sz w:val="20"/>
                <w:szCs w:val="20"/>
              </w:rPr>
              <w:t xml:space="preserve">Wu CH, McCloskey EV, Lee JK et al (2014) Consensus of official position of IOF/ISCD FRAX initiatives in Asia-Pacific region. J </w:t>
            </w:r>
            <w:proofErr w:type="spellStart"/>
            <w:r w:rsidRPr="00316577">
              <w:rPr>
                <w:sz w:val="20"/>
                <w:szCs w:val="20"/>
              </w:rPr>
              <w:t>Clin</w:t>
            </w:r>
            <w:proofErr w:type="spellEnd"/>
            <w:r w:rsidRPr="00316577">
              <w:rPr>
                <w:sz w:val="20"/>
                <w:szCs w:val="20"/>
              </w:rPr>
              <w:t xml:space="preserve"> </w:t>
            </w:r>
            <w:proofErr w:type="spellStart"/>
            <w:r w:rsidRPr="00316577">
              <w:rPr>
                <w:sz w:val="20"/>
                <w:szCs w:val="20"/>
              </w:rPr>
              <w:t>Densitom</w:t>
            </w:r>
            <w:proofErr w:type="spellEnd"/>
            <w:r w:rsidRPr="00316577">
              <w:rPr>
                <w:sz w:val="20"/>
                <w:szCs w:val="20"/>
              </w:rPr>
              <w:t xml:space="preserve"> 17:150-5</w:t>
            </w:r>
          </w:p>
        </w:tc>
      </w:tr>
      <w:tr w:rsidR="00316577" w:rsidRPr="00316577" w14:paraId="23FB7905" w14:textId="77777777" w:rsidTr="00316577">
        <w:tc>
          <w:tcPr>
            <w:tcW w:w="704" w:type="dxa"/>
          </w:tcPr>
          <w:p w14:paraId="3559C055" w14:textId="77777777" w:rsidR="00316577" w:rsidRPr="00316577" w:rsidRDefault="00316577" w:rsidP="00316577">
            <w:pPr>
              <w:spacing w:before="240"/>
              <w:rPr>
                <w:sz w:val="20"/>
                <w:szCs w:val="20"/>
              </w:rPr>
            </w:pPr>
            <w:r w:rsidRPr="00316577">
              <w:rPr>
                <w:sz w:val="20"/>
                <w:szCs w:val="20"/>
              </w:rPr>
              <w:t>35.</w:t>
            </w:r>
          </w:p>
        </w:tc>
        <w:tc>
          <w:tcPr>
            <w:tcW w:w="7745" w:type="dxa"/>
          </w:tcPr>
          <w:p w14:paraId="4F3449AE" w14:textId="77777777" w:rsidR="00316577" w:rsidRPr="00316577" w:rsidRDefault="00316577" w:rsidP="00316577">
            <w:pPr>
              <w:spacing w:before="240"/>
              <w:rPr>
                <w:sz w:val="20"/>
                <w:szCs w:val="20"/>
              </w:rPr>
            </w:pPr>
            <w:r w:rsidRPr="00316577">
              <w:rPr>
                <w:sz w:val="20"/>
                <w:szCs w:val="20"/>
              </w:rPr>
              <w:t xml:space="preserve">Pereira RM, </w:t>
            </w:r>
            <w:proofErr w:type="spellStart"/>
            <w:r w:rsidRPr="00316577">
              <w:rPr>
                <w:sz w:val="20"/>
                <w:szCs w:val="20"/>
              </w:rPr>
              <w:t>Carvalho</w:t>
            </w:r>
            <w:proofErr w:type="spellEnd"/>
            <w:r w:rsidRPr="00316577">
              <w:rPr>
                <w:sz w:val="20"/>
                <w:szCs w:val="20"/>
              </w:rPr>
              <w:t xml:space="preserve"> JF, Paula AP et al (2012) Guidelines for the prevention and treatment of glucocorticoid-induced osteoporosis. Rev Bras </w:t>
            </w:r>
            <w:proofErr w:type="spellStart"/>
            <w:r w:rsidRPr="00316577">
              <w:rPr>
                <w:sz w:val="20"/>
                <w:szCs w:val="20"/>
              </w:rPr>
              <w:t>Reumatol</w:t>
            </w:r>
            <w:proofErr w:type="spellEnd"/>
            <w:r w:rsidRPr="00316577">
              <w:rPr>
                <w:sz w:val="20"/>
                <w:szCs w:val="20"/>
              </w:rPr>
              <w:t xml:space="preserve"> 52:580-93. English, Portuguese</w:t>
            </w:r>
          </w:p>
        </w:tc>
      </w:tr>
      <w:tr w:rsidR="00316577" w:rsidRPr="00316577" w14:paraId="4AA0C0B6" w14:textId="77777777" w:rsidTr="00316577">
        <w:tc>
          <w:tcPr>
            <w:tcW w:w="704" w:type="dxa"/>
          </w:tcPr>
          <w:p w14:paraId="015E825F" w14:textId="77777777" w:rsidR="00316577" w:rsidRPr="00316577" w:rsidRDefault="00316577" w:rsidP="00316577">
            <w:pPr>
              <w:spacing w:before="240"/>
              <w:rPr>
                <w:sz w:val="20"/>
                <w:szCs w:val="20"/>
              </w:rPr>
            </w:pPr>
            <w:r w:rsidRPr="00316577">
              <w:rPr>
                <w:sz w:val="20"/>
                <w:szCs w:val="20"/>
              </w:rPr>
              <w:t>36.</w:t>
            </w:r>
          </w:p>
        </w:tc>
        <w:tc>
          <w:tcPr>
            <w:tcW w:w="7745" w:type="dxa"/>
          </w:tcPr>
          <w:p w14:paraId="21BC29EA" w14:textId="77777777" w:rsidR="00316577" w:rsidRPr="00316577" w:rsidRDefault="00316577" w:rsidP="00316577">
            <w:pPr>
              <w:spacing w:before="240"/>
              <w:rPr>
                <w:sz w:val="20"/>
                <w:szCs w:val="20"/>
              </w:rPr>
            </w:pPr>
            <w:proofErr w:type="spellStart"/>
            <w:r w:rsidRPr="00316577">
              <w:rPr>
                <w:sz w:val="20"/>
                <w:szCs w:val="20"/>
              </w:rPr>
              <w:t>Borissova</w:t>
            </w:r>
            <w:proofErr w:type="spellEnd"/>
            <w:r w:rsidRPr="00316577">
              <w:rPr>
                <w:sz w:val="20"/>
                <w:szCs w:val="20"/>
              </w:rPr>
              <w:t xml:space="preserve"> A-M, </w:t>
            </w:r>
            <w:proofErr w:type="spellStart"/>
            <w:r w:rsidRPr="00316577">
              <w:rPr>
                <w:sz w:val="20"/>
                <w:szCs w:val="20"/>
              </w:rPr>
              <w:t>Zacharieva</w:t>
            </w:r>
            <w:proofErr w:type="spellEnd"/>
            <w:r w:rsidRPr="00316577">
              <w:rPr>
                <w:sz w:val="20"/>
                <w:szCs w:val="20"/>
              </w:rPr>
              <w:t xml:space="preserve"> S, </w:t>
            </w:r>
            <w:proofErr w:type="spellStart"/>
            <w:r w:rsidRPr="00316577">
              <w:rPr>
                <w:sz w:val="20"/>
                <w:szCs w:val="20"/>
              </w:rPr>
              <w:t>Boyanov</w:t>
            </w:r>
            <w:proofErr w:type="spellEnd"/>
            <w:r w:rsidRPr="00316577">
              <w:rPr>
                <w:sz w:val="20"/>
                <w:szCs w:val="20"/>
              </w:rPr>
              <w:t xml:space="preserve"> M et al (2013) Recommendations for good clinical practice in osteoporosis. </w:t>
            </w:r>
            <w:hyperlink r:id="rId46" w:anchor="ref_42" w:history="1">
              <w:r w:rsidRPr="00316577">
                <w:rPr>
                  <w:color w:val="0563C1" w:themeColor="hyperlink"/>
                  <w:sz w:val="20"/>
                  <w:szCs w:val="20"/>
                  <w:u w:val="single"/>
                </w:rPr>
                <w:t>http://www.iofbonehealth.org/guideline-references#ref_42</w:t>
              </w:r>
            </w:hyperlink>
            <w:r w:rsidRPr="00316577">
              <w:rPr>
                <w:sz w:val="20"/>
                <w:szCs w:val="20"/>
              </w:rPr>
              <w:t xml:space="preserve"> Accessed 22 October 2015</w:t>
            </w:r>
          </w:p>
        </w:tc>
      </w:tr>
      <w:tr w:rsidR="00316577" w:rsidRPr="00316577" w14:paraId="6E8D9829" w14:textId="77777777" w:rsidTr="00316577">
        <w:tc>
          <w:tcPr>
            <w:tcW w:w="704" w:type="dxa"/>
          </w:tcPr>
          <w:p w14:paraId="140DEF22" w14:textId="77777777" w:rsidR="00316577" w:rsidRPr="00316577" w:rsidRDefault="00316577" w:rsidP="00316577">
            <w:pPr>
              <w:autoSpaceDE w:val="0"/>
              <w:autoSpaceDN w:val="0"/>
              <w:adjustRightInd w:val="0"/>
              <w:spacing w:before="240"/>
              <w:rPr>
                <w:sz w:val="20"/>
                <w:szCs w:val="20"/>
              </w:rPr>
            </w:pPr>
            <w:r w:rsidRPr="00316577">
              <w:rPr>
                <w:sz w:val="20"/>
                <w:szCs w:val="20"/>
              </w:rPr>
              <w:t>37.</w:t>
            </w:r>
          </w:p>
        </w:tc>
        <w:tc>
          <w:tcPr>
            <w:tcW w:w="7745" w:type="dxa"/>
          </w:tcPr>
          <w:p w14:paraId="759BA172" w14:textId="77777777" w:rsidR="00316577" w:rsidRPr="00316577" w:rsidRDefault="00316577" w:rsidP="00316577">
            <w:pPr>
              <w:autoSpaceDE w:val="0"/>
              <w:autoSpaceDN w:val="0"/>
              <w:adjustRightInd w:val="0"/>
              <w:spacing w:before="240"/>
              <w:rPr>
                <w:sz w:val="20"/>
                <w:szCs w:val="20"/>
              </w:rPr>
            </w:pPr>
            <w:proofErr w:type="spellStart"/>
            <w:r w:rsidRPr="00316577">
              <w:rPr>
                <w:sz w:val="20"/>
                <w:szCs w:val="20"/>
              </w:rPr>
              <w:t>Fouda</w:t>
            </w:r>
            <w:proofErr w:type="spellEnd"/>
            <w:r w:rsidRPr="00316577">
              <w:rPr>
                <w:sz w:val="20"/>
                <w:szCs w:val="20"/>
              </w:rPr>
              <w:t xml:space="preserve"> MA, Khan AA, Sultan MS, Rios LP, McAssey K, Armstrong D (2012) Evaluation and management of skeletal health in celiac disease: position statement. Can J </w:t>
            </w:r>
            <w:proofErr w:type="spellStart"/>
            <w:r w:rsidRPr="00316577">
              <w:rPr>
                <w:sz w:val="20"/>
                <w:szCs w:val="20"/>
              </w:rPr>
              <w:t>Gastroenterol</w:t>
            </w:r>
            <w:proofErr w:type="spellEnd"/>
            <w:r w:rsidRPr="00316577">
              <w:rPr>
                <w:sz w:val="20"/>
                <w:szCs w:val="20"/>
              </w:rPr>
              <w:t xml:space="preserve"> 26: 819-29.</w:t>
            </w:r>
          </w:p>
        </w:tc>
      </w:tr>
      <w:tr w:rsidR="00316577" w:rsidRPr="00316577" w14:paraId="3C0F0174" w14:textId="77777777" w:rsidTr="00316577">
        <w:tc>
          <w:tcPr>
            <w:tcW w:w="704" w:type="dxa"/>
          </w:tcPr>
          <w:p w14:paraId="49133F93" w14:textId="77777777" w:rsidR="00316577" w:rsidRPr="00316577" w:rsidRDefault="00316577" w:rsidP="00316577">
            <w:pPr>
              <w:spacing w:before="240"/>
              <w:rPr>
                <w:sz w:val="20"/>
                <w:szCs w:val="20"/>
              </w:rPr>
            </w:pPr>
            <w:r w:rsidRPr="00316577">
              <w:rPr>
                <w:sz w:val="20"/>
                <w:szCs w:val="20"/>
              </w:rPr>
              <w:t>38.</w:t>
            </w:r>
          </w:p>
        </w:tc>
        <w:tc>
          <w:tcPr>
            <w:tcW w:w="7745" w:type="dxa"/>
          </w:tcPr>
          <w:p w14:paraId="027ACCCA" w14:textId="77777777" w:rsidR="00316577" w:rsidRPr="00316577" w:rsidRDefault="00316577" w:rsidP="00316577">
            <w:pPr>
              <w:spacing w:before="240"/>
              <w:rPr>
                <w:sz w:val="20"/>
                <w:szCs w:val="20"/>
              </w:rPr>
            </w:pPr>
            <w:r w:rsidRPr="00316577">
              <w:rPr>
                <w:sz w:val="20"/>
                <w:szCs w:val="20"/>
              </w:rPr>
              <w:t>Zhang Z, Gao B, Liu Z (2012) Fracture risk assessment tool (FRAX) for osteoporosis diagnosis and treatment. Chin J Osteoporos 18: 589-595.</w:t>
            </w:r>
          </w:p>
        </w:tc>
      </w:tr>
      <w:tr w:rsidR="00316577" w:rsidRPr="00316577" w14:paraId="7955D7AD" w14:textId="77777777" w:rsidTr="00316577">
        <w:tc>
          <w:tcPr>
            <w:tcW w:w="704" w:type="dxa"/>
          </w:tcPr>
          <w:p w14:paraId="26B78F18" w14:textId="77777777" w:rsidR="00316577" w:rsidRPr="00316577" w:rsidRDefault="00316577" w:rsidP="00316577">
            <w:pPr>
              <w:autoSpaceDE w:val="0"/>
              <w:autoSpaceDN w:val="0"/>
              <w:adjustRightInd w:val="0"/>
              <w:spacing w:before="240"/>
              <w:rPr>
                <w:sz w:val="20"/>
                <w:szCs w:val="20"/>
              </w:rPr>
            </w:pPr>
            <w:r w:rsidRPr="00316577">
              <w:rPr>
                <w:sz w:val="20"/>
                <w:szCs w:val="20"/>
              </w:rPr>
              <w:t>39.</w:t>
            </w:r>
          </w:p>
        </w:tc>
        <w:tc>
          <w:tcPr>
            <w:tcW w:w="7745" w:type="dxa"/>
          </w:tcPr>
          <w:p w14:paraId="6AF94EED" w14:textId="77777777" w:rsidR="00316577" w:rsidRPr="00316577" w:rsidRDefault="00316577" w:rsidP="00316577">
            <w:pPr>
              <w:autoSpaceDE w:val="0"/>
              <w:autoSpaceDN w:val="0"/>
              <w:adjustRightInd w:val="0"/>
              <w:spacing w:before="240"/>
              <w:rPr>
                <w:sz w:val="20"/>
                <w:szCs w:val="20"/>
              </w:rPr>
            </w:pPr>
            <w:proofErr w:type="spellStart"/>
            <w:r w:rsidRPr="00316577">
              <w:rPr>
                <w:sz w:val="20"/>
                <w:szCs w:val="20"/>
              </w:rPr>
              <w:t>Curković</w:t>
            </w:r>
            <w:proofErr w:type="spellEnd"/>
            <w:r w:rsidRPr="00316577">
              <w:rPr>
                <w:sz w:val="20"/>
                <w:szCs w:val="20"/>
              </w:rPr>
              <w:t xml:space="preserve"> B, </w:t>
            </w:r>
            <w:proofErr w:type="spellStart"/>
            <w:r w:rsidRPr="00316577">
              <w:rPr>
                <w:sz w:val="20"/>
                <w:szCs w:val="20"/>
              </w:rPr>
              <w:t>Grazio</w:t>
            </w:r>
            <w:proofErr w:type="spellEnd"/>
            <w:r w:rsidRPr="00316577">
              <w:rPr>
                <w:sz w:val="20"/>
                <w:szCs w:val="20"/>
              </w:rPr>
              <w:t xml:space="preserve"> S, </w:t>
            </w:r>
            <w:proofErr w:type="spellStart"/>
            <w:r w:rsidRPr="00316577">
              <w:rPr>
                <w:sz w:val="20"/>
                <w:szCs w:val="20"/>
              </w:rPr>
              <w:t>Babić-Naglić</w:t>
            </w:r>
            <w:proofErr w:type="spellEnd"/>
            <w:r w:rsidRPr="00316577">
              <w:rPr>
                <w:sz w:val="20"/>
                <w:szCs w:val="20"/>
              </w:rPr>
              <w:t xml:space="preserve"> D, </w:t>
            </w:r>
            <w:proofErr w:type="spellStart"/>
            <w:r w:rsidRPr="00316577">
              <w:rPr>
                <w:sz w:val="20"/>
                <w:szCs w:val="20"/>
              </w:rPr>
              <w:t>Anić</w:t>
            </w:r>
            <w:proofErr w:type="spellEnd"/>
            <w:r w:rsidRPr="00316577">
              <w:rPr>
                <w:sz w:val="20"/>
                <w:szCs w:val="20"/>
              </w:rPr>
              <w:t xml:space="preserve"> B, </w:t>
            </w:r>
            <w:proofErr w:type="spellStart"/>
            <w:r w:rsidRPr="00316577">
              <w:rPr>
                <w:sz w:val="20"/>
                <w:szCs w:val="20"/>
              </w:rPr>
              <w:t>Vlak</w:t>
            </w:r>
            <w:proofErr w:type="spellEnd"/>
            <w:r w:rsidRPr="00316577">
              <w:rPr>
                <w:sz w:val="20"/>
                <w:szCs w:val="20"/>
              </w:rPr>
              <w:t xml:space="preserve"> T, </w:t>
            </w:r>
            <w:proofErr w:type="spellStart"/>
            <w:r w:rsidRPr="00316577">
              <w:rPr>
                <w:sz w:val="20"/>
                <w:szCs w:val="20"/>
              </w:rPr>
              <w:t>Hanih</w:t>
            </w:r>
            <w:proofErr w:type="spellEnd"/>
            <w:r w:rsidRPr="00316577">
              <w:rPr>
                <w:sz w:val="20"/>
                <w:szCs w:val="20"/>
              </w:rPr>
              <w:t xml:space="preserve"> M (2008) [Recommendations of the Croatian Society for Rheumatology for prevention, diagnostics and treatment of post-menopausal osteoporosis]. </w:t>
            </w:r>
            <w:proofErr w:type="spellStart"/>
            <w:r w:rsidRPr="00316577">
              <w:rPr>
                <w:sz w:val="20"/>
                <w:szCs w:val="20"/>
              </w:rPr>
              <w:t>Reumatizam</w:t>
            </w:r>
            <w:proofErr w:type="spellEnd"/>
            <w:r w:rsidRPr="00316577">
              <w:rPr>
                <w:sz w:val="20"/>
                <w:szCs w:val="20"/>
              </w:rPr>
              <w:t>. 55: 26-30. Croatian. PubMed PMID: 19024267.</w:t>
            </w:r>
          </w:p>
        </w:tc>
      </w:tr>
      <w:tr w:rsidR="00316577" w:rsidRPr="00316577" w14:paraId="5D718FF4" w14:textId="77777777" w:rsidTr="00316577">
        <w:tc>
          <w:tcPr>
            <w:tcW w:w="704" w:type="dxa"/>
          </w:tcPr>
          <w:p w14:paraId="6D3FF22B" w14:textId="77777777" w:rsidR="00316577" w:rsidRPr="00316577" w:rsidRDefault="00316577" w:rsidP="00316577">
            <w:pPr>
              <w:spacing w:before="240"/>
              <w:rPr>
                <w:sz w:val="20"/>
                <w:szCs w:val="20"/>
              </w:rPr>
            </w:pPr>
            <w:r w:rsidRPr="00316577">
              <w:rPr>
                <w:sz w:val="20"/>
                <w:szCs w:val="20"/>
              </w:rPr>
              <w:t>40.</w:t>
            </w:r>
          </w:p>
        </w:tc>
        <w:tc>
          <w:tcPr>
            <w:tcW w:w="7745" w:type="dxa"/>
          </w:tcPr>
          <w:p w14:paraId="493A523B" w14:textId="77777777" w:rsidR="00316577" w:rsidRPr="00316577" w:rsidRDefault="00316577" w:rsidP="00316577">
            <w:pPr>
              <w:spacing w:before="240"/>
              <w:rPr>
                <w:sz w:val="20"/>
                <w:szCs w:val="20"/>
              </w:rPr>
            </w:pPr>
            <w:r w:rsidRPr="00316577">
              <w:rPr>
                <w:sz w:val="20"/>
                <w:szCs w:val="20"/>
              </w:rPr>
              <w:t xml:space="preserve">Coleman R, Body JJ, </w:t>
            </w:r>
            <w:proofErr w:type="spellStart"/>
            <w:r w:rsidRPr="00316577">
              <w:rPr>
                <w:sz w:val="20"/>
                <w:szCs w:val="20"/>
              </w:rPr>
              <w:t>Aapro</w:t>
            </w:r>
            <w:proofErr w:type="spellEnd"/>
            <w:r w:rsidRPr="00316577">
              <w:rPr>
                <w:sz w:val="20"/>
                <w:szCs w:val="20"/>
              </w:rPr>
              <w:t xml:space="preserve"> M, </w:t>
            </w:r>
            <w:proofErr w:type="spellStart"/>
            <w:r w:rsidRPr="00316577">
              <w:rPr>
                <w:sz w:val="20"/>
                <w:szCs w:val="20"/>
              </w:rPr>
              <w:t>Hadji</w:t>
            </w:r>
            <w:proofErr w:type="spellEnd"/>
            <w:r w:rsidRPr="00316577">
              <w:rPr>
                <w:sz w:val="20"/>
                <w:szCs w:val="20"/>
              </w:rPr>
              <w:t xml:space="preserve"> P </w:t>
            </w:r>
            <w:proofErr w:type="spellStart"/>
            <w:r w:rsidRPr="00316577">
              <w:rPr>
                <w:sz w:val="20"/>
                <w:szCs w:val="20"/>
              </w:rPr>
              <w:t>Herrstedt</w:t>
            </w:r>
            <w:proofErr w:type="spellEnd"/>
            <w:r w:rsidRPr="00316577">
              <w:rPr>
                <w:sz w:val="20"/>
                <w:szCs w:val="20"/>
              </w:rPr>
              <w:t xml:space="preserve"> J on behalf of the ESMO Guidelines Working Group (2014) Bone  health in cancer patients: ESMO Clinical Practice Guidelines. Ann </w:t>
            </w:r>
            <w:proofErr w:type="spellStart"/>
            <w:r w:rsidRPr="00316577">
              <w:rPr>
                <w:sz w:val="20"/>
                <w:szCs w:val="20"/>
              </w:rPr>
              <w:t>Oncol</w:t>
            </w:r>
            <w:proofErr w:type="spellEnd"/>
            <w:r w:rsidRPr="00316577">
              <w:rPr>
                <w:sz w:val="20"/>
                <w:szCs w:val="20"/>
              </w:rPr>
              <w:t xml:space="preserve"> 25 (</w:t>
            </w:r>
            <w:proofErr w:type="spellStart"/>
            <w:r w:rsidRPr="00316577">
              <w:rPr>
                <w:sz w:val="20"/>
                <w:szCs w:val="20"/>
              </w:rPr>
              <w:t>suppl</w:t>
            </w:r>
            <w:proofErr w:type="spellEnd"/>
            <w:r w:rsidRPr="00316577">
              <w:rPr>
                <w:sz w:val="20"/>
                <w:szCs w:val="20"/>
              </w:rPr>
              <w:t xml:space="preserve"> 3): 124-137.</w:t>
            </w:r>
          </w:p>
        </w:tc>
      </w:tr>
      <w:tr w:rsidR="00316577" w:rsidRPr="00316577" w14:paraId="42ABCBEE" w14:textId="77777777" w:rsidTr="00316577">
        <w:tc>
          <w:tcPr>
            <w:tcW w:w="704" w:type="dxa"/>
          </w:tcPr>
          <w:p w14:paraId="68AC5A68" w14:textId="77777777" w:rsidR="00316577" w:rsidRPr="00316577" w:rsidRDefault="00316577" w:rsidP="00316577">
            <w:pPr>
              <w:spacing w:before="240"/>
              <w:rPr>
                <w:sz w:val="20"/>
                <w:szCs w:val="20"/>
              </w:rPr>
            </w:pPr>
            <w:r w:rsidRPr="00316577">
              <w:rPr>
                <w:sz w:val="20"/>
                <w:szCs w:val="20"/>
              </w:rPr>
              <w:t>41.</w:t>
            </w:r>
          </w:p>
        </w:tc>
        <w:tc>
          <w:tcPr>
            <w:tcW w:w="7745" w:type="dxa"/>
          </w:tcPr>
          <w:p w14:paraId="37152EA9" w14:textId="77777777" w:rsidR="00316577" w:rsidRPr="00316577" w:rsidRDefault="00316577" w:rsidP="00316577">
            <w:pPr>
              <w:spacing w:before="240"/>
              <w:rPr>
                <w:sz w:val="20"/>
                <w:szCs w:val="20"/>
              </w:rPr>
            </w:pPr>
            <w:proofErr w:type="spellStart"/>
            <w:r w:rsidRPr="00316577">
              <w:rPr>
                <w:sz w:val="20"/>
                <w:szCs w:val="20"/>
              </w:rPr>
              <w:t>Brincat</w:t>
            </w:r>
            <w:proofErr w:type="spellEnd"/>
            <w:r w:rsidRPr="00316577">
              <w:rPr>
                <w:sz w:val="20"/>
                <w:szCs w:val="20"/>
              </w:rPr>
              <w:t xml:space="preserve"> M, </w:t>
            </w:r>
            <w:proofErr w:type="spellStart"/>
            <w:r w:rsidRPr="00316577">
              <w:rPr>
                <w:sz w:val="20"/>
                <w:szCs w:val="20"/>
              </w:rPr>
              <w:t>Calleja-Agius</w:t>
            </w:r>
            <w:proofErr w:type="spellEnd"/>
            <w:r w:rsidRPr="00316577">
              <w:rPr>
                <w:sz w:val="20"/>
                <w:szCs w:val="20"/>
              </w:rPr>
              <w:t xml:space="preserve"> J, </w:t>
            </w:r>
            <w:proofErr w:type="spellStart"/>
            <w:r w:rsidRPr="00316577">
              <w:rPr>
                <w:sz w:val="20"/>
                <w:szCs w:val="20"/>
              </w:rPr>
              <w:t>Erel</w:t>
            </w:r>
            <w:proofErr w:type="spellEnd"/>
            <w:r w:rsidRPr="00316577">
              <w:rPr>
                <w:sz w:val="20"/>
                <w:szCs w:val="20"/>
              </w:rPr>
              <w:t xml:space="preserve"> CT et al (2011) EMAS position statement: Bone densitometry screening for osteoporosis. </w:t>
            </w:r>
            <w:proofErr w:type="spellStart"/>
            <w:r w:rsidRPr="00316577">
              <w:rPr>
                <w:sz w:val="20"/>
                <w:szCs w:val="20"/>
              </w:rPr>
              <w:t>Maturitas</w:t>
            </w:r>
            <w:proofErr w:type="spellEnd"/>
            <w:r w:rsidRPr="00316577">
              <w:rPr>
                <w:sz w:val="20"/>
                <w:szCs w:val="20"/>
              </w:rPr>
              <w:t xml:space="preserve"> 68: 98-101.</w:t>
            </w:r>
          </w:p>
        </w:tc>
      </w:tr>
      <w:tr w:rsidR="00316577" w:rsidRPr="00316577" w14:paraId="05CE1CB7" w14:textId="77777777" w:rsidTr="00316577">
        <w:tc>
          <w:tcPr>
            <w:tcW w:w="704" w:type="dxa"/>
          </w:tcPr>
          <w:p w14:paraId="53BB4EB0" w14:textId="77777777" w:rsidR="00316577" w:rsidRPr="00316577" w:rsidRDefault="00316577" w:rsidP="00316577">
            <w:pPr>
              <w:autoSpaceDE w:val="0"/>
              <w:autoSpaceDN w:val="0"/>
              <w:adjustRightInd w:val="0"/>
              <w:spacing w:before="240"/>
              <w:rPr>
                <w:sz w:val="20"/>
                <w:szCs w:val="20"/>
              </w:rPr>
            </w:pPr>
            <w:r w:rsidRPr="00316577">
              <w:rPr>
                <w:sz w:val="20"/>
                <w:szCs w:val="20"/>
              </w:rPr>
              <w:t>42.</w:t>
            </w:r>
          </w:p>
        </w:tc>
        <w:tc>
          <w:tcPr>
            <w:tcW w:w="7745" w:type="dxa"/>
          </w:tcPr>
          <w:p w14:paraId="53C69EFC" w14:textId="77777777" w:rsidR="00316577" w:rsidRPr="00316577" w:rsidRDefault="00316577" w:rsidP="00316577">
            <w:pPr>
              <w:autoSpaceDE w:val="0"/>
              <w:autoSpaceDN w:val="0"/>
              <w:adjustRightInd w:val="0"/>
              <w:spacing w:before="240"/>
              <w:rPr>
                <w:sz w:val="20"/>
                <w:szCs w:val="20"/>
              </w:rPr>
            </w:pPr>
            <w:proofErr w:type="spellStart"/>
            <w:r w:rsidRPr="00316577">
              <w:rPr>
                <w:sz w:val="20"/>
                <w:szCs w:val="20"/>
              </w:rPr>
              <w:t>Duru</w:t>
            </w:r>
            <w:proofErr w:type="spellEnd"/>
            <w:r w:rsidRPr="00316577">
              <w:rPr>
                <w:sz w:val="20"/>
                <w:szCs w:val="20"/>
              </w:rPr>
              <w:t xml:space="preserve"> N, van der Goes MC, Jacobs JW et al (2013) EULAR evidence-based and consensus-based recommendations on the management of medium to high-dose glucocorticoid therapy in rheumatic diseases. Ann Rheum Dis. 72: 1905-13</w:t>
            </w:r>
          </w:p>
        </w:tc>
      </w:tr>
      <w:tr w:rsidR="00316577" w:rsidRPr="00316577" w14:paraId="2F338912" w14:textId="77777777" w:rsidTr="00316577">
        <w:tc>
          <w:tcPr>
            <w:tcW w:w="704" w:type="dxa"/>
          </w:tcPr>
          <w:p w14:paraId="4F3052ED" w14:textId="77777777" w:rsidR="00316577" w:rsidRPr="00316577" w:rsidRDefault="00316577" w:rsidP="00316577">
            <w:pPr>
              <w:spacing w:before="240"/>
              <w:rPr>
                <w:sz w:val="20"/>
                <w:szCs w:val="20"/>
              </w:rPr>
            </w:pPr>
            <w:r w:rsidRPr="00316577">
              <w:rPr>
                <w:sz w:val="20"/>
                <w:szCs w:val="20"/>
              </w:rPr>
              <w:t>43.</w:t>
            </w:r>
          </w:p>
        </w:tc>
        <w:tc>
          <w:tcPr>
            <w:tcW w:w="7745" w:type="dxa"/>
          </w:tcPr>
          <w:p w14:paraId="0BEA1BA7" w14:textId="77777777" w:rsidR="00316577" w:rsidRPr="00316577" w:rsidRDefault="00316577" w:rsidP="00316577">
            <w:pPr>
              <w:spacing w:before="240"/>
              <w:rPr>
                <w:sz w:val="20"/>
                <w:szCs w:val="20"/>
              </w:rPr>
            </w:pPr>
            <w:proofErr w:type="spellStart"/>
            <w:r w:rsidRPr="00316577">
              <w:rPr>
                <w:sz w:val="20"/>
                <w:szCs w:val="20"/>
              </w:rPr>
              <w:t>Cortet</w:t>
            </w:r>
            <w:proofErr w:type="spellEnd"/>
            <w:r w:rsidRPr="00316577">
              <w:rPr>
                <w:sz w:val="20"/>
                <w:szCs w:val="20"/>
              </w:rPr>
              <w:t xml:space="preserve"> B, </w:t>
            </w:r>
            <w:proofErr w:type="spellStart"/>
            <w:r w:rsidRPr="00316577">
              <w:rPr>
                <w:sz w:val="20"/>
                <w:szCs w:val="20"/>
              </w:rPr>
              <w:t>Lartigau</w:t>
            </w:r>
            <w:proofErr w:type="spellEnd"/>
            <w:r w:rsidRPr="00316577">
              <w:rPr>
                <w:sz w:val="20"/>
                <w:szCs w:val="20"/>
              </w:rPr>
              <w:t xml:space="preserve"> E, Caty A, et al (2012) Androgen deprivation therapy for prostate cancer and osteoporotic risk. </w:t>
            </w:r>
            <w:proofErr w:type="spellStart"/>
            <w:r w:rsidRPr="00316577">
              <w:rPr>
                <w:sz w:val="20"/>
                <w:szCs w:val="20"/>
              </w:rPr>
              <w:t>Progres</w:t>
            </w:r>
            <w:proofErr w:type="spellEnd"/>
            <w:r w:rsidRPr="00316577">
              <w:rPr>
                <w:sz w:val="20"/>
                <w:szCs w:val="20"/>
              </w:rPr>
              <w:t xml:space="preserve"> </w:t>
            </w:r>
            <w:proofErr w:type="spellStart"/>
            <w:r w:rsidRPr="00316577">
              <w:rPr>
                <w:sz w:val="20"/>
                <w:szCs w:val="20"/>
              </w:rPr>
              <w:t>En</w:t>
            </w:r>
            <w:proofErr w:type="spellEnd"/>
            <w:r w:rsidRPr="00316577">
              <w:rPr>
                <w:sz w:val="20"/>
                <w:szCs w:val="20"/>
              </w:rPr>
              <w:t xml:space="preserve"> </w:t>
            </w:r>
            <w:proofErr w:type="spellStart"/>
            <w:r w:rsidRPr="00316577">
              <w:rPr>
                <w:sz w:val="20"/>
                <w:szCs w:val="20"/>
              </w:rPr>
              <w:t>Urologie</w:t>
            </w:r>
            <w:proofErr w:type="spellEnd"/>
            <w:r w:rsidRPr="00316577">
              <w:rPr>
                <w:sz w:val="20"/>
                <w:szCs w:val="20"/>
              </w:rPr>
              <w:t xml:space="preserve"> 22: S31-S8.</w:t>
            </w:r>
          </w:p>
        </w:tc>
      </w:tr>
      <w:tr w:rsidR="00316577" w:rsidRPr="00316577" w14:paraId="4786811F" w14:textId="77777777" w:rsidTr="00316577">
        <w:tc>
          <w:tcPr>
            <w:tcW w:w="704" w:type="dxa"/>
          </w:tcPr>
          <w:p w14:paraId="671E423E" w14:textId="77777777" w:rsidR="00316577" w:rsidRPr="00316577" w:rsidRDefault="00316577" w:rsidP="00316577">
            <w:pPr>
              <w:autoSpaceDE w:val="0"/>
              <w:autoSpaceDN w:val="0"/>
              <w:adjustRightInd w:val="0"/>
              <w:spacing w:before="240"/>
              <w:rPr>
                <w:sz w:val="20"/>
                <w:szCs w:val="20"/>
              </w:rPr>
            </w:pPr>
            <w:r w:rsidRPr="00316577">
              <w:rPr>
                <w:sz w:val="20"/>
                <w:szCs w:val="20"/>
              </w:rPr>
              <w:t>44.</w:t>
            </w:r>
          </w:p>
        </w:tc>
        <w:tc>
          <w:tcPr>
            <w:tcW w:w="7745" w:type="dxa"/>
          </w:tcPr>
          <w:p w14:paraId="0EE0220A" w14:textId="77777777" w:rsidR="00316577" w:rsidRPr="00316577" w:rsidRDefault="00316577" w:rsidP="00316577">
            <w:pPr>
              <w:autoSpaceDE w:val="0"/>
              <w:autoSpaceDN w:val="0"/>
              <w:adjustRightInd w:val="0"/>
              <w:spacing w:before="240"/>
              <w:rPr>
                <w:sz w:val="20"/>
                <w:szCs w:val="20"/>
              </w:rPr>
            </w:pPr>
            <w:proofErr w:type="spellStart"/>
            <w:r w:rsidRPr="00316577">
              <w:rPr>
                <w:sz w:val="20"/>
                <w:szCs w:val="20"/>
              </w:rPr>
              <w:t>Dachverband</w:t>
            </w:r>
            <w:proofErr w:type="spellEnd"/>
            <w:r w:rsidRPr="00316577">
              <w:rPr>
                <w:sz w:val="20"/>
                <w:szCs w:val="20"/>
              </w:rPr>
              <w:t xml:space="preserve"> </w:t>
            </w:r>
            <w:proofErr w:type="spellStart"/>
            <w:r w:rsidRPr="00316577">
              <w:rPr>
                <w:sz w:val="20"/>
                <w:szCs w:val="20"/>
              </w:rPr>
              <w:t>Osteologie</w:t>
            </w:r>
            <w:proofErr w:type="spellEnd"/>
            <w:r w:rsidRPr="00316577">
              <w:rPr>
                <w:sz w:val="20"/>
                <w:szCs w:val="20"/>
              </w:rPr>
              <w:t xml:space="preserve"> </w:t>
            </w:r>
            <w:proofErr w:type="spellStart"/>
            <w:r w:rsidRPr="00316577">
              <w:rPr>
                <w:sz w:val="20"/>
                <w:szCs w:val="20"/>
              </w:rPr>
              <w:t>e.V</w:t>
            </w:r>
            <w:proofErr w:type="spellEnd"/>
            <w:r w:rsidRPr="00316577">
              <w:rPr>
                <w:sz w:val="20"/>
                <w:szCs w:val="20"/>
              </w:rPr>
              <w:t xml:space="preserve"> (2011) DVO guideline 2009 for prevention, diagnosis and therapy of osteoporosis in adults. </w:t>
            </w:r>
            <w:proofErr w:type="spellStart"/>
            <w:r w:rsidRPr="00316577">
              <w:rPr>
                <w:sz w:val="20"/>
                <w:szCs w:val="20"/>
              </w:rPr>
              <w:t>Osteologie</w:t>
            </w:r>
            <w:proofErr w:type="spellEnd"/>
            <w:r w:rsidRPr="00316577">
              <w:rPr>
                <w:sz w:val="20"/>
                <w:szCs w:val="20"/>
              </w:rPr>
              <w:t xml:space="preserve"> 20: 55–74. </w:t>
            </w:r>
            <w:hyperlink r:id="rId47" w:history="1">
              <w:r w:rsidRPr="00316577">
                <w:rPr>
                  <w:color w:val="0563C1" w:themeColor="hyperlink"/>
                  <w:sz w:val="20"/>
                  <w:szCs w:val="20"/>
                  <w:u w:val="single"/>
                </w:rPr>
                <w:t>http://www.schattauer.de/en/magazine/subject-areas/journals-a-z/osteology/contents/archive/issue/special</w:t>
              </w:r>
            </w:hyperlink>
            <w:r w:rsidRPr="00316577">
              <w:rPr>
                <w:sz w:val="20"/>
                <w:szCs w:val="20"/>
              </w:rPr>
              <w:t xml:space="preserve">    (Accessed 19 May 2012)</w:t>
            </w:r>
          </w:p>
        </w:tc>
      </w:tr>
      <w:tr w:rsidR="00316577" w:rsidRPr="00316577" w14:paraId="686DBCB4" w14:textId="77777777" w:rsidTr="00316577">
        <w:tc>
          <w:tcPr>
            <w:tcW w:w="704" w:type="dxa"/>
          </w:tcPr>
          <w:p w14:paraId="0E14518A" w14:textId="77777777" w:rsidR="00316577" w:rsidRPr="00316577" w:rsidRDefault="00316577" w:rsidP="00316577">
            <w:pPr>
              <w:spacing w:before="240"/>
              <w:rPr>
                <w:sz w:val="20"/>
                <w:szCs w:val="20"/>
                <w:highlight w:val="yellow"/>
              </w:rPr>
            </w:pPr>
            <w:r w:rsidRPr="00316577">
              <w:rPr>
                <w:sz w:val="20"/>
                <w:szCs w:val="20"/>
              </w:rPr>
              <w:t>45.</w:t>
            </w:r>
          </w:p>
        </w:tc>
        <w:tc>
          <w:tcPr>
            <w:tcW w:w="7745" w:type="dxa"/>
          </w:tcPr>
          <w:p w14:paraId="3C88D55A" w14:textId="77777777" w:rsidR="00316577" w:rsidRPr="00316577" w:rsidRDefault="00316577" w:rsidP="00316577">
            <w:pPr>
              <w:spacing w:before="240"/>
              <w:rPr>
                <w:sz w:val="20"/>
                <w:szCs w:val="20"/>
              </w:rPr>
            </w:pPr>
            <w:r w:rsidRPr="00316577">
              <w:rPr>
                <w:sz w:val="20"/>
                <w:szCs w:val="20"/>
              </w:rPr>
              <w:t>Osteoporosis Society of Hong Kong (2013) OSHK Guideline for clinical management of postmenopausal osteoporosis in Hong Kong. Hong Kong Med J 19 (</w:t>
            </w:r>
            <w:proofErr w:type="spellStart"/>
            <w:r w:rsidRPr="00316577">
              <w:rPr>
                <w:sz w:val="20"/>
                <w:szCs w:val="20"/>
              </w:rPr>
              <w:t>suppl</w:t>
            </w:r>
            <w:proofErr w:type="spellEnd"/>
            <w:r w:rsidRPr="00316577">
              <w:rPr>
                <w:sz w:val="20"/>
                <w:szCs w:val="20"/>
              </w:rPr>
              <w:t xml:space="preserve"> 2): 3-40</w:t>
            </w:r>
          </w:p>
        </w:tc>
      </w:tr>
      <w:tr w:rsidR="00316577" w:rsidRPr="00316577" w14:paraId="2D317745" w14:textId="77777777" w:rsidTr="00316577">
        <w:tc>
          <w:tcPr>
            <w:tcW w:w="704" w:type="dxa"/>
          </w:tcPr>
          <w:p w14:paraId="54ED2B84" w14:textId="77777777" w:rsidR="00316577" w:rsidRPr="00316577" w:rsidRDefault="00316577" w:rsidP="00316577">
            <w:pPr>
              <w:spacing w:before="240"/>
              <w:rPr>
                <w:sz w:val="20"/>
                <w:szCs w:val="20"/>
              </w:rPr>
            </w:pPr>
            <w:r w:rsidRPr="00316577">
              <w:rPr>
                <w:sz w:val="20"/>
                <w:szCs w:val="20"/>
              </w:rPr>
              <w:t>46.</w:t>
            </w:r>
          </w:p>
        </w:tc>
        <w:tc>
          <w:tcPr>
            <w:tcW w:w="7745" w:type="dxa"/>
          </w:tcPr>
          <w:p w14:paraId="29AB56E6" w14:textId="77777777" w:rsidR="00316577" w:rsidRPr="00316577" w:rsidRDefault="00316577" w:rsidP="00316577">
            <w:pPr>
              <w:spacing w:before="240"/>
              <w:rPr>
                <w:sz w:val="20"/>
                <w:szCs w:val="20"/>
              </w:rPr>
            </w:pPr>
            <w:proofErr w:type="spellStart"/>
            <w:r w:rsidRPr="00316577">
              <w:rPr>
                <w:sz w:val="20"/>
                <w:szCs w:val="20"/>
              </w:rPr>
              <w:t>Meeta</w:t>
            </w:r>
            <w:proofErr w:type="spellEnd"/>
            <w:r w:rsidRPr="00316577">
              <w:rPr>
                <w:sz w:val="20"/>
                <w:szCs w:val="20"/>
              </w:rPr>
              <w:t xml:space="preserve">, </w:t>
            </w:r>
            <w:proofErr w:type="spellStart"/>
            <w:r w:rsidRPr="00316577">
              <w:rPr>
                <w:sz w:val="20"/>
                <w:szCs w:val="20"/>
              </w:rPr>
              <w:t>Harinarayan</w:t>
            </w:r>
            <w:proofErr w:type="spellEnd"/>
            <w:r w:rsidRPr="00316577">
              <w:rPr>
                <w:sz w:val="20"/>
                <w:szCs w:val="20"/>
              </w:rPr>
              <w:t xml:space="preserve"> CV, </w:t>
            </w:r>
            <w:proofErr w:type="spellStart"/>
            <w:r w:rsidRPr="00316577">
              <w:rPr>
                <w:sz w:val="20"/>
                <w:szCs w:val="20"/>
              </w:rPr>
              <w:t>Marwah</w:t>
            </w:r>
            <w:proofErr w:type="spellEnd"/>
            <w:r w:rsidRPr="00316577">
              <w:rPr>
                <w:sz w:val="20"/>
                <w:szCs w:val="20"/>
              </w:rPr>
              <w:t xml:space="preserve"> R, Sahay R, </w:t>
            </w:r>
            <w:proofErr w:type="spellStart"/>
            <w:r w:rsidRPr="00316577">
              <w:rPr>
                <w:sz w:val="20"/>
                <w:szCs w:val="20"/>
              </w:rPr>
              <w:t>Kalra</w:t>
            </w:r>
            <w:proofErr w:type="spellEnd"/>
            <w:r w:rsidRPr="00316577">
              <w:rPr>
                <w:sz w:val="20"/>
                <w:szCs w:val="20"/>
              </w:rPr>
              <w:t xml:space="preserve"> S, </w:t>
            </w:r>
            <w:proofErr w:type="spellStart"/>
            <w:r w:rsidRPr="00316577">
              <w:rPr>
                <w:sz w:val="20"/>
                <w:szCs w:val="20"/>
              </w:rPr>
              <w:t>Babhulkar</w:t>
            </w:r>
            <w:proofErr w:type="spellEnd"/>
            <w:r w:rsidRPr="00316577">
              <w:rPr>
                <w:sz w:val="20"/>
                <w:szCs w:val="20"/>
              </w:rPr>
              <w:t xml:space="preserve"> S (2013) Clinical practice </w:t>
            </w:r>
            <w:r w:rsidRPr="00316577">
              <w:rPr>
                <w:sz w:val="20"/>
                <w:szCs w:val="20"/>
              </w:rPr>
              <w:lastRenderedPageBreak/>
              <w:t xml:space="preserve">guidelines on postmenopausal osteoporosis: An executive summary and recommendations. J Midlife Health. 4: 107-26. </w:t>
            </w:r>
            <w:proofErr w:type="spellStart"/>
            <w:r w:rsidRPr="00316577">
              <w:rPr>
                <w:sz w:val="20"/>
                <w:szCs w:val="20"/>
              </w:rPr>
              <w:t>doi</w:t>
            </w:r>
            <w:proofErr w:type="spellEnd"/>
            <w:r w:rsidRPr="00316577">
              <w:rPr>
                <w:sz w:val="20"/>
                <w:szCs w:val="20"/>
              </w:rPr>
              <w:t>: 10.4103/0976-7800.115293.</w:t>
            </w:r>
          </w:p>
        </w:tc>
      </w:tr>
      <w:tr w:rsidR="00316577" w:rsidRPr="00316577" w14:paraId="366E0F48" w14:textId="77777777" w:rsidTr="00316577">
        <w:tc>
          <w:tcPr>
            <w:tcW w:w="704" w:type="dxa"/>
          </w:tcPr>
          <w:p w14:paraId="5DB95101" w14:textId="77777777" w:rsidR="00316577" w:rsidRPr="00316577" w:rsidRDefault="00316577" w:rsidP="00316577">
            <w:pPr>
              <w:spacing w:before="240"/>
              <w:rPr>
                <w:sz w:val="20"/>
                <w:szCs w:val="20"/>
              </w:rPr>
            </w:pPr>
            <w:r w:rsidRPr="00316577">
              <w:rPr>
                <w:sz w:val="20"/>
                <w:szCs w:val="20"/>
              </w:rPr>
              <w:lastRenderedPageBreak/>
              <w:t>47.</w:t>
            </w:r>
          </w:p>
        </w:tc>
        <w:tc>
          <w:tcPr>
            <w:tcW w:w="7745" w:type="dxa"/>
          </w:tcPr>
          <w:p w14:paraId="29658362" w14:textId="77777777" w:rsidR="00316577" w:rsidRPr="00316577" w:rsidRDefault="00316577" w:rsidP="00316577">
            <w:pPr>
              <w:spacing w:before="240"/>
              <w:rPr>
                <w:sz w:val="20"/>
                <w:szCs w:val="20"/>
              </w:rPr>
            </w:pPr>
            <w:r w:rsidRPr="00316577">
              <w:rPr>
                <w:sz w:val="20"/>
                <w:szCs w:val="20"/>
              </w:rPr>
              <w:t xml:space="preserve">Lewiecki EM, Compston JE, Miller PD et al (2011) Official Positions for FRAX® bone mineral density and FRAX® simplification. From Joint Official Positions Development Conference of the International Society for Clinical Densitometry and International Osteoporosis Foundation on FRAX®.  J </w:t>
            </w:r>
            <w:proofErr w:type="spellStart"/>
            <w:r w:rsidRPr="00316577">
              <w:rPr>
                <w:sz w:val="20"/>
                <w:szCs w:val="20"/>
              </w:rPr>
              <w:t>Clin</w:t>
            </w:r>
            <w:proofErr w:type="spellEnd"/>
            <w:r w:rsidRPr="00316577">
              <w:rPr>
                <w:sz w:val="20"/>
                <w:szCs w:val="20"/>
              </w:rPr>
              <w:t xml:space="preserve"> </w:t>
            </w:r>
            <w:proofErr w:type="spellStart"/>
            <w:r w:rsidRPr="00316577">
              <w:rPr>
                <w:sz w:val="20"/>
                <w:szCs w:val="20"/>
              </w:rPr>
              <w:t>Densitom</w:t>
            </w:r>
            <w:proofErr w:type="spellEnd"/>
            <w:r w:rsidRPr="00316577">
              <w:rPr>
                <w:sz w:val="20"/>
                <w:szCs w:val="20"/>
              </w:rPr>
              <w:t xml:space="preserve"> 14: 226-236.</w:t>
            </w:r>
          </w:p>
        </w:tc>
      </w:tr>
      <w:tr w:rsidR="00316577" w:rsidRPr="00316577" w14:paraId="058B6761" w14:textId="77777777" w:rsidTr="00316577">
        <w:tc>
          <w:tcPr>
            <w:tcW w:w="704" w:type="dxa"/>
          </w:tcPr>
          <w:p w14:paraId="374D1E57" w14:textId="77777777" w:rsidR="00316577" w:rsidRPr="00316577" w:rsidRDefault="00316577" w:rsidP="00316577">
            <w:pPr>
              <w:autoSpaceDE w:val="0"/>
              <w:autoSpaceDN w:val="0"/>
              <w:adjustRightInd w:val="0"/>
              <w:spacing w:before="240"/>
              <w:rPr>
                <w:sz w:val="20"/>
                <w:szCs w:val="20"/>
              </w:rPr>
            </w:pPr>
            <w:r w:rsidRPr="00316577">
              <w:rPr>
                <w:sz w:val="20"/>
                <w:szCs w:val="20"/>
              </w:rPr>
              <w:t>48.</w:t>
            </w:r>
          </w:p>
        </w:tc>
        <w:tc>
          <w:tcPr>
            <w:tcW w:w="7745" w:type="dxa"/>
          </w:tcPr>
          <w:p w14:paraId="2491B9A3" w14:textId="77777777" w:rsidR="00316577" w:rsidRPr="00316577" w:rsidRDefault="00316577" w:rsidP="00316577">
            <w:pPr>
              <w:autoSpaceDE w:val="0"/>
              <w:autoSpaceDN w:val="0"/>
              <w:adjustRightInd w:val="0"/>
              <w:spacing w:before="240"/>
              <w:rPr>
                <w:sz w:val="20"/>
                <w:szCs w:val="20"/>
              </w:rPr>
            </w:pPr>
            <w:r w:rsidRPr="00316577">
              <w:rPr>
                <w:sz w:val="20"/>
                <w:szCs w:val="20"/>
              </w:rPr>
              <w:t xml:space="preserve">Irish Osteoporosis Society (2011) Osteoporosis guidelines for health professionals. Pp1-78. Accessed 14 Oct 2015 </w:t>
            </w:r>
            <w:hyperlink r:id="rId48" w:history="1">
              <w:r w:rsidRPr="00316577">
                <w:rPr>
                  <w:color w:val="0563C1" w:themeColor="hyperlink"/>
                  <w:sz w:val="20"/>
                  <w:szCs w:val="20"/>
                  <w:u w:val="single"/>
                </w:rPr>
                <w:t>www.irishosteoporosis.ie</w:t>
              </w:r>
            </w:hyperlink>
          </w:p>
        </w:tc>
      </w:tr>
      <w:tr w:rsidR="00316577" w:rsidRPr="00316577" w14:paraId="44151FE9" w14:textId="77777777" w:rsidTr="00316577">
        <w:tc>
          <w:tcPr>
            <w:tcW w:w="704" w:type="dxa"/>
          </w:tcPr>
          <w:p w14:paraId="50099A73" w14:textId="77777777" w:rsidR="00316577" w:rsidRPr="00316577" w:rsidRDefault="00316577" w:rsidP="00316577">
            <w:pPr>
              <w:spacing w:before="240"/>
              <w:rPr>
                <w:sz w:val="20"/>
                <w:szCs w:val="20"/>
              </w:rPr>
            </w:pPr>
            <w:r w:rsidRPr="00316577">
              <w:rPr>
                <w:sz w:val="20"/>
                <w:szCs w:val="20"/>
              </w:rPr>
              <w:t>49.</w:t>
            </w:r>
          </w:p>
        </w:tc>
        <w:tc>
          <w:tcPr>
            <w:tcW w:w="7745" w:type="dxa"/>
          </w:tcPr>
          <w:p w14:paraId="1B77200C" w14:textId="77777777" w:rsidR="00316577" w:rsidRPr="00316577" w:rsidRDefault="00316577" w:rsidP="00316577">
            <w:pPr>
              <w:spacing w:before="240"/>
              <w:rPr>
                <w:sz w:val="20"/>
                <w:szCs w:val="20"/>
              </w:rPr>
            </w:pPr>
            <w:r w:rsidRPr="00316577">
              <w:rPr>
                <w:sz w:val="20"/>
                <w:szCs w:val="20"/>
              </w:rPr>
              <w:t xml:space="preserve">Adami S, </w:t>
            </w:r>
            <w:proofErr w:type="spellStart"/>
            <w:r w:rsidRPr="00316577">
              <w:rPr>
                <w:sz w:val="20"/>
                <w:szCs w:val="20"/>
              </w:rPr>
              <w:t>Bertoldo</w:t>
            </w:r>
            <w:proofErr w:type="spellEnd"/>
            <w:r w:rsidRPr="00316577">
              <w:rPr>
                <w:sz w:val="20"/>
                <w:szCs w:val="20"/>
              </w:rPr>
              <w:t xml:space="preserve"> F, Brandi ML (2009) </w:t>
            </w:r>
            <w:proofErr w:type="spellStart"/>
            <w:r w:rsidRPr="00316577">
              <w:rPr>
                <w:sz w:val="20"/>
                <w:szCs w:val="20"/>
              </w:rPr>
              <w:t>Linee</w:t>
            </w:r>
            <w:proofErr w:type="spellEnd"/>
            <w:r w:rsidRPr="00316577">
              <w:rPr>
                <w:sz w:val="20"/>
                <w:szCs w:val="20"/>
              </w:rPr>
              <w:t xml:space="preserve"> </w:t>
            </w:r>
            <w:proofErr w:type="spellStart"/>
            <w:r w:rsidRPr="00316577">
              <w:rPr>
                <w:sz w:val="20"/>
                <w:szCs w:val="20"/>
              </w:rPr>
              <w:t>guida</w:t>
            </w:r>
            <w:proofErr w:type="spellEnd"/>
            <w:r w:rsidRPr="00316577">
              <w:rPr>
                <w:sz w:val="20"/>
                <w:szCs w:val="20"/>
              </w:rPr>
              <w:t xml:space="preserve"> per la </w:t>
            </w:r>
            <w:proofErr w:type="spellStart"/>
            <w:r w:rsidRPr="00316577">
              <w:rPr>
                <w:sz w:val="20"/>
                <w:szCs w:val="20"/>
              </w:rPr>
              <w:t>diagnosi</w:t>
            </w:r>
            <w:proofErr w:type="spellEnd"/>
            <w:r w:rsidRPr="00316577">
              <w:rPr>
                <w:sz w:val="20"/>
                <w:szCs w:val="20"/>
              </w:rPr>
              <w:t xml:space="preserve">, </w:t>
            </w:r>
            <w:proofErr w:type="spellStart"/>
            <w:r w:rsidRPr="00316577">
              <w:rPr>
                <w:sz w:val="20"/>
                <w:szCs w:val="20"/>
              </w:rPr>
              <w:t>prevenzione</w:t>
            </w:r>
            <w:proofErr w:type="spellEnd"/>
            <w:r w:rsidRPr="00316577">
              <w:rPr>
                <w:sz w:val="20"/>
                <w:szCs w:val="20"/>
              </w:rPr>
              <w:t xml:space="preserve"> e </w:t>
            </w:r>
            <w:proofErr w:type="spellStart"/>
            <w:r w:rsidRPr="00316577">
              <w:rPr>
                <w:sz w:val="20"/>
                <w:szCs w:val="20"/>
              </w:rPr>
              <w:t>terapia</w:t>
            </w:r>
            <w:proofErr w:type="spellEnd"/>
            <w:r w:rsidRPr="00316577">
              <w:rPr>
                <w:sz w:val="20"/>
                <w:szCs w:val="20"/>
              </w:rPr>
              <w:t xml:space="preserve"> </w:t>
            </w:r>
            <w:proofErr w:type="spellStart"/>
            <w:r w:rsidRPr="00316577">
              <w:rPr>
                <w:sz w:val="20"/>
                <w:szCs w:val="20"/>
              </w:rPr>
              <w:t>dell’osteoporosi</w:t>
            </w:r>
            <w:proofErr w:type="spellEnd"/>
            <w:r w:rsidRPr="00316577">
              <w:rPr>
                <w:sz w:val="20"/>
                <w:szCs w:val="20"/>
              </w:rPr>
              <w:t xml:space="preserve"> [Guidelines for the diagnosis, prevention and treatment of osteoporosis] </w:t>
            </w:r>
            <w:proofErr w:type="spellStart"/>
            <w:r w:rsidRPr="00316577">
              <w:rPr>
                <w:sz w:val="20"/>
                <w:szCs w:val="20"/>
              </w:rPr>
              <w:t>Reumatismo</w:t>
            </w:r>
            <w:proofErr w:type="spellEnd"/>
            <w:r w:rsidRPr="00316577">
              <w:rPr>
                <w:sz w:val="20"/>
                <w:szCs w:val="20"/>
              </w:rPr>
              <w:t>, 61: 260-284</w:t>
            </w:r>
          </w:p>
        </w:tc>
      </w:tr>
      <w:tr w:rsidR="00316577" w:rsidRPr="00316577" w14:paraId="74245B21" w14:textId="77777777" w:rsidTr="00316577">
        <w:tc>
          <w:tcPr>
            <w:tcW w:w="704" w:type="dxa"/>
          </w:tcPr>
          <w:p w14:paraId="79760648" w14:textId="77777777" w:rsidR="00316577" w:rsidRPr="00316577" w:rsidRDefault="00316577" w:rsidP="00316577">
            <w:pPr>
              <w:spacing w:before="240"/>
              <w:rPr>
                <w:sz w:val="20"/>
                <w:szCs w:val="20"/>
              </w:rPr>
            </w:pPr>
            <w:r w:rsidRPr="00316577">
              <w:rPr>
                <w:sz w:val="20"/>
                <w:szCs w:val="20"/>
              </w:rPr>
              <w:t>50.</w:t>
            </w:r>
          </w:p>
        </w:tc>
        <w:tc>
          <w:tcPr>
            <w:tcW w:w="7745" w:type="dxa"/>
          </w:tcPr>
          <w:p w14:paraId="3FDBF3CA" w14:textId="77777777" w:rsidR="00316577" w:rsidRPr="00316577" w:rsidRDefault="00316577" w:rsidP="00316577">
            <w:pPr>
              <w:spacing w:before="240"/>
              <w:rPr>
                <w:sz w:val="20"/>
                <w:szCs w:val="20"/>
              </w:rPr>
            </w:pPr>
            <w:proofErr w:type="spellStart"/>
            <w:r w:rsidRPr="00316577">
              <w:rPr>
                <w:sz w:val="20"/>
                <w:szCs w:val="20"/>
              </w:rPr>
              <w:t>Maalouf</w:t>
            </w:r>
            <w:proofErr w:type="spellEnd"/>
            <w:r w:rsidRPr="00316577">
              <w:rPr>
                <w:sz w:val="20"/>
                <w:szCs w:val="20"/>
              </w:rPr>
              <w:t xml:space="preserve"> G, </w:t>
            </w:r>
            <w:proofErr w:type="spellStart"/>
            <w:r w:rsidRPr="00316577">
              <w:rPr>
                <w:sz w:val="20"/>
                <w:szCs w:val="20"/>
              </w:rPr>
              <w:t>Bachour</w:t>
            </w:r>
            <w:proofErr w:type="spellEnd"/>
            <w:r w:rsidRPr="00316577">
              <w:rPr>
                <w:sz w:val="20"/>
                <w:szCs w:val="20"/>
              </w:rPr>
              <w:t xml:space="preserve"> F, </w:t>
            </w:r>
            <w:proofErr w:type="spellStart"/>
            <w:r w:rsidRPr="00316577">
              <w:rPr>
                <w:sz w:val="20"/>
                <w:szCs w:val="20"/>
              </w:rPr>
              <w:t>Issa</w:t>
            </w:r>
            <w:proofErr w:type="spellEnd"/>
            <w:r w:rsidRPr="00316577">
              <w:rPr>
                <w:sz w:val="20"/>
                <w:szCs w:val="20"/>
              </w:rPr>
              <w:t xml:space="preserve"> M et al (2012) Guidelines for fragility fracture in Lebanon. J Med </w:t>
            </w:r>
            <w:proofErr w:type="spellStart"/>
            <w:r w:rsidRPr="00316577">
              <w:rPr>
                <w:sz w:val="20"/>
                <w:szCs w:val="20"/>
              </w:rPr>
              <w:t>Liban</w:t>
            </w:r>
            <w:proofErr w:type="spellEnd"/>
            <w:r w:rsidRPr="00316577">
              <w:rPr>
                <w:sz w:val="20"/>
                <w:szCs w:val="20"/>
              </w:rPr>
              <w:t xml:space="preserve"> 60: 153-8 </w:t>
            </w:r>
          </w:p>
        </w:tc>
      </w:tr>
      <w:tr w:rsidR="00316577" w:rsidRPr="00316577" w14:paraId="0FA22473" w14:textId="77777777" w:rsidTr="00316577">
        <w:tc>
          <w:tcPr>
            <w:tcW w:w="704" w:type="dxa"/>
          </w:tcPr>
          <w:p w14:paraId="31C8FD85" w14:textId="77777777" w:rsidR="00316577" w:rsidRPr="00316577" w:rsidRDefault="00316577" w:rsidP="00316577">
            <w:pPr>
              <w:spacing w:before="240"/>
              <w:rPr>
                <w:sz w:val="20"/>
                <w:szCs w:val="20"/>
              </w:rPr>
            </w:pPr>
            <w:r w:rsidRPr="00316577">
              <w:rPr>
                <w:sz w:val="20"/>
                <w:szCs w:val="20"/>
              </w:rPr>
              <w:t>51.</w:t>
            </w:r>
          </w:p>
        </w:tc>
        <w:tc>
          <w:tcPr>
            <w:tcW w:w="7745" w:type="dxa"/>
          </w:tcPr>
          <w:p w14:paraId="06B2ACF7" w14:textId="77777777" w:rsidR="00316577" w:rsidRPr="00316577" w:rsidRDefault="00316577" w:rsidP="00316577">
            <w:pPr>
              <w:spacing w:before="240"/>
              <w:rPr>
                <w:sz w:val="20"/>
                <w:szCs w:val="20"/>
              </w:rPr>
            </w:pPr>
            <w:proofErr w:type="spellStart"/>
            <w:r w:rsidRPr="00316577">
              <w:rPr>
                <w:bCs/>
                <w:sz w:val="20"/>
                <w:szCs w:val="20"/>
              </w:rPr>
              <w:t>S</w:t>
            </w:r>
            <w:r w:rsidRPr="00316577">
              <w:rPr>
                <w:sz w:val="20"/>
                <w:szCs w:val="20"/>
              </w:rPr>
              <w:t>ociedad</w:t>
            </w:r>
            <w:proofErr w:type="spellEnd"/>
            <w:r w:rsidRPr="00316577">
              <w:rPr>
                <w:sz w:val="20"/>
                <w:szCs w:val="20"/>
              </w:rPr>
              <w:t> </w:t>
            </w:r>
            <w:proofErr w:type="spellStart"/>
            <w:r w:rsidRPr="00316577">
              <w:rPr>
                <w:bCs/>
                <w:sz w:val="20"/>
                <w:szCs w:val="20"/>
              </w:rPr>
              <w:t>Ib</w:t>
            </w:r>
            <w:r w:rsidRPr="00316577">
              <w:rPr>
                <w:sz w:val="20"/>
                <w:szCs w:val="20"/>
              </w:rPr>
              <w:t>eroamericana</w:t>
            </w:r>
            <w:proofErr w:type="spellEnd"/>
            <w:r w:rsidRPr="00316577">
              <w:rPr>
                <w:sz w:val="20"/>
                <w:szCs w:val="20"/>
              </w:rPr>
              <w:t xml:space="preserve"> de </w:t>
            </w:r>
            <w:proofErr w:type="spellStart"/>
            <w:r w:rsidRPr="00316577">
              <w:rPr>
                <w:bCs/>
                <w:sz w:val="20"/>
                <w:szCs w:val="20"/>
              </w:rPr>
              <w:t>O</w:t>
            </w:r>
            <w:r w:rsidRPr="00316577">
              <w:rPr>
                <w:sz w:val="20"/>
                <w:szCs w:val="20"/>
              </w:rPr>
              <w:t>steología</w:t>
            </w:r>
            <w:proofErr w:type="spellEnd"/>
            <w:r w:rsidRPr="00316577">
              <w:rPr>
                <w:sz w:val="20"/>
                <w:szCs w:val="20"/>
              </w:rPr>
              <w:t xml:space="preserve"> y</w:t>
            </w:r>
            <w:r w:rsidRPr="00316577">
              <w:rPr>
                <w:bCs/>
                <w:sz w:val="20"/>
                <w:szCs w:val="20"/>
              </w:rPr>
              <w:t> </w:t>
            </w:r>
            <w:proofErr w:type="spellStart"/>
            <w:r w:rsidRPr="00316577">
              <w:rPr>
                <w:bCs/>
                <w:sz w:val="20"/>
                <w:szCs w:val="20"/>
              </w:rPr>
              <w:t>M</w:t>
            </w:r>
            <w:r w:rsidRPr="00316577">
              <w:rPr>
                <w:sz w:val="20"/>
                <w:szCs w:val="20"/>
              </w:rPr>
              <w:t>etabolismo</w:t>
            </w:r>
            <w:proofErr w:type="spellEnd"/>
            <w:r w:rsidRPr="00316577">
              <w:rPr>
                <w:sz w:val="20"/>
                <w:szCs w:val="20"/>
              </w:rPr>
              <w:t> </w:t>
            </w:r>
            <w:r w:rsidRPr="00316577">
              <w:rPr>
                <w:bCs/>
                <w:sz w:val="20"/>
                <w:szCs w:val="20"/>
              </w:rPr>
              <w:t>M</w:t>
            </w:r>
            <w:r w:rsidRPr="00316577">
              <w:rPr>
                <w:sz w:val="20"/>
                <w:szCs w:val="20"/>
              </w:rPr>
              <w:t>ineral [</w:t>
            </w:r>
            <w:proofErr w:type="spellStart"/>
            <w:r w:rsidRPr="00316577">
              <w:rPr>
                <w:sz w:val="20"/>
                <w:szCs w:val="20"/>
              </w:rPr>
              <w:t>Iberoamerican</w:t>
            </w:r>
            <w:proofErr w:type="spellEnd"/>
            <w:r w:rsidRPr="00316577">
              <w:rPr>
                <w:sz w:val="20"/>
                <w:szCs w:val="20"/>
              </w:rPr>
              <w:t xml:space="preserve"> Society of Osteology and Mineral Metabolism] (2009) Osteoporosis: Prevention, Diagnosis, and Treatment. </w:t>
            </w:r>
            <w:hyperlink r:id="rId49" w:history="1">
              <w:r w:rsidRPr="00316577">
                <w:rPr>
                  <w:color w:val="0563C1" w:themeColor="hyperlink"/>
                  <w:sz w:val="20"/>
                  <w:szCs w:val="20"/>
                  <w:u w:val="single"/>
                </w:rPr>
                <w:t xml:space="preserve">http://www.iofbonehealth.org/sites/default/files/PDFs/National%20Guidelines/SIBOMMConsensus-2009-english.pdf </w:t>
              </w:r>
            </w:hyperlink>
            <w:r w:rsidRPr="00316577">
              <w:rPr>
                <w:sz w:val="20"/>
                <w:szCs w:val="20"/>
              </w:rPr>
              <w:t xml:space="preserve">  Accessed 3 November 2015</w:t>
            </w:r>
          </w:p>
        </w:tc>
      </w:tr>
      <w:tr w:rsidR="00316577" w:rsidRPr="00316577" w14:paraId="034EEBB2" w14:textId="77777777" w:rsidTr="00316577">
        <w:tc>
          <w:tcPr>
            <w:tcW w:w="704" w:type="dxa"/>
          </w:tcPr>
          <w:p w14:paraId="5A5D0367" w14:textId="77777777" w:rsidR="00316577" w:rsidRPr="00316577" w:rsidRDefault="00316577" w:rsidP="00316577">
            <w:pPr>
              <w:spacing w:before="240"/>
              <w:rPr>
                <w:sz w:val="20"/>
                <w:szCs w:val="20"/>
              </w:rPr>
            </w:pPr>
            <w:r w:rsidRPr="00316577">
              <w:rPr>
                <w:sz w:val="20"/>
                <w:szCs w:val="20"/>
              </w:rPr>
              <w:t>52.</w:t>
            </w:r>
          </w:p>
        </w:tc>
        <w:tc>
          <w:tcPr>
            <w:tcW w:w="7745" w:type="dxa"/>
          </w:tcPr>
          <w:p w14:paraId="3D586607" w14:textId="77777777" w:rsidR="00316577" w:rsidRPr="00316577" w:rsidRDefault="00316577" w:rsidP="00316577">
            <w:pPr>
              <w:spacing w:before="240"/>
              <w:rPr>
                <w:sz w:val="20"/>
                <w:szCs w:val="20"/>
              </w:rPr>
            </w:pPr>
            <w:r w:rsidRPr="00316577">
              <w:rPr>
                <w:sz w:val="20"/>
                <w:szCs w:val="20"/>
              </w:rPr>
              <w:t xml:space="preserve">Latvian Osteoporosis and Metabolic Diseases Association (2012) </w:t>
            </w:r>
            <w:proofErr w:type="spellStart"/>
            <w:r w:rsidRPr="00316577">
              <w:rPr>
                <w:sz w:val="20"/>
                <w:szCs w:val="20"/>
              </w:rPr>
              <w:t>Osteporosis</w:t>
            </w:r>
            <w:proofErr w:type="spellEnd"/>
            <w:r w:rsidRPr="00316577">
              <w:rPr>
                <w:sz w:val="20"/>
                <w:szCs w:val="20"/>
              </w:rPr>
              <w:t xml:space="preserve"> Clinical Guidelines [</w:t>
            </w:r>
            <w:proofErr w:type="spellStart"/>
            <w:r w:rsidRPr="00316577">
              <w:rPr>
                <w:sz w:val="20"/>
                <w:szCs w:val="20"/>
              </w:rPr>
              <w:t>Osteoporozes</w:t>
            </w:r>
            <w:proofErr w:type="spellEnd"/>
            <w:r w:rsidRPr="00316577">
              <w:rPr>
                <w:sz w:val="20"/>
                <w:szCs w:val="20"/>
              </w:rPr>
              <w:t xml:space="preserve"> </w:t>
            </w:r>
            <w:proofErr w:type="spellStart"/>
            <w:r w:rsidRPr="00316577">
              <w:rPr>
                <w:sz w:val="20"/>
                <w:szCs w:val="20"/>
              </w:rPr>
              <w:t>klīniskās</w:t>
            </w:r>
            <w:proofErr w:type="spellEnd"/>
            <w:r w:rsidRPr="00316577">
              <w:rPr>
                <w:sz w:val="20"/>
                <w:szCs w:val="20"/>
              </w:rPr>
              <w:t xml:space="preserve"> </w:t>
            </w:r>
            <w:proofErr w:type="spellStart"/>
            <w:r w:rsidRPr="00316577">
              <w:rPr>
                <w:sz w:val="20"/>
                <w:szCs w:val="20"/>
              </w:rPr>
              <w:t>vadlīnijas</w:t>
            </w:r>
            <w:proofErr w:type="spellEnd"/>
            <w:r w:rsidRPr="00316577">
              <w:rPr>
                <w:sz w:val="20"/>
                <w:szCs w:val="20"/>
              </w:rPr>
              <w:t xml:space="preserve">]. </w:t>
            </w:r>
            <w:proofErr w:type="spellStart"/>
            <w:r w:rsidRPr="00316577">
              <w:rPr>
                <w:sz w:val="20"/>
                <w:szCs w:val="20"/>
              </w:rPr>
              <w:t>Nacionālais</w:t>
            </w:r>
            <w:proofErr w:type="spellEnd"/>
            <w:r w:rsidRPr="00316577">
              <w:rPr>
                <w:sz w:val="20"/>
                <w:szCs w:val="20"/>
              </w:rPr>
              <w:t xml:space="preserve"> </w:t>
            </w:r>
            <w:proofErr w:type="spellStart"/>
            <w:r w:rsidRPr="00316577">
              <w:rPr>
                <w:sz w:val="20"/>
                <w:szCs w:val="20"/>
              </w:rPr>
              <w:t>veselības</w:t>
            </w:r>
            <w:proofErr w:type="spellEnd"/>
            <w:r w:rsidRPr="00316577">
              <w:rPr>
                <w:sz w:val="20"/>
                <w:szCs w:val="20"/>
              </w:rPr>
              <w:t xml:space="preserve"> </w:t>
            </w:r>
            <w:proofErr w:type="spellStart"/>
            <w:r w:rsidRPr="00316577">
              <w:rPr>
                <w:sz w:val="20"/>
                <w:szCs w:val="20"/>
              </w:rPr>
              <w:t>dienests</w:t>
            </w:r>
            <w:proofErr w:type="spellEnd"/>
            <w:r w:rsidRPr="00316577">
              <w:rPr>
                <w:sz w:val="20"/>
                <w:szCs w:val="20"/>
              </w:rPr>
              <w:t xml:space="preserve">.  Accessed Jan 2013  </w:t>
            </w:r>
            <w:hyperlink r:id="rId50" w:history="1">
              <w:r w:rsidRPr="00316577">
                <w:rPr>
                  <w:color w:val="0563C1" w:themeColor="hyperlink"/>
                  <w:sz w:val="20"/>
                  <w:szCs w:val="20"/>
                  <w:u w:val="single"/>
                </w:rPr>
                <w:t>http://www.vmnvd.gov.lv/lv/420-kliniskas-vadlinijas/klinisko-vadliniju-datu-baze/registretas-2012gada</w:t>
              </w:r>
            </w:hyperlink>
            <w:r w:rsidRPr="00316577">
              <w:rPr>
                <w:sz w:val="20"/>
                <w:szCs w:val="20"/>
              </w:rPr>
              <w:t xml:space="preserve">  </w:t>
            </w:r>
          </w:p>
        </w:tc>
      </w:tr>
      <w:tr w:rsidR="00316577" w:rsidRPr="00316577" w14:paraId="1BD650FD" w14:textId="77777777" w:rsidTr="00316577">
        <w:tc>
          <w:tcPr>
            <w:tcW w:w="704" w:type="dxa"/>
          </w:tcPr>
          <w:p w14:paraId="05B4B447" w14:textId="77777777" w:rsidR="00316577" w:rsidRPr="00316577" w:rsidRDefault="00316577" w:rsidP="00316577">
            <w:pPr>
              <w:spacing w:before="240"/>
              <w:rPr>
                <w:sz w:val="20"/>
                <w:szCs w:val="20"/>
                <w:lang w:val="fr-FR"/>
              </w:rPr>
            </w:pPr>
            <w:r w:rsidRPr="00316577">
              <w:rPr>
                <w:sz w:val="20"/>
                <w:szCs w:val="20"/>
                <w:lang w:val="fr-FR"/>
              </w:rPr>
              <w:t>53.</w:t>
            </w:r>
          </w:p>
        </w:tc>
        <w:tc>
          <w:tcPr>
            <w:tcW w:w="7745" w:type="dxa"/>
          </w:tcPr>
          <w:p w14:paraId="0074CC82" w14:textId="77777777" w:rsidR="00316577" w:rsidRPr="00316577" w:rsidRDefault="00316577" w:rsidP="00316577">
            <w:pPr>
              <w:spacing w:before="240"/>
              <w:rPr>
                <w:sz w:val="20"/>
                <w:szCs w:val="20"/>
              </w:rPr>
            </w:pPr>
            <w:r w:rsidRPr="00316577">
              <w:rPr>
                <w:sz w:val="20"/>
                <w:szCs w:val="20"/>
                <w:lang w:val="fr-FR"/>
              </w:rPr>
              <w:t xml:space="preserve">Conseil Scientifique , Domaine de la Santé, Analyses de laboratoire (2010) Ostéoporose.  </w:t>
            </w:r>
            <w:r w:rsidRPr="00316577">
              <w:rPr>
                <w:sz w:val="20"/>
                <w:szCs w:val="20"/>
              </w:rPr>
              <w:t xml:space="preserve">Accessed 22 October 2015  </w:t>
            </w:r>
            <w:hyperlink r:id="rId51" w:history="1">
              <w:r w:rsidRPr="00316577">
                <w:rPr>
                  <w:color w:val="0563C1" w:themeColor="hyperlink"/>
                  <w:sz w:val="20"/>
                  <w:szCs w:val="20"/>
                  <w:u w:val="single"/>
                </w:rPr>
                <w:t>http://www.conseil-scientifique.lu/index.php?id=84</w:t>
              </w:r>
            </w:hyperlink>
          </w:p>
        </w:tc>
      </w:tr>
      <w:tr w:rsidR="00316577" w:rsidRPr="00D94F7C" w14:paraId="146FB042" w14:textId="77777777" w:rsidTr="00316577">
        <w:tc>
          <w:tcPr>
            <w:tcW w:w="704" w:type="dxa"/>
          </w:tcPr>
          <w:p w14:paraId="07EDC638" w14:textId="77777777" w:rsidR="00316577" w:rsidRPr="00316577" w:rsidRDefault="00316577" w:rsidP="00316577">
            <w:pPr>
              <w:spacing w:before="240"/>
              <w:rPr>
                <w:sz w:val="20"/>
                <w:szCs w:val="20"/>
              </w:rPr>
            </w:pPr>
            <w:r w:rsidRPr="00316577">
              <w:rPr>
                <w:sz w:val="20"/>
                <w:szCs w:val="20"/>
              </w:rPr>
              <w:t>54.</w:t>
            </w:r>
          </w:p>
        </w:tc>
        <w:tc>
          <w:tcPr>
            <w:tcW w:w="7745" w:type="dxa"/>
          </w:tcPr>
          <w:p w14:paraId="47DA154B" w14:textId="376C0D78" w:rsidR="00316577" w:rsidRPr="00D94F7C" w:rsidRDefault="00A304C6" w:rsidP="00D94F7C">
            <w:pPr>
              <w:spacing w:before="240"/>
              <w:rPr>
                <w:sz w:val="20"/>
                <w:szCs w:val="20"/>
              </w:rPr>
            </w:pPr>
            <w:r w:rsidRPr="00D94F7C">
              <w:rPr>
                <w:sz w:val="20"/>
                <w:szCs w:val="20"/>
              </w:rPr>
              <w:t>Peña-Ríos DH, Cisneros-</w:t>
            </w:r>
            <w:proofErr w:type="spellStart"/>
            <w:r w:rsidRPr="00D94F7C">
              <w:rPr>
                <w:sz w:val="20"/>
                <w:szCs w:val="20"/>
              </w:rPr>
              <w:t>Dreinhofer</w:t>
            </w:r>
            <w:proofErr w:type="spellEnd"/>
            <w:r w:rsidRPr="00D94F7C">
              <w:rPr>
                <w:sz w:val="20"/>
                <w:szCs w:val="20"/>
              </w:rPr>
              <w:t xml:space="preserve"> FA, del Pilar De la Peña-Rodríguez M et al (2015)</w:t>
            </w:r>
            <w:r w:rsidR="00D94F7C" w:rsidRPr="00D94F7C">
              <w:t xml:space="preserve"> </w:t>
            </w:r>
            <w:proofErr w:type="spellStart"/>
            <w:r w:rsidR="00D94F7C" w:rsidRPr="00D94F7C">
              <w:rPr>
                <w:sz w:val="20"/>
                <w:szCs w:val="20"/>
              </w:rPr>
              <w:t>Consenso</w:t>
            </w:r>
            <w:proofErr w:type="spellEnd"/>
            <w:r w:rsidR="00D94F7C" w:rsidRPr="00D94F7C">
              <w:rPr>
                <w:sz w:val="20"/>
                <w:szCs w:val="20"/>
              </w:rPr>
              <w:t xml:space="preserve"> de </w:t>
            </w:r>
            <w:proofErr w:type="spellStart"/>
            <w:r w:rsidR="00D94F7C" w:rsidRPr="00D94F7C">
              <w:rPr>
                <w:sz w:val="20"/>
                <w:szCs w:val="20"/>
              </w:rPr>
              <w:t>diagnóstico</w:t>
            </w:r>
            <w:proofErr w:type="spellEnd"/>
            <w:r w:rsidR="00D94F7C" w:rsidRPr="00D94F7C">
              <w:rPr>
                <w:sz w:val="20"/>
                <w:szCs w:val="20"/>
              </w:rPr>
              <w:t xml:space="preserve"> y </w:t>
            </w:r>
            <w:proofErr w:type="spellStart"/>
            <w:r w:rsidR="00D94F7C" w:rsidRPr="00D94F7C">
              <w:rPr>
                <w:sz w:val="20"/>
                <w:szCs w:val="20"/>
              </w:rPr>
              <w:t>tratamiento</w:t>
            </w:r>
            <w:proofErr w:type="spellEnd"/>
            <w:r w:rsidR="00D94F7C" w:rsidRPr="00D94F7C">
              <w:rPr>
                <w:sz w:val="20"/>
                <w:szCs w:val="20"/>
              </w:rPr>
              <w:t xml:space="preserve"> de la osteoporosis </w:t>
            </w:r>
            <w:proofErr w:type="spellStart"/>
            <w:r w:rsidR="00D94F7C" w:rsidRPr="00D94F7C">
              <w:rPr>
                <w:sz w:val="20"/>
                <w:szCs w:val="20"/>
              </w:rPr>
              <w:t>en</w:t>
            </w:r>
            <w:proofErr w:type="spellEnd"/>
            <w:r w:rsidR="00D94F7C" w:rsidRPr="00D94F7C">
              <w:rPr>
                <w:sz w:val="20"/>
                <w:szCs w:val="20"/>
              </w:rPr>
              <w:t xml:space="preserve"> la </w:t>
            </w:r>
            <w:proofErr w:type="spellStart"/>
            <w:r w:rsidR="00D94F7C" w:rsidRPr="00D94F7C">
              <w:rPr>
                <w:sz w:val="20"/>
                <w:szCs w:val="20"/>
              </w:rPr>
              <w:t>mujer</w:t>
            </w:r>
            <w:proofErr w:type="spellEnd"/>
            <w:r w:rsidR="00D94F7C" w:rsidRPr="00D94F7C">
              <w:rPr>
                <w:sz w:val="20"/>
                <w:szCs w:val="20"/>
              </w:rPr>
              <w:t xml:space="preserve"> </w:t>
            </w:r>
            <w:proofErr w:type="spellStart"/>
            <w:r w:rsidR="00D94F7C" w:rsidRPr="00D94F7C">
              <w:rPr>
                <w:sz w:val="20"/>
                <w:szCs w:val="20"/>
              </w:rPr>
              <w:t>posmenopáusica</w:t>
            </w:r>
            <w:proofErr w:type="spellEnd"/>
            <w:r w:rsidR="00D94F7C" w:rsidRPr="00D94F7C">
              <w:rPr>
                <w:sz w:val="20"/>
                <w:szCs w:val="20"/>
              </w:rPr>
              <w:t xml:space="preserve"> </w:t>
            </w:r>
            <w:proofErr w:type="spellStart"/>
            <w:r w:rsidR="00D94F7C" w:rsidRPr="00D94F7C">
              <w:rPr>
                <w:sz w:val="20"/>
                <w:szCs w:val="20"/>
              </w:rPr>
              <w:t>mexicana</w:t>
            </w:r>
            <w:proofErr w:type="spellEnd"/>
            <w:r w:rsidR="00D94F7C" w:rsidRPr="00D94F7C">
              <w:rPr>
                <w:sz w:val="20"/>
                <w:szCs w:val="20"/>
              </w:rPr>
              <w:t xml:space="preserve"> [Consensus for diagnosis and treatment in </w:t>
            </w:r>
            <w:r w:rsidR="00D94F7C">
              <w:rPr>
                <w:sz w:val="20"/>
                <w:szCs w:val="20"/>
              </w:rPr>
              <w:t>M</w:t>
            </w:r>
            <w:r w:rsidR="00D94F7C" w:rsidRPr="00D94F7C">
              <w:rPr>
                <w:sz w:val="20"/>
                <w:szCs w:val="20"/>
              </w:rPr>
              <w:t>exican women with postmenopausa</w:t>
            </w:r>
            <w:r w:rsidR="00D94F7C">
              <w:rPr>
                <w:sz w:val="20"/>
                <w:szCs w:val="20"/>
              </w:rPr>
              <w:t xml:space="preserve">l </w:t>
            </w:r>
            <w:r w:rsidR="00D94F7C" w:rsidRPr="00D94F7C">
              <w:rPr>
                <w:sz w:val="20"/>
                <w:szCs w:val="20"/>
              </w:rPr>
              <w:t>osteoporosis</w:t>
            </w:r>
            <w:r w:rsidR="00D94F7C">
              <w:rPr>
                <w:sz w:val="20"/>
                <w:szCs w:val="20"/>
              </w:rPr>
              <w:t>.</w:t>
            </w:r>
            <w:r w:rsidR="00D94F7C">
              <w:t xml:space="preserve"> </w:t>
            </w:r>
            <w:r w:rsidR="00D94F7C" w:rsidRPr="00D94F7C">
              <w:rPr>
                <w:sz w:val="20"/>
                <w:szCs w:val="20"/>
              </w:rPr>
              <w:t xml:space="preserve">Med </w:t>
            </w:r>
            <w:proofErr w:type="spellStart"/>
            <w:r w:rsidR="00D94F7C" w:rsidRPr="00D94F7C">
              <w:rPr>
                <w:sz w:val="20"/>
                <w:szCs w:val="20"/>
              </w:rPr>
              <w:t>Int</w:t>
            </w:r>
            <w:proofErr w:type="spellEnd"/>
            <w:r w:rsidR="00D94F7C" w:rsidRPr="00D94F7C">
              <w:rPr>
                <w:sz w:val="20"/>
                <w:szCs w:val="20"/>
              </w:rPr>
              <w:t xml:space="preserve"> </w:t>
            </w:r>
            <w:proofErr w:type="spellStart"/>
            <w:r w:rsidR="00D94F7C" w:rsidRPr="00D94F7C">
              <w:rPr>
                <w:sz w:val="20"/>
                <w:szCs w:val="20"/>
              </w:rPr>
              <w:t>Méx</w:t>
            </w:r>
            <w:proofErr w:type="spellEnd"/>
            <w:r w:rsidR="00D94F7C" w:rsidRPr="00D94F7C">
              <w:rPr>
                <w:sz w:val="20"/>
                <w:szCs w:val="20"/>
              </w:rPr>
              <w:t xml:space="preserve"> 31:596-610.</w:t>
            </w:r>
          </w:p>
        </w:tc>
      </w:tr>
      <w:tr w:rsidR="00316577" w:rsidRPr="00316577" w14:paraId="64CB7BC9" w14:textId="77777777" w:rsidTr="00316577">
        <w:tc>
          <w:tcPr>
            <w:tcW w:w="704" w:type="dxa"/>
          </w:tcPr>
          <w:p w14:paraId="1BC99338" w14:textId="77777777" w:rsidR="00316577" w:rsidRPr="00316577" w:rsidRDefault="00316577" w:rsidP="00316577">
            <w:pPr>
              <w:autoSpaceDE w:val="0"/>
              <w:autoSpaceDN w:val="0"/>
              <w:adjustRightInd w:val="0"/>
              <w:spacing w:before="240"/>
              <w:rPr>
                <w:sz w:val="20"/>
                <w:szCs w:val="20"/>
              </w:rPr>
            </w:pPr>
            <w:r w:rsidRPr="00316577">
              <w:rPr>
                <w:sz w:val="20"/>
                <w:szCs w:val="20"/>
              </w:rPr>
              <w:t>55.</w:t>
            </w:r>
          </w:p>
        </w:tc>
        <w:tc>
          <w:tcPr>
            <w:tcW w:w="7745" w:type="dxa"/>
          </w:tcPr>
          <w:p w14:paraId="1F218A83" w14:textId="77777777" w:rsidR="00316577" w:rsidRPr="00316577" w:rsidRDefault="00316577" w:rsidP="00316577">
            <w:pPr>
              <w:autoSpaceDE w:val="0"/>
              <w:autoSpaceDN w:val="0"/>
              <w:adjustRightInd w:val="0"/>
              <w:spacing w:before="240"/>
              <w:rPr>
                <w:sz w:val="20"/>
                <w:szCs w:val="20"/>
              </w:rPr>
            </w:pPr>
            <w:r w:rsidRPr="00316577">
              <w:rPr>
                <w:sz w:val="20"/>
                <w:szCs w:val="20"/>
              </w:rPr>
              <w:t xml:space="preserve">Dutch Institute for Healthcare Improvement (CBO) (2011) </w:t>
            </w:r>
            <w:proofErr w:type="spellStart"/>
            <w:r w:rsidRPr="00316577">
              <w:rPr>
                <w:sz w:val="20"/>
                <w:szCs w:val="20"/>
              </w:rPr>
              <w:t>Richtlijn</w:t>
            </w:r>
            <w:proofErr w:type="spellEnd"/>
            <w:r w:rsidRPr="00316577">
              <w:rPr>
                <w:sz w:val="20"/>
                <w:szCs w:val="20"/>
              </w:rPr>
              <w:t xml:space="preserve"> </w:t>
            </w:r>
            <w:proofErr w:type="spellStart"/>
            <w:r w:rsidRPr="00316577">
              <w:rPr>
                <w:sz w:val="20"/>
                <w:szCs w:val="20"/>
              </w:rPr>
              <w:t>Osteoporose</w:t>
            </w:r>
            <w:proofErr w:type="spellEnd"/>
            <w:r w:rsidRPr="00316577">
              <w:rPr>
                <w:sz w:val="20"/>
                <w:szCs w:val="20"/>
              </w:rPr>
              <w:t xml:space="preserve"> </w:t>
            </w:r>
            <w:proofErr w:type="spellStart"/>
            <w:r w:rsidRPr="00316577">
              <w:rPr>
                <w:sz w:val="20"/>
                <w:szCs w:val="20"/>
              </w:rPr>
              <w:t>en</w:t>
            </w:r>
            <w:proofErr w:type="spellEnd"/>
            <w:r w:rsidRPr="00316577">
              <w:rPr>
                <w:sz w:val="20"/>
                <w:szCs w:val="20"/>
              </w:rPr>
              <w:t xml:space="preserve"> </w:t>
            </w:r>
            <w:proofErr w:type="spellStart"/>
            <w:r w:rsidRPr="00316577">
              <w:rPr>
                <w:sz w:val="20"/>
                <w:szCs w:val="20"/>
              </w:rPr>
              <w:t>fractuurpreventie</w:t>
            </w:r>
            <w:proofErr w:type="spellEnd"/>
            <w:r w:rsidRPr="00316577">
              <w:rPr>
                <w:sz w:val="20"/>
                <w:szCs w:val="20"/>
              </w:rPr>
              <w:t xml:space="preserve">, </w:t>
            </w:r>
            <w:proofErr w:type="spellStart"/>
            <w:r w:rsidRPr="00316577">
              <w:rPr>
                <w:sz w:val="20"/>
                <w:szCs w:val="20"/>
              </w:rPr>
              <w:t>derde</w:t>
            </w:r>
            <w:proofErr w:type="spellEnd"/>
            <w:r w:rsidRPr="00316577">
              <w:rPr>
                <w:sz w:val="20"/>
                <w:szCs w:val="20"/>
              </w:rPr>
              <w:t xml:space="preserve"> </w:t>
            </w:r>
            <w:proofErr w:type="spellStart"/>
            <w:r w:rsidRPr="00316577">
              <w:rPr>
                <w:sz w:val="20"/>
                <w:szCs w:val="20"/>
              </w:rPr>
              <w:t>herziening</w:t>
            </w:r>
            <w:proofErr w:type="spellEnd"/>
            <w:r w:rsidRPr="00316577">
              <w:rPr>
                <w:sz w:val="20"/>
                <w:szCs w:val="20"/>
              </w:rPr>
              <w:t>. Utrecht: CBO.</w:t>
            </w:r>
          </w:p>
        </w:tc>
      </w:tr>
      <w:tr w:rsidR="00316577" w:rsidRPr="00316577" w14:paraId="01F693B6" w14:textId="77777777" w:rsidTr="00316577">
        <w:tc>
          <w:tcPr>
            <w:tcW w:w="704" w:type="dxa"/>
          </w:tcPr>
          <w:p w14:paraId="6D58B0B3" w14:textId="77777777" w:rsidR="00316577" w:rsidRPr="00316577" w:rsidRDefault="00316577" w:rsidP="00316577">
            <w:pPr>
              <w:spacing w:before="240"/>
              <w:rPr>
                <w:sz w:val="20"/>
                <w:szCs w:val="20"/>
              </w:rPr>
            </w:pPr>
            <w:r w:rsidRPr="00316577">
              <w:rPr>
                <w:sz w:val="20"/>
                <w:szCs w:val="20"/>
              </w:rPr>
              <w:t>56.</w:t>
            </w:r>
          </w:p>
        </w:tc>
        <w:tc>
          <w:tcPr>
            <w:tcW w:w="7745" w:type="dxa"/>
          </w:tcPr>
          <w:p w14:paraId="7E7FA554" w14:textId="77777777" w:rsidR="00316577" w:rsidRPr="00316577" w:rsidRDefault="00316577" w:rsidP="00316577">
            <w:pPr>
              <w:spacing w:before="240"/>
              <w:rPr>
                <w:sz w:val="20"/>
                <w:szCs w:val="20"/>
              </w:rPr>
            </w:pPr>
            <w:r w:rsidRPr="00316577">
              <w:rPr>
                <w:sz w:val="20"/>
                <w:szCs w:val="20"/>
              </w:rPr>
              <w:t>Romanian Ministry of Health (2010) Guidelines for the diagnosis and treatment of postmenopausal osteoporosis. Order number 1322/2010. (</w:t>
            </w:r>
            <w:hyperlink r:id="rId52" w:history="1">
              <w:r w:rsidRPr="00316577">
                <w:rPr>
                  <w:color w:val="0563C1" w:themeColor="hyperlink"/>
                  <w:u w:val="single"/>
                </w:rPr>
                <w:t>www.ms.ro</w:t>
              </w:r>
            </w:hyperlink>
            <w:r w:rsidRPr="00316577">
              <w:rPr>
                <w:sz w:val="20"/>
                <w:szCs w:val="20"/>
              </w:rPr>
              <w:t>). Accessed 13 March 2015.</w:t>
            </w:r>
          </w:p>
        </w:tc>
      </w:tr>
      <w:tr w:rsidR="00316577" w:rsidRPr="00316577" w14:paraId="74A6439A" w14:textId="77777777" w:rsidTr="00316577">
        <w:tc>
          <w:tcPr>
            <w:tcW w:w="704" w:type="dxa"/>
          </w:tcPr>
          <w:p w14:paraId="6B8D5AE5" w14:textId="77777777" w:rsidR="00316577" w:rsidRPr="00316577" w:rsidRDefault="00316577" w:rsidP="00316577">
            <w:pPr>
              <w:spacing w:before="240"/>
              <w:rPr>
                <w:sz w:val="20"/>
                <w:szCs w:val="20"/>
                <w:lang w:val="pl-PL"/>
              </w:rPr>
            </w:pPr>
            <w:r w:rsidRPr="00316577">
              <w:rPr>
                <w:sz w:val="20"/>
                <w:szCs w:val="20"/>
                <w:lang w:val="pl-PL"/>
              </w:rPr>
              <w:t>57.</w:t>
            </w:r>
          </w:p>
        </w:tc>
        <w:tc>
          <w:tcPr>
            <w:tcW w:w="7745" w:type="dxa"/>
          </w:tcPr>
          <w:p w14:paraId="28E502B9" w14:textId="77777777" w:rsidR="00316577" w:rsidRPr="00316577" w:rsidRDefault="00316577" w:rsidP="00316577">
            <w:pPr>
              <w:spacing w:before="240"/>
              <w:rPr>
                <w:sz w:val="20"/>
                <w:szCs w:val="20"/>
              </w:rPr>
            </w:pPr>
            <w:r w:rsidRPr="00316577">
              <w:rPr>
                <w:sz w:val="20"/>
                <w:szCs w:val="20"/>
                <w:lang w:val="pl-PL"/>
              </w:rPr>
              <w:t>Czerwiński E, Badurski J, Lorenc R, Osieleniec J (2010) Guidelines on the diagnosis of osteoporosis and assessment of fracture risk in Poland. Ortop Traumatol Rehabil. 2010 Mar-Apr;12(2):194-200. English, [Polish].</w:t>
            </w:r>
          </w:p>
        </w:tc>
      </w:tr>
      <w:tr w:rsidR="00316577" w:rsidRPr="00316577" w14:paraId="7AF2A348" w14:textId="77777777" w:rsidTr="00316577">
        <w:tc>
          <w:tcPr>
            <w:tcW w:w="704" w:type="dxa"/>
          </w:tcPr>
          <w:p w14:paraId="297C6754" w14:textId="77777777" w:rsidR="00316577" w:rsidRPr="00316577" w:rsidRDefault="00316577" w:rsidP="00316577">
            <w:pPr>
              <w:spacing w:before="240"/>
              <w:rPr>
                <w:sz w:val="20"/>
                <w:szCs w:val="20"/>
              </w:rPr>
            </w:pPr>
            <w:r w:rsidRPr="00316577">
              <w:rPr>
                <w:sz w:val="20"/>
                <w:szCs w:val="20"/>
              </w:rPr>
              <w:t>58.</w:t>
            </w:r>
          </w:p>
        </w:tc>
        <w:tc>
          <w:tcPr>
            <w:tcW w:w="7745" w:type="dxa"/>
          </w:tcPr>
          <w:p w14:paraId="2494C913" w14:textId="77777777" w:rsidR="00316577" w:rsidRPr="00316577" w:rsidRDefault="00316577" w:rsidP="00316577">
            <w:pPr>
              <w:spacing w:before="240"/>
              <w:rPr>
                <w:sz w:val="20"/>
                <w:szCs w:val="20"/>
              </w:rPr>
            </w:pPr>
            <w:r w:rsidRPr="00316577">
              <w:rPr>
                <w:sz w:val="20"/>
                <w:szCs w:val="20"/>
              </w:rPr>
              <w:t xml:space="preserve">Al-Saleh Y, </w:t>
            </w:r>
            <w:proofErr w:type="spellStart"/>
            <w:r w:rsidRPr="00316577">
              <w:rPr>
                <w:sz w:val="20"/>
                <w:szCs w:val="20"/>
              </w:rPr>
              <w:t>Sulimani</w:t>
            </w:r>
            <w:proofErr w:type="spellEnd"/>
            <w:r w:rsidRPr="00316577">
              <w:rPr>
                <w:sz w:val="20"/>
                <w:szCs w:val="20"/>
              </w:rPr>
              <w:t xml:space="preserve"> R, </w:t>
            </w:r>
            <w:proofErr w:type="spellStart"/>
            <w:r w:rsidRPr="00316577">
              <w:rPr>
                <w:sz w:val="20"/>
                <w:szCs w:val="20"/>
              </w:rPr>
              <w:t>Sabico</w:t>
            </w:r>
            <w:proofErr w:type="spellEnd"/>
            <w:r w:rsidRPr="00316577">
              <w:rPr>
                <w:sz w:val="20"/>
                <w:szCs w:val="20"/>
              </w:rPr>
              <w:t xml:space="preserve"> S, et al (2015) Guidelines for Osteoporosis in Saudi Arabia: Recommendations from the Saudi Osteoporosis Society Ann Saudi Med 35: 1-12</w:t>
            </w:r>
          </w:p>
        </w:tc>
      </w:tr>
      <w:tr w:rsidR="00316577" w:rsidRPr="00316577" w14:paraId="31B29AD4" w14:textId="77777777" w:rsidTr="00316577">
        <w:tc>
          <w:tcPr>
            <w:tcW w:w="704" w:type="dxa"/>
          </w:tcPr>
          <w:p w14:paraId="496F0900" w14:textId="77777777" w:rsidR="00316577" w:rsidRPr="00316577" w:rsidRDefault="00316577" w:rsidP="00316577">
            <w:pPr>
              <w:autoSpaceDE w:val="0"/>
              <w:autoSpaceDN w:val="0"/>
              <w:adjustRightInd w:val="0"/>
              <w:spacing w:before="240"/>
              <w:rPr>
                <w:sz w:val="20"/>
                <w:szCs w:val="20"/>
              </w:rPr>
            </w:pPr>
            <w:r w:rsidRPr="00316577">
              <w:rPr>
                <w:sz w:val="20"/>
                <w:szCs w:val="20"/>
              </w:rPr>
              <w:t>59.</w:t>
            </w:r>
          </w:p>
        </w:tc>
        <w:tc>
          <w:tcPr>
            <w:tcW w:w="7745" w:type="dxa"/>
          </w:tcPr>
          <w:p w14:paraId="43B92AFA" w14:textId="77777777" w:rsidR="00316577" w:rsidRPr="00316577" w:rsidRDefault="00316577" w:rsidP="00316577">
            <w:pPr>
              <w:autoSpaceDE w:val="0"/>
              <w:autoSpaceDN w:val="0"/>
              <w:adjustRightInd w:val="0"/>
              <w:spacing w:before="240"/>
              <w:rPr>
                <w:sz w:val="20"/>
                <w:szCs w:val="20"/>
              </w:rPr>
            </w:pPr>
            <w:r w:rsidRPr="00316577">
              <w:rPr>
                <w:sz w:val="20"/>
                <w:szCs w:val="20"/>
              </w:rPr>
              <w:t xml:space="preserve">International Osteoporosis Foundation guideline references, Slovakia </w:t>
            </w:r>
            <w:hyperlink r:id="rId53" w:anchor="ref_27" w:history="1">
              <w:r w:rsidRPr="00316577">
                <w:rPr>
                  <w:color w:val="0563C1" w:themeColor="hyperlink"/>
                  <w:sz w:val="20"/>
                  <w:szCs w:val="20"/>
                  <w:u w:val="single"/>
                </w:rPr>
                <w:t>http://www.iofbonehealth.org/guideline-references#ref_27</w:t>
              </w:r>
            </w:hyperlink>
            <w:r w:rsidRPr="00316577">
              <w:rPr>
                <w:sz w:val="20"/>
                <w:szCs w:val="20"/>
              </w:rPr>
              <w:t xml:space="preserve"> Accessed 22 October 2015</w:t>
            </w:r>
          </w:p>
        </w:tc>
      </w:tr>
      <w:tr w:rsidR="00316577" w:rsidRPr="00316577" w14:paraId="06074702" w14:textId="77777777" w:rsidTr="00316577">
        <w:tc>
          <w:tcPr>
            <w:tcW w:w="704" w:type="dxa"/>
          </w:tcPr>
          <w:p w14:paraId="2BEA80F9" w14:textId="77777777" w:rsidR="00316577" w:rsidRPr="00316577" w:rsidRDefault="00316577" w:rsidP="00316577">
            <w:pPr>
              <w:spacing w:before="240"/>
              <w:rPr>
                <w:sz w:val="20"/>
                <w:szCs w:val="20"/>
              </w:rPr>
            </w:pPr>
            <w:r w:rsidRPr="00316577">
              <w:rPr>
                <w:sz w:val="20"/>
                <w:szCs w:val="20"/>
              </w:rPr>
              <w:t>60.</w:t>
            </w:r>
          </w:p>
        </w:tc>
        <w:tc>
          <w:tcPr>
            <w:tcW w:w="7745" w:type="dxa"/>
          </w:tcPr>
          <w:p w14:paraId="5E628EA5" w14:textId="77777777" w:rsidR="00316577" w:rsidRPr="00316577" w:rsidRDefault="00316577" w:rsidP="00316577">
            <w:pPr>
              <w:spacing w:before="240"/>
              <w:rPr>
                <w:sz w:val="20"/>
                <w:szCs w:val="20"/>
              </w:rPr>
            </w:pPr>
            <w:r w:rsidRPr="00316577">
              <w:rPr>
                <w:sz w:val="20"/>
                <w:szCs w:val="20"/>
              </w:rPr>
              <w:t>Ministry of Health (2010) Osteoporosis: Ministry of Health Practice Guidelines. Ministry of Health, Singapore</w:t>
            </w:r>
          </w:p>
        </w:tc>
      </w:tr>
      <w:tr w:rsidR="00316577" w:rsidRPr="00316577" w14:paraId="630F7B95" w14:textId="77777777" w:rsidTr="00316577">
        <w:tc>
          <w:tcPr>
            <w:tcW w:w="704" w:type="dxa"/>
          </w:tcPr>
          <w:p w14:paraId="603BBCE4" w14:textId="77777777" w:rsidR="00316577" w:rsidRPr="00316577" w:rsidRDefault="00316577" w:rsidP="00316577">
            <w:pPr>
              <w:spacing w:before="240"/>
              <w:rPr>
                <w:sz w:val="20"/>
                <w:szCs w:val="20"/>
              </w:rPr>
            </w:pPr>
            <w:r w:rsidRPr="00316577">
              <w:rPr>
                <w:sz w:val="20"/>
                <w:szCs w:val="20"/>
              </w:rPr>
              <w:lastRenderedPageBreak/>
              <w:t>61.</w:t>
            </w:r>
          </w:p>
        </w:tc>
        <w:tc>
          <w:tcPr>
            <w:tcW w:w="7745" w:type="dxa"/>
          </w:tcPr>
          <w:p w14:paraId="6ECA5443" w14:textId="77777777" w:rsidR="00316577" w:rsidRPr="00316577" w:rsidRDefault="00316577" w:rsidP="00316577">
            <w:pPr>
              <w:spacing w:before="240"/>
              <w:rPr>
                <w:sz w:val="20"/>
                <w:szCs w:val="20"/>
              </w:rPr>
            </w:pPr>
            <w:proofErr w:type="spellStart"/>
            <w:r w:rsidRPr="00316577">
              <w:rPr>
                <w:sz w:val="20"/>
                <w:szCs w:val="20"/>
              </w:rPr>
              <w:t>Rabar</w:t>
            </w:r>
            <w:proofErr w:type="spellEnd"/>
            <w:r w:rsidRPr="00316577">
              <w:rPr>
                <w:sz w:val="20"/>
                <w:szCs w:val="20"/>
              </w:rPr>
              <w:t xml:space="preserve"> S, Lau R, </w:t>
            </w:r>
            <w:proofErr w:type="spellStart"/>
            <w:r w:rsidRPr="00316577">
              <w:rPr>
                <w:sz w:val="20"/>
                <w:szCs w:val="20"/>
              </w:rPr>
              <w:t>O’Flynn</w:t>
            </w:r>
            <w:proofErr w:type="spellEnd"/>
            <w:r w:rsidRPr="00316577">
              <w:rPr>
                <w:sz w:val="20"/>
                <w:szCs w:val="20"/>
              </w:rPr>
              <w:t xml:space="preserve"> N, Li L, Barry P on behalf of the Guideline Development Group (2012) Risk assessment of fragility fractures: summary of NICE guidance.  BMJ 20012;345:e3698</w:t>
            </w:r>
          </w:p>
        </w:tc>
      </w:tr>
      <w:tr w:rsidR="00316577" w:rsidRPr="00316577" w14:paraId="078A2CCD" w14:textId="77777777" w:rsidTr="00316577">
        <w:tc>
          <w:tcPr>
            <w:tcW w:w="704" w:type="dxa"/>
          </w:tcPr>
          <w:p w14:paraId="6404FD09" w14:textId="77777777" w:rsidR="00316577" w:rsidRPr="00316577" w:rsidRDefault="00316577" w:rsidP="00316577">
            <w:pPr>
              <w:spacing w:before="240"/>
              <w:rPr>
                <w:sz w:val="20"/>
                <w:szCs w:val="20"/>
              </w:rPr>
            </w:pPr>
            <w:r w:rsidRPr="00316577">
              <w:rPr>
                <w:sz w:val="20"/>
                <w:szCs w:val="20"/>
              </w:rPr>
              <w:t>62.</w:t>
            </w:r>
          </w:p>
        </w:tc>
        <w:tc>
          <w:tcPr>
            <w:tcW w:w="7745" w:type="dxa"/>
          </w:tcPr>
          <w:p w14:paraId="2E6C306A" w14:textId="77777777" w:rsidR="00316577" w:rsidRPr="00316577" w:rsidRDefault="00316577" w:rsidP="00316577">
            <w:pPr>
              <w:spacing w:before="240"/>
              <w:rPr>
                <w:sz w:val="20"/>
                <w:szCs w:val="20"/>
              </w:rPr>
            </w:pPr>
            <w:r w:rsidRPr="00316577">
              <w:rPr>
                <w:sz w:val="20"/>
                <w:szCs w:val="20"/>
              </w:rPr>
              <w:t>American Association of Clinical Endocrinologists (2010) Medial guidelines for clinical practice for the diagnosis and treatment of postmenopausal osteoporosis.  Endocrine practice 16 (</w:t>
            </w:r>
            <w:proofErr w:type="spellStart"/>
            <w:r w:rsidRPr="00316577">
              <w:rPr>
                <w:sz w:val="20"/>
                <w:szCs w:val="20"/>
              </w:rPr>
              <w:t>suppl</w:t>
            </w:r>
            <w:proofErr w:type="spellEnd"/>
            <w:r w:rsidRPr="00316577">
              <w:rPr>
                <w:sz w:val="20"/>
                <w:szCs w:val="20"/>
              </w:rPr>
              <w:t xml:space="preserve"> 3): 1-37</w:t>
            </w:r>
          </w:p>
        </w:tc>
      </w:tr>
      <w:tr w:rsidR="00316577" w:rsidRPr="00316577" w14:paraId="3BAA828E" w14:textId="77777777" w:rsidTr="00316577">
        <w:tc>
          <w:tcPr>
            <w:tcW w:w="704" w:type="dxa"/>
          </w:tcPr>
          <w:p w14:paraId="5AE5633A" w14:textId="77777777" w:rsidR="00316577" w:rsidRPr="00316577" w:rsidRDefault="00316577" w:rsidP="00316577">
            <w:pPr>
              <w:spacing w:before="240"/>
              <w:rPr>
                <w:sz w:val="20"/>
                <w:szCs w:val="20"/>
              </w:rPr>
            </w:pPr>
            <w:r w:rsidRPr="00316577">
              <w:rPr>
                <w:sz w:val="20"/>
                <w:szCs w:val="20"/>
              </w:rPr>
              <w:t>63.</w:t>
            </w:r>
          </w:p>
        </w:tc>
        <w:tc>
          <w:tcPr>
            <w:tcW w:w="7745" w:type="dxa"/>
          </w:tcPr>
          <w:p w14:paraId="2D1C8F19" w14:textId="77777777" w:rsidR="00316577" w:rsidRPr="00316577" w:rsidRDefault="00316577" w:rsidP="00316577">
            <w:pPr>
              <w:spacing w:before="240"/>
              <w:rPr>
                <w:sz w:val="20"/>
                <w:szCs w:val="20"/>
              </w:rPr>
            </w:pPr>
            <w:r w:rsidRPr="00316577">
              <w:rPr>
                <w:sz w:val="20"/>
                <w:szCs w:val="20"/>
              </w:rPr>
              <w:t xml:space="preserve">Tosi LL, Dell RM (2012) AAOS. Challenging orthopaedics to reduce osteoporotic hip fractures, 2012. </w:t>
            </w:r>
            <w:hyperlink r:id="rId54" w:history="1">
              <w:r w:rsidRPr="00316577">
                <w:rPr>
                  <w:color w:val="0563C1" w:themeColor="hyperlink"/>
                  <w:sz w:val="20"/>
                  <w:szCs w:val="20"/>
                  <w:u w:val="single"/>
                </w:rPr>
                <w:t>http://www.aaos.org/news/aaosnow/may09/research5.asp</w:t>
              </w:r>
            </w:hyperlink>
            <w:r w:rsidRPr="00316577">
              <w:rPr>
                <w:sz w:val="20"/>
                <w:szCs w:val="20"/>
              </w:rPr>
              <w:t xml:space="preserve">  (accessed 6 November 2015).</w:t>
            </w:r>
          </w:p>
        </w:tc>
      </w:tr>
      <w:tr w:rsidR="00316577" w:rsidRPr="00316577" w14:paraId="05132DDE" w14:textId="77777777" w:rsidTr="00316577">
        <w:tc>
          <w:tcPr>
            <w:tcW w:w="704" w:type="dxa"/>
          </w:tcPr>
          <w:p w14:paraId="175F5E93" w14:textId="77777777" w:rsidR="00316577" w:rsidRPr="00316577" w:rsidRDefault="00316577" w:rsidP="00316577">
            <w:pPr>
              <w:spacing w:before="240"/>
              <w:rPr>
                <w:sz w:val="20"/>
                <w:szCs w:val="20"/>
              </w:rPr>
            </w:pPr>
            <w:r w:rsidRPr="00316577">
              <w:rPr>
                <w:sz w:val="20"/>
                <w:szCs w:val="20"/>
              </w:rPr>
              <w:t>64.</w:t>
            </w:r>
          </w:p>
        </w:tc>
        <w:tc>
          <w:tcPr>
            <w:tcW w:w="7745" w:type="dxa"/>
          </w:tcPr>
          <w:p w14:paraId="40BBF0D7" w14:textId="77777777" w:rsidR="00316577" w:rsidRPr="00316577" w:rsidRDefault="00316577" w:rsidP="00316577">
            <w:pPr>
              <w:spacing w:before="240"/>
              <w:rPr>
                <w:sz w:val="20"/>
                <w:szCs w:val="20"/>
              </w:rPr>
            </w:pPr>
            <w:proofErr w:type="spellStart"/>
            <w:r w:rsidRPr="00316577">
              <w:rPr>
                <w:sz w:val="20"/>
                <w:szCs w:val="20"/>
              </w:rPr>
              <w:t>Qaseem</w:t>
            </w:r>
            <w:proofErr w:type="spellEnd"/>
            <w:r w:rsidRPr="00316577">
              <w:rPr>
                <w:sz w:val="20"/>
                <w:szCs w:val="20"/>
              </w:rPr>
              <w:t xml:space="preserve"> A, Snow V, </w:t>
            </w:r>
            <w:proofErr w:type="spellStart"/>
            <w:r w:rsidRPr="00316577">
              <w:rPr>
                <w:sz w:val="20"/>
                <w:szCs w:val="20"/>
              </w:rPr>
              <w:t>Shekelle</w:t>
            </w:r>
            <w:proofErr w:type="spellEnd"/>
            <w:r w:rsidRPr="00316577">
              <w:rPr>
                <w:sz w:val="20"/>
                <w:szCs w:val="20"/>
              </w:rPr>
              <w:t xml:space="preserve"> P, Hopkins R Jr, </w:t>
            </w:r>
            <w:proofErr w:type="spellStart"/>
            <w:r w:rsidRPr="00316577">
              <w:rPr>
                <w:sz w:val="20"/>
                <w:szCs w:val="20"/>
              </w:rPr>
              <w:t>Forciea</w:t>
            </w:r>
            <w:proofErr w:type="spellEnd"/>
            <w:r w:rsidRPr="00316577">
              <w:rPr>
                <w:sz w:val="20"/>
                <w:szCs w:val="20"/>
              </w:rPr>
              <w:t xml:space="preserve"> MA, Owens DK (2008) Clinical Efficacy Assessment Subcommittee of the American College of Physicians. Pharmacologic treatment of low bone density or osteoporosis to prevent fractures: a clinical practice guideline from the American College of Physicians. Ann Intern Med 149: 404-15. </w:t>
            </w:r>
          </w:p>
        </w:tc>
      </w:tr>
      <w:tr w:rsidR="00316577" w:rsidRPr="00316577" w14:paraId="39A49EFC" w14:textId="77777777" w:rsidTr="00316577">
        <w:tc>
          <w:tcPr>
            <w:tcW w:w="704" w:type="dxa"/>
          </w:tcPr>
          <w:p w14:paraId="4BD3553F" w14:textId="77777777" w:rsidR="00316577" w:rsidRPr="00316577" w:rsidRDefault="00316577" w:rsidP="00316577">
            <w:pPr>
              <w:spacing w:before="240"/>
              <w:rPr>
                <w:sz w:val="20"/>
                <w:szCs w:val="20"/>
              </w:rPr>
            </w:pPr>
            <w:r w:rsidRPr="00316577">
              <w:rPr>
                <w:sz w:val="20"/>
                <w:szCs w:val="20"/>
              </w:rPr>
              <w:t>65.</w:t>
            </w:r>
          </w:p>
        </w:tc>
        <w:tc>
          <w:tcPr>
            <w:tcW w:w="7745" w:type="dxa"/>
          </w:tcPr>
          <w:p w14:paraId="057A2330" w14:textId="77777777" w:rsidR="00316577" w:rsidRPr="00316577" w:rsidRDefault="00316577" w:rsidP="00316577">
            <w:pPr>
              <w:spacing w:before="240"/>
              <w:rPr>
                <w:sz w:val="20"/>
                <w:szCs w:val="20"/>
              </w:rPr>
            </w:pPr>
            <w:r w:rsidRPr="00316577">
              <w:rPr>
                <w:sz w:val="20"/>
                <w:szCs w:val="20"/>
              </w:rPr>
              <w:t xml:space="preserve">Lim LS, </w:t>
            </w:r>
            <w:proofErr w:type="spellStart"/>
            <w:r w:rsidRPr="00316577">
              <w:rPr>
                <w:sz w:val="20"/>
                <w:szCs w:val="20"/>
              </w:rPr>
              <w:t>Hoeksma</w:t>
            </w:r>
            <w:proofErr w:type="spellEnd"/>
            <w:r w:rsidRPr="00316577">
              <w:rPr>
                <w:sz w:val="20"/>
                <w:szCs w:val="20"/>
              </w:rPr>
              <w:t xml:space="preserve"> LJ, </w:t>
            </w:r>
            <w:proofErr w:type="spellStart"/>
            <w:r w:rsidRPr="00316577">
              <w:rPr>
                <w:sz w:val="20"/>
                <w:szCs w:val="20"/>
              </w:rPr>
              <w:t>Sherin</w:t>
            </w:r>
            <w:proofErr w:type="spellEnd"/>
            <w:r w:rsidRPr="00316577">
              <w:rPr>
                <w:sz w:val="20"/>
                <w:szCs w:val="20"/>
              </w:rPr>
              <w:t xml:space="preserve"> K (2009) Screening for osteoporosis in the adult US population: ACPM position statement on preventive practice.  Am J </w:t>
            </w:r>
            <w:proofErr w:type="spellStart"/>
            <w:r w:rsidRPr="00316577">
              <w:rPr>
                <w:sz w:val="20"/>
                <w:szCs w:val="20"/>
              </w:rPr>
              <w:t>Prev</w:t>
            </w:r>
            <w:proofErr w:type="spellEnd"/>
            <w:r w:rsidRPr="00316577">
              <w:rPr>
                <w:sz w:val="20"/>
                <w:szCs w:val="20"/>
              </w:rPr>
              <w:t xml:space="preserve"> Med  36: 366–375</w:t>
            </w:r>
          </w:p>
        </w:tc>
      </w:tr>
      <w:tr w:rsidR="00316577" w:rsidRPr="00316577" w14:paraId="1149EFA3" w14:textId="77777777" w:rsidTr="00316577">
        <w:tc>
          <w:tcPr>
            <w:tcW w:w="704" w:type="dxa"/>
          </w:tcPr>
          <w:p w14:paraId="7B740C60" w14:textId="77777777" w:rsidR="00316577" w:rsidRPr="00316577" w:rsidRDefault="00316577" w:rsidP="00316577">
            <w:pPr>
              <w:autoSpaceDE w:val="0"/>
              <w:autoSpaceDN w:val="0"/>
              <w:adjustRightInd w:val="0"/>
              <w:spacing w:before="240"/>
              <w:rPr>
                <w:sz w:val="20"/>
                <w:szCs w:val="20"/>
              </w:rPr>
            </w:pPr>
            <w:r w:rsidRPr="00316577">
              <w:rPr>
                <w:sz w:val="20"/>
                <w:szCs w:val="20"/>
              </w:rPr>
              <w:t>66.</w:t>
            </w:r>
          </w:p>
        </w:tc>
        <w:tc>
          <w:tcPr>
            <w:tcW w:w="7745" w:type="dxa"/>
          </w:tcPr>
          <w:p w14:paraId="2E0BAF1E" w14:textId="77777777" w:rsidR="00316577" w:rsidRPr="00316577" w:rsidRDefault="00316577" w:rsidP="00316577">
            <w:pPr>
              <w:autoSpaceDE w:val="0"/>
              <w:autoSpaceDN w:val="0"/>
              <w:adjustRightInd w:val="0"/>
              <w:spacing w:before="240"/>
              <w:rPr>
                <w:sz w:val="20"/>
                <w:szCs w:val="20"/>
              </w:rPr>
            </w:pPr>
            <w:r w:rsidRPr="00316577">
              <w:rPr>
                <w:sz w:val="20"/>
                <w:szCs w:val="20"/>
              </w:rPr>
              <w:t xml:space="preserve">Kanis JA (2013) Commentary on guidelines on postmenopausal osteoporosis – Indian Menopause Society. Journal of Midlife Health 4: 129-31. Available from: </w:t>
            </w:r>
            <w:hyperlink r:id="rId55" w:history="1">
              <w:r w:rsidRPr="00316577">
                <w:rPr>
                  <w:color w:val="0563C1" w:themeColor="hyperlink"/>
                  <w:u w:val="single"/>
                </w:rPr>
                <w:t>http://www.jmidlifehealth.org/text.asp?2013/4/2/129/</w:t>
              </w:r>
            </w:hyperlink>
          </w:p>
        </w:tc>
      </w:tr>
      <w:tr w:rsidR="00316577" w:rsidRPr="00316577" w14:paraId="4111C8D6" w14:textId="77777777" w:rsidTr="00316577">
        <w:tc>
          <w:tcPr>
            <w:tcW w:w="704" w:type="dxa"/>
          </w:tcPr>
          <w:p w14:paraId="5C7AFC9B" w14:textId="77777777" w:rsidR="00316577" w:rsidRPr="00316577" w:rsidRDefault="00316577" w:rsidP="00316577">
            <w:pPr>
              <w:spacing w:before="240"/>
              <w:rPr>
                <w:sz w:val="20"/>
                <w:szCs w:val="20"/>
              </w:rPr>
            </w:pPr>
            <w:r w:rsidRPr="00316577">
              <w:rPr>
                <w:sz w:val="20"/>
                <w:szCs w:val="20"/>
              </w:rPr>
              <w:t>67.</w:t>
            </w:r>
          </w:p>
        </w:tc>
        <w:tc>
          <w:tcPr>
            <w:tcW w:w="7745" w:type="dxa"/>
          </w:tcPr>
          <w:p w14:paraId="7539AF94" w14:textId="77777777" w:rsidR="00316577" w:rsidRPr="00316577" w:rsidRDefault="00316577" w:rsidP="00316577">
            <w:pPr>
              <w:spacing w:before="240"/>
              <w:rPr>
                <w:sz w:val="20"/>
                <w:szCs w:val="20"/>
              </w:rPr>
            </w:pPr>
            <w:r w:rsidRPr="00316577">
              <w:rPr>
                <w:sz w:val="20"/>
                <w:szCs w:val="20"/>
              </w:rPr>
              <w:t xml:space="preserve">National Osteoporosis Foundation (2015) Clinician’s guide to prevention and treatment of osteoporosis. </w:t>
            </w:r>
            <w:hyperlink r:id="rId56" w:history="1">
              <w:r w:rsidRPr="00316577">
                <w:rPr>
                  <w:color w:val="0563C1" w:themeColor="hyperlink"/>
                  <w:u w:val="single"/>
                </w:rPr>
                <w:t>http://nof.org/hcp/resources/913</w:t>
              </w:r>
            </w:hyperlink>
            <w:r w:rsidRPr="00316577">
              <w:rPr>
                <w:sz w:val="20"/>
                <w:szCs w:val="20"/>
              </w:rPr>
              <w:t xml:space="preserve">  Accessed 9 Feb 2015</w:t>
            </w:r>
          </w:p>
        </w:tc>
      </w:tr>
      <w:tr w:rsidR="00316577" w:rsidRPr="00316577" w14:paraId="00FCA5BD" w14:textId="77777777" w:rsidTr="00316577">
        <w:tc>
          <w:tcPr>
            <w:tcW w:w="704" w:type="dxa"/>
          </w:tcPr>
          <w:p w14:paraId="62528E2F" w14:textId="77777777" w:rsidR="00316577" w:rsidRPr="00316577" w:rsidRDefault="00316577" w:rsidP="00316577">
            <w:pPr>
              <w:spacing w:before="240"/>
              <w:rPr>
                <w:sz w:val="20"/>
                <w:szCs w:val="20"/>
              </w:rPr>
            </w:pPr>
            <w:r w:rsidRPr="00316577">
              <w:rPr>
                <w:sz w:val="20"/>
                <w:szCs w:val="20"/>
              </w:rPr>
              <w:t>68.</w:t>
            </w:r>
          </w:p>
        </w:tc>
        <w:tc>
          <w:tcPr>
            <w:tcW w:w="7745" w:type="dxa"/>
          </w:tcPr>
          <w:p w14:paraId="1425961D" w14:textId="77777777" w:rsidR="00316577" w:rsidRPr="00316577" w:rsidRDefault="00316577" w:rsidP="00316577">
            <w:pPr>
              <w:spacing w:before="240"/>
              <w:rPr>
                <w:sz w:val="20"/>
                <w:szCs w:val="20"/>
              </w:rPr>
            </w:pPr>
            <w:proofErr w:type="spellStart"/>
            <w:r w:rsidRPr="00316577">
              <w:rPr>
                <w:sz w:val="20"/>
                <w:szCs w:val="20"/>
              </w:rPr>
              <w:t>Socialstyrelsen</w:t>
            </w:r>
            <w:proofErr w:type="spellEnd"/>
            <w:r w:rsidRPr="00316577">
              <w:rPr>
                <w:sz w:val="20"/>
                <w:szCs w:val="20"/>
              </w:rPr>
              <w:t xml:space="preserve">  (2010) </w:t>
            </w:r>
            <w:proofErr w:type="spellStart"/>
            <w:r w:rsidRPr="00316577">
              <w:rPr>
                <w:sz w:val="20"/>
                <w:szCs w:val="20"/>
              </w:rPr>
              <w:t>Nationella</w:t>
            </w:r>
            <w:proofErr w:type="spellEnd"/>
            <w:r w:rsidRPr="00316577">
              <w:rPr>
                <w:sz w:val="20"/>
                <w:szCs w:val="20"/>
              </w:rPr>
              <w:t xml:space="preserve"> </w:t>
            </w:r>
            <w:proofErr w:type="spellStart"/>
            <w:r w:rsidRPr="00316577">
              <w:rPr>
                <w:sz w:val="20"/>
                <w:szCs w:val="20"/>
              </w:rPr>
              <w:t>riktlinjer</w:t>
            </w:r>
            <w:proofErr w:type="spellEnd"/>
            <w:r w:rsidRPr="00316577">
              <w:rPr>
                <w:sz w:val="20"/>
                <w:szCs w:val="20"/>
              </w:rPr>
              <w:t xml:space="preserve"> </w:t>
            </w:r>
            <w:proofErr w:type="spellStart"/>
            <w:r w:rsidRPr="00316577">
              <w:rPr>
                <w:sz w:val="20"/>
                <w:szCs w:val="20"/>
              </w:rPr>
              <w:t>för</w:t>
            </w:r>
            <w:proofErr w:type="spellEnd"/>
            <w:r w:rsidRPr="00316577">
              <w:rPr>
                <w:sz w:val="20"/>
                <w:szCs w:val="20"/>
              </w:rPr>
              <w:t xml:space="preserve"> </w:t>
            </w:r>
            <w:proofErr w:type="spellStart"/>
            <w:r w:rsidRPr="00316577">
              <w:rPr>
                <w:sz w:val="20"/>
                <w:szCs w:val="20"/>
              </w:rPr>
              <w:t>rörelseorganens</w:t>
            </w:r>
            <w:proofErr w:type="spellEnd"/>
            <w:r w:rsidRPr="00316577">
              <w:rPr>
                <w:sz w:val="20"/>
                <w:szCs w:val="20"/>
              </w:rPr>
              <w:t xml:space="preserve"> </w:t>
            </w:r>
            <w:proofErr w:type="spellStart"/>
            <w:r w:rsidRPr="00316577">
              <w:rPr>
                <w:sz w:val="20"/>
                <w:szCs w:val="20"/>
              </w:rPr>
              <w:t>sjukdomar</w:t>
            </w:r>
            <w:proofErr w:type="spellEnd"/>
            <w:r w:rsidRPr="00316577">
              <w:rPr>
                <w:sz w:val="20"/>
                <w:szCs w:val="20"/>
              </w:rPr>
              <w:t xml:space="preserve"> 2010 – </w:t>
            </w:r>
            <w:proofErr w:type="spellStart"/>
            <w:r w:rsidRPr="00316577">
              <w:rPr>
                <w:sz w:val="20"/>
                <w:szCs w:val="20"/>
              </w:rPr>
              <w:t>stöd</w:t>
            </w:r>
            <w:proofErr w:type="spellEnd"/>
            <w:r w:rsidRPr="00316577">
              <w:rPr>
                <w:sz w:val="20"/>
                <w:szCs w:val="20"/>
              </w:rPr>
              <w:t xml:space="preserve"> </w:t>
            </w:r>
            <w:proofErr w:type="spellStart"/>
            <w:r w:rsidRPr="00316577">
              <w:rPr>
                <w:sz w:val="20"/>
                <w:szCs w:val="20"/>
              </w:rPr>
              <w:t>för</w:t>
            </w:r>
            <w:proofErr w:type="spellEnd"/>
            <w:r w:rsidRPr="00316577">
              <w:rPr>
                <w:sz w:val="20"/>
                <w:szCs w:val="20"/>
              </w:rPr>
              <w:t xml:space="preserve"> </w:t>
            </w:r>
            <w:proofErr w:type="spellStart"/>
            <w:r w:rsidRPr="00316577">
              <w:rPr>
                <w:sz w:val="20"/>
                <w:szCs w:val="20"/>
              </w:rPr>
              <w:t>styrning</w:t>
            </w:r>
            <w:proofErr w:type="spellEnd"/>
            <w:r w:rsidRPr="00316577">
              <w:rPr>
                <w:sz w:val="20"/>
                <w:szCs w:val="20"/>
              </w:rPr>
              <w:t xml:space="preserve"> </w:t>
            </w:r>
            <w:proofErr w:type="spellStart"/>
            <w:r w:rsidRPr="00316577">
              <w:rPr>
                <w:sz w:val="20"/>
                <w:szCs w:val="20"/>
              </w:rPr>
              <w:t>och</w:t>
            </w:r>
            <w:proofErr w:type="spellEnd"/>
            <w:r w:rsidRPr="00316577">
              <w:rPr>
                <w:sz w:val="20"/>
                <w:szCs w:val="20"/>
              </w:rPr>
              <w:t xml:space="preserve"> </w:t>
            </w:r>
            <w:proofErr w:type="spellStart"/>
            <w:r w:rsidRPr="00316577">
              <w:rPr>
                <w:sz w:val="20"/>
                <w:szCs w:val="20"/>
              </w:rPr>
              <w:t>ledning</w:t>
            </w:r>
            <w:proofErr w:type="spellEnd"/>
            <w:r w:rsidRPr="00316577">
              <w:rPr>
                <w:sz w:val="20"/>
                <w:szCs w:val="20"/>
              </w:rPr>
              <w:t xml:space="preserve">. </w:t>
            </w:r>
            <w:proofErr w:type="spellStart"/>
            <w:r w:rsidRPr="00316577">
              <w:rPr>
                <w:sz w:val="20"/>
                <w:szCs w:val="20"/>
              </w:rPr>
              <w:t>Preliminär</w:t>
            </w:r>
            <w:proofErr w:type="spellEnd"/>
            <w:r w:rsidRPr="00316577">
              <w:rPr>
                <w:sz w:val="20"/>
                <w:szCs w:val="20"/>
              </w:rPr>
              <w:t xml:space="preserve"> version. </w:t>
            </w:r>
            <w:proofErr w:type="spellStart"/>
            <w:r w:rsidRPr="00316577">
              <w:rPr>
                <w:sz w:val="20"/>
                <w:szCs w:val="20"/>
              </w:rPr>
              <w:t>Artikelnr</w:t>
            </w:r>
            <w:proofErr w:type="spellEnd"/>
            <w:r w:rsidRPr="00316577">
              <w:rPr>
                <w:sz w:val="20"/>
                <w:szCs w:val="20"/>
              </w:rPr>
              <w:t xml:space="preserve"> 2010-11-15. Published at </w:t>
            </w:r>
            <w:hyperlink r:id="rId57" w:history="1">
              <w:r w:rsidRPr="00316577">
                <w:rPr>
                  <w:color w:val="0563C1" w:themeColor="hyperlink"/>
                  <w:u w:val="single"/>
                </w:rPr>
                <w:t>www.socialstyrelsen.se</w:t>
              </w:r>
            </w:hyperlink>
            <w:r w:rsidRPr="00316577">
              <w:rPr>
                <w:sz w:val="20"/>
                <w:szCs w:val="20"/>
              </w:rPr>
              <w:t xml:space="preserve"> Accessed 3 November 2015</w:t>
            </w:r>
          </w:p>
        </w:tc>
      </w:tr>
      <w:tr w:rsidR="00316577" w:rsidRPr="00316577" w14:paraId="4FB33C4C" w14:textId="77777777" w:rsidTr="00316577">
        <w:tc>
          <w:tcPr>
            <w:tcW w:w="704" w:type="dxa"/>
          </w:tcPr>
          <w:p w14:paraId="776EF6E8" w14:textId="77777777" w:rsidR="00316577" w:rsidRPr="00316577" w:rsidRDefault="00316577" w:rsidP="00316577">
            <w:pPr>
              <w:spacing w:before="240"/>
              <w:rPr>
                <w:sz w:val="20"/>
                <w:szCs w:val="20"/>
              </w:rPr>
            </w:pPr>
            <w:r w:rsidRPr="00316577">
              <w:rPr>
                <w:sz w:val="20"/>
                <w:szCs w:val="20"/>
              </w:rPr>
              <w:t>69.</w:t>
            </w:r>
          </w:p>
        </w:tc>
        <w:tc>
          <w:tcPr>
            <w:tcW w:w="7745" w:type="dxa"/>
          </w:tcPr>
          <w:p w14:paraId="77032BC6" w14:textId="77777777" w:rsidR="00316577" w:rsidRPr="00316577" w:rsidRDefault="00316577" w:rsidP="00316577">
            <w:pPr>
              <w:spacing w:before="240"/>
              <w:rPr>
                <w:sz w:val="20"/>
                <w:szCs w:val="20"/>
              </w:rPr>
            </w:pPr>
            <w:proofErr w:type="spellStart"/>
            <w:r w:rsidRPr="00316577">
              <w:rPr>
                <w:sz w:val="20"/>
                <w:szCs w:val="20"/>
              </w:rPr>
              <w:t>Mazokopakis</w:t>
            </w:r>
            <w:proofErr w:type="spellEnd"/>
            <w:r w:rsidRPr="00316577">
              <w:rPr>
                <w:sz w:val="20"/>
                <w:szCs w:val="20"/>
              </w:rPr>
              <w:t xml:space="preserve"> EE, </w:t>
            </w:r>
            <w:proofErr w:type="spellStart"/>
            <w:r w:rsidRPr="00316577">
              <w:rPr>
                <w:sz w:val="20"/>
                <w:szCs w:val="20"/>
              </w:rPr>
              <w:t>Starakis</w:t>
            </w:r>
            <w:proofErr w:type="spellEnd"/>
            <w:r w:rsidRPr="00316577">
              <w:rPr>
                <w:sz w:val="20"/>
                <w:szCs w:val="20"/>
              </w:rPr>
              <w:t xml:space="preserve"> IK (2011) Recommendations for Diagnosis and Management of Osteoporosis in COPD Men. ISRN </w:t>
            </w:r>
            <w:proofErr w:type="spellStart"/>
            <w:r w:rsidRPr="00316577">
              <w:rPr>
                <w:sz w:val="20"/>
                <w:szCs w:val="20"/>
              </w:rPr>
              <w:t>Rheumatol</w:t>
            </w:r>
            <w:proofErr w:type="spellEnd"/>
            <w:r w:rsidRPr="00316577">
              <w:rPr>
                <w:sz w:val="20"/>
                <w:szCs w:val="20"/>
              </w:rPr>
              <w:t>.</w:t>
            </w:r>
            <w:r w:rsidRPr="00316577">
              <w:rPr>
                <w:rFonts w:cs="Arial"/>
                <w:color w:val="000000"/>
                <w:sz w:val="20"/>
                <w:szCs w:val="20"/>
                <w:shd w:val="clear" w:color="auto" w:fill="FFFFFF"/>
              </w:rPr>
              <w:t xml:space="preserve"> 2011:901416. </w:t>
            </w:r>
            <w:proofErr w:type="spellStart"/>
            <w:r w:rsidRPr="00316577">
              <w:rPr>
                <w:rFonts w:cs="Arial"/>
                <w:color w:val="000000"/>
                <w:sz w:val="20"/>
                <w:szCs w:val="20"/>
                <w:shd w:val="clear" w:color="auto" w:fill="FFFFFF"/>
              </w:rPr>
              <w:t>doi</w:t>
            </w:r>
            <w:proofErr w:type="spellEnd"/>
            <w:r w:rsidRPr="00316577">
              <w:rPr>
                <w:rFonts w:cs="Arial"/>
                <w:color w:val="000000"/>
                <w:sz w:val="20"/>
                <w:szCs w:val="20"/>
                <w:shd w:val="clear" w:color="auto" w:fill="FFFFFF"/>
              </w:rPr>
              <w:t xml:space="preserve">: 10.5402/2011/901416. </w:t>
            </w:r>
            <w:proofErr w:type="spellStart"/>
            <w:r w:rsidRPr="00316577">
              <w:rPr>
                <w:rFonts w:cs="Arial"/>
                <w:color w:val="000000"/>
                <w:sz w:val="20"/>
                <w:szCs w:val="20"/>
                <w:shd w:val="clear" w:color="auto" w:fill="FFFFFF"/>
              </w:rPr>
              <w:t>Epub</w:t>
            </w:r>
            <w:proofErr w:type="spellEnd"/>
            <w:r w:rsidRPr="00316577">
              <w:rPr>
                <w:rFonts w:cs="Arial"/>
                <w:color w:val="000000"/>
                <w:sz w:val="20"/>
                <w:szCs w:val="20"/>
                <w:shd w:val="clear" w:color="auto" w:fill="FFFFFF"/>
              </w:rPr>
              <w:t xml:space="preserve"> 2011 Aug 10.</w:t>
            </w:r>
          </w:p>
        </w:tc>
      </w:tr>
      <w:tr w:rsidR="00316577" w:rsidRPr="00316577" w14:paraId="5DA6A501" w14:textId="77777777" w:rsidTr="00316577">
        <w:tc>
          <w:tcPr>
            <w:tcW w:w="704" w:type="dxa"/>
          </w:tcPr>
          <w:p w14:paraId="2A1D02B5" w14:textId="77777777" w:rsidR="00316577" w:rsidRPr="00316577" w:rsidRDefault="00316577" w:rsidP="00316577">
            <w:pPr>
              <w:spacing w:before="240"/>
              <w:rPr>
                <w:sz w:val="20"/>
                <w:szCs w:val="20"/>
              </w:rPr>
            </w:pPr>
            <w:r w:rsidRPr="00316577">
              <w:rPr>
                <w:sz w:val="20"/>
                <w:szCs w:val="20"/>
              </w:rPr>
              <w:t>70.</w:t>
            </w:r>
          </w:p>
        </w:tc>
        <w:tc>
          <w:tcPr>
            <w:tcW w:w="7745" w:type="dxa"/>
          </w:tcPr>
          <w:p w14:paraId="35FD9E17" w14:textId="77777777" w:rsidR="00316577" w:rsidRPr="00316577" w:rsidRDefault="00316577" w:rsidP="00316577">
            <w:pPr>
              <w:spacing w:before="240"/>
              <w:rPr>
                <w:sz w:val="20"/>
                <w:szCs w:val="20"/>
              </w:rPr>
            </w:pPr>
            <w:proofErr w:type="spellStart"/>
            <w:r w:rsidRPr="00316577">
              <w:rPr>
                <w:sz w:val="20"/>
                <w:szCs w:val="20"/>
              </w:rPr>
              <w:t>Arznei</w:t>
            </w:r>
            <w:proofErr w:type="spellEnd"/>
            <w:r w:rsidRPr="00316577">
              <w:rPr>
                <w:sz w:val="20"/>
                <w:szCs w:val="20"/>
              </w:rPr>
              <w:t xml:space="preserve"> &amp; </w:t>
            </w:r>
            <w:proofErr w:type="spellStart"/>
            <w:r w:rsidRPr="00316577">
              <w:rPr>
                <w:sz w:val="20"/>
                <w:szCs w:val="20"/>
              </w:rPr>
              <w:t>Vernunft</w:t>
            </w:r>
            <w:proofErr w:type="spellEnd"/>
            <w:r w:rsidRPr="00316577">
              <w:rPr>
                <w:sz w:val="20"/>
                <w:szCs w:val="20"/>
              </w:rPr>
              <w:t xml:space="preserve"> (2010) </w:t>
            </w:r>
            <w:proofErr w:type="spellStart"/>
            <w:r w:rsidRPr="00316577">
              <w:rPr>
                <w:sz w:val="20"/>
                <w:szCs w:val="20"/>
              </w:rPr>
              <w:t>Osteoporose</w:t>
            </w:r>
            <w:proofErr w:type="spellEnd"/>
            <w:r w:rsidRPr="00316577">
              <w:rPr>
                <w:sz w:val="20"/>
                <w:szCs w:val="20"/>
              </w:rPr>
              <w:t xml:space="preserve">. </w:t>
            </w:r>
            <w:proofErr w:type="spellStart"/>
            <w:r w:rsidRPr="00316577">
              <w:rPr>
                <w:sz w:val="20"/>
                <w:szCs w:val="20"/>
              </w:rPr>
              <w:t>Knochenbruch</w:t>
            </w:r>
            <w:proofErr w:type="spellEnd"/>
            <w:r w:rsidRPr="00316577">
              <w:rPr>
                <w:sz w:val="20"/>
                <w:szCs w:val="20"/>
              </w:rPr>
              <w:t xml:space="preserve">- </w:t>
            </w:r>
            <w:proofErr w:type="spellStart"/>
            <w:r w:rsidRPr="00316577">
              <w:rPr>
                <w:sz w:val="20"/>
                <w:szCs w:val="20"/>
              </w:rPr>
              <w:t>Krankheit</w:t>
            </w:r>
            <w:proofErr w:type="spellEnd"/>
            <w:r w:rsidRPr="00316577">
              <w:rPr>
                <w:sz w:val="20"/>
                <w:szCs w:val="20"/>
              </w:rPr>
              <w:t xml:space="preserve">. </w:t>
            </w:r>
            <w:proofErr w:type="spellStart"/>
            <w:r w:rsidRPr="00316577">
              <w:rPr>
                <w:sz w:val="20"/>
                <w:szCs w:val="20"/>
              </w:rPr>
              <w:t>Pharmig</w:t>
            </w:r>
            <w:proofErr w:type="spellEnd"/>
            <w:r w:rsidRPr="00316577">
              <w:rPr>
                <w:sz w:val="20"/>
                <w:szCs w:val="20"/>
              </w:rPr>
              <w:t xml:space="preserve">, </w:t>
            </w:r>
            <w:proofErr w:type="spellStart"/>
            <w:r w:rsidRPr="00316577">
              <w:rPr>
                <w:sz w:val="20"/>
                <w:szCs w:val="20"/>
              </w:rPr>
              <w:t>Verband</w:t>
            </w:r>
            <w:proofErr w:type="spellEnd"/>
            <w:r w:rsidRPr="00316577">
              <w:rPr>
                <w:sz w:val="20"/>
                <w:szCs w:val="20"/>
              </w:rPr>
              <w:t xml:space="preserve"> der </w:t>
            </w:r>
            <w:proofErr w:type="spellStart"/>
            <w:r w:rsidRPr="00316577">
              <w:rPr>
                <w:sz w:val="20"/>
                <w:szCs w:val="20"/>
              </w:rPr>
              <w:t>pharmazeutischen</w:t>
            </w:r>
            <w:proofErr w:type="spellEnd"/>
            <w:r w:rsidRPr="00316577">
              <w:rPr>
                <w:sz w:val="20"/>
                <w:szCs w:val="20"/>
              </w:rPr>
              <w:t xml:space="preserve"> </w:t>
            </w:r>
            <w:proofErr w:type="spellStart"/>
            <w:r w:rsidRPr="00316577">
              <w:rPr>
                <w:sz w:val="20"/>
                <w:szCs w:val="20"/>
              </w:rPr>
              <w:t>Industrie</w:t>
            </w:r>
            <w:proofErr w:type="spellEnd"/>
            <w:r w:rsidRPr="00316577">
              <w:rPr>
                <w:sz w:val="20"/>
                <w:szCs w:val="20"/>
              </w:rPr>
              <w:t xml:space="preserve"> </w:t>
            </w:r>
            <w:proofErr w:type="spellStart"/>
            <w:r w:rsidRPr="00316577">
              <w:rPr>
                <w:sz w:val="20"/>
                <w:szCs w:val="20"/>
              </w:rPr>
              <w:t>Österreichs</w:t>
            </w:r>
            <w:proofErr w:type="spellEnd"/>
          </w:p>
        </w:tc>
      </w:tr>
      <w:tr w:rsidR="00316577" w:rsidRPr="00316577" w14:paraId="5864A2E3" w14:textId="77777777" w:rsidTr="00316577">
        <w:tc>
          <w:tcPr>
            <w:tcW w:w="704" w:type="dxa"/>
          </w:tcPr>
          <w:p w14:paraId="5D151099" w14:textId="77777777" w:rsidR="00316577" w:rsidRPr="00316577" w:rsidRDefault="00316577" w:rsidP="00316577">
            <w:pPr>
              <w:spacing w:before="240"/>
              <w:rPr>
                <w:sz w:val="20"/>
                <w:szCs w:val="20"/>
              </w:rPr>
            </w:pPr>
            <w:r w:rsidRPr="00316577">
              <w:rPr>
                <w:sz w:val="20"/>
                <w:szCs w:val="20"/>
              </w:rPr>
              <w:t>71.</w:t>
            </w:r>
          </w:p>
        </w:tc>
        <w:tc>
          <w:tcPr>
            <w:tcW w:w="7745" w:type="dxa"/>
          </w:tcPr>
          <w:p w14:paraId="0C2A9361" w14:textId="77777777" w:rsidR="00316577" w:rsidRPr="00316577" w:rsidRDefault="00316577" w:rsidP="00316577">
            <w:pPr>
              <w:spacing w:before="240"/>
              <w:rPr>
                <w:sz w:val="20"/>
                <w:szCs w:val="20"/>
              </w:rPr>
            </w:pPr>
            <w:r w:rsidRPr="00316577">
              <w:rPr>
                <w:sz w:val="20"/>
                <w:szCs w:val="20"/>
              </w:rPr>
              <w:t xml:space="preserve">Body J-J (2012) Aromatase inhibitors-induced bone loss in early breast cancer. </w:t>
            </w:r>
            <w:proofErr w:type="spellStart"/>
            <w:r w:rsidRPr="00316577">
              <w:rPr>
                <w:sz w:val="20"/>
                <w:szCs w:val="20"/>
              </w:rPr>
              <w:t>BoneKEy</w:t>
            </w:r>
            <w:proofErr w:type="spellEnd"/>
            <w:r w:rsidRPr="00316577">
              <w:rPr>
                <w:sz w:val="20"/>
                <w:szCs w:val="20"/>
              </w:rPr>
              <w:t xml:space="preserve"> reports 1: 201.</w:t>
            </w:r>
            <w:r w:rsidRPr="00316577">
              <w:rPr>
                <w:rFonts w:ascii="HelveticaNeue-Roman" w:hAnsi="HelveticaNeue-Roman" w:cs="HelveticaNeue-Roman"/>
                <w:sz w:val="16"/>
                <w:szCs w:val="16"/>
              </w:rPr>
              <w:t xml:space="preserve"> </w:t>
            </w:r>
            <w:r w:rsidRPr="00316577">
              <w:rPr>
                <w:sz w:val="20"/>
                <w:szCs w:val="20"/>
              </w:rPr>
              <w:t>doi:10.1038/bonekey.2012.201</w:t>
            </w:r>
          </w:p>
        </w:tc>
      </w:tr>
      <w:tr w:rsidR="00316577" w:rsidRPr="00316577" w14:paraId="0F98F3F2" w14:textId="77777777" w:rsidTr="00316577">
        <w:tc>
          <w:tcPr>
            <w:tcW w:w="704" w:type="dxa"/>
          </w:tcPr>
          <w:p w14:paraId="27C9D694" w14:textId="77777777" w:rsidR="00316577" w:rsidRPr="00316577" w:rsidRDefault="00316577" w:rsidP="00316577">
            <w:pPr>
              <w:autoSpaceDE w:val="0"/>
              <w:autoSpaceDN w:val="0"/>
              <w:adjustRightInd w:val="0"/>
              <w:spacing w:before="240"/>
              <w:rPr>
                <w:sz w:val="20"/>
                <w:szCs w:val="20"/>
              </w:rPr>
            </w:pPr>
            <w:r w:rsidRPr="00316577">
              <w:rPr>
                <w:sz w:val="20"/>
                <w:szCs w:val="20"/>
              </w:rPr>
              <w:t>72.</w:t>
            </w:r>
          </w:p>
        </w:tc>
        <w:tc>
          <w:tcPr>
            <w:tcW w:w="7745" w:type="dxa"/>
          </w:tcPr>
          <w:p w14:paraId="0539A5C4" w14:textId="77777777" w:rsidR="00316577" w:rsidRPr="00316577" w:rsidRDefault="00316577" w:rsidP="00316577">
            <w:pPr>
              <w:autoSpaceDE w:val="0"/>
              <w:autoSpaceDN w:val="0"/>
              <w:adjustRightInd w:val="0"/>
              <w:spacing w:before="240"/>
              <w:rPr>
                <w:sz w:val="20"/>
                <w:szCs w:val="20"/>
              </w:rPr>
            </w:pPr>
            <w:r w:rsidRPr="00316577">
              <w:rPr>
                <w:sz w:val="20"/>
                <w:szCs w:val="20"/>
              </w:rPr>
              <w:t xml:space="preserve">Florence R, Allen S, Benedict L et al (2013) Diagnosis and treatment of osteoporosis. Bloomington (MN): Institute for Clinical Systems Improvement (ICSI); </w:t>
            </w:r>
            <w:hyperlink r:id="rId58" w:history="1">
              <w:r w:rsidRPr="00316577">
                <w:rPr>
                  <w:color w:val="0563C1" w:themeColor="hyperlink"/>
                  <w:sz w:val="20"/>
                  <w:szCs w:val="20"/>
                  <w:u w:val="single"/>
                </w:rPr>
                <w:t>https://www.icsi.org/guidelines__more/catalog_guidelines_and_more/catalog_guidelines/catalog_musculoskeletal_guidelines/osteoporosis/</w:t>
              </w:r>
            </w:hyperlink>
            <w:r w:rsidRPr="00316577">
              <w:rPr>
                <w:sz w:val="20"/>
                <w:szCs w:val="20"/>
              </w:rPr>
              <w:t xml:space="preserve"> Accessed 1 November 2015</w:t>
            </w:r>
          </w:p>
        </w:tc>
      </w:tr>
      <w:tr w:rsidR="00316577" w:rsidRPr="00316577" w14:paraId="2ADA737F" w14:textId="77777777" w:rsidTr="00316577">
        <w:tc>
          <w:tcPr>
            <w:tcW w:w="704" w:type="dxa"/>
          </w:tcPr>
          <w:p w14:paraId="79D3570A" w14:textId="77777777" w:rsidR="00316577" w:rsidRPr="00316577" w:rsidRDefault="00316577" w:rsidP="00316577">
            <w:pPr>
              <w:spacing w:before="240"/>
              <w:rPr>
                <w:sz w:val="20"/>
                <w:szCs w:val="20"/>
              </w:rPr>
            </w:pPr>
            <w:r w:rsidRPr="00316577">
              <w:rPr>
                <w:sz w:val="20"/>
                <w:szCs w:val="20"/>
              </w:rPr>
              <w:t>73.</w:t>
            </w:r>
          </w:p>
        </w:tc>
        <w:tc>
          <w:tcPr>
            <w:tcW w:w="7745" w:type="dxa"/>
          </w:tcPr>
          <w:p w14:paraId="3BBF0974" w14:textId="77777777" w:rsidR="00316577" w:rsidRPr="00316577" w:rsidRDefault="00316577" w:rsidP="00316577">
            <w:pPr>
              <w:spacing w:before="240"/>
              <w:rPr>
                <w:sz w:val="20"/>
                <w:szCs w:val="20"/>
              </w:rPr>
            </w:pPr>
            <w:r w:rsidRPr="00316577">
              <w:rPr>
                <w:sz w:val="20"/>
                <w:szCs w:val="20"/>
              </w:rPr>
              <w:t>British Columbia Medical Association (2012) Osteoporosis: Diagnosis, Treatment and Fracture Prevention. British Columbia Medical Association and British Columbia Ministry of health.</w:t>
            </w:r>
          </w:p>
        </w:tc>
      </w:tr>
      <w:tr w:rsidR="00316577" w:rsidRPr="00316577" w14:paraId="226E7402" w14:textId="77777777" w:rsidTr="00316577">
        <w:tc>
          <w:tcPr>
            <w:tcW w:w="704" w:type="dxa"/>
          </w:tcPr>
          <w:p w14:paraId="198D8623" w14:textId="77777777" w:rsidR="00316577" w:rsidRPr="00316577" w:rsidRDefault="00316577" w:rsidP="00316577">
            <w:pPr>
              <w:spacing w:before="240"/>
              <w:rPr>
                <w:sz w:val="20"/>
                <w:szCs w:val="20"/>
              </w:rPr>
            </w:pPr>
            <w:r w:rsidRPr="00316577">
              <w:rPr>
                <w:sz w:val="20"/>
                <w:szCs w:val="20"/>
              </w:rPr>
              <w:t>74.</w:t>
            </w:r>
          </w:p>
        </w:tc>
        <w:tc>
          <w:tcPr>
            <w:tcW w:w="7745" w:type="dxa"/>
          </w:tcPr>
          <w:p w14:paraId="655FACA0" w14:textId="77777777" w:rsidR="00316577" w:rsidRPr="00316577" w:rsidRDefault="00316577" w:rsidP="00316577">
            <w:pPr>
              <w:spacing w:before="240"/>
              <w:rPr>
                <w:sz w:val="20"/>
                <w:szCs w:val="20"/>
              </w:rPr>
            </w:pPr>
            <w:r w:rsidRPr="00316577">
              <w:rPr>
                <w:sz w:val="20"/>
                <w:szCs w:val="20"/>
              </w:rPr>
              <w:t xml:space="preserve">Khan A, Fortier M (2014) Osteoporosis in menopause. J </w:t>
            </w:r>
            <w:proofErr w:type="spellStart"/>
            <w:r w:rsidRPr="00316577">
              <w:rPr>
                <w:sz w:val="20"/>
                <w:szCs w:val="20"/>
              </w:rPr>
              <w:t>Obstet</w:t>
            </w:r>
            <w:proofErr w:type="spellEnd"/>
            <w:r w:rsidRPr="00316577">
              <w:rPr>
                <w:sz w:val="20"/>
                <w:szCs w:val="20"/>
              </w:rPr>
              <w:t xml:space="preserve"> </w:t>
            </w:r>
            <w:proofErr w:type="spellStart"/>
            <w:r w:rsidRPr="00316577">
              <w:rPr>
                <w:sz w:val="20"/>
                <w:szCs w:val="20"/>
              </w:rPr>
              <w:t>Gynaecol</w:t>
            </w:r>
            <w:proofErr w:type="spellEnd"/>
            <w:r w:rsidRPr="00316577">
              <w:rPr>
                <w:sz w:val="20"/>
                <w:szCs w:val="20"/>
              </w:rPr>
              <w:t xml:space="preserve"> Can 36 (9 </w:t>
            </w:r>
            <w:proofErr w:type="spellStart"/>
            <w:r w:rsidRPr="00316577">
              <w:rPr>
                <w:sz w:val="20"/>
                <w:szCs w:val="20"/>
              </w:rPr>
              <w:t>eSuppl</w:t>
            </w:r>
            <w:proofErr w:type="spellEnd"/>
            <w:r w:rsidRPr="00316577">
              <w:rPr>
                <w:sz w:val="20"/>
                <w:szCs w:val="20"/>
              </w:rPr>
              <w:t xml:space="preserve"> C):S1-S15</w:t>
            </w:r>
          </w:p>
        </w:tc>
      </w:tr>
      <w:tr w:rsidR="00316577" w:rsidRPr="00316577" w14:paraId="5FC574F5" w14:textId="77777777" w:rsidTr="00316577">
        <w:tc>
          <w:tcPr>
            <w:tcW w:w="704" w:type="dxa"/>
          </w:tcPr>
          <w:p w14:paraId="02652A33" w14:textId="77777777" w:rsidR="00316577" w:rsidRPr="00316577" w:rsidRDefault="00316577" w:rsidP="00316577">
            <w:pPr>
              <w:spacing w:before="240"/>
              <w:rPr>
                <w:sz w:val="20"/>
                <w:szCs w:val="20"/>
              </w:rPr>
            </w:pPr>
            <w:r w:rsidRPr="00316577">
              <w:rPr>
                <w:sz w:val="20"/>
                <w:szCs w:val="20"/>
              </w:rPr>
              <w:t>75.</w:t>
            </w:r>
          </w:p>
        </w:tc>
        <w:tc>
          <w:tcPr>
            <w:tcW w:w="7745" w:type="dxa"/>
          </w:tcPr>
          <w:p w14:paraId="7E10A637" w14:textId="77777777" w:rsidR="00316577" w:rsidRPr="00316577" w:rsidRDefault="00316577" w:rsidP="00316577">
            <w:pPr>
              <w:spacing w:before="240"/>
              <w:rPr>
                <w:sz w:val="20"/>
                <w:szCs w:val="20"/>
              </w:rPr>
            </w:pPr>
            <w:r w:rsidRPr="00316577">
              <w:rPr>
                <w:sz w:val="20"/>
                <w:szCs w:val="20"/>
              </w:rPr>
              <w:t xml:space="preserve">Zhang Z, </w:t>
            </w:r>
            <w:proofErr w:type="spellStart"/>
            <w:r w:rsidRPr="00316577">
              <w:rPr>
                <w:sz w:val="20"/>
                <w:szCs w:val="20"/>
              </w:rPr>
              <w:t>Ou</w:t>
            </w:r>
            <w:proofErr w:type="spellEnd"/>
            <w:r w:rsidRPr="00316577">
              <w:rPr>
                <w:sz w:val="20"/>
                <w:szCs w:val="20"/>
              </w:rPr>
              <w:t xml:space="preserve"> Y, Sheng Z, Liao E (2014) How to decide intervention thresholds based on FRAX in central south Chinese postmenopausal women. Endocrine 45: 195-7</w:t>
            </w:r>
          </w:p>
        </w:tc>
      </w:tr>
      <w:tr w:rsidR="00316577" w:rsidRPr="00316577" w14:paraId="09528E19" w14:textId="77777777" w:rsidTr="00316577">
        <w:tc>
          <w:tcPr>
            <w:tcW w:w="704" w:type="dxa"/>
          </w:tcPr>
          <w:p w14:paraId="3524B7D7" w14:textId="77777777" w:rsidR="00316577" w:rsidRPr="00316577" w:rsidRDefault="00316577" w:rsidP="00316577">
            <w:pPr>
              <w:spacing w:before="240"/>
              <w:rPr>
                <w:sz w:val="20"/>
                <w:szCs w:val="20"/>
              </w:rPr>
            </w:pPr>
            <w:r w:rsidRPr="00316577">
              <w:rPr>
                <w:sz w:val="20"/>
                <w:szCs w:val="20"/>
              </w:rPr>
              <w:t>76.</w:t>
            </w:r>
          </w:p>
        </w:tc>
        <w:tc>
          <w:tcPr>
            <w:tcW w:w="7745" w:type="dxa"/>
          </w:tcPr>
          <w:p w14:paraId="5CAD8EF7" w14:textId="77777777" w:rsidR="00316577" w:rsidRPr="00316577" w:rsidRDefault="00316577" w:rsidP="00316577">
            <w:pPr>
              <w:spacing w:before="240"/>
              <w:rPr>
                <w:sz w:val="20"/>
                <w:szCs w:val="20"/>
              </w:rPr>
            </w:pPr>
            <w:proofErr w:type="spellStart"/>
            <w:r w:rsidRPr="00316577">
              <w:rPr>
                <w:sz w:val="20"/>
                <w:szCs w:val="20"/>
              </w:rPr>
              <w:t>Stepan</w:t>
            </w:r>
            <w:proofErr w:type="spellEnd"/>
            <w:r w:rsidRPr="00316577">
              <w:rPr>
                <w:sz w:val="20"/>
                <w:szCs w:val="20"/>
              </w:rPr>
              <w:t xml:space="preserve"> J (2009) Algorithm of treatment of glucocorticoid induced osteoporosis--search for </w:t>
            </w:r>
            <w:r w:rsidRPr="00316577">
              <w:rPr>
                <w:sz w:val="20"/>
                <w:szCs w:val="20"/>
              </w:rPr>
              <w:lastRenderedPageBreak/>
              <w:t xml:space="preserve">criteria. </w:t>
            </w:r>
            <w:proofErr w:type="spellStart"/>
            <w:r w:rsidRPr="00316577">
              <w:rPr>
                <w:sz w:val="20"/>
                <w:szCs w:val="20"/>
              </w:rPr>
              <w:t>Vnitrni</w:t>
            </w:r>
            <w:proofErr w:type="spellEnd"/>
            <w:r w:rsidRPr="00316577">
              <w:rPr>
                <w:sz w:val="20"/>
                <w:szCs w:val="20"/>
              </w:rPr>
              <w:t xml:space="preserve"> </w:t>
            </w:r>
            <w:proofErr w:type="spellStart"/>
            <w:r w:rsidRPr="00316577">
              <w:rPr>
                <w:sz w:val="20"/>
                <w:szCs w:val="20"/>
              </w:rPr>
              <w:t>lekarstvi</w:t>
            </w:r>
            <w:proofErr w:type="spellEnd"/>
            <w:r w:rsidRPr="00316577">
              <w:rPr>
                <w:sz w:val="20"/>
                <w:szCs w:val="20"/>
              </w:rPr>
              <w:t xml:space="preserve"> 55:  448-54. </w:t>
            </w:r>
          </w:p>
        </w:tc>
      </w:tr>
      <w:tr w:rsidR="00316577" w:rsidRPr="00316577" w14:paraId="17F0753C" w14:textId="77777777" w:rsidTr="00316577">
        <w:tc>
          <w:tcPr>
            <w:tcW w:w="704" w:type="dxa"/>
          </w:tcPr>
          <w:p w14:paraId="3F220BEE" w14:textId="77777777" w:rsidR="00316577" w:rsidRPr="00316577" w:rsidRDefault="00316577" w:rsidP="00316577">
            <w:pPr>
              <w:spacing w:before="240"/>
              <w:rPr>
                <w:sz w:val="20"/>
                <w:szCs w:val="20"/>
              </w:rPr>
            </w:pPr>
            <w:r w:rsidRPr="00316577">
              <w:rPr>
                <w:sz w:val="20"/>
                <w:szCs w:val="20"/>
              </w:rPr>
              <w:lastRenderedPageBreak/>
              <w:t>77.</w:t>
            </w:r>
          </w:p>
        </w:tc>
        <w:tc>
          <w:tcPr>
            <w:tcW w:w="7745" w:type="dxa"/>
          </w:tcPr>
          <w:p w14:paraId="183081CE" w14:textId="77777777" w:rsidR="00316577" w:rsidRPr="00316577" w:rsidRDefault="00316577" w:rsidP="00316577">
            <w:pPr>
              <w:spacing w:before="240"/>
              <w:rPr>
                <w:sz w:val="20"/>
                <w:szCs w:val="20"/>
              </w:rPr>
            </w:pPr>
            <w:r w:rsidRPr="00316577">
              <w:rPr>
                <w:sz w:val="20"/>
                <w:szCs w:val="20"/>
              </w:rPr>
              <w:t xml:space="preserve">Rizzoli R, Body JJ, </w:t>
            </w:r>
            <w:proofErr w:type="spellStart"/>
            <w:r w:rsidRPr="00316577">
              <w:rPr>
                <w:sz w:val="20"/>
                <w:szCs w:val="20"/>
              </w:rPr>
              <w:t>DeCensi</w:t>
            </w:r>
            <w:proofErr w:type="spellEnd"/>
            <w:r w:rsidRPr="00316577">
              <w:rPr>
                <w:sz w:val="20"/>
                <w:szCs w:val="20"/>
              </w:rPr>
              <w:t xml:space="preserve"> A, Reginster JY, </w:t>
            </w:r>
            <w:proofErr w:type="spellStart"/>
            <w:r w:rsidRPr="00316577">
              <w:rPr>
                <w:sz w:val="20"/>
                <w:szCs w:val="20"/>
              </w:rPr>
              <w:t>Piscitelli</w:t>
            </w:r>
            <w:proofErr w:type="spellEnd"/>
            <w:r w:rsidRPr="00316577">
              <w:rPr>
                <w:sz w:val="20"/>
                <w:szCs w:val="20"/>
              </w:rPr>
              <w:t xml:space="preserve"> P, Brandi ML (2012) Guidance for the prevention of bone loss and fractures in postmenopausal women treated with aromatase inhibitors for breast cancer: an ESCEO position paper. Osteoporos </w:t>
            </w:r>
            <w:proofErr w:type="spellStart"/>
            <w:r w:rsidRPr="00316577">
              <w:rPr>
                <w:sz w:val="20"/>
                <w:szCs w:val="20"/>
              </w:rPr>
              <w:t>Int</w:t>
            </w:r>
            <w:proofErr w:type="spellEnd"/>
            <w:r w:rsidRPr="00316577">
              <w:rPr>
                <w:sz w:val="20"/>
                <w:szCs w:val="20"/>
              </w:rPr>
              <w:t xml:space="preserve"> 23: 2567-76. and erratum Osteoporos </w:t>
            </w:r>
            <w:proofErr w:type="spellStart"/>
            <w:r w:rsidRPr="00316577">
              <w:rPr>
                <w:sz w:val="20"/>
                <w:szCs w:val="20"/>
              </w:rPr>
              <w:t>Int</w:t>
            </w:r>
            <w:proofErr w:type="spellEnd"/>
            <w:r w:rsidRPr="00316577">
              <w:rPr>
                <w:sz w:val="20"/>
                <w:szCs w:val="20"/>
              </w:rPr>
              <w:t xml:space="preserve"> 23: 2577</w:t>
            </w:r>
          </w:p>
        </w:tc>
      </w:tr>
      <w:tr w:rsidR="00316577" w:rsidRPr="00316577" w14:paraId="2852A82F" w14:textId="77777777" w:rsidTr="00316577">
        <w:tc>
          <w:tcPr>
            <w:tcW w:w="704" w:type="dxa"/>
          </w:tcPr>
          <w:p w14:paraId="7ECE3784" w14:textId="77777777" w:rsidR="00316577" w:rsidRPr="00316577" w:rsidRDefault="00316577" w:rsidP="00316577">
            <w:pPr>
              <w:spacing w:before="240"/>
              <w:rPr>
                <w:sz w:val="20"/>
                <w:szCs w:val="20"/>
              </w:rPr>
            </w:pPr>
            <w:r w:rsidRPr="00316577">
              <w:rPr>
                <w:sz w:val="20"/>
                <w:szCs w:val="20"/>
              </w:rPr>
              <w:t>78.</w:t>
            </w:r>
          </w:p>
        </w:tc>
        <w:tc>
          <w:tcPr>
            <w:tcW w:w="7745" w:type="dxa"/>
          </w:tcPr>
          <w:p w14:paraId="4834B00C" w14:textId="77777777" w:rsidR="00316577" w:rsidRPr="00316577" w:rsidRDefault="00316577" w:rsidP="00316577">
            <w:pPr>
              <w:spacing w:before="240"/>
              <w:rPr>
                <w:sz w:val="20"/>
                <w:szCs w:val="20"/>
              </w:rPr>
            </w:pPr>
            <w:proofErr w:type="spellStart"/>
            <w:r w:rsidRPr="00316577">
              <w:rPr>
                <w:sz w:val="20"/>
                <w:szCs w:val="20"/>
              </w:rPr>
              <w:t>Koski</w:t>
            </w:r>
            <w:proofErr w:type="spellEnd"/>
            <w:r w:rsidRPr="00316577">
              <w:rPr>
                <w:sz w:val="20"/>
                <w:szCs w:val="20"/>
              </w:rPr>
              <w:t xml:space="preserve"> AM (2013) </w:t>
            </w:r>
            <w:proofErr w:type="spellStart"/>
            <w:r w:rsidRPr="00316577">
              <w:rPr>
                <w:sz w:val="20"/>
                <w:szCs w:val="20"/>
              </w:rPr>
              <w:t>Glukokortikoidin</w:t>
            </w:r>
            <w:proofErr w:type="spellEnd"/>
            <w:r w:rsidRPr="00316577">
              <w:rPr>
                <w:sz w:val="20"/>
                <w:szCs w:val="20"/>
              </w:rPr>
              <w:t xml:space="preserve"> </w:t>
            </w:r>
            <w:proofErr w:type="spellStart"/>
            <w:r w:rsidRPr="00316577">
              <w:rPr>
                <w:sz w:val="20"/>
                <w:szCs w:val="20"/>
              </w:rPr>
              <w:t>aiheuttaman</w:t>
            </w:r>
            <w:proofErr w:type="spellEnd"/>
            <w:r w:rsidRPr="00316577">
              <w:rPr>
                <w:sz w:val="20"/>
                <w:szCs w:val="20"/>
              </w:rPr>
              <w:t xml:space="preserve"> </w:t>
            </w:r>
            <w:proofErr w:type="spellStart"/>
            <w:r w:rsidRPr="00316577">
              <w:rPr>
                <w:sz w:val="20"/>
                <w:szCs w:val="20"/>
              </w:rPr>
              <w:t>osteoporoosin</w:t>
            </w:r>
            <w:proofErr w:type="spellEnd"/>
            <w:r w:rsidRPr="00316577">
              <w:rPr>
                <w:sz w:val="20"/>
                <w:szCs w:val="20"/>
              </w:rPr>
              <w:t xml:space="preserve"> </w:t>
            </w:r>
            <w:proofErr w:type="spellStart"/>
            <w:r w:rsidRPr="00316577">
              <w:rPr>
                <w:sz w:val="20"/>
                <w:szCs w:val="20"/>
              </w:rPr>
              <w:t>hoitokaavio</w:t>
            </w:r>
            <w:proofErr w:type="spellEnd"/>
            <w:r w:rsidRPr="00316577">
              <w:rPr>
                <w:sz w:val="20"/>
                <w:szCs w:val="20"/>
              </w:rPr>
              <w:t xml:space="preserve">.          </w:t>
            </w:r>
            <w:hyperlink r:id="rId59" w:history="1">
              <w:r w:rsidRPr="00316577">
                <w:rPr>
                  <w:color w:val="0563C1" w:themeColor="hyperlink"/>
                  <w:sz w:val="20"/>
                  <w:szCs w:val="20"/>
                  <w:u w:val="single"/>
                </w:rPr>
                <w:t>http://www.kaypahoito.fi/web/kh/suositukset/suositus?id=ima02292</w:t>
              </w:r>
            </w:hyperlink>
            <w:r w:rsidRPr="00316577">
              <w:rPr>
                <w:sz w:val="20"/>
                <w:szCs w:val="20"/>
              </w:rPr>
              <w:t xml:space="preserve"> Accessed 4 November 2015</w:t>
            </w:r>
          </w:p>
        </w:tc>
      </w:tr>
      <w:tr w:rsidR="00316577" w:rsidRPr="00316577" w14:paraId="6CB63342" w14:textId="77777777" w:rsidTr="00316577">
        <w:tc>
          <w:tcPr>
            <w:tcW w:w="704" w:type="dxa"/>
          </w:tcPr>
          <w:p w14:paraId="060AD52A" w14:textId="77777777" w:rsidR="00316577" w:rsidRPr="00316577" w:rsidRDefault="00316577" w:rsidP="00316577">
            <w:pPr>
              <w:spacing w:before="240"/>
              <w:rPr>
                <w:sz w:val="20"/>
                <w:szCs w:val="20"/>
              </w:rPr>
            </w:pPr>
            <w:r w:rsidRPr="00316577">
              <w:rPr>
                <w:sz w:val="20"/>
                <w:szCs w:val="20"/>
              </w:rPr>
              <w:t>79.</w:t>
            </w:r>
          </w:p>
        </w:tc>
        <w:tc>
          <w:tcPr>
            <w:tcW w:w="7745" w:type="dxa"/>
          </w:tcPr>
          <w:p w14:paraId="68A067AC" w14:textId="77777777" w:rsidR="00316577" w:rsidRPr="00316577" w:rsidRDefault="00316577" w:rsidP="00316577">
            <w:pPr>
              <w:spacing w:before="240"/>
              <w:rPr>
                <w:sz w:val="20"/>
                <w:szCs w:val="20"/>
              </w:rPr>
            </w:pPr>
            <w:proofErr w:type="spellStart"/>
            <w:r w:rsidRPr="00316577">
              <w:rPr>
                <w:sz w:val="20"/>
                <w:szCs w:val="20"/>
              </w:rPr>
              <w:t>Makras</w:t>
            </w:r>
            <w:proofErr w:type="spellEnd"/>
            <w:r w:rsidRPr="00316577">
              <w:rPr>
                <w:sz w:val="20"/>
                <w:szCs w:val="20"/>
              </w:rPr>
              <w:t xml:space="preserve"> P, </w:t>
            </w:r>
            <w:proofErr w:type="spellStart"/>
            <w:r w:rsidRPr="00316577">
              <w:rPr>
                <w:sz w:val="20"/>
                <w:szCs w:val="20"/>
              </w:rPr>
              <w:t>Paiopoulos</w:t>
            </w:r>
            <w:proofErr w:type="spellEnd"/>
            <w:r w:rsidRPr="00316577">
              <w:rPr>
                <w:sz w:val="20"/>
                <w:szCs w:val="20"/>
              </w:rPr>
              <w:t xml:space="preserve"> G, Lyritis GP (2012) 2011 Guidelines for the Diagnosis and Treatment of Osteoporosis in Greece. J </w:t>
            </w:r>
            <w:proofErr w:type="spellStart"/>
            <w:r w:rsidRPr="00316577">
              <w:rPr>
                <w:sz w:val="20"/>
                <w:szCs w:val="20"/>
              </w:rPr>
              <w:t>Musculoskelet</w:t>
            </w:r>
            <w:proofErr w:type="spellEnd"/>
            <w:r w:rsidRPr="00316577">
              <w:rPr>
                <w:sz w:val="20"/>
                <w:szCs w:val="20"/>
              </w:rPr>
              <w:t xml:space="preserve"> Neuronal Interact 12 : 38-42</w:t>
            </w:r>
          </w:p>
        </w:tc>
      </w:tr>
      <w:tr w:rsidR="00316577" w:rsidRPr="00316577" w14:paraId="45E3282B" w14:textId="77777777" w:rsidTr="00316577">
        <w:tc>
          <w:tcPr>
            <w:tcW w:w="704" w:type="dxa"/>
          </w:tcPr>
          <w:p w14:paraId="24D95BE5" w14:textId="77777777" w:rsidR="00316577" w:rsidRPr="00316577" w:rsidRDefault="00316577" w:rsidP="00316577">
            <w:pPr>
              <w:spacing w:before="240"/>
              <w:rPr>
                <w:sz w:val="20"/>
                <w:szCs w:val="20"/>
              </w:rPr>
            </w:pPr>
            <w:r w:rsidRPr="00316577">
              <w:rPr>
                <w:sz w:val="20"/>
                <w:szCs w:val="20"/>
              </w:rPr>
              <w:t>80.</w:t>
            </w:r>
          </w:p>
        </w:tc>
        <w:tc>
          <w:tcPr>
            <w:tcW w:w="7745" w:type="dxa"/>
          </w:tcPr>
          <w:p w14:paraId="41A72FD7" w14:textId="77777777" w:rsidR="00316577" w:rsidRPr="00316577" w:rsidRDefault="00316577" w:rsidP="00316577">
            <w:pPr>
              <w:spacing w:before="240"/>
              <w:rPr>
                <w:sz w:val="20"/>
                <w:szCs w:val="20"/>
              </w:rPr>
            </w:pPr>
            <w:proofErr w:type="spellStart"/>
            <w:r w:rsidRPr="00316577">
              <w:rPr>
                <w:sz w:val="20"/>
                <w:szCs w:val="20"/>
              </w:rPr>
              <w:t>Makras</w:t>
            </w:r>
            <w:proofErr w:type="spellEnd"/>
            <w:r w:rsidRPr="00316577">
              <w:rPr>
                <w:sz w:val="20"/>
                <w:szCs w:val="20"/>
              </w:rPr>
              <w:t xml:space="preserve"> P, </w:t>
            </w:r>
            <w:proofErr w:type="spellStart"/>
            <w:r w:rsidRPr="00316577">
              <w:rPr>
                <w:sz w:val="20"/>
                <w:szCs w:val="20"/>
              </w:rPr>
              <w:t>Athanasakis</w:t>
            </w:r>
            <w:proofErr w:type="spellEnd"/>
            <w:r w:rsidRPr="00316577">
              <w:rPr>
                <w:sz w:val="20"/>
                <w:szCs w:val="20"/>
              </w:rPr>
              <w:t xml:space="preserve"> K, </w:t>
            </w:r>
            <w:proofErr w:type="spellStart"/>
            <w:r w:rsidRPr="00316577">
              <w:rPr>
                <w:sz w:val="20"/>
                <w:szCs w:val="20"/>
              </w:rPr>
              <w:t>Boubouchairopoulou</w:t>
            </w:r>
            <w:proofErr w:type="spellEnd"/>
            <w:r w:rsidRPr="00316577">
              <w:rPr>
                <w:sz w:val="20"/>
                <w:szCs w:val="20"/>
              </w:rPr>
              <w:t xml:space="preserve"> N et al (2015) Cost-effective osteoporosis treatment thresholds in Greece. Osteoporos </w:t>
            </w:r>
            <w:proofErr w:type="spellStart"/>
            <w:r w:rsidRPr="00316577">
              <w:rPr>
                <w:sz w:val="20"/>
                <w:szCs w:val="20"/>
              </w:rPr>
              <w:t>Int</w:t>
            </w:r>
            <w:proofErr w:type="spellEnd"/>
            <w:r w:rsidRPr="00316577">
              <w:rPr>
                <w:sz w:val="20"/>
                <w:szCs w:val="20"/>
              </w:rPr>
              <w:t xml:space="preserve"> 26: 1949-57.</w:t>
            </w:r>
          </w:p>
        </w:tc>
      </w:tr>
      <w:tr w:rsidR="00316577" w:rsidRPr="00316577" w14:paraId="01C17D0D" w14:textId="77777777" w:rsidTr="00316577">
        <w:tc>
          <w:tcPr>
            <w:tcW w:w="704" w:type="dxa"/>
          </w:tcPr>
          <w:p w14:paraId="3688C407" w14:textId="77777777" w:rsidR="00316577" w:rsidRPr="00316577" w:rsidRDefault="00316577" w:rsidP="00316577">
            <w:pPr>
              <w:spacing w:before="240"/>
              <w:rPr>
                <w:sz w:val="20"/>
                <w:szCs w:val="20"/>
              </w:rPr>
            </w:pPr>
            <w:r w:rsidRPr="00316577">
              <w:rPr>
                <w:sz w:val="20"/>
                <w:szCs w:val="20"/>
              </w:rPr>
              <w:t>81.</w:t>
            </w:r>
          </w:p>
        </w:tc>
        <w:tc>
          <w:tcPr>
            <w:tcW w:w="7745" w:type="dxa"/>
          </w:tcPr>
          <w:p w14:paraId="37D5022E" w14:textId="77777777" w:rsidR="00316577" w:rsidRPr="00316577" w:rsidRDefault="00316577" w:rsidP="00316577">
            <w:pPr>
              <w:spacing w:before="240"/>
              <w:rPr>
                <w:sz w:val="20"/>
                <w:szCs w:val="20"/>
              </w:rPr>
            </w:pPr>
            <w:r w:rsidRPr="00316577">
              <w:rPr>
                <w:sz w:val="20"/>
                <w:szCs w:val="20"/>
              </w:rPr>
              <w:t xml:space="preserve">Cheung E, Kung AWC, Tan KCB (2014) Outcomes of applying the NOF, NOGG and Taiwanese guidelines to a cohort of Chinese early postmenopausal women. </w:t>
            </w:r>
            <w:proofErr w:type="spellStart"/>
            <w:r w:rsidRPr="00316577">
              <w:rPr>
                <w:sz w:val="20"/>
                <w:szCs w:val="20"/>
              </w:rPr>
              <w:t>Clinl</w:t>
            </w:r>
            <w:proofErr w:type="spellEnd"/>
            <w:r w:rsidRPr="00316577">
              <w:rPr>
                <w:sz w:val="20"/>
                <w:szCs w:val="20"/>
              </w:rPr>
              <w:t xml:space="preserve"> </w:t>
            </w:r>
            <w:proofErr w:type="spellStart"/>
            <w:r w:rsidRPr="00316577">
              <w:rPr>
                <w:sz w:val="20"/>
                <w:szCs w:val="20"/>
              </w:rPr>
              <w:t>Endocrinol</w:t>
            </w:r>
            <w:proofErr w:type="spellEnd"/>
            <w:r w:rsidRPr="00316577">
              <w:rPr>
                <w:sz w:val="20"/>
                <w:szCs w:val="20"/>
              </w:rPr>
              <w:t xml:space="preserve">  80: 200-7.</w:t>
            </w:r>
          </w:p>
        </w:tc>
      </w:tr>
      <w:tr w:rsidR="00316577" w:rsidRPr="00316577" w14:paraId="433CA186" w14:textId="77777777" w:rsidTr="00316577">
        <w:tc>
          <w:tcPr>
            <w:tcW w:w="704" w:type="dxa"/>
          </w:tcPr>
          <w:p w14:paraId="76E70322" w14:textId="77777777" w:rsidR="00316577" w:rsidRPr="00316577" w:rsidRDefault="00316577" w:rsidP="00316577">
            <w:pPr>
              <w:spacing w:before="240"/>
              <w:rPr>
                <w:sz w:val="20"/>
                <w:szCs w:val="20"/>
              </w:rPr>
            </w:pPr>
            <w:r w:rsidRPr="00316577">
              <w:rPr>
                <w:sz w:val="20"/>
                <w:szCs w:val="20"/>
              </w:rPr>
              <w:t>82.</w:t>
            </w:r>
          </w:p>
        </w:tc>
        <w:tc>
          <w:tcPr>
            <w:tcW w:w="7745" w:type="dxa"/>
          </w:tcPr>
          <w:p w14:paraId="17701E07" w14:textId="77777777" w:rsidR="00316577" w:rsidRPr="00316577" w:rsidRDefault="00316577" w:rsidP="00316577">
            <w:pPr>
              <w:spacing w:before="240"/>
              <w:rPr>
                <w:sz w:val="20"/>
                <w:szCs w:val="20"/>
              </w:rPr>
            </w:pPr>
            <w:proofErr w:type="spellStart"/>
            <w:r w:rsidRPr="00316577">
              <w:rPr>
                <w:sz w:val="20"/>
                <w:szCs w:val="20"/>
              </w:rPr>
              <w:t>Lakatos</w:t>
            </w:r>
            <w:proofErr w:type="spellEnd"/>
            <w:r w:rsidRPr="00316577">
              <w:rPr>
                <w:sz w:val="20"/>
                <w:szCs w:val="20"/>
              </w:rPr>
              <w:t xml:space="preserve"> P, </w:t>
            </w:r>
            <w:proofErr w:type="spellStart"/>
            <w:r w:rsidRPr="00316577">
              <w:rPr>
                <w:sz w:val="20"/>
                <w:szCs w:val="20"/>
              </w:rPr>
              <w:t>Szekeres</w:t>
            </w:r>
            <w:proofErr w:type="spellEnd"/>
            <w:r w:rsidRPr="00316577">
              <w:rPr>
                <w:sz w:val="20"/>
                <w:szCs w:val="20"/>
              </w:rPr>
              <w:t xml:space="preserve"> L, </w:t>
            </w:r>
            <w:proofErr w:type="spellStart"/>
            <w:r w:rsidRPr="00316577">
              <w:rPr>
                <w:sz w:val="20"/>
                <w:szCs w:val="20"/>
              </w:rPr>
              <w:t>Takács</w:t>
            </w:r>
            <w:proofErr w:type="spellEnd"/>
            <w:r w:rsidRPr="00316577">
              <w:rPr>
                <w:sz w:val="20"/>
                <w:szCs w:val="20"/>
              </w:rPr>
              <w:t xml:space="preserve"> I, et al (2011) [Diagnostic and therapeutic guidelines for the age</w:t>
            </w:r>
            <w:r w:rsidRPr="00316577">
              <w:rPr>
                <w:sz w:val="20"/>
                <w:szCs w:val="20"/>
              </w:rPr>
              <w:noBreakHyphen/>
              <w:t>related and glucocorticoid</w:t>
            </w:r>
            <w:r w:rsidRPr="00316577">
              <w:rPr>
                <w:sz w:val="20"/>
                <w:szCs w:val="20"/>
              </w:rPr>
              <w:noBreakHyphen/>
              <w:t xml:space="preserve">induced osteoporosis –2011, Hungary]. Magyar </w:t>
            </w:r>
            <w:proofErr w:type="spellStart"/>
            <w:r w:rsidRPr="00316577">
              <w:rPr>
                <w:sz w:val="20"/>
                <w:szCs w:val="20"/>
              </w:rPr>
              <w:t>Reumatológia</w:t>
            </w:r>
            <w:proofErr w:type="spellEnd"/>
            <w:r w:rsidRPr="00316577">
              <w:rPr>
                <w:sz w:val="20"/>
                <w:szCs w:val="20"/>
              </w:rPr>
              <w:t xml:space="preserve">  1: 28-33. Hungarian.</w:t>
            </w:r>
          </w:p>
        </w:tc>
      </w:tr>
      <w:tr w:rsidR="00316577" w:rsidRPr="00316577" w14:paraId="544C9588" w14:textId="77777777" w:rsidTr="00316577">
        <w:tc>
          <w:tcPr>
            <w:tcW w:w="704" w:type="dxa"/>
          </w:tcPr>
          <w:p w14:paraId="080D6740" w14:textId="77777777" w:rsidR="00316577" w:rsidRPr="00316577" w:rsidRDefault="00316577" w:rsidP="00316577">
            <w:pPr>
              <w:spacing w:before="240"/>
              <w:rPr>
                <w:bCs/>
                <w:sz w:val="20"/>
                <w:szCs w:val="20"/>
              </w:rPr>
            </w:pPr>
            <w:r w:rsidRPr="00316577">
              <w:rPr>
                <w:bCs/>
                <w:sz w:val="20"/>
                <w:szCs w:val="20"/>
              </w:rPr>
              <w:t>83.</w:t>
            </w:r>
          </w:p>
        </w:tc>
        <w:tc>
          <w:tcPr>
            <w:tcW w:w="7745" w:type="dxa"/>
          </w:tcPr>
          <w:p w14:paraId="053EC65D" w14:textId="77777777" w:rsidR="00316577" w:rsidRPr="00316577" w:rsidRDefault="00316577" w:rsidP="00316577">
            <w:pPr>
              <w:spacing w:before="240"/>
              <w:rPr>
                <w:bCs/>
                <w:sz w:val="20"/>
                <w:szCs w:val="20"/>
              </w:rPr>
            </w:pPr>
            <w:proofErr w:type="spellStart"/>
            <w:r w:rsidRPr="00316577">
              <w:rPr>
                <w:bCs/>
                <w:sz w:val="20"/>
                <w:szCs w:val="20"/>
              </w:rPr>
              <w:t>Nakatoah</w:t>
            </w:r>
            <w:proofErr w:type="spellEnd"/>
            <w:r w:rsidRPr="00316577">
              <w:rPr>
                <w:bCs/>
                <w:sz w:val="20"/>
                <w:szCs w:val="20"/>
              </w:rPr>
              <w:t xml:space="preserve"> S, </w:t>
            </w:r>
            <w:proofErr w:type="spellStart"/>
            <w:r w:rsidRPr="00316577">
              <w:rPr>
                <w:bCs/>
                <w:sz w:val="20"/>
                <w:szCs w:val="20"/>
              </w:rPr>
              <w:t>Takemaru</w:t>
            </w:r>
            <w:proofErr w:type="spellEnd"/>
            <w:r w:rsidRPr="00316577">
              <w:rPr>
                <w:bCs/>
                <w:sz w:val="20"/>
                <w:szCs w:val="20"/>
              </w:rPr>
              <w:t xml:space="preserve"> Y (2013) Application of the fracture risk assessment tool (FRAX®) and determination of suitable cut-off values during primary screening I specific health check-ups in Japan. J Bone Miner </w:t>
            </w:r>
            <w:proofErr w:type="spellStart"/>
            <w:r w:rsidRPr="00316577">
              <w:rPr>
                <w:bCs/>
                <w:sz w:val="20"/>
                <w:szCs w:val="20"/>
              </w:rPr>
              <w:t>Metab</w:t>
            </w:r>
            <w:proofErr w:type="spellEnd"/>
            <w:r w:rsidRPr="00316577">
              <w:rPr>
                <w:bCs/>
                <w:sz w:val="20"/>
                <w:szCs w:val="20"/>
              </w:rPr>
              <w:t xml:space="preserve"> 31: 674-680</w:t>
            </w:r>
          </w:p>
        </w:tc>
      </w:tr>
      <w:tr w:rsidR="00316577" w:rsidRPr="00316577" w14:paraId="675F4577" w14:textId="77777777" w:rsidTr="00316577">
        <w:tc>
          <w:tcPr>
            <w:tcW w:w="704" w:type="dxa"/>
          </w:tcPr>
          <w:p w14:paraId="191161A5" w14:textId="77777777" w:rsidR="00316577" w:rsidRPr="00316577" w:rsidRDefault="00316577" w:rsidP="00316577">
            <w:pPr>
              <w:spacing w:before="240"/>
              <w:rPr>
                <w:sz w:val="20"/>
                <w:szCs w:val="20"/>
              </w:rPr>
            </w:pPr>
            <w:r w:rsidRPr="00316577">
              <w:rPr>
                <w:sz w:val="20"/>
                <w:szCs w:val="20"/>
              </w:rPr>
              <w:t>84.</w:t>
            </w:r>
          </w:p>
        </w:tc>
        <w:tc>
          <w:tcPr>
            <w:tcW w:w="7745" w:type="dxa"/>
          </w:tcPr>
          <w:p w14:paraId="4ADBA53F" w14:textId="77777777" w:rsidR="00316577" w:rsidRPr="00316577" w:rsidRDefault="00316577" w:rsidP="00316577">
            <w:pPr>
              <w:spacing w:before="240"/>
              <w:rPr>
                <w:sz w:val="20"/>
                <w:szCs w:val="20"/>
              </w:rPr>
            </w:pPr>
            <w:proofErr w:type="spellStart"/>
            <w:r w:rsidRPr="00316577">
              <w:rPr>
                <w:sz w:val="20"/>
                <w:szCs w:val="20"/>
              </w:rPr>
              <w:t>Chakhtoura</w:t>
            </w:r>
            <w:proofErr w:type="spellEnd"/>
            <w:r w:rsidRPr="00316577">
              <w:rPr>
                <w:sz w:val="20"/>
                <w:szCs w:val="20"/>
              </w:rPr>
              <w:t xml:space="preserve"> M, </w:t>
            </w:r>
            <w:proofErr w:type="spellStart"/>
            <w:r w:rsidRPr="00316577">
              <w:rPr>
                <w:sz w:val="20"/>
                <w:szCs w:val="20"/>
              </w:rPr>
              <w:t>Baddoura</w:t>
            </w:r>
            <w:proofErr w:type="spellEnd"/>
            <w:r w:rsidRPr="00316577">
              <w:rPr>
                <w:sz w:val="20"/>
                <w:szCs w:val="20"/>
              </w:rPr>
              <w:t xml:space="preserve"> R , El-Hajj Fuleihan G (2013) Lebanese FRAX-Based Osteoporosis Guidelines. </w:t>
            </w:r>
            <w:hyperlink r:id="rId60" w:history="1">
              <w:r w:rsidRPr="00316577">
                <w:rPr>
                  <w:color w:val="0563C1" w:themeColor="hyperlink"/>
                  <w:sz w:val="20"/>
                  <w:szCs w:val="20"/>
                  <w:u w:val="single"/>
                </w:rPr>
                <w:t>http://www.osteos.org.lb/admin/uploads/Full%20document.pdf</w:t>
              </w:r>
            </w:hyperlink>
            <w:r w:rsidRPr="00316577">
              <w:rPr>
                <w:sz w:val="20"/>
                <w:szCs w:val="20"/>
              </w:rPr>
              <w:t xml:space="preserve"> accessed 19 October 2015</w:t>
            </w:r>
          </w:p>
        </w:tc>
      </w:tr>
      <w:tr w:rsidR="00316577" w:rsidRPr="00316577" w14:paraId="60C17097" w14:textId="77777777" w:rsidTr="00316577">
        <w:tc>
          <w:tcPr>
            <w:tcW w:w="704" w:type="dxa"/>
          </w:tcPr>
          <w:p w14:paraId="4CF8CF6E" w14:textId="77777777" w:rsidR="00316577" w:rsidRPr="00316577" w:rsidRDefault="00316577" w:rsidP="00316577">
            <w:pPr>
              <w:spacing w:before="240"/>
              <w:rPr>
                <w:sz w:val="20"/>
                <w:szCs w:val="20"/>
              </w:rPr>
            </w:pPr>
            <w:r w:rsidRPr="00316577">
              <w:rPr>
                <w:sz w:val="20"/>
                <w:szCs w:val="20"/>
              </w:rPr>
              <w:t>85.</w:t>
            </w:r>
          </w:p>
        </w:tc>
        <w:tc>
          <w:tcPr>
            <w:tcW w:w="7745" w:type="dxa"/>
          </w:tcPr>
          <w:p w14:paraId="003A89B4" w14:textId="77777777" w:rsidR="00316577" w:rsidRPr="00316577" w:rsidRDefault="00316577" w:rsidP="00316577">
            <w:pPr>
              <w:spacing w:before="240"/>
              <w:rPr>
                <w:color w:val="0563C1" w:themeColor="hyperlink"/>
                <w:u w:val="single"/>
              </w:rPr>
            </w:pPr>
            <w:r w:rsidRPr="00316577">
              <w:rPr>
                <w:sz w:val="20"/>
                <w:szCs w:val="20"/>
              </w:rPr>
              <w:t xml:space="preserve">Malaysian Osteoporosis Society (2012) Clinical guidance on management of osteoporosis. </w:t>
            </w:r>
            <w:hyperlink r:id="rId61" w:history="1">
              <w:r w:rsidRPr="00316577">
                <w:rPr>
                  <w:color w:val="0563C1" w:themeColor="hyperlink"/>
                  <w:sz w:val="20"/>
                  <w:szCs w:val="20"/>
                  <w:u w:val="single"/>
                </w:rPr>
                <w:t>http://www.iofbonehealth.org/sites/default/files/PDFs/National%20Guidelines/Malaysia_CG_Mgmt_Osteoporosis_2012-0912-final.pdf</w:t>
              </w:r>
            </w:hyperlink>
            <w:r w:rsidRPr="00316577">
              <w:rPr>
                <w:color w:val="0563C1" w:themeColor="hyperlink"/>
                <w:sz w:val="20"/>
                <w:szCs w:val="20"/>
                <w:u w:val="single"/>
              </w:rPr>
              <w:t xml:space="preserve"> </w:t>
            </w:r>
            <w:r w:rsidRPr="00316577">
              <w:rPr>
                <w:sz w:val="20"/>
                <w:szCs w:val="20"/>
              </w:rPr>
              <w:t>Accessed October 14 2015</w:t>
            </w:r>
          </w:p>
        </w:tc>
      </w:tr>
      <w:tr w:rsidR="00316577" w:rsidRPr="00316577" w14:paraId="66FA78A8" w14:textId="77777777" w:rsidTr="00316577">
        <w:tc>
          <w:tcPr>
            <w:tcW w:w="704" w:type="dxa"/>
          </w:tcPr>
          <w:p w14:paraId="78094584" w14:textId="77777777" w:rsidR="00316577" w:rsidRPr="00316577" w:rsidRDefault="00316577" w:rsidP="00316577">
            <w:pPr>
              <w:spacing w:before="240"/>
              <w:rPr>
                <w:sz w:val="20"/>
                <w:szCs w:val="20"/>
              </w:rPr>
            </w:pPr>
            <w:r w:rsidRPr="00316577">
              <w:rPr>
                <w:sz w:val="20"/>
                <w:szCs w:val="20"/>
              </w:rPr>
              <w:t>86.</w:t>
            </w:r>
          </w:p>
        </w:tc>
        <w:tc>
          <w:tcPr>
            <w:tcW w:w="7745" w:type="dxa"/>
          </w:tcPr>
          <w:p w14:paraId="16BCE06D" w14:textId="77777777" w:rsidR="00316577" w:rsidRPr="00316577" w:rsidRDefault="00316577" w:rsidP="00316577">
            <w:pPr>
              <w:spacing w:before="240"/>
              <w:rPr>
                <w:sz w:val="20"/>
                <w:szCs w:val="20"/>
              </w:rPr>
            </w:pPr>
            <w:proofErr w:type="spellStart"/>
            <w:r w:rsidRPr="00316577">
              <w:rPr>
                <w:sz w:val="20"/>
                <w:szCs w:val="20"/>
              </w:rPr>
              <w:t>Yeap</w:t>
            </w:r>
            <w:proofErr w:type="spellEnd"/>
            <w:r w:rsidRPr="00316577">
              <w:rPr>
                <w:sz w:val="20"/>
                <w:szCs w:val="20"/>
              </w:rPr>
              <w:t xml:space="preserve"> SS, Hew FL, Lee JK, et al (2013) The Malaysian clinical guidance on the management of postmenopausal osteoporosis, 2012: A Summary. International Journal of Rheumatic Diseases 16:  30-40.</w:t>
            </w:r>
          </w:p>
        </w:tc>
      </w:tr>
      <w:tr w:rsidR="00316577" w:rsidRPr="00316577" w14:paraId="27D24B26" w14:textId="77777777" w:rsidTr="00316577">
        <w:tc>
          <w:tcPr>
            <w:tcW w:w="704" w:type="dxa"/>
          </w:tcPr>
          <w:p w14:paraId="31F3B4AD" w14:textId="77777777" w:rsidR="00316577" w:rsidRPr="00316577" w:rsidRDefault="00316577" w:rsidP="00316577">
            <w:pPr>
              <w:autoSpaceDE w:val="0"/>
              <w:autoSpaceDN w:val="0"/>
              <w:adjustRightInd w:val="0"/>
              <w:spacing w:before="240"/>
              <w:rPr>
                <w:sz w:val="20"/>
                <w:szCs w:val="20"/>
              </w:rPr>
            </w:pPr>
            <w:r w:rsidRPr="00316577">
              <w:rPr>
                <w:sz w:val="20"/>
                <w:szCs w:val="20"/>
              </w:rPr>
              <w:t>87.</w:t>
            </w:r>
          </w:p>
        </w:tc>
        <w:tc>
          <w:tcPr>
            <w:tcW w:w="7745" w:type="dxa"/>
          </w:tcPr>
          <w:p w14:paraId="6D671D0C" w14:textId="77777777" w:rsidR="00316577" w:rsidRPr="00316577" w:rsidRDefault="00316577" w:rsidP="00316577">
            <w:pPr>
              <w:autoSpaceDE w:val="0"/>
              <w:autoSpaceDN w:val="0"/>
              <w:adjustRightInd w:val="0"/>
              <w:spacing w:before="240"/>
              <w:rPr>
                <w:sz w:val="20"/>
                <w:szCs w:val="20"/>
              </w:rPr>
            </w:pPr>
            <w:proofErr w:type="spellStart"/>
            <w:r w:rsidRPr="00316577">
              <w:rPr>
                <w:sz w:val="20"/>
                <w:szCs w:val="20"/>
                <w:lang w:val="fr-FR"/>
              </w:rPr>
              <w:t>Cymet-Ramírez</w:t>
            </w:r>
            <w:proofErr w:type="spellEnd"/>
            <w:r w:rsidRPr="00316577">
              <w:rPr>
                <w:sz w:val="20"/>
                <w:szCs w:val="20"/>
                <w:lang w:val="fr-FR"/>
              </w:rPr>
              <w:t xml:space="preserve"> J, Cisneros-</w:t>
            </w:r>
            <w:proofErr w:type="spellStart"/>
            <w:r w:rsidRPr="00316577">
              <w:rPr>
                <w:sz w:val="20"/>
                <w:szCs w:val="20"/>
                <w:lang w:val="fr-FR"/>
              </w:rPr>
              <w:t>Dreinhofer</w:t>
            </w:r>
            <w:proofErr w:type="spellEnd"/>
            <w:r w:rsidRPr="00316577">
              <w:rPr>
                <w:sz w:val="20"/>
                <w:szCs w:val="20"/>
                <w:lang w:val="fr-FR"/>
              </w:rPr>
              <w:t xml:space="preserve"> FA, Alvarez-</w:t>
            </w:r>
            <w:proofErr w:type="spellStart"/>
            <w:r w:rsidRPr="00316577">
              <w:rPr>
                <w:sz w:val="20"/>
                <w:szCs w:val="20"/>
                <w:lang w:val="fr-FR"/>
              </w:rPr>
              <w:t>Martínez</w:t>
            </w:r>
            <w:proofErr w:type="spellEnd"/>
            <w:r w:rsidRPr="00316577">
              <w:rPr>
                <w:sz w:val="20"/>
                <w:szCs w:val="20"/>
                <w:lang w:val="fr-FR"/>
              </w:rPr>
              <w:t xml:space="preserve"> MM et al (2011). </w:t>
            </w:r>
            <w:r w:rsidRPr="00316577">
              <w:rPr>
                <w:sz w:val="20"/>
                <w:szCs w:val="20"/>
              </w:rPr>
              <w:t xml:space="preserve">[Diagnosis and treatment of osteoporosis. Position of the Mexican College of </w:t>
            </w:r>
            <w:proofErr w:type="spellStart"/>
            <w:r w:rsidRPr="00316577">
              <w:rPr>
                <w:sz w:val="20"/>
                <w:szCs w:val="20"/>
              </w:rPr>
              <w:t>Orthopedics</w:t>
            </w:r>
            <w:proofErr w:type="spellEnd"/>
            <w:r w:rsidRPr="00316577">
              <w:rPr>
                <w:sz w:val="20"/>
                <w:szCs w:val="20"/>
              </w:rPr>
              <w:t xml:space="preserve"> and Traumatology]. </w:t>
            </w:r>
            <w:proofErr w:type="spellStart"/>
            <w:r w:rsidRPr="00316577">
              <w:rPr>
                <w:sz w:val="20"/>
                <w:szCs w:val="20"/>
              </w:rPr>
              <w:t>Acta</w:t>
            </w:r>
            <w:proofErr w:type="spellEnd"/>
            <w:r w:rsidRPr="00316577">
              <w:rPr>
                <w:sz w:val="20"/>
                <w:szCs w:val="20"/>
              </w:rPr>
              <w:t xml:space="preserve"> </w:t>
            </w:r>
            <w:proofErr w:type="spellStart"/>
            <w:r w:rsidRPr="00316577">
              <w:rPr>
                <w:sz w:val="20"/>
                <w:szCs w:val="20"/>
              </w:rPr>
              <w:t>Ortop</w:t>
            </w:r>
            <w:proofErr w:type="spellEnd"/>
            <w:r w:rsidRPr="00316577">
              <w:rPr>
                <w:sz w:val="20"/>
                <w:szCs w:val="20"/>
              </w:rPr>
              <w:t xml:space="preserve"> Mex. 25: 303-12. Spanish. PubMed PMID: 22509637.</w:t>
            </w:r>
          </w:p>
        </w:tc>
      </w:tr>
      <w:tr w:rsidR="00316577" w:rsidRPr="00316577" w14:paraId="6B61DB3A" w14:textId="77777777" w:rsidTr="00316577">
        <w:tc>
          <w:tcPr>
            <w:tcW w:w="704" w:type="dxa"/>
          </w:tcPr>
          <w:p w14:paraId="4999B8F6" w14:textId="77777777" w:rsidR="00316577" w:rsidRPr="00316577" w:rsidRDefault="00316577" w:rsidP="00316577">
            <w:pPr>
              <w:spacing w:before="240"/>
              <w:rPr>
                <w:sz w:val="20"/>
                <w:szCs w:val="20"/>
              </w:rPr>
            </w:pPr>
            <w:r w:rsidRPr="00316577">
              <w:rPr>
                <w:sz w:val="20"/>
                <w:szCs w:val="20"/>
              </w:rPr>
              <w:t>88.</w:t>
            </w:r>
          </w:p>
        </w:tc>
        <w:tc>
          <w:tcPr>
            <w:tcW w:w="7745" w:type="dxa"/>
          </w:tcPr>
          <w:p w14:paraId="29598C23" w14:textId="77777777" w:rsidR="00316577" w:rsidRPr="00316577" w:rsidRDefault="00316577" w:rsidP="00316577">
            <w:pPr>
              <w:spacing w:before="240"/>
              <w:rPr>
                <w:sz w:val="20"/>
                <w:szCs w:val="20"/>
              </w:rPr>
            </w:pPr>
            <w:r w:rsidRPr="00316577">
              <w:rPr>
                <w:sz w:val="20"/>
                <w:szCs w:val="20"/>
              </w:rPr>
              <w:t xml:space="preserve">Li-Yu J, Perez EC, Cañete A, </w:t>
            </w:r>
            <w:proofErr w:type="spellStart"/>
            <w:r w:rsidRPr="00316577">
              <w:rPr>
                <w:sz w:val="20"/>
                <w:szCs w:val="20"/>
              </w:rPr>
              <w:t>Bonifacio</w:t>
            </w:r>
            <w:proofErr w:type="spellEnd"/>
            <w:r w:rsidRPr="00316577">
              <w:rPr>
                <w:sz w:val="20"/>
                <w:szCs w:val="20"/>
              </w:rPr>
              <w:t xml:space="preserve"> L et al (2011) Clinical Practice Guidelines Task Force Committee on Osteoporosis. Consensus statements on osteoporosis diagnosis, prevention, and management in the Philippines. </w:t>
            </w:r>
            <w:proofErr w:type="spellStart"/>
            <w:r w:rsidRPr="00316577">
              <w:rPr>
                <w:sz w:val="20"/>
                <w:szCs w:val="20"/>
              </w:rPr>
              <w:t>Int</w:t>
            </w:r>
            <w:proofErr w:type="spellEnd"/>
            <w:r w:rsidRPr="00316577">
              <w:rPr>
                <w:sz w:val="20"/>
                <w:szCs w:val="20"/>
              </w:rPr>
              <w:t xml:space="preserve"> J Rheum Dis 14: 223-38</w:t>
            </w:r>
          </w:p>
        </w:tc>
      </w:tr>
      <w:tr w:rsidR="00316577" w:rsidRPr="00316577" w14:paraId="546E0DD6" w14:textId="77777777" w:rsidTr="00316577">
        <w:tc>
          <w:tcPr>
            <w:tcW w:w="704" w:type="dxa"/>
          </w:tcPr>
          <w:p w14:paraId="242428F9" w14:textId="77777777" w:rsidR="00316577" w:rsidRPr="00316577" w:rsidRDefault="00316577" w:rsidP="00316577">
            <w:pPr>
              <w:spacing w:before="240"/>
              <w:rPr>
                <w:sz w:val="20"/>
                <w:szCs w:val="20"/>
              </w:rPr>
            </w:pPr>
            <w:r w:rsidRPr="00316577">
              <w:rPr>
                <w:sz w:val="20"/>
                <w:szCs w:val="20"/>
              </w:rPr>
              <w:t>89.</w:t>
            </w:r>
          </w:p>
        </w:tc>
        <w:tc>
          <w:tcPr>
            <w:tcW w:w="7745" w:type="dxa"/>
          </w:tcPr>
          <w:p w14:paraId="1A449753" w14:textId="77777777" w:rsidR="00316577" w:rsidRPr="00316577" w:rsidRDefault="00316577" w:rsidP="00316577">
            <w:pPr>
              <w:spacing w:before="240"/>
              <w:rPr>
                <w:sz w:val="20"/>
                <w:szCs w:val="20"/>
              </w:rPr>
            </w:pPr>
            <w:proofErr w:type="spellStart"/>
            <w:r w:rsidRPr="00316577">
              <w:rPr>
                <w:sz w:val="20"/>
                <w:szCs w:val="20"/>
              </w:rPr>
              <w:t>Badurski</w:t>
            </w:r>
            <w:proofErr w:type="spellEnd"/>
            <w:r w:rsidRPr="00316577">
              <w:rPr>
                <w:sz w:val="20"/>
                <w:szCs w:val="20"/>
              </w:rPr>
              <w:t xml:space="preserve"> JE, Kanis JA, Johansson H, et al (2011) The application of FRAX (R) to determine intervention thresholds in osteoporosis treatment in Poland. </w:t>
            </w:r>
            <w:proofErr w:type="spellStart"/>
            <w:r w:rsidRPr="00316577">
              <w:rPr>
                <w:sz w:val="20"/>
                <w:szCs w:val="20"/>
              </w:rPr>
              <w:t>Polskie</w:t>
            </w:r>
            <w:proofErr w:type="spellEnd"/>
            <w:r w:rsidRPr="00316577">
              <w:rPr>
                <w:sz w:val="20"/>
                <w:szCs w:val="20"/>
              </w:rPr>
              <w:t xml:space="preserve"> </w:t>
            </w:r>
            <w:proofErr w:type="spellStart"/>
            <w:r w:rsidRPr="00316577">
              <w:rPr>
                <w:sz w:val="20"/>
                <w:szCs w:val="20"/>
              </w:rPr>
              <w:t>Archiwum</w:t>
            </w:r>
            <w:proofErr w:type="spellEnd"/>
            <w:r w:rsidRPr="00316577">
              <w:rPr>
                <w:sz w:val="20"/>
                <w:szCs w:val="20"/>
              </w:rPr>
              <w:t xml:space="preserve"> </w:t>
            </w:r>
            <w:proofErr w:type="spellStart"/>
            <w:r w:rsidRPr="00316577">
              <w:rPr>
                <w:sz w:val="20"/>
                <w:szCs w:val="20"/>
              </w:rPr>
              <w:t>Medycyny</w:t>
            </w:r>
            <w:proofErr w:type="spellEnd"/>
            <w:r w:rsidRPr="00316577">
              <w:rPr>
                <w:sz w:val="20"/>
                <w:szCs w:val="20"/>
              </w:rPr>
              <w:t xml:space="preserve"> </w:t>
            </w:r>
            <w:proofErr w:type="spellStart"/>
            <w:r w:rsidRPr="00316577">
              <w:rPr>
                <w:sz w:val="20"/>
                <w:szCs w:val="20"/>
              </w:rPr>
              <w:t>Wewnetrznej</w:t>
            </w:r>
            <w:proofErr w:type="spellEnd"/>
            <w:r w:rsidRPr="00316577">
              <w:rPr>
                <w:sz w:val="20"/>
                <w:szCs w:val="20"/>
              </w:rPr>
              <w:t>-Polish Archives of Internal Medicine 121:  148-54.</w:t>
            </w:r>
          </w:p>
        </w:tc>
      </w:tr>
      <w:tr w:rsidR="00316577" w:rsidRPr="00316577" w14:paraId="737795E7" w14:textId="77777777" w:rsidTr="00316577">
        <w:tc>
          <w:tcPr>
            <w:tcW w:w="704" w:type="dxa"/>
          </w:tcPr>
          <w:p w14:paraId="1D15BDE9" w14:textId="77777777" w:rsidR="00316577" w:rsidRPr="00316577" w:rsidRDefault="00316577" w:rsidP="00316577">
            <w:pPr>
              <w:spacing w:before="240"/>
              <w:rPr>
                <w:sz w:val="20"/>
                <w:szCs w:val="20"/>
              </w:rPr>
            </w:pPr>
            <w:r w:rsidRPr="00316577">
              <w:rPr>
                <w:sz w:val="20"/>
                <w:szCs w:val="20"/>
              </w:rPr>
              <w:t>90.</w:t>
            </w:r>
          </w:p>
        </w:tc>
        <w:tc>
          <w:tcPr>
            <w:tcW w:w="7745" w:type="dxa"/>
          </w:tcPr>
          <w:p w14:paraId="66234E16" w14:textId="77777777" w:rsidR="00316577" w:rsidRPr="00316577" w:rsidRDefault="00316577" w:rsidP="00316577">
            <w:pPr>
              <w:spacing w:before="240"/>
              <w:rPr>
                <w:sz w:val="20"/>
                <w:szCs w:val="20"/>
              </w:rPr>
            </w:pPr>
            <w:proofErr w:type="spellStart"/>
            <w:r w:rsidRPr="00316577">
              <w:rPr>
                <w:sz w:val="20"/>
                <w:szCs w:val="20"/>
              </w:rPr>
              <w:t>Lorenc</w:t>
            </w:r>
            <w:proofErr w:type="spellEnd"/>
            <w:r w:rsidRPr="00316577">
              <w:rPr>
                <w:sz w:val="20"/>
                <w:szCs w:val="20"/>
              </w:rPr>
              <w:t xml:space="preserve"> R, </w:t>
            </w:r>
            <w:proofErr w:type="spellStart"/>
            <w:r w:rsidRPr="00316577">
              <w:rPr>
                <w:sz w:val="20"/>
                <w:szCs w:val="20"/>
              </w:rPr>
              <w:t>Głuszko</w:t>
            </w:r>
            <w:proofErr w:type="spellEnd"/>
            <w:r w:rsidRPr="00316577">
              <w:rPr>
                <w:sz w:val="20"/>
                <w:szCs w:val="20"/>
              </w:rPr>
              <w:t xml:space="preserve"> P, </w:t>
            </w:r>
            <w:proofErr w:type="spellStart"/>
            <w:r w:rsidRPr="00316577">
              <w:rPr>
                <w:sz w:val="20"/>
                <w:szCs w:val="20"/>
              </w:rPr>
              <w:t>Karczmarewicz</w:t>
            </w:r>
            <w:proofErr w:type="spellEnd"/>
            <w:r w:rsidRPr="00316577">
              <w:rPr>
                <w:sz w:val="20"/>
                <w:szCs w:val="20"/>
              </w:rPr>
              <w:t xml:space="preserve"> E et al (2011) Polish recommendations on the diagnosis and treatment of osteoporosis. </w:t>
            </w:r>
            <w:proofErr w:type="spellStart"/>
            <w:r w:rsidRPr="00316577">
              <w:rPr>
                <w:sz w:val="20"/>
                <w:szCs w:val="20"/>
              </w:rPr>
              <w:t>Medycyna</w:t>
            </w:r>
            <w:proofErr w:type="spellEnd"/>
            <w:r w:rsidRPr="00316577">
              <w:rPr>
                <w:sz w:val="20"/>
                <w:szCs w:val="20"/>
              </w:rPr>
              <w:t xml:space="preserve"> </w:t>
            </w:r>
            <w:proofErr w:type="spellStart"/>
            <w:r w:rsidRPr="00316577">
              <w:rPr>
                <w:sz w:val="20"/>
                <w:szCs w:val="20"/>
              </w:rPr>
              <w:t>Praktyczna</w:t>
            </w:r>
            <w:proofErr w:type="spellEnd"/>
            <w:r w:rsidRPr="00316577">
              <w:rPr>
                <w:sz w:val="20"/>
                <w:szCs w:val="20"/>
              </w:rPr>
              <w:t>(</w:t>
            </w:r>
            <w:proofErr w:type="spellStart"/>
            <w:r w:rsidRPr="00316577">
              <w:rPr>
                <w:sz w:val="20"/>
                <w:szCs w:val="20"/>
              </w:rPr>
              <w:t>Reumatologia</w:t>
            </w:r>
            <w:proofErr w:type="spellEnd"/>
            <w:r w:rsidRPr="00316577">
              <w:rPr>
                <w:sz w:val="20"/>
                <w:szCs w:val="20"/>
              </w:rPr>
              <w:t>) Special Edition 1/2011 [Polish]</w:t>
            </w:r>
          </w:p>
        </w:tc>
      </w:tr>
      <w:tr w:rsidR="00316577" w:rsidRPr="00316577" w14:paraId="7892D510" w14:textId="77777777" w:rsidTr="00316577">
        <w:tc>
          <w:tcPr>
            <w:tcW w:w="704" w:type="dxa"/>
          </w:tcPr>
          <w:p w14:paraId="4DBEBF0B" w14:textId="77777777" w:rsidR="00316577" w:rsidRPr="00316577" w:rsidRDefault="00316577" w:rsidP="00316577">
            <w:pPr>
              <w:spacing w:before="240"/>
              <w:rPr>
                <w:sz w:val="20"/>
                <w:szCs w:val="20"/>
              </w:rPr>
            </w:pPr>
            <w:r w:rsidRPr="00316577">
              <w:rPr>
                <w:sz w:val="20"/>
                <w:szCs w:val="20"/>
              </w:rPr>
              <w:t>91.</w:t>
            </w:r>
          </w:p>
        </w:tc>
        <w:tc>
          <w:tcPr>
            <w:tcW w:w="7745" w:type="dxa"/>
          </w:tcPr>
          <w:p w14:paraId="29B3FA37" w14:textId="77777777" w:rsidR="00316577" w:rsidRPr="00316577" w:rsidRDefault="00316577" w:rsidP="00316577">
            <w:pPr>
              <w:spacing w:before="240"/>
              <w:rPr>
                <w:sz w:val="20"/>
                <w:szCs w:val="20"/>
              </w:rPr>
            </w:pPr>
            <w:proofErr w:type="spellStart"/>
            <w:r w:rsidRPr="00316577">
              <w:rPr>
                <w:sz w:val="20"/>
                <w:szCs w:val="20"/>
              </w:rPr>
              <w:t>Badurski</w:t>
            </w:r>
            <w:proofErr w:type="spellEnd"/>
            <w:r w:rsidRPr="00316577">
              <w:rPr>
                <w:sz w:val="20"/>
                <w:szCs w:val="20"/>
              </w:rPr>
              <w:t xml:space="preserve"> J, </w:t>
            </w:r>
            <w:proofErr w:type="spellStart"/>
            <w:r w:rsidRPr="00316577">
              <w:rPr>
                <w:sz w:val="20"/>
                <w:szCs w:val="20"/>
              </w:rPr>
              <w:t>Jeziernicka</w:t>
            </w:r>
            <w:proofErr w:type="spellEnd"/>
            <w:r w:rsidRPr="00316577">
              <w:rPr>
                <w:sz w:val="20"/>
                <w:szCs w:val="20"/>
              </w:rPr>
              <w:t xml:space="preserve"> E, </w:t>
            </w:r>
            <w:proofErr w:type="spellStart"/>
            <w:r w:rsidRPr="00316577">
              <w:rPr>
                <w:sz w:val="20"/>
                <w:szCs w:val="20"/>
              </w:rPr>
              <w:t>Dobrenko</w:t>
            </w:r>
            <w:proofErr w:type="spellEnd"/>
            <w:r w:rsidRPr="00316577">
              <w:rPr>
                <w:sz w:val="20"/>
                <w:szCs w:val="20"/>
              </w:rPr>
              <w:t xml:space="preserve"> A, et al (2011) The characteristics of osteoporotic </w:t>
            </w:r>
            <w:r w:rsidRPr="00316577">
              <w:rPr>
                <w:sz w:val="20"/>
                <w:szCs w:val="20"/>
              </w:rPr>
              <w:lastRenderedPageBreak/>
              <w:t xml:space="preserve">fractures in the region of Bialystok (BOS-2). The application of the WHO algorithm, FRAX (R) BMI and FRAX (R) BMD assessment tools to determine patients for intervention. </w:t>
            </w:r>
            <w:proofErr w:type="spellStart"/>
            <w:r w:rsidRPr="00316577">
              <w:rPr>
                <w:sz w:val="20"/>
                <w:szCs w:val="20"/>
              </w:rPr>
              <w:t>Endokrynologia</w:t>
            </w:r>
            <w:proofErr w:type="spellEnd"/>
            <w:r w:rsidRPr="00316577">
              <w:rPr>
                <w:sz w:val="20"/>
                <w:szCs w:val="20"/>
              </w:rPr>
              <w:t xml:space="preserve"> </w:t>
            </w:r>
            <w:proofErr w:type="spellStart"/>
            <w:r w:rsidRPr="00316577">
              <w:rPr>
                <w:sz w:val="20"/>
                <w:szCs w:val="20"/>
              </w:rPr>
              <w:t>Polska</w:t>
            </w:r>
            <w:proofErr w:type="spellEnd"/>
            <w:r w:rsidRPr="00316577">
              <w:rPr>
                <w:sz w:val="20"/>
                <w:szCs w:val="20"/>
              </w:rPr>
              <w:t xml:space="preserve"> 62: 290-8.</w:t>
            </w:r>
          </w:p>
        </w:tc>
      </w:tr>
      <w:tr w:rsidR="00316577" w:rsidRPr="00316577" w14:paraId="763DF467" w14:textId="77777777" w:rsidTr="00316577">
        <w:tc>
          <w:tcPr>
            <w:tcW w:w="704" w:type="dxa"/>
          </w:tcPr>
          <w:p w14:paraId="3404B2C9" w14:textId="77777777" w:rsidR="00316577" w:rsidRPr="00316577" w:rsidRDefault="00316577" w:rsidP="00316577">
            <w:pPr>
              <w:spacing w:before="240"/>
              <w:rPr>
                <w:sz w:val="20"/>
                <w:szCs w:val="20"/>
              </w:rPr>
            </w:pPr>
            <w:r w:rsidRPr="00316577">
              <w:rPr>
                <w:sz w:val="20"/>
                <w:szCs w:val="20"/>
              </w:rPr>
              <w:lastRenderedPageBreak/>
              <w:t>92.</w:t>
            </w:r>
          </w:p>
        </w:tc>
        <w:tc>
          <w:tcPr>
            <w:tcW w:w="7745" w:type="dxa"/>
          </w:tcPr>
          <w:p w14:paraId="334B991E" w14:textId="77777777" w:rsidR="00316577" w:rsidRPr="00316577" w:rsidRDefault="00316577" w:rsidP="00316577">
            <w:pPr>
              <w:spacing w:before="240"/>
              <w:rPr>
                <w:sz w:val="20"/>
                <w:szCs w:val="20"/>
              </w:rPr>
            </w:pPr>
            <w:proofErr w:type="spellStart"/>
            <w:r w:rsidRPr="00316577">
              <w:rPr>
                <w:sz w:val="20"/>
                <w:szCs w:val="20"/>
              </w:rPr>
              <w:t>Gluszko</w:t>
            </w:r>
            <w:proofErr w:type="spellEnd"/>
            <w:r w:rsidRPr="00316577">
              <w:rPr>
                <w:sz w:val="20"/>
                <w:szCs w:val="20"/>
              </w:rPr>
              <w:t xml:space="preserve"> P, </w:t>
            </w:r>
            <w:proofErr w:type="spellStart"/>
            <w:r w:rsidRPr="00316577">
              <w:rPr>
                <w:sz w:val="20"/>
                <w:szCs w:val="20"/>
              </w:rPr>
              <w:t>Lorenc</w:t>
            </w:r>
            <w:proofErr w:type="spellEnd"/>
            <w:r w:rsidRPr="00316577">
              <w:rPr>
                <w:sz w:val="20"/>
                <w:szCs w:val="20"/>
              </w:rPr>
              <w:t xml:space="preserve"> RS, </w:t>
            </w:r>
            <w:proofErr w:type="spellStart"/>
            <w:r w:rsidRPr="00316577">
              <w:rPr>
                <w:sz w:val="20"/>
                <w:szCs w:val="20"/>
              </w:rPr>
              <w:t>Karczmarewicz</w:t>
            </w:r>
            <w:proofErr w:type="spellEnd"/>
            <w:r w:rsidRPr="00316577">
              <w:rPr>
                <w:sz w:val="20"/>
                <w:szCs w:val="20"/>
              </w:rPr>
              <w:t xml:space="preserve"> E, </w:t>
            </w:r>
            <w:proofErr w:type="spellStart"/>
            <w:r w:rsidRPr="00316577">
              <w:rPr>
                <w:sz w:val="20"/>
                <w:szCs w:val="20"/>
              </w:rPr>
              <w:t>Misiorowski</w:t>
            </w:r>
            <w:proofErr w:type="spellEnd"/>
            <w:r w:rsidRPr="00316577">
              <w:rPr>
                <w:sz w:val="20"/>
                <w:szCs w:val="20"/>
              </w:rPr>
              <w:t xml:space="preserve"> W, </w:t>
            </w:r>
            <w:proofErr w:type="spellStart"/>
            <w:r w:rsidRPr="00316577">
              <w:rPr>
                <w:sz w:val="20"/>
                <w:szCs w:val="20"/>
              </w:rPr>
              <w:t>Jaworski</w:t>
            </w:r>
            <w:proofErr w:type="spellEnd"/>
            <w:r w:rsidRPr="00316577">
              <w:rPr>
                <w:sz w:val="20"/>
                <w:szCs w:val="20"/>
              </w:rPr>
              <w:t xml:space="preserve"> M (2014) Polish guidelines for the diagnosis and management of osteoporosis: a review of 2013 update. </w:t>
            </w:r>
            <w:proofErr w:type="spellStart"/>
            <w:r w:rsidRPr="00316577">
              <w:rPr>
                <w:sz w:val="20"/>
                <w:szCs w:val="20"/>
              </w:rPr>
              <w:t>Polskie</w:t>
            </w:r>
            <w:proofErr w:type="spellEnd"/>
            <w:r w:rsidRPr="00316577">
              <w:rPr>
                <w:sz w:val="20"/>
                <w:szCs w:val="20"/>
              </w:rPr>
              <w:t xml:space="preserve"> </w:t>
            </w:r>
            <w:proofErr w:type="spellStart"/>
            <w:r w:rsidRPr="00316577">
              <w:rPr>
                <w:sz w:val="20"/>
                <w:szCs w:val="20"/>
              </w:rPr>
              <w:t>Archiwum</w:t>
            </w:r>
            <w:proofErr w:type="spellEnd"/>
            <w:r w:rsidRPr="00316577">
              <w:rPr>
                <w:sz w:val="20"/>
                <w:szCs w:val="20"/>
              </w:rPr>
              <w:t xml:space="preserve"> </w:t>
            </w:r>
            <w:proofErr w:type="spellStart"/>
            <w:r w:rsidRPr="00316577">
              <w:rPr>
                <w:sz w:val="20"/>
                <w:szCs w:val="20"/>
              </w:rPr>
              <w:t>Medycyny</w:t>
            </w:r>
            <w:proofErr w:type="spellEnd"/>
            <w:r w:rsidRPr="00316577">
              <w:rPr>
                <w:sz w:val="20"/>
                <w:szCs w:val="20"/>
              </w:rPr>
              <w:t xml:space="preserve"> </w:t>
            </w:r>
            <w:proofErr w:type="spellStart"/>
            <w:r w:rsidRPr="00316577">
              <w:rPr>
                <w:sz w:val="20"/>
                <w:szCs w:val="20"/>
              </w:rPr>
              <w:t>Wewnetrznej</w:t>
            </w:r>
            <w:proofErr w:type="spellEnd"/>
            <w:r w:rsidRPr="00316577">
              <w:rPr>
                <w:sz w:val="20"/>
                <w:szCs w:val="20"/>
              </w:rPr>
              <w:t>-Polish Archives of Internal Medicine  124: 255-63.</w:t>
            </w:r>
          </w:p>
        </w:tc>
      </w:tr>
      <w:tr w:rsidR="00316577" w:rsidRPr="00316577" w14:paraId="7B704A35" w14:textId="77777777" w:rsidTr="00316577">
        <w:tc>
          <w:tcPr>
            <w:tcW w:w="704" w:type="dxa"/>
          </w:tcPr>
          <w:p w14:paraId="41D611D2" w14:textId="77777777" w:rsidR="00316577" w:rsidRPr="00316577" w:rsidRDefault="00316577" w:rsidP="00316577">
            <w:pPr>
              <w:autoSpaceDE w:val="0"/>
              <w:autoSpaceDN w:val="0"/>
              <w:adjustRightInd w:val="0"/>
              <w:spacing w:before="240"/>
              <w:rPr>
                <w:sz w:val="20"/>
                <w:szCs w:val="20"/>
              </w:rPr>
            </w:pPr>
            <w:r w:rsidRPr="00316577">
              <w:rPr>
                <w:sz w:val="20"/>
                <w:szCs w:val="20"/>
              </w:rPr>
              <w:t>93.</w:t>
            </w:r>
          </w:p>
        </w:tc>
        <w:tc>
          <w:tcPr>
            <w:tcW w:w="7745" w:type="dxa"/>
          </w:tcPr>
          <w:p w14:paraId="4C768F9D" w14:textId="77777777" w:rsidR="00316577" w:rsidRPr="00316577" w:rsidRDefault="00316577" w:rsidP="00316577">
            <w:pPr>
              <w:autoSpaceDE w:val="0"/>
              <w:autoSpaceDN w:val="0"/>
              <w:adjustRightInd w:val="0"/>
              <w:spacing w:before="240"/>
              <w:rPr>
                <w:sz w:val="20"/>
                <w:szCs w:val="20"/>
              </w:rPr>
            </w:pPr>
            <w:proofErr w:type="spellStart"/>
            <w:r w:rsidRPr="00316577">
              <w:rPr>
                <w:sz w:val="20"/>
                <w:szCs w:val="20"/>
              </w:rPr>
              <w:t>Goncalves</w:t>
            </w:r>
            <w:proofErr w:type="spellEnd"/>
            <w:r w:rsidRPr="00316577">
              <w:rPr>
                <w:sz w:val="20"/>
                <w:szCs w:val="20"/>
              </w:rPr>
              <w:t xml:space="preserve"> MJ, Rodrigues AM, </w:t>
            </w:r>
            <w:proofErr w:type="spellStart"/>
            <w:r w:rsidRPr="00316577">
              <w:rPr>
                <w:sz w:val="20"/>
                <w:szCs w:val="20"/>
              </w:rPr>
              <w:t>Canhao</w:t>
            </w:r>
            <w:proofErr w:type="spellEnd"/>
            <w:r w:rsidRPr="00316577">
              <w:rPr>
                <w:sz w:val="20"/>
                <w:szCs w:val="20"/>
              </w:rPr>
              <w:t xml:space="preserve"> H, Fonseca JE (2013) Osteoporosis: From bone biology to individual treatment decision. </w:t>
            </w:r>
            <w:proofErr w:type="spellStart"/>
            <w:r w:rsidRPr="00316577">
              <w:rPr>
                <w:sz w:val="20"/>
                <w:szCs w:val="20"/>
              </w:rPr>
              <w:t>Acta</w:t>
            </w:r>
            <w:proofErr w:type="spellEnd"/>
            <w:r w:rsidRPr="00316577">
              <w:rPr>
                <w:sz w:val="20"/>
                <w:szCs w:val="20"/>
              </w:rPr>
              <w:t xml:space="preserve"> Med Port 26: 445-455</w:t>
            </w:r>
          </w:p>
        </w:tc>
      </w:tr>
      <w:tr w:rsidR="00316577" w:rsidRPr="00316577" w14:paraId="791454B0" w14:textId="77777777" w:rsidTr="00316577">
        <w:tc>
          <w:tcPr>
            <w:tcW w:w="704" w:type="dxa"/>
          </w:tcPr>
          <w:p w14:paraId="1DDBBABB" w14:textId="77777777" w:rsidR="00316577" w:rsidRPr="00316577" w:rsidRDefault="00316577" w:rsidP="00316577">
            <w:pPr>
              <w:spacing w:before="240"/>
              <w:rPr>
                <w:sz w:val="20"/>
                <w:szCs w:val="20"/>
              </w:rPr>
            </w:pPr>
            <w:r w:rsidRPr="00316577">
              <w:rPr>
                <w:sz w:val="20"/>
                <w:szCs w:val="20"/>
              </w:rPr>
              <w:t>94.</w:t>
            </w:r>
          </w:p>
        </w:tc>
        <w:tc>
          <w:tcPr>
            <w:tcW w:w="7745" w:type="dxa"/>
          </w:tcPr>
          <w:p w14:paraId="11976BEE" w14:textId="77777777" w:rsidR="00316577" w:rsidRPr="00316577" w:rsidRDefault="00316577" w:rsidP="00316577">
            <w:pPr>
              <w:spacing w:before="240"/>
              <w:rPr>
                <w:sz w:val="20"/>
                <w:szCs w:val="20"/>
              </w:rPr>
            </w:pPr>
            <w:r w:rsidRPr="00316577">
              <w:rPr>
                <w:sz w:val="20"/>
                <w:szCs w:val="20"/>
              </w:rPr>
              <w:t xml:space="preserve">Amin TT, Al </w:t>
            </w:r>
            <w:proofErr w:type="spellStart"/>
            <w:r w:rsidRPr="00316577">
              <w:rPr>
                <w:sz w:val="20"/>
                <w:szCs w:val="20"/>
              </w:rPr>
              <w:t>Owaifeer</w:t>
            </w:r>
            <w:proofErr w:type="spellEnd"/>
            <w:r w:rsidRPr="00316577">
              <w:rPr>
                <w:sz w:val="20"/>
                <w:szCs w:val="20"/>
              </w:rPr>
              <w:t xml:space="preserve"> A, Al-</w:t>
            </w:r>
            <w:proofErr w:type="spellStart"/>
            <w:r w:rsidRPr="00316577">
              <w:rPr>
                <w:sz w:val="20"/>
                <w:szCs w:val="20"/>
              </w:rPr>
              <w:t>Hashim</w:t>
            </w:r>
            <w:proofErr w:type="spellEnd"/>
            <w:r w:rsidRPr="00316577">
              <w:rPr>
                <w:sz w:val="20"/>
                <w:szCs w:val="20"/>
              </w:rPr>
              <w:t xml:space="preserve"> H, et al (2013) Osteoporosis among older Saudis: risk of fractures and unmet needs. Arch Osteoporos 8: 118.</w:t>
            </w:r>
          </w:p>
        </w:tc>
      </w:tr>
      <w:tr w:rsidR="00316577" w:rsidRPr="00316577" w14:paraId="12801C70" w14:textId="77777777" w:rsidTr="00316577">
        <w:tc>
          <w:tcPr>
            <w:tcW w:w="704" w:type="dxa"/>
          </w:tcPr>
          <w:p w14:paraId="1C01CBDE" w14:textId="77777777" w:rsidR="00316577" w:rsidRPr="00316577" w:rsidRDefault="00316577" w:rsidP="00316577">
            <w:pPr>
              <w:spacing w:before="240"/>
              <w:rPr>
                <w:sz w:val="20"/>
                <w:szCs w:val="20"/>
              </w:rPr>
            </w:pPr>
            <w:r w:rsidRPr="00316577">
              <w:rPr>
                <w:sz w:val="20"/>
                <w:szCs w:val="20"/>
              </w:rPr>
              <w:t>95.</w:t>
            </w:r>
          </w:p>
        </w:tc>
        <w:tc>
          <w:tcPr>
            <w:tcW w:w="7745" w:type="dxa"/>
          </w:tcPr>
          <w:p w14:paraId="0BF6B4BB" w14:textId="77777777" w:rsidR="00316577" w:rsidRPr="00316577" w:rsidRDefault="00316577" w:rsidP="00316577">
            <w:pPr>
              <w:spacing w:before="240"/>
              <w:rPr>
                <w:sz w:val="20"/>
                <w:szCs w:val="20"/>
              </w:rPr>
            </w:pPr>
            <w:proofErr w:type="spellStart"/>
            <w:r w:rsidRPr="00316577">
              <w:rPr>
                <w:sz w:val="20"/>
                <w:szCs w:val="20"/>
              </w:rPr>
              <w:t>Niemethova</w:t>
            </w:r>
            <w:proofErr w:type="spellEnd"/>
            <w:r w:rsidRPr="00316577">
              <w:rPr>
                <w:sz w:val="20"/>
                <w:szCs w:val="20"/>
              </w:rPr>
              <w:t xml:space="preserve"> E, </w:t>
            </w:r>
            <w:proofErr w:type="spellStart"/>
            <w:r w:rsidRPr="00316577">
              <w:rPr>
                <w:sz w:val="20"/>
                <w:szCs w:val="20"/>
              </w:rPr>
              <w:t>Killinger</w:t>
            </w:r>
            <w:proofErr w:type="spellEnd"/>
            <w:r w:rsidRPr="00316577">
              <w:rPr>
                <w:sz w:val="20"/>
                <w:szCs w:val="20"/>
              </w:rPr>
              <w:t xml:space="preserve"> Z, Payer J (2013) Fracture risk prediction with FRAX in Slovak postmenopausal women. Cent </w:t>
            </w:r>
            <w:proofErr w:type="spellStart"/>
            <w:r w:rsidRPr="00316577">
              <w:rPr>
                <w:sz w:val="20"/>
                <w:szCs w:val="20"/>
              </w:rPr>
              <w:t>Eur</w:t>
            </w:r>
            <w:proofErr w:type="spellEnd"/>
            <w:r w:rsidRPr="00316577">
              <w:rPr>
                <w:sz w:val="20"/>
                <w:szCs w:val="20"/>
              </w:rPr>
              <w:t xml:space="preserve"> J Med 8: 571-586</w:t>
            </w:r>
          </w:p>
        </w:tc>
      </w:tr>
      <w:tr w:rsidR="00316577" w:rsidRPr="00316577" w14:paraId="4852C404" w14:textId="77777777" w:rsidTr="00316577">
        <w:tc>
          <w:tcPr>
            <w:tcW w:w="704" w:type="dxa"/>
          </w:tcPr>
          <w:p w14:paraId="57CFB87F" w14:textId="77777777" w:rsidR="00316577" w:rsidRPr="00316577" w:rsidRDefault="00316577" w:rsidP="00316577">
            <w:pPr>
              <w:spacing w:before="240"/>
              <w:rPr>
                <w:sz w:val="20"/>
                <w:szCs w:val="20"/>
              </w:rPr>
            </w:pPr>
            <w:r w:rsidRPr="00316577">
              <w:rPr>
                <w:sz w:val="20"/>
                <w:szCs w:val="20"/>
              </w:rPr>
              <w:t>96.</w:t>
            </w:r>
          </w:p>
        </w:tc>
        <w:tc>
          <w:tcPr>
            <w:tcW w:w="7745" w:type="dxa"/>
          </w:tcPr>
          <w:p w14:paraId="56E5C8BC" w14:textId="77777777" w:rsidR="00316577" w:rsidRPr="00316577" w:rsidRDefault="00316577" w:rsidP="00316577">
            <w:pPr>
              <w:spacing w:before="240"/>
              <w:rPr>
                <w:sz w:val="20"/>
                <w:szCs w:val="20"/>
              </w:rPr>
            </w:pPr>
            <w:proofErr w:type="spellStart"/>
            <w:r w:rsidRPr="00316577">
              <w:rPr>
                <w:sz w:val="20"/>
                <w:szCs w:val="20"/>
              </w:rPr>
              <w:t>Kocjan</w:t>
            </w:r>
            <w:proofErr w:type="spellEnd"/>
            <w:r w:rsidRPr="00316577">
              <w:rPr>
                <w:sz w:val="20"/>
                <w:szCs w:val="20"/>
              </w:rPr>
              <w:t xml:space="preserve"> T, </w:t>
            </w:r>
            <w:proofErr w:type="spellStart"/>
            <w:r w:rsidRPr="00316577">
              <w:rPr>
                <w:sz w:val="20"/>
                <w:szCs w:val="20"/>
              </w:rPr>
              <w:t>Prezelj</w:t>
            </w:r>
            <w:proofErr w:type="spellEnd"/>
            <w:r w:rsidRPr="00316577">
              <w:rPr>
                <w:sz w:val="20"/>
                <w:szCs w:val="20"/>
              </w:rPr>
              <w:t xml:space="preserve"> J, Pfeifer M, Sever MJ, </w:t>
            </w:r>
            <w:proofErr w:type="spellStart"/>
            <w:r w:rsidRPr="00316577">
              <w:rPr>
                <w:sz w:val="20"/>
                <w:szCs w:val="20"/>
              </w:rPr>
              <w:t>Cokolic</w:t>
            </w:r>
            <w:proofErr w:type="spellEnd"/>
            <w:r w:rsidRPr="00316577">
              <w:rPr>
                <w:sz w:val="20"/>
                <w:szCs w:val="20"/>
              </w:rPr>
              <w:t xml:space="preserve"> M, </w:t>
            </w:r>
            <w:proofErr w:type="spellStart"/>
            <w:r w:rsidRPr="00316577">
              <w:rPr>
                <w:sz w:val="20"/>
                <w:szCs w:val="20"/>
              </w:rPr>
              <w:t>Zavratnik</w:t>
            </w:r>
            <w:proofErr w:type="spellEnd"/>
            <w:r w:rsidRPr="00316577">
              <w:rPr>
                <w:sz w:val="20"/>
                <w:szCs w:val="20"/>
              </w:rPr>
              <w:t xml:space="preserve"> A (2013) Guidelines for the detection and treatment of osteoporosis. </w:t>
            </w:r>
            <w:proofErr w:type="spellStart"/>
            <w:r w:rsidRPr="00316577">
              <w:rPr>
                <w:sz w:val="20"/>
                <w:szCs w:val="20"/>
              </w:rPr>
              <w:t>Zdravniski</w:t>
            </w:r>
            <w:proofErr w:type="spellEnd"/>
            <w:r w:rsidRPr="00316577">
              <w:rPr>
                <w:sz w:val="20"/>
                <w:szCs w:val="20"/>
              </w:rPr>
              <w:t xml:space="preserve"> </w:t>
            </w:r>
            <w:proofErr w:type="spellStart"/>
            <w:r w:rsidRPr="00316577">
              <w:rPr>
                <w:sz w:val="20"/>
                <w:szCs w:val="20"/>
              </w:rPr>
              <w:t>Vestnik</w:t>
            </w:r>
            <w:proofErr w:type="spellEnd"/>
            <w:r w:rsidRPr="00316577">
              <w:rPr>
                <w:sz w:val="20"/>
                <w:szCs w:val="20"/>
              </w:rPr>
              <w:t>-Slovenian Medical Journal 82: 207-17.</w:t>
            </w:r>
          </w:p>
        </w:tc>
      </w:tr>
      <w:tr w:rsidR="00316577" w:rsidRPr="00316577" w14:paraId="45BA757E" w14:textId="77777777" w:rsidTr="00316577">
        <w:tc>
          <w:tcPr>
            <w:tcW w:w="704" w:type="dxa"/>
          </w:tcPr>
          <w:p w14:paraId="2A36A0A0" w14:textId="77777777" w:rsidR="00316577" w:rsidRPr="00316577" w:rsidRDefault="00316577" w:rsidP="00316577">
            <w:pPr>
              <w:autoSpaceDE w:val="0"/>
              <w:autoSpaceDN w:val="0"/>
              <w:adjustRightInd w:val="0"/>
              <w:spacing w:before="240"/>
              <w:rPr>
                <w:sz w:val="20"/>
                <w:szCs w:val="20"/>
              </w:rPr>
            </w:pPr>
            <w:r w:rsidRPr="00316577">
              <w:rPr>
                <w:sz w:val="20"/>
                <w:szCs w:val="20"/>
              </w:rPr>
              <w:t>97.</w:t>
            </w:r>
          </w:p>
        </w:tc>
        <w:tc>
          <w:tcPr>
            <w:tcW w:w="7745" w:type="dxa"/>
          </w:tcPr>
          <w:p w14:paraId="0CBCE56E" w14:textId="77777777" w:rsidR="00316577" w:rsidRPr="00316577" w:rsidRDefault="00316577" w:rsidP="00316577">
            <w:pPr>
              <w:autoSpaceDE w:val="0"/>
              <w:autoSpaceDN w:val="0"/>
              <w:adjustRightInd w:val="0"/>
              <w:spacing w:before="240"/>
              <w:rPr>
                <w:sz w:val="20"/>
                <w:szCs w:val="20"/>
              </w:rPr>
            </w:pPr>
            <w:r w:rsidRPr="00316577">
              <w:rPr>
                <w:sz w:val="20"/>
                <w:szCs w:val="20"/>
              </w:rPr>
              <w:t xml:space="preserve">International Osteoporosis Foundation guideline references, Slovenia </w:t>
            </w:r>
            <w:hyperlink r:id="rId62" w:anchor="ref_38" w:history="1">
              <w:r w:rsidRPr="00316577">
                <w:rPr>
                  <w:color w:val="0563C1" w:themeColor="hyperlink"/>
                  <w:sz w:val="20"/>
                  <w:szCs w:val="20"/>
                  <w:u w:val="single"/>
                </w:rPr>
                <w:t>http://www.iofbonehealth.org/guideline-references#ref_38</w:t>
              </w:r>
            </w:hyperlink>
            <w:r w:rsidRPr="00316577">
              <w:rPr>
                <w:sz w:val="20"/>
                <w:szCs w:val="20"/>
              </w:rPr>
              <w:t xml:space="preserve"> Accessed 22 October 2015</w:t>
            </w:r>
          </w:p>
        </w:tc>
      </w:tr>
      <w:tr w:rsidR="00316577" w:rsidRPr="00316577" w14:paraId="293CA6C4" w14:textId="77777777" w:rsidTr="00316577">
        <w:tc>
          <w:tcPr>
            <w:tcW w:w="704" w:type="dxa"/>
          </w:tcPr>
          <w:p w14:paraId="1D3A3605" w14:textId="77777777" w:rsidR="00316577" w:rsidRPr="00316577" w:rsidRDefault="00316577" w:rsidP="00316577">
            <w:pPr>
              <w:autoSpaceDE w:val="0"/>
              <w:autoSpaceDN w:val="0"/>
              <w:adjustRightInd w:val="0"/>
              <w:spacing w:before="240"/>
              <w:rPr>
                <w:sz w:val="20"/>
                <w:szCs w:val="20"/>
              </w:rPr>
            </w:pPr>
            <w:r w:rsidRPr="00316577">
              <w:rPr>
                <w:sz w:val="20"/>
                <w:szCs w:val="20"/>
              </w:rPr>
              <w:t>98.</w:t>
            </w:r>
          </w:p>
        </w:tc>
        <w:tc>
          <w:tcPr>
            <w:tcW w:w="7745" w:type="dxa"/>
          </w:tcPr>
          <w:p w14:paraId="5D373016" w14:textId="77777777" w:rsidR="00316577" w:rsidRPr="00316577" w:rsidRDefault="00316577" w:rsidP="00316577">
            <w:pPr>
              <w:autoSpaceDE w:val="0"/>
              <w:autoSpaceDN w:val="0"/>
              <w:adjustRightInd w:val="0"/>
              <w:spacing w:before="240"/>
              <w:rPr>
                <w:sz w:val="20"/>
                <w:szCs w:val="20"/>
              </w:rPr>
            </w:pPr>
            <w:r w:rsidRPr="00316577">
              <w:rPr>
                <w:sz w:val="20"/>
                <w:szCs w:val="20"/>
              </w:rPr>
              <w:t xml:space="preserve">Hough S, </w:t>
            </w:r>
            <w:proofErr w:type="spellStart"/>
            <w:r w:rsidRPr="00316577">
              <w:rPr>
                <w:sz w:val="20"/>
                <w:szCs w:val="20"/>
              </w:rPr>
              <w:t>Ascott</w:t>
            </w:r>
            <w:proofErr w:type="spellEnd"/>
            <w:r w:rsidRPr="00316577">
              <w:rPr>
                <w:sz w:val="20"/>
                <w:szCs w:val="20"/>
              </w:rPr>
              <w:t xml:space="preserve">-Evans B-H, Brown SL et al for the National Osteoporosis Foundation of South Africa (NOFSA) (2010) NOFSA Guideline for the Diagnosis and Management of Osteoporosis. Available online at: www.jemdsa.co.za and </w:t>
            </w:r>
            <w:hyperlink r:id="rId63" w:history="1">
              <w:r w:rsidRPr="00316577">
                <w:rPr>
                  <w:color w:val="0563C1" w:themeColor="hyperlink"/>
                  <w:sz w:val="20"/>
                  <w:szCs w:val="20"/>
                  <w:u w:val="single"/>
                </w:rPr>
                <w:t>www.osteoporosis.org.za</w:t>
              </w:r>
            </w:hyperlink>
            <w:r w:rsidRPr="00316577">
              <w:rPr>
                <w:sz w:val="20"/>
                <w:szCs w:val="20"/>
              </w:rPr>
              <w:t xml:space="preserve">     Accessed 22 October 2015</w:t>
            </w:r>
          </w:p>
        </w:tc>
      </w:tr>
      <w:tr w:rsidR="00316577" w:rsidRPr="00316577" w14:paraId="5D585E96" w14:textId="77777777" w:rsidTr="00316577">
        <w:tc>
          <w:tcPr>
            <w:tcW w:w="704" w:type="dxa"/>
          </w:tcPr>
          <w:p w14:paraId="16D680D3" w14:textId="77777777" w:rsidR="00316577" w:rsidRPr="00316577" w:rsidRDefault="00316577" w:rsidP="00316577">
            <w:pPr>
              <w:spacing w:before="240"/>
              <w:rPr>
                <w:sz w:val="20"/>
                <w:szCs w:val="20"/>
              </w:rPr>
            </w:pPr>
            <w:r w:rsidRPr="00316577">
              <w:rPr>
                <w:sz w:val="20"/>
                <w:szCs w:val="20"/>
              </w:rPr>
              <w:t>99.</w:t>
            </w:r>
          </w:p>
        </w:tc>
        <w:tc>
          <w:tcPr>
            <w:tcW w:w="7745" w:type="dxa"/>
          </w:tcPr>
          <w:p w14:paraId="3E18ED67" w14:textId="77777777" w:rsidR="00316577" w:rsidRPr="00316577" w:rsidRDefault="00316577" w:rsidP="00316577">
            <w:pPr>
              <w:spacing w:before="240"/>
              <w:rPr>
                <w:sz w:val="20"/>
                <w:szCs w:val="20"/>
              </w:rPr>
            </w:pPr>
            <w:r w:rsidRPr="00316577">
              <w:rPr>
                <w:sz w:val="20"/>
                <w:szCs w:val="20"/>
              </w:rPr>
              <w:t xml:space="preserve">Kim JW, Jeon YJ, </w:t>
            </w:r>
            <w:proofErr w:type="spellStart"/>
            <w:r w:rsidRPr="00316577">
              <w:rPr>
                <w:sz w:val="20"/>
                <w:szCs w:val="20"/>
              </w:rPr>
              <w:t>Baek</w:t>
            </w:r>
            <w:proofErr w:type="spellEnd"/>
            <w:r w:rsidRPr="00316577">
              <w:rPr>
                <w:sz w:val="20"/>
                <w:szCs w:val="20"/>
              </w:rPr>
              <w:t xml:space="preserve"> DH, Kim TN, Chang JS (2014) Percentage of the population at high risk of osteoporotic fracture in South Korea: analysis of the 2010 Fifth Korean National Health and Nutrition Examination survey data. Osteoporos </w:t>
            </w:r>
            <w:proofErr w:type="spellStart"/>
            <w:r w:rsidRPr="00316577">
              <w:rPr>
                <w:sz w:val="20"/>
                <w:szCs w:val="20"/>
              </w:rPr>
              <w:t>Int</w:t>
            </w:r>
            <w:proofErr w:type="spellEnd"/>
            <w:r w:rsidRPr="00316577">
              <w:rPr>
                <w:sz w:val="20"/>
                <w:szCs w:val="20"/>
              </w:rPr>
              <w:t xml:space="preserve"> 25: 1313-9.</w:t>
            </w:r>
          </w:p>
        </w:tc>
      </w:tr>
      <w:tr w:rsidR="00316577" w:rsidRPr="00316577" w14:paraId="28755CF5" w14:textId="77777777" w:rsidTr="00316577">
        <w:tc>
          <w:tcPr>
            <w:tcW w:w="704" w:type="dxa"/>
          </w:tcPr>
          <w:p w14:paraId="223175FD" w14:textId="77777777" w:rsidR="00316577" w:rsidRPr="00316577" w:rsidRDefault="00316577" w:rsidP="00316577">
            <w:pPr>
              <w:spacing w:before="240"/>
              <w:rPr>
                <w:sz w:val="20"/>
                <w:szCs w:val="20"/>
              </w:rPr>
            </w:pPr>
            <w:r w:rsidRPr="00316577">
              <w:rPr>
                <w:sz w:val="20"/>
                <w:szCs w:val="20"/>
              </w:rPr>
              <w:t>100.</w:t>
            </w:r>
          </w:p>
        </w:tc>
        <w:tc>
          <w:tcPr>
            <w:tcW w:w="7745" w:type="dxa"/>
          </w:tcPr>
          <w:p w14:paraId="5E88280D" w14:textId="77777777" w:rsidR="00316577" w:rsidRPr="00316577" w:rsidRDefault="00316577" w:rsidP="00316577">
            <w:pPr>
              <w:spacing w:before="240"/>
              <w:rPr>
                <w:sz w:val="20"/>
                <w:szCs w:val="20"/>
              </w:rPr>
            </w:pPr>
            <w:r w:rsidRPr="00316577">
              <w:rPr>
                <w:sz w:val="20"/>
                <w:szCs w:val="20"/>
              </w:rPr>
              <w:t xml:space="preserve">Pérez Edo L, Alonso Ruiz A, </w:t>
            </w:r>
            <w:proofErr w:type="spellStart"/>
            <w:r w:rsidRPr="00316577">
              <w:rPr>
                <w:sz w:val="20"/>
                <w:szCs w:val="20"/>
              </w:rPr>
              <w:t>Roig</w:t>
            </w:r>
            <w:proofErr w:type="spellEnd"/>
            <w:r w:rsidRPr="00316577">
              <w:rPr>
                <w:sz w:val="20"/>
                <w:szCs w:val="20"/>
              </w:rPr>
              <w:t xml:space="preserve"> </w:t>
            </w:r>
            <w:proofErr w:type="spellStart"/>
            <w:r w:rsidRPr="00316577">
              <w:rPr>
                <w:sz w:val="20"/>
                <w:szCs w:val="20"/>
              </w:rPr>
              <w:t>Vilaseca</w:t>
            </w:r>
            <w:proofErr w:type="spellEnd"/>
            <w:r w:rsidRPr="00316577">
              <w:rPr>
                <w:sz w:val="20"/>
                <w:szCs w:val="20"/>
              </w:rPr>
              <w:t xml:space="preserve"> D et al; Spanish Society of Rheumatology (2011) [2011 Up-date of the consensus statement of the Spanish Society of Rheumatology on osteoporosis]. </w:t>
            </w:r>
            <w:proofErr w:type="spellStart"/>
            <w:r w:rsidRPr="00316577">
              <w:rPr>
                <w:sz w:val="20"/>
                <w:szCs w:val="20"/>
              </w:rPr>
              <w:t>Reumatol</w:t>
            </w:r>
            <w:proofErr w:type="spellEnd"/>
            <w:r w:rsidRPr="00316577">
              <w:rPr>
                <w:sz w:val="20"/>
                <w:szCs w:val="20"/>
              </w:rPr>
              <w:t xml:space="preserve"> </w:t>
            </w:r>
            <w:proofErr w:type="spellStart"/>
            <w:r w:rsidRPr="00316577">
              <w:rPr>
                <w:sz w:val="20"/>
                <w:szCs w:val="20"/>
              </w:rPr>
              <w:t>Clin</w:t>
            </w:r>
            <w:proofErr w:type="spellEnd"/>
            <w:r w:rsidRPr="00316577">
              <w:rPr>
                <w:sz w:val="20"/>
                <w:szCs w:val="20"/>
              </w:rPr>
              <w:t xml:space="preserve"> 7: 357-79. Spanish. </w:t>
            </w:r>
          </w:p>
        </w:tc>
      </w:tr>
      <w:tr w:rsidR="00316577" w:rsidRPr="00316577" w14:paraId="2E9B7920" w14:textId="77777777" w:rsidTr="00316577">
        <w:tc>
          <w:tcPr>
            <w:tcW w:w="704" w:type="dxa"/>
          </w:tcPr>
          <w:p w14:paraId="397BDB80" w14:textId="77777777" w:rsidR="00316577" w:rsidRPr="00316577" w:rsidRDefault="00316577" w:rsidP="00316577">
            <w:pPr>
              <w:autoSpaceDE w:val="0"/>
              <w:autoSpaceDN w:val="0"/>
              <w:adjustRightInd w:val="0"/>
              <w:spacing w:before="240"/>
              <w:rPr>
                <w:iCs/>
                <w:sz w:val="20"/>
                <w:szCs w:val="20"/>
                <w:lang w:val="fr-FR"/>
              </w:rPr>
            </w:pPr>
            <w:r w:rsidRPr="00316577">
              <w:rPr>
                <w:iCs/>
                <w:sz w:val="20"/>
                <w:szCs w:val="20"/>
                <w:lang w:val="fr-FR"/>
              </w:rPr>
              <w:t>101.</w:t>
            </w:r>
          </w:p>
        </w:tc>
        <w:tc>
          <w:tcPr>
            <w:tcW w:w="7745" w:type="dxa"/>
          </w:tcPr>
          <w:p w14:paraId="5FA095B0" w14:textId="77777777" w:rsidR="00316577" w:rsidRPr="00316577" w:rsidRDefault="00316577" w:rsidP="00316577">
            <w:pPr>
              <w:autoSpaceDE w:val="0"/>
              <w:autoSpaceDN w:val="0"/>
              <w:adjustRightInd w:val="0"/>
              <w:spacing w:before="240"/>
              <w:rPr>
                <w:iCs/>
                <w:sz w:val="20"/>
                <w:szCs w:val="20"/>
              </w:rPr>
            </w:pPr>
            <w:proofErr w:type="spellStart"/>
            <w:r w:rsidRPr="00316577">
              <w:rPr>
                <w:iCs/>
                <w:sz w:val="20"/>
                <w:szCs w:val="20"/>
                <w:lang w:val="fr-FR"/>
              </w:rPr>
              <w:t>Etxebarria-Foronda</w:t>
            </w:r>
            <w:proofErr w:type="spellEnd"/>
            <w:r w:rsidRPr="00316577">
              <w:rPr>
                <w:iCs/>
                <w:sz w:val="20"/>
                <w:szCs w:val="20"/>
                <w:lang w:val="fr-FR"/>
              </w:rPr>
              <w:t xml:space="preserve"> I, </w:t>
            </w:r>
            <w:proofErr w:type="spellStart"/>
            <w:r w:rsidRPr="00316577">
              <w:rPr>
                <w:iCs/>
                <w:sz w:val="20"/>
                <w:szCs w:val="20"/>
                <w:lang w:val="fr-FR"/>
              </w:rPr>
              <w:t>Caeiro</w:t>
            </w:r>
            <w:proofErr w:type="spellEnd"/>
            <w:r w:rsidRPr="00316577">
              <w:rPr>
                <w:iCs/>
                <w:sz w:val="20"/>
                <w:szCs w:val="20"/>
                <w:lang w:val="fr-FR"/>
              </w:rPr>
              <w:t xml:space="preserve">-Rey </w:t>
            </w:r>
            <w:proofErr w:type="spellStart"/>
            <w:r w:rsidRPr="00316577">
              <w:rPr>
                <w:iCs/>
                <w:sz w:val="20"/>
                <w:szCs w:val="20"/>
                <w:lang w:val="fr-FR"/>
              </w:rPr>
              <w:t>JR,Larrainzar-Garijo</w:t>
            </w:r>
            <w:proofErr w:type="spellEnd"/>
            <w:r w:rsidRPr="00316577">
              <w:rPr>
                <w:iCs/>
                <w:sz w:val="20"/>
                <w:szCs w:val="20"/>
                <w:lang w:val="fr-FR"/>
              </w:rPr>
              <w:t xml:space="preserve"> R et al (2015) </w:t>
            </w:r>
            <w:proofErr w:type="spellStart"/>
            <w:r w:rsidRPr="00316577">
              <w:rPr>
                <w:iCs/>
                <w:sz w:val="20"/>
                <w:szCs w:val="20"/>
                <w:lang w:val="fr-FR"/>
              </w:rPr>
              <w:t>Guía</w:t>
            </w:r>
            <w:proofErr w:type="spellEnd"/>
            <w:r w:rsidRPr="00316577">
              <w:rPr>
                <w:iCs/>
                <w:sz w:val="20"/>
                <w:szCs w:val="20"/>
                <w:lang w:val="fr-FR"/>
              </w:rPr>
              <w:t xml:space="preserve"> SECOT-GEIOS en </w:t>
            </w:r>
            <w:proofErr w:type="spellStart"/>
            <w:r w:rsidRPr="00316577">
              <w:rPr>
                <w:iCs/>
                <w:sz w:val="20"/>
                <w:szCs w:val="20"/>
                <w:lang w:val="fr-FR"/>
              </w:rPr>
              <w:t>osteoporosis</w:t>
            </w:r>
            <w:proofErr w:type="spellEnd"/>
            <w:r w:rsidRPr="00316577">
              <w:rPr>
                <w:iCs/>
                <w:sz w:val="20"/>
                <w:szCs w:val="20"/>
                <w:lang w:val="fr-FR"/>
              </w:rPr>
              <w:t xml:space="preserve"> y fractura </w:t>
            </w:r>
            <w:proofErr w:type="spellStart"/>
            <w:r w:rsidRPr="00316577">
              <w:rPr>
                <w:iCs/>
                <w:sz w:val="20"/>
                <w:szCs w:val="20"/>
                <w:lang w:val="fr-FR"/>
              </w:rPr>
              <w:t>por</w:t>
            </w:r>
            <w:proofErr w:type="spellEnd"/>
            <w:r w:rsidRPr="00316577">
              <w:rPr>
                <w:iCs/>
                <w:sz w:val="20"/>
                <w:szCs w:val="20"/>
                <w:lang w:val="fr-FR"/>
              </w:rPr>
              <w:t xml:space="preserve"> </w:t>
            </w:r>
            <w:proofErr w:type="spellStart"/>
            <w:r w:rsidRPr="00316577">
              <w:rPr>
                <w:iCs/>
                <w:sz w:val="20"/>
                <w:szCs w:val="20"/>
                <w:lang w:val="fr-FR"/>
              </w:rPr>
              <w:t>fragilidad</w:t>
            </w:r>
            <w:proofErr w:type="spellEnd"/>
            <w:r w:rsidRPr="00316577">
              <w:rPr>
                <w:iCs/>
                <w:sz w:val="20"/>
                <w:szCs w:val="20"/>
                <w:lang w:val="fr-FR"/>
              </w:rPr>
              <w:t xml:space="preserve">. </w:t>
            </w:r>
            <w:proofErr w:type="spellStart"/>
            <w:r w:rsidRPr="00316577">
              <w:rPr>
                <w:iCs/>
                <w:sz w:val="20"/>
                <w:szCs w:val="20"/>
              </w:rPr>
              <w:t>Actualización</w:t>
            </w:r>
            <w:proofErr w:type="spellEnd"/>
            <w:r w:rsidRPr="00316577">
              <w:rPr>
                <w:iCs/>
                <w:sz w:val="20"/>
                <w:szCs w:val="20"/>
              </w:rPr>
              <w:t xml:space="preserve">. Rev </w:t>
            </w:r>
            <w:proofErr w:type="spellStart"/>
            <w:r w:rsidRPr="00316577">
              <w:rPr>
                <w:iCs/>
                <w:sz w:val="20"/>
                <w:szCs w:val="20"/>
              </w:rPr>
              <w:t>Esp</w:t>
            </w:r>
            <w:proofErr w:type="spellEnd"/>
            <w:r w:rsidRPr="00316577">
              <w:rPr>
                <w:iCs/>
                <w:sz w:val="20"/>
                <w:szCs w:val="20"/>
              </w:rPr>
              <w:t xml:space="preserve"> Cir </w:t>
            </w:r>
            <w:proofErr w:type="spellStart"/>
            <w:r w:rsidRPr="00316577">
              <w:rPr>
                <w:iCs/>
                <w:sz w:val="20"/>
                <w:szCs w:val="20"/>
              </w:rPr>
              <w:t>Ortop</w:t>
            </w:r>
            <w:proofErr w:type="spellEnd"/>
            <w:r w:rsidRPr="00316577">
              <w:rPr>
                <w:iCs/>
                <w:sz w:val="20"/>
                <w:szCs w:val="20"/>
              </w:rPr>
              <w:t xml:space="preserve"> </w:t>
            </w:r>
            <w:proofErr w:type="spellStart"/>
            <w:r w:rsidRPr="00316577">
              <w:rPr>
                <w:iCs/>
                <w:sz w:val="20"/>
                <w:szCs w:val="20"/>
              </w:rPr>
              <w:t>Traumatol</w:t>
            </w:r>
            <w:proofErr w:type="spellEnd"/>
            <w:r w:rsidRPr="00316577">
              <w:rPr>
                <w:iCs/>
                <w:sz w:val="20"/>
                <w:szCs w:val="20"/>
              </w:rPr>
              <w:t xml:space="preserve"> 59:373-393.</w:t>
            </w:r>
          </w:p>
        </w:tc>
      </w:tr>
      <w:tr w:rsidR="00316577" w:rsidRPr="00316577" w14:paraId="7BE15B9B" w14:textId="77777777" w:rsidTr="00316577">
        <w:tc>
          <w:tcPr>
            <w:tcW w:w="704" w:type="dxa"/>
          </w:tcPr>
          <w:p w14:paraId="1D828197" w14:textId="77777777" w:rsidR="00316577" w:rsidRPr="00316577" w:rsidRDefault="00316577" w:rsidP="00316577">
            <w:pPr>
              <w:spacing w:before="240"/>
              <w:rPr>
                <w:sz w:val="20"/>
                <w:szCs w:val="20"/>
              </w:rPr>
            </w:pPr>
            <w:r w:rsidRPr="00316577">
              <w:rPr>
                <w:sz w:val="20"/>
                <w:szCs w:val="20"/>
              </w:rPr>
              <w:t>102.</w:t>
            </w:r>
          </w:p>
        </w:tc>
        <w:tc>
          <w:tcPr>
            <w:tcW w:w="7745" w:type="dxa"/>
          </w:tcPr>
          <w:p w14:paraId="32B243D7" w14:textId="77777777" w:rsidR="00316577" w:rsidRPr="00316577" w:rsidRDefault="00316577" w:rsidP="00316577">
            <w:pPr>
              <w:spacing w:before="240"/>
              <w:rPr>
                <w:sz w:val="20"/>
                <w:szCs w:val="20"/>
              </w:rPr>
            </w:pPr>
            <w:proofErr w:type="spellStart"/>
            <w:r w:rsidRPr="00316577">
              <w:rPr>
                <w:sz w:val="20"/>
                <w:szCs w:val="20"/>
              </w:rPr>
              <w:t>García</w:t>
            </w:r>
            <w:proofErr w:type="spellEnd"/>
            <w:r w:rsidRPr="00316577">
              <w:rPr>
                <w:sz w:val="20"/>
                <w:szCs w:val="20"/>
              </w:rPr>
              <w:t xml:space="preserve"> R, </w:t>
            </w:r>
            <w:proofErr w:type="spellStart"/>
            <w:r w:rsidRPr="00316577">
              <w:rPr>
                <w:sz w:val="20"/>
                <w:szCs w:val="20"/>
              </w:rPr>
              <w:t>Jódar</w:t>
            </w:r>
            <w:proofErr w:type="spellEnd"/>
            <w:r w:rsidRPr="00316577">
              <w:rPr>
                <w:sz w:val="20"/>
                <w:szCs w:val="20"/>
              </w:rPr>
              <w:t xml:space="preserve"> </w:t>
            </w:r>
            <w:proofErr w:type="spellStart"/>
            <w:r w:rsidRPr="00316577">
              <w:rPr>
                <w:sz w:val="20"/>
                <w:szCs w:val="20"/>
              </w:rPr>
              <w:t>Gimeno</w:t>
            </w:r>
            <w:proofErr w:type="spellEnd"/>
            <w:r w:rsidRPr="00316577">
              <w:rPr>
                <w:sz w:val="20"/>
                <w:szCs w:val="20"/>
              </w:rPr>
              <w:t xml:space="preserve"> E, </w:t>
            </w:r>
            <w:proofErr w:type="spellStart"/>
            <w:r w:rsidRPr="00316577">
              <w:rPr>
                <w:sz w:val="20"/>
                <w:szCs w:val="20"/>
              </w:rPr>
              <w:t>García</w:t>
            </w:r>
            <w:proofErr w:type="spellEnd"/>
            <w:r w:rsidRPr="00316577">
              <w:rPr>
                <w:sz w:val="20"/>
                <w:szCs w:val="20"/>
              </w:rPr>
              <w:t xml:space="preserve"> Martín A et al (2012) [Clinical practice guidelines for evaluation and treatment of osteoporosis associated to endocrine and nutritional conditions. Bone Metabolism Working Group of the Spanish Society of Endocrinology]. </w:t>
            </w:r>
            <w:proofErr w:type="spellStart"/>
            <w:r w:rsidRPr="00316577">
              <w:rPr>
                <w:sz w:val="20"/>
                <w:szCs w:val="20"/>
              </w:rPr>
              <w:t>Endocrinol</w:t>
            </w:r>
            <w:proofErr w:type="spellEnd"/>
            <w:r w:rsidRPr="00316577">
              <w:rPr>
                <w:sz w:val="20"/>
                <w:szCs w:val="20"/>
              </w:rPr>
              <w:t xml:space="preserve"> Nutr 59: 174-96. Erratum in: </w:t>
            </w:r>
            <w:proofErr w:type="spellStart"/>
            <w:r w:rsidRPr="00316577">
              <w:rPr>
                <w:sz w:val="20"/>
                <w:szCs w:val="20"/>
              </w:rPr>
              <w:t>Endocrinol</w:t>
            </w:r>
            <w:proofErr w:type="spellEnd"/>
            <w:r w:rsidRPr="00316577">
              <w:rPr>
                <w:sz w:val="20"/>
                <w:szCs w:val="20"/>
              </w:rPr>
              <w:t xml:space="preserve"> Nutr. 2012 59: 469.</w:t>
            </w:r>
          </w:p>
        </w:tc>
      </w:tr>
      <w:tr w:rsidR="00316577" w:rsidRPr="00316577" w14:paraId="67F7943B" w14:textId="77777777" w:rsidTr="00316577">
        <w:tc>
          <w:tcPr>
            <w:tcW w:w="704" w:type="dxa"/>
          </w:tcPr>
          <w:p w14:paraId="0F84349C" w14:textId="77777777" w:rsidR="00316577" w:rsidRPr="00316577" w:rsidRDefault="00316577" w:rsidP="00316577">
            <w:pPr>
              <w:spacing w:before="240"/>
              <w:rPr>
                <w:sz w:val="20"/>
                <w:szCs w:val="20"/>
              </w:rPr>
            </w:pPr>
            <w:r w:rsidRPr="00316577">
              <w:rPr>
                <w:sz w:val="20"/>
                <w:szCs w:val="20"/>
              </w:rPr>
              <w:t>103.</w:t>
            </w:r>
          </w:p>
        </w:tc>
        <w:tc>
          <w:tcPr>
            <w:tcW w:w="7745" w:type="dxa"/>
          </w:tcPr>
          <w:p w14:paraId="5DE2FC58" w14:textId="77777777" w:rsidR="00316577" w:rsidRPr="00316577" w:rsidRDefault="00316577" w:rsidP="00316577">
            <w:pPr>
              <w:spacing w:before="240"/>
              <w:rPr>
                <w:sz w:val="20"/>
                <w:szCs w:val="20"/>
              </w:rPr>
            </w:pPr>
            <w:proofErr w:type="spellStart"/>
            <w:r w:rsidRPr="00316577">
              <w:rPr>
                <w:sz w:val="20"/>
                <w:szCs w:val="20"/>
              </w:rPr>
              <w:t>Lekamwasam</w:t>
            </w:r>
            <w:proofErr w:type="spellEnd"/>
            <w:r w:rsidRPr="00316577">
              <w:rPr>
                <w:sz w:val="20"/>
                <w:szCs w:val="20"/>
              </w:rPr>
              <w:t xml:space="preserve"> S (2013) Sri Lankan FRAX model and country-specific intervention thresholds. Arch Osteoporos 8: 148.</w:t>
            </w:r>
          </w:p>
        </w:tc>
      </w:tr>
      <w:tr w:rsidR="00316577" w:rsidRPr="00316577" w14:paraId="33674C63" w14:textId="77777777" w:rsidTr="00316577">
        <w:tc>
          <w:tcPr>
            <w:tcW w:w="704" w:type="dxa"/>
          </w:tcPr>
          <w:p w14:paraId="1FFE9A97" w14:textId="77777777" w:rsidR="00316577" w:rsidRPr="00316577" w:rsidRDefault="00316577" w:rsidP="00316577">
            <w:pPr>
              <w:spacing w:before="240"/>
              <w:rPr>
                <w:sz w:val="20"/>
                <w:szCs w:val="20"/>
              </w:rPr>
            </w:pPr>
            <w:r w:rsidRPr="00316577">
              <w:rPr>
                <w:sz w:val="20"/>
                <w:szCs w:val="20"/>
              </w:rPr>
              <w:t>104.</w:t>
            </w:r>
          </w:p>
        </w:tc>
        <w:tc>
          <w:tcPr>
            <w:tcW w:w="7745" w:type="dxa"/>
          </w:tcPr>
          <w:p w14:paraId="057D4FB3" w14:textId="77777777" w:rsidR="00316577" w:rsidRPr="00316577" w:rsidRDefault="00316577" w:rsidP="00316577">
            <w:pPr>
              <w:spacing w:before="240"/>
              <w:rPr>
                <w:sz w:val="20"/>
                <w:szCs w:val="20"/>
              </w:rPr>
            </w:pPr>
            <w:r w:rsidRPr="00316577">
              <w:rPr>
                <w:sz w:val="20"/>
                <w:szCs w:val="20"/>
              </w:rPr>
              <w:t xml:space="preserve">Johansson H, Kanis JA, Ljunggren O, Strom O, </w:t>
            </w:r>
            <w:proofErr w:type="spellStart"/>
            <w:r w:rsidRPr="00316577">
              <w:rPr>
                <w:sz w:val="20"/>
                <w:szCs w:val="20"/>
              </w:rPr>
              <w:t>Svensson</w:t>
            </w:r>
            <w:proofErr w:type="spellEnd"/>
            <w:r w:rsidRPr="00316577">
              <w:rPr>
                <w:sz w:val="20"/>
                <w:szCs w:val="20"/>
              </w:rPr>
              <w:t xml:space="preserve"> O, </w:t>
            </w:r>
            <w:proofErr w:type="spellStart"/>
            <w:r w:rsidRPr="00316577">
              <w:rPr>
                <w:sz w:val="20"/>
                <w:szCs w:val="20"/>
              </w:rPr>
              <w:t>Mellstrom</w:t>
            </w:r>
            <w:proofErr w:type="spellEnd"/>
            <w:r w:rsidRPr="00316577">
              <w:rPr>
                <w:sz w:val="20"/>
                <w:szCs w:val="20"/>
              </w:rPr>
              <w:t xml:space="preserve"> D ( 2011) FRAX--model for 10-year fracture risk assessment. Support in the treatment of osteoporosis, according to preliminary Swedish guidelines. </w:t>
            </w:r>
            <w:proofErr w:type="spellStart"/>
            <w:r w:rsidRPr="00316577">
              <w:rPr>
                <w:sz w:val="20"/>
                <w:szCs w:val="20"/>
              </w:rPr>
              <w:t>Lakartidningen</w:t>
            </w:r>
            <w:proofErr w:type="spellEnd"/>
            <w:r w:rsidRPr="00316577">
              <w:rPr>
                <w:sz w:val="20"/>
                <w:szCs w:val="20"/>
              </w:rPr>
              <w:t xml:space="preserve">  108: 336-9.</w:t>
            </w:r>
          </w:p>
        </w:tc>
      </w:tr>
      <w:tr w:rsidR="00316577" w:rsidRPr="00316577" w14:paraId="2C901638" w14:textId="77777777" w:rsidTr="00316577">
        <w:tc>
          <w:tcPr>
            <w:tcW w:w="704" w:type="dxa"/>
          </w:tcPr>
          <w:p w14:paraId="1CEA3AF3" w14:textId="77777777" w:rsidR="00316577" w:rsidRPr="00316577" w:rsidRDefault="00316577" w:rsidP="00316577">
            <w:pPr>
              <w:spacing w:before="240"/>
              <w:rPr>
                <w:sz w:val="20"/>
                <w:szCs w:val="20"/>
              </w:rPr>
            </w:pPr>
            <w:r w:rsidRPr="00316577">
              <w:rPr>
                <w:sz w:val="20"/>
                <w:szCs w:val="20"/>
              </w:rPr>
              <w:t>105.</w:t>
            </w:r>
          </w:p>
        </w:tc>
        <w:tc>
          <w:tcPr>
            <w:tcW w:w="7745" w:type="dxa"/>
          </w:tcPr>
          <w:p w14:paraId="60E42C9B" w14:textId="77777777" w:rsidR="00316577" w:rsidRPr="00316577" w:rsidRDefault="00316577" w:rsidP="00316577">
            <w:pPr>
              <w:spacing w:before="240"/>
              <w:rPr>
                <w:sz w:val="20"/>
                <w:szCs w:val="20"/>
              </w:rPr>
            </w:pPr>
            <w:proofErr w:type="spellStart"/>
            <w:r w:rsidRPr="00316577">
              <w:rPr>
                <w:sz w:val="20"/>
                <w:szCs w:val="20"/>
              </w:rPr>
              <w:t>Lippuner</w:t>
            </w:r>
            <w:proofErr w:type="spellEnd"/>
            <w:r w:rsidRPr="00316577">
              <w:rPr>
                <w:sz w:val="20"/>
                <w:szCs w:val="20"/>
              </w:rPr>
              <w:t xml:space="preserve"> K, Johansson H, Borgström F et al (2012) Cost-effective intervention thresholds against osteoporotic fractures based on FRAX® in Switzerland. Osteoporos </w:t>
            </w:r>
            <w:proofErr w:type="spellStart"/>
            <w:r w:rsidRPr="00316577">
              <w:rPr>
                <w:sz w:val="20"/>
                <w:szCs w:val="20"/>
              </w:rPr>
              <w:t>Int</w:t>
            </w:r>
            <w:proofErr w:type="spellEnd"/>
            <w:r w:rsidRPr="00316577">
              <w:rPr>
                <w:sz w:val="20"/>
                <w:szCs w:val="20"/>
              </w:rPr>
              <w:t xml:space="preserve"> 23: 2579–2589</w:t>
            </w:r>
          </w:p>
        </w:tc>
      </w:tr>
      <w:tr w:rsidR="00316577" w:rsidRPr="00316577" w14:paraId="64129CC4" w14:textId="77777777" w:rsidTr="00316577">
        <w:tc>
          <w:tcPr>
            <w:tcW w:w="704" w:type="dxa"/>
          </w:tcPr>
          <w:p w14:paraId="2EB12901" w14:textId="77777777" w:rsidR="00316577" w:rsidRPr="00316577" w:rsidRDefault="00316577" w:rsidP="00316577">
            <w:pPr>
              <w:spacing w:before="240"/>
              <w:rPr>
                <w:sz w:val="20"/>
                <w:szCs w:val="20"/>
              </w:rPr>
            </w:pPr>
            <w:r w:rsidRPr="00316577">
              <w:rPr>
                <w:sz w:val="20"/>
                <w:szCs w:val="20"/>
              </w:rPr>
              <w:lastRenderedPageBreak/>
              <w:t>106.</w:t>
            </w:r>
          </w:p>
        </w:tc>
        <w:tc>
          <w:tcPr>
            <w:tcW w:w="7745" w:type="dxa"/>
          </w:tcPr>
          <w:p w14:paraId="5D7EC9DA" w14:textId="77777777" w:rsidR="00316577" w:rsidRPr="00316577" w:rsidRDefault="00316577" w:rsidP="00316577">
            <w:pPr>
              <w:spacing w:before="240"/>
              <w:rPr>
                <w:sz w:val="20"/>
                <w:szCs w:val="20"/>
              </w:rPr>
            </w:pPr>
            <w:r w:rsidRPr="00316577">
              <w:rPr>
                <w:sz w:val="20"/>
                <w:szCs w:val="20"/>
              </w:rPr>
              <w:t xml:space="preserve">TAO Taiwanese Osteoporosis Association (2012) Taiwanese Guidelines for the Prevention and Treatment of Osteoporosis </w:t>
            </w:r>
            <w:hyperlink r:id="rId64" w:history="1">
              <w:r w:rsidRPr="00316577">
                <w:rPr>
                  <w:color w:val="0563C1" w:themeColor="hyperlink"/>
                  <w:sz w:val="20"/>
                  <w:szCs w:val="20"/>
                  <w:u w:val="single"/>
                </w:rPr>
                <w:t>http://www.iofbonehealth.org/sites/default/files/PDFs/National%20Guidelines/Taiwanese_guidelines_prevention_treatment_osteoporosis.pdf</w:t>
              </w:r>
            </w:hyperlink>
            <w:r w:rsidRPr="00316577">
              <w:rPr>
                <w:sz w:val="20"/>
                <w:szCs w:val="20"/>
              </w:rPr>
              <w:t xml:space="preserve"> Accessed 22 October 2015</w:t>
            </w:r>
          </w:p>
        </w:tc>
      </w:tr>
      <w:tr w:rsidR="00316577" w:rsidRPr="00316577" w14:paraId="30524878" w14:textId="77777777" w:rsidTr="00316577">
        <w:tc>
          <w:tcPr>
            <w:tcW w:w="704" w:type="dxa"/>
          </w:tcPr>
          <w:p w14:paraId="3914EC9C" w14:textId="77777777" w:rsidR="00316577" w:rsidRPr="00316577" w:rsidRDefault="00316577" w:rsidP="00316577">
            <w:pPr>
              <w:spacing w:before="240"/>
              <w:rPr>
                <w:sz w:val="20"/>
                <w:szCs w:val="20"/>
              </w:rPr>
            </w:pPr>
            <w:r w:rsidRPr="00316577">
              <w:rPr>
                <w:sz w:val="20"/>
                <w:szCs w:val="20"/>
              </w:rPr>
              <w:t>107.</w:t>
            </w:r>
          </w:p>
        </w:tc>
        <w:tc>
          <w:tcPr>
            <w:tcW w:w="7745" w:type="dxa"/>
          </w:tcPr>
          <w:p w14:paraId="72C5FB9A" w14:textId="77777777" w:rsidR="00316577" w:rsidRPr="00316577" w:rsidRDefault="00316577" w:rsidP="00316577">
            <w:pPr>
              <w:spacing w:before="240"/>
              <w:rPr>
                <w:sz w:val="20"/>
                <w:szCs w:val="20"/>
              </w:rPr>
            </w:pPr>
            <w:proofErr w:type="spellStart"/>
            <w:r w:rsidRPr="00316577">
              <w:rPr>
                <w:sz w:val="20"/>
                <w:szCs w:val="20"/>
              </w:rPr>
              <w:t>Pongchaiyakul</w:t>
            </w:r>
            <w:proofErr w:type="spellEnd"/>
            <w:r w:rsidRPr="00316577">
              <w:rPr>
                <w:sz w:val="20"/>
                <w:szCs w:val="20"/>
              </w:rPr>
              <w:t xml:space="preserve"> C, </w:t>
            </w:r>
            <w:proofErr w:type="spellStart"/>
            <w:r w:rsidRPr="00316577">
              <w:rPr>
                <w:sz w:val="20"/>
                <w:szCs w:val="20"/>
              </w:rPr>
              <w:t>Leerapun</w:t>
            </w:r>
            <w:proofErr w:type="spellEnd"/>
            <w:r w:rsidRPr="00316577">
              <w:rPr>
                <w:sz w:val="20"/>
                <w:szCs w:val="20"/>
              </w:rPr>
              <w:t xml:space="preserve"> T, </w:t>
            </w:r>
            <w:proofErr w:type="spellStart"/>
            <w:r w:rsidRPr="00316577">
              <w:rPr>
                <w:sz w:val="20"/>
                <w:szCs w:val="20"/>
              </w:rPr>
              <w:t>Wongsiri</w:t>
            </w:r>
            <w:proofErr w:type="spellEnd"/>
            <w:r w:rsidRPr="00316577">
              <w:rPr>
                <w:sz w:val="20"/>
                <w:szCs w:val="20"/>
              </w:rPr>
              <w:t xml:space="preserve"> S, </w:t>
            </w:r>
            <w:proofErr w:type="spellStart"/>
            <w:r w:rsidRPr="00316577">
              <w:rPr>
                <w:sz w:val="20"/>
                <w:szCs w:val="20"/>
              </w:rPr>
              <w:t>Songpattanasilp</w:t>
            </w:r>
            <w:proofErr w:type="spellEnd"/>
            <w:r w:rsidRPr="00316577">
              <w:rPr>
                <w:sz w:val="20"/>
                <w:szCs w:val="20"/>
              </w:rPr>
              <w:t xml:space="preserve"> T, </w:t>
            </w:r>
            <w:proofErr w:type="spellStart"/>
            <w:r w:rsidRPr="00316577">
              <w:rPr>
                <w:sz w:val="20"/>
                <w:szCs w:val="20"/>
              </w:rPr>
              <w:t>Taechakraichana</w:t>
            </w:r>
            <w:proofErr w:type="spellEnd"/>
            <w:r w:rsidRPr="00316577">
              <w:rPr>
                <w:sz w:val="20"/>
                <w:szCs w:val="20"/>
              </w:rPr>
              <w:t xml:space="preserve"> N (2012) Value and Validation of RCOST and TOPF Clinical Practice Guideline for Osteoporosis Treatment. J Med Assoc Thailand  95: 1528-35.</w:t>
            </w:r>
          </w:p>
        </w:tc>
      </w:tr>
      <w:tr w:rsidR="00316577" w:rsidRPr="00316577" w14:paraId="73474D84" w14:textId="77777777" w:rsidTr="00316577">
        <w:tc>
          <w:tcPr>
            <w:tcW w:w="704" w:type="dxa"/>
          </w:tcPr>
          <w:p w14:paraId="5FB2F171" w14:textId="77777777" w:rsidR="00316577" w:rsidRPr="00316577" w:rsidRDefault="00316577" w:rsidP="00316577">
            <w:pPr>
              <w:spacing w:before="240"/>
              <w:rPr>
                <w:sz w:val="20"/>
                <w:szCs w:val="20"/>
                <w:highlight w:val="green"/>
              </w:rPr>
            </w:pPr>
            <w:r w:rsidRPr="00316577">
              <w:rPr>
                <w:sz w:val="20"/>
                <w:szCs w:val="20"/>
              </w:rPr>
              <w:t>108.</w:t>
            </w:r>
          </w:p>
        </w:tc>
        <w:tc>
          <w:tcPr>
            <w:tcW w:w="7745" w:type="dxa"/>
          </w:tcPr>
          <w:p w14:paraId="6EE571B0" w14:textId="77777777" w:rsidR="00316577" w:rsidRPr="00316577" w:rsidRDefault="00316577" w:rsidP="00316577">
            <w:pPr>
              <w:spacing w:before="240"/>
              <w:rPr>
                <w:sz w:val="20"/>
                <w:szCs w:val="20"/>
              </w:rPr>
            </w:pPr>
            <w:r w:rsidRPr="00316577">
              <w:rPr>
                <w:sz w:val="20"/>
                <w:szCs w:val="20"/>
              </w:rPr>
              <w:t>Davis S,</w:t>
            </w:r>
            <w:r w:rsidRPr="00316577">
              <w:rPr>
                <w:rFonts w:ascii="TimesNewRomanPSMT" w:hAnsi="TimesNewRomanPSMT" w:cs="TimesNewRomanPSMT"/>
              </w:rPr>
              <w:t xml:space="preserve"> </w:t>
            </w:r>
            <w:r w:rsidRPr="00316577">
              <w:rPr>
                <w:sz w:val="20"/>
                <w:szCs w:val="20"/>
              </w:rPr>
              <w:t xml:space="preserve">Martyn-St James M, Sanderson J, et al (2015) Bisphosphonates for preventing osteoporotic fragility fractures (including a partial update of NICE technology appraisal guidance 160 and 161).Technology Assessment Report commissioned by the NIHR HTA Programme on behalf of the National Institute for Health and Care Excellence. Produced by </w:t>
            </w:r>
            <w:proofErr w:type="spellStart"/>
            <w:r w:rsidRPr="00316577">
              <w:rPr>
                <w:sz w:val="20"/>
                <w:szCs w:val="20"/>
              </w:rPr>
              <w:t>ScHARR</w:t>
            </w:r>
            <w:proofErr w:type="spellEnd"/>
            <w:r w:rsidRPr="00316577">
              <w:rPr>
                <w:sz w:val="20"/>
                <w:szCs w:val="20"/>
              </w:rPr>
              <w:t>, The University of Sheffield</w:t>
            </w:r>
          </w:p>
        </w:tc>
      </w:tr>
      <w:tr w:rsidR="00316577" w:rsidRPr="00316577" w14:paraId="06FF9180" w14:textId="77777777" w:rsidTr="00316577">
        <w:tc>
          <w:tcPr>
            <w:tcW w:w="704" w:type="dxa"/>
          </w:tcPr>
          <w:p w14:paraId="1175C667" w14:textId="77777777" w:rsidR="00316577" w:rsidRPr="00316577" w:rsidRDefault="00316577" w:rsidP="00316577">
            <w:pPr>
              <w:spacing w:before="240"/>
              <w:rPr>
                <w:sz w:val="20"/>
                <w:szCs w:val="20"/>
              </w:rPr>
            </w:pPr>
            <w:r w:rsidRPr="00316577">
              <w:rPr>
                <w:sz w:val="20"/>
                <w:szCs w:val="20"/>
              </w:rPr>
              <w:t>109.</w:t>
            </w:r>
          </w:p>
        </w:tc>
        <w:tc>
          <w:tcPr>
            <w:tcW w:w="7745" w:type="dxa"/>
          </w:tcPr>
          <w:p w14:paraId="6E492439" w14:textId="63486B24" w:rsidR="00316577" w:rsidRPr="00EA52A3" w:rsidRDefault="00316577" w:rsidP="00EA52A3">
            <w:pPr>
              <w:spacing w:before="240"/>
              <w:rPr>
                <w:sz w:val="20"/>
                <w:szCs w:val="20"/>
              </w:rPr>
            </w:pPr>
            <w:r w:rsidRPr="00EA52A3">
              <w:rPr>
                <w:sz w:val="20"/>
                <w:szCs w:val="20"/>
              </w:rPr>
              <w:t>McCloskey E, Kanis JA, Johansson H</w:t>
            </w:r>
            <w:r w:rsidR="00A860AD" w:rsidRPr="00EA52A3">
              <w:rPr>
                <w:sz w:val="20"/>
                <w:szCs w:val="20"/>
              </w:rPr>
              <w:t xml:space="preserve"> et al</w:t>
            </w:r>
            <w:r w:rsidRPr="00EA52A3">
              <w:rPr>
                <w:sz w:val="20"/>
                <w:szCs w:val="20"/>
              </w:rPr>
              <w:t xml:space="preserve"> (2015) FRAX-based assessment and intervention thresholds – an exploration of thresholds in women aged 50 years and older in the UK. Osteoporosis </w:t>
            </w:r>
            <w:proofErr w:type="spellStart"/>
            <w:r w:rsidRPr="00EA52A3">
              <w:rPr>
                <w:sz w:val="20"/>
                <w:szCs w:val="20"/>
              </w:rPr>
              <w:t>Int</w:t>
            </w:r>
            <w:proofErr w:type="spellEnd"/>
            <w:r w:rsidR="00EA52A3" w:rsidRPr="00EA52A3">
              <w:rPr>
                <w:sz w:val="20"/>
                <w:szCs w:val="20"/>
              </w:rPr>
              <w:t xml:space="preserve"> 26:2091-9</w:t>
            </w:r>
          </w:p>
        </w:tc>
      </w:tr>
      <w:tr w:rsidR="00316577" w:rsidRPr="00316577" w14:paraId="450049DB" w14:textId="77777777" w:rsidTr="00316577">
        <w:tc>
          <w:tcPr>
            <w:tcW w:w="704" w:type="dxa"/>
          </w:tcPr>
          <w:p w14:paraId="157D9978" w14:textId="77777777" w:rsidR="00316577" w:rsidRPr="00316577" w:rsidRDefault="00316577" w:rsidP="00316577">
            <w:pPr>
              <w:spacing w:before="240"/>
              <w:rPr>
                <w:sz w:val="20"/>
                <w:szCs w:val="20"/>
              </w:rPr>
            </w:pPr>
            <w:r w:rsidRPr="00316577">
              <w:rPr>
                <w:sz w:val="20"/>
                <w:szCs w:val="20"/>
              </w:rPr>
              <w:t>110.</w:t>
            </w:r>
          </w:p>
        </w:tc>
        <w:tc>
          <w:tcPr>
            <w:tcW w:w="7745" w:type="dxa"/>
          </w:tcPr>
          <w:p w14:paraId="0E754C64" w14:textId="77777777" w:rsidR="00316577" w:rsidRPr="00316577" w:rsidRDefault="00316577" w:rsidP="00316577">
            <w:pPr>
              <w:spacing w:before="240"/>
              <w:rPr>
                <w:sz w:val="20"/>
                <w:szCs w:val="20"/>
              </w:rPr>
            </w:pPr>
            <w:r w:rsidRPr="00316577">
              <w:rPr>
                <w:sz w:val="20"/>
                <w:szCs w:val="20"/>
              </w:rPr>
              <w:t>Lyell V, Henderson E, Devine M, Gregson C (2015)</w:t>
            </w:r>
            <w:r w:rsidRPr="00316577">
              <w:rPr>
                <w:rFonts w:ascii="AdvOTe510cf62.B" w:hAnsi="AdvOTe510cf62.B" w:cs="AdvOTe510cf62.B"/>
                <w:sz w:val="44"/>
                <w:szCs w:val="44"/>
              </w:rPr>
              <w:t xml:space="preserve"> </w:t>
            </w:r>
            <w:r w:rsidRPr="00316577">
              <w:rPr>
                <w:sz w:val="20"/>
                <w:szCs w:val="20"/>
              </w:rPr>
              <w:t>Assessment and management of fracture risk in patients with Parkinson’s disease. Age Ageing  44: 34–41</w:t>
            </w:r>
          </w:p>
        </w:tc>
      </w:tr>
      <w:tr w:rsidR="00316577" w:rsidRPr="00316577" w14:paraId="3771815A" w14:textId="77777777" w:rsidTr="00316577">
        <w:tc>
          <w:tcPr>
            <w:tcW w:w="704" w:type="dxa"/>
          </w:tcPr>
          <w:p w14:paraId="371E32DF" w14:textId="77777777" w:rsidR="00316577" w:rsidRPr="00316577" w:rsidRDefault="00316577" w:rsidP="00316577">
            <w:pPr>
              <w:spacing w:before="240"/>
              <w:rPr>
                <w:sz w:val="20"/>
                <w:szCs w:val="20"/>
              </w:rPr>
            </w:pPr>
            <w:r w:rsidRPr="00316577">
              <w:rPr>
                <w:sz w:val="20"/>
                <w:szCs w:val="20"/>
              </w:rPr>
              <w:t>111.</w:t>
            </w:r>
          </w:p>
        </w:tc>
        <w:tc>
          <w:tcPr>
            <w:tcW w:w="7745" w:type="dxa"/>
          </w:tcPr>
          <w:p w14:paraId="1C926676" w14:textId="77777777" w:rsidR="00316577" w:rsidRPr="00316577" w:rsidRDefault="00316577" w:rsidP="00316577">
            <w:pPr>
              <w:spacing w:before="240"/>
              <w:rPr>
                <w:sz w:val="20"/>
                <w:szCs w:val="20"/>
              </w:rPr>
            </w:pPr>
            <w:proofErr w:type="spellStart"/>
            <w:r w:rsidRPr="00316577">
              <w:rPr>
                <w:sz w:val="20"/>
                <w:szCs w:val="20"/>
              </w:rPr>
              <w:t>Cosman</w:t>
            </w:r>
            <w:proofErr w:type="spellEnd"/>
            <w:r w:rsidRPr="00316577">
              <w:rPr>
                <w:sz w:val="20"/>
                <w:szCs w:val="20"/>
              </w:rPr>
              <w:t xml:space="preserve"> F, de </w:t>
            </w:r>
            <w:proofErr w:type="spellStart"/>
            <w:r w:rsidRPr="00316577">
              <w:rPr>
                <w:sz w:val="20"/>
                <w:szCs w:val="20"/>
              </w:rPr>
              <w:t>Beur</w:t>
            </w:r>
            <w:proofErr w:type="spellEnd"/>
            <w:r w:rsidRPr="00316577">
              <w:rPr>
                <w:sz w:val="20"/>
                <w:szCs w:val="20"/>
              </w:rPr>
              <w:t xml:space="preserve"> SJ, </w:t>
            </w:r>
            <w:proofErr w:type="spellStart"/>
            <w:r w:rsidRPr="00316577">
              <w:rPr>
                <w:sz w:val="20"/>
                <w:szCs w:val="20"/>
              </w:rPr>
              <w:t>LeBoff</w:t>
            </w:r>
            <w:proofErr w:type="spellEnd"/>
            <w:r w:rsidRPr="00316577">
              <w:rPr>
                <w:sz w:val="20"/>
                <w:szCs w:val="20"/>
              </w:rPr>
              <w:t xml:space="preserve"> MS et al (2014) Clinician’s guide to prevention and treatment of osteoporosis. Osteoporos </w:t>
            </w:r>
            <w:proofErr w:type="spellStart"/>
            <w:r w:rsidRPr="00316577">
              <w:rPr>
                <w:sz w:val="20"/>
                <w:szCs w:val="20"/>
              </w:rPr>
              <w:t>Int</w:t>
            </w:r>
            <w:proofErr w:type="spellEnd"/>
            <w:r w:rsidRPr="00316577">
              <w:rPr>
                <w:sz w:val="20"/>
                <w:szCs w:val="20"/>
              </w:rPr>
              <w:t xml:space="preserve"> 25: 2359-81.</w:t>
            </w:r>
          </w:p>
        </w:tc>
      </w:tr>
      <w:tr w:rsidR="00316577" w:rsidRPr="00316577" w14:paraId="305C4B59" w14:textId="77777777" w:rsidTr="00316577">
        <w:tc>
          <w:tcPr>
            <w:tcW w:w="704" w:type="dxa"/>
          </w:tcPr>
          <w:p w14:paraId="187C3449" w14:textId="77777777" w:rsidR="00316577" w:rsidRPr="00316577" w:rsidRDefault="00316577" w:rsidP="00316577">
            <w:pPr>
              <w:spacing w:before="240"/>
              <w:rPr>
                <w:sz w:val="20"/>
                <w:szCs w:val="20"/>
              </w:rPr>
            </w:pPr>
            <w:r w:rsidRPr="00316577">
              <w:rPr>
                <w:sz w:val="20"/>
                <w:szCs w:val="20"/>
              </w:rPr>
              <w:t>112.</w:t>
            </w:r>
          </w:p>
        </w:tc>
        <w:tc>
          <w:tcPr>
            <w:tcW w:w="7745" w:type="dxa"/>
          </w:tcPr>
          <w:p w14:paraId="6FEE9F25" w14:textId="77777777" w:rsidR="00316577" w:rsidRPr="00316577" w:rsidRDefault="00316577" w:rsidP="00316577">
            <w:pPr>
              <w:spacing w:before="240"/>
              <w:rPr>
                <w:sz w:val="20"/>
                <w:szCs w:val="20"/>
              </w:rPr>
            </w:pPr>
            <w:r w:rsidRPr="00316577">
              <w:rPr>
                <w:sz w:val="20"/>
                <w:szCs w:val="20"/>
              </w:rPr>
              <w:t xml:space="preserve">Nelson HD, Haney EM, Chou R, Dana T, Fu R, </w:t>
            </w:r>
            <w:proofErr w:type="spellStart"/>
            <w:r w:rsidRPr="00316577">
              <w:rPr>
                <w:sz w:val="20"/>
                <w:szCs w:val="20"/>
              </w:rPr>
              <w:t>Bougatsos</w:t>
            </w:r>
            <w:proofErr w:type="spellEnd"/>
            <w:r w:rsidRPr="00316577">
              <w:rPr>
                <w:sz w:val="20"/>
                <w:szCs w:val="20"/>
              </w:rPr>
              <w:t xml:space="preserve"> C (2010)  Screening for osteoporosis: systematic review to update the 2002 US Preventive Services Task Force Recommendation. Evidence Syntheses No. 77. AHRQ Publication No. 10-05145-EF-1.</w:t>
            </w:r>
          </w:p>
        </w:tc>
      </w:tr>
      <w:tr w:rsidR="00316577" w:rsidRPr="00316577" w14:paraId="50934DCB" w14:textId="77777777" w:rsidTr="00316577">
        <w:tc>
          <w:tcPr>
            <w:tcW w:w="704" w:type="dxa"/>
          </w:tcPr>
          <w:p w14:paraId="5FC36760" w14:textId="77777777" w:rsidR="00316577" w:rsidRPr="00316577" w:rsidRDefault="00316577" w:rsidP="00316577">
            <w:pPr>
              <w:autoSpaceDE w:val="0"/>
              <w:autoSpaceDN w:val="0"/>
              <w:adjustRightInd w:val="0"/>
              <w:spacing w:before="240"/>
              <w:rPr>
                <w:sz w:val="20"/>
                <w:szCs w:val="20"/>
              </w:rPr>
            </w:pPr>
            <w:r w:rsidRPr="00316577">
              <w:rPr>
                <w:sz w:val="20"/>
                <w:szCs w:val="20"/>
              </w:rPr>
              <w:t>113.</w:t>
            </w:r>
          </w:p>
        </w:tc>
        <w:tc>
          <w:tcPr>
            <w:tcW w:w="7745" w:type="dxa"/>
          </w:tcPr>
          <w:p w14:paraId="6661CA1B" w14:textId="77777777" w:rsidR="00316577" w:rsidRPr="00316577" w:rsidRDefault="00316577" w:rsidP="00316577">
            <w:pPr>
              <w:autoSpaceDE w:val="0"/>
              <w:autoSpaceDN w:val="0"/>
              <w:adjustRightInd w:val="0"/>
              <w:spacing w:before="240"/>
              <w:rPr>
                <w:sz w:val="20"/>
                <w:szCs w:val="20"/>
              </w:rPr>
            </w:pPr>
            <w:r w:rsidRPr="00316577">
              <w:rPr>
                <w:sz w:val="20"/>
                <w:szCs w:val="20"/>
              </w:rPr>
              <w:t xml:space="preserve">Grossman JM, Gordon R, </w:t>
            </w:r>
            <w:proofErr w:type="spellStart"/>
            <w:r w:rsidRPr="00316577">
              <w:rPr>
                <w:sz w:val="20"/>
                <w:szCs w:val="20"/>
              </w:rPr>
              <w:t>Ranganath</w:t>
            </w:r>
            <w:proofErr w:type="spellEnd"/>
            <w:r w:rsidRPr="00316577">
              <w:rPr>
                <w:sz w:val="20"/>
                <w:szCs w:val="20"/>
              </w:rPr>
              <w:t xml:space="preserve"> VK et al (2010) American College of Rheumatology 2010 recommendations for the prevention and treatment of glucocorticoid-induced osteoporosis. Arthritis Care Res (Hoboken) 62: 1515–1526</w:t>
            </w:r>
          </w:p>
        </w:tc>
      </w:tr>
      <w:tr w:rsidR="00316577" w:rsidRPr="00316577" w14:paraId="5D4B0278" w14:textId="77777777" w:rsidTr="00316577">
        <w:tc>
          <w:tcPr>
            <w:tcW w:w="704" w:type="dxa"/>
          </w:tcPr>
          <w:p w14:paraId="3E1C325F" w14:textId="77777777" w:rsidR="00316577" w:rsidRPr="00316577" w:rsidRDefault="00316577" w:rsidP="00316577">
            <w:pPr>
              <w:spacing w:before="240"/>
              <w:rPr>
                <w:sz w:val="20"/>
                <w:szCs w:val="20"/>
              </w:rPr>
            </w:pPr>
            <w:r w:rsidRPr="00316577">
              <w:rPr>
                <w:sz w:val="20"/>
                <w:szCs w:val="20"/>
              </w:rPr>
              <w:t>114.</w:t>
            </w:r>
          </w:p>
        </w:tc>
        <w:tc>
          <w:tcPr>
            <w:tcW w:w="7745" w:type="dxa"/>
          </w:tcPr>
          <w:p w14:paraId="5AC5473E" w14:textId="77777777" w:rsidR="00316577" w:rsidRPr="00316577" w:rsidRDefault="00316577" w:rsidP="00316577">
            <w:pPr>
              <w:spacing w:before="240"/>
              <w:rPr>
                <w:sz w:val="20"/>
                <w:szCs w:val="20"/>
              </w:rPr>
            </w:pPr>
            <w:r w:rsidRPr="00316577">
              <w:rPr>
                <w:sz w:val="20"/>
                <w:szCs w:val="20"/>
              </w:rPr>
              <w:t xml:space="preserve">Watts NB, Adler RA, </w:t>
            </w:r>
            <w:proofErr w:type="spellStart"/>
            <w:r w:rsidRPr="00316577">
              <w:rPr>
                <w:sz w:val="20"/>
                <w:szCs w:val="20"/>
              </w:rPr>
              <w:t>Bilezikian</w:t>
            </w:r>
            <w:proofErr w:type="spellEnd"/>
            <w:r w:rsidRPr="00316577">
              <w:rPr>
                <w:sz w:val="20"/>
                <w:szCs w:val="20"/>
              </w:rPr>
              <w:t xml:space="preserve"> JP et al (2012) Osteoporosis in men: an Endocrine Society clinical practice guideline. J </w:t>
            </w:r>
            <w:proofErr w:type="spellStart"/>
            <w:r w:rsidRPr="00316577">
              <w:rPr>
                <w:sz w:val="20"/>
                <w:szCs w:val="20"/>
              </w:rPr>
              <w:t>Clin</w:t>
            </w:r>
            <w:proofErr w:type="spellEnd"/>
            <w:r w:rsidRPr="00316577">
              <w:rPr>
                <w:sz w:val="20"/>
                <w:szCs w:val="20"/>
              </w:rPr>
              <w:t xml:space="preserve"> </w:t>
            </w:r>
            <w:proofErr w:type="spellStart"/>
            <w:r w:rsidRPr="00316577">
              <w:rPr>
                <w:sz w:val="20"/>
                <w:szCs w:val="20"/>
              </w:rPr>
              <w:t>Endocrinol</w:t>
            </w:r>
            <w:proofErr w:type="spellEnd"/>
            <w:r w:rsidRPr="00316577">
              <w:rPr>
                <w:sz w:val="20"/>
                <w:szCs w:val="20"/>
              </w:rPr>
              <w:t xml:space="preserve"> </w:t>
            </w:r>
            <w:proofErr w:type="spellStart"/>
            <w:r w:rsidRPr="00316577">
              <w:rPr>
                <w:sz w:val="20"/>
                <w:szCs w:val="20"/>
              </w:rPr>
              <w:t>Metab</w:t>
            </w:r>
            <w:proofErr w:type="spellEnd"/>
            <w:r w:rsidRPr="00316577">
              <w:rPr>
                <w:sz w:val="20"/>
                <w:szCs w:val="20"/>
              </w:rPr>
              <w:t xml:space="preserve"> 97: 1802-22.</w:t>
            </w:r>
          </w:p>
        </w:tc>
      </w:tr>
      <w:tr w:rsidR="00316577" w:rsidRPr="00316577" w14:paraId="224F7420" w14:textId="77777777" w:rsidTr="00316577">
        <w:tc>
          <w:tcPr>
            <w:tcW w:w="704" w:type="dxa"/>
          </w:tcPr>
          <w:p w14:paraId="21AA937B" w14:textId="77777777" w:rsidR="00316577" w:rsidRPr="00316577" w:rsidRDefault="00316577" w:rsidP="00316577">
            <w:pPr>
              <w:spacing w:before="240"/>
              <w:rPr>
                <w:sz w:val="20"/>
                <w:szCs w:val="20"/>
              </w:rPr>
            </w:pPr>
            <w:r w:rsidRPr="00316577">
              <w:rPr>
                <w:sz w:val="20"/>
                <w:szCs w:val="20"/>
              </w:rPr>
              <w:t>115.</w:t>
            </w:r>
          </w:p>
        </w:tc>
        <w:tc>
          <w:tcPr>
            <w:tcW w:w="7745" w:type="dxa"/>
          </w:tcPr>
          <w:p w14:paraId="27E8A004" w14:textId="77777777" w:rsidR="00316577" w:rsidRPr="00316577" w:rsidRDefault="00316577" w:rsidP="00316577">
            <w:pPr>
              <w:spacing w:before="240"/>
              <w:rPr>
                <w:sz w:val="20"/>
                <w:szCs w:val="20"/>
              </w:rPr>
            </w:pPr>
            <w:proofErr w:type="spellStart"/>
            <w:r w:rsidRPr="00316577">
              <w:rPr>
                <w:sz w:val="20"/>
                <w:szCs w:val="20"/>
              </w:rPr>
              <w:t>Scillitani</w:t>
            </w:r>
            <w:proofErr w:type="spellEnd"/>
            <w:r w:rsidRPr="00316577">
              <w:rPr>
                <w:sz w:val="20"/>
                <w:szCs w:val="20"/>
              </w:rPr>
              <w:t xml:space="preserve"> A, </w:t>
            </w:r>
            <w:proofErr w:type="spellStart"/>
            <w:r w:rsidRPr="00316577">
              <w:rPr>
                <w:sz w:val="20"/>
                <w:szCs w:val="20"/>
              </w:rPr>
              <w:t>Mazziotti</w:t>
            </w:r>
            <w:proofErr w:type="spellEnd"/>
            <w:r w:rsidRPr="00316577">
              <w:rPr>
                <w:sz w:val="20"/>
                <w:szCs w:val="20"/>
              </w:rPr>
              <w:t xml:space="preserve"> G, Di </w:t>
            </w:r>
            <w:proofErr w:type="spellStart"/>
            <w:r w:rsidRPr="00316577">
              <w:rPr>
                <w:sz w:val="20"/>
                <w:szCs w:val="20"/>
              </w:rPr>
              <w:t>Somma</w:t>
            </w:r>
            <w:proofErr w:type="spellEnd"/>
            <w:r w:rsidRPr="00316577">
              <w:rPr>
                <w:sz w:val="20"/>
                <w:szCs w:val="20"/>
              </w:rPr>
              <w:t xml:space="preserve"> C, et al (2014) Treatment of skeletal impairment in patients with endogenous hypercortisolism: when and how? Osteoporos </w:t>
            </w:r>
            <w:proofErr w:type="spellStart"/>
            <w:r w:rsidRPr="00316577">
              <w:rPr>
                <w:sz w:val="20"/>
                <w:szCs w:val="20"/>
              </w:rPr>
              <w:t>Int</w:t>
            </w:r>
            <w:proofErr w:type="spellEnd"/>
            <w:r w:rsidRPr="00316577">
              <w:rPr>
                <w:sz w:val="20"/>
                <w:szCs w:val="20"/>
              </w:rPr>
              <w:t xml:space="preserve"> 25: 441-6.</w:t>
            </w:r>
          </w:p>
        </w:tc>
      </w:tr>
      <w:tr w:rsidR="00316577" w:rsidRPr="00316577" w14:paraId="3B9C5FB7" w14:textId="77777777" w:rsidTr="00316577">
        <w:tc>
          <w:tcPr>
            <w:tcW w:w="704" w:type="dxa"/>
          </w:tcPr>
          <w:p w14:paraId="5D26ABB7" w14:textId="77777777" w:rsidR="00316577" w:rsidRPr="00316577" w:rsidRDefault="00316577" w:rsidP="00316577">
            <w:pPr>
              <w:spacing w:before="240"/>
              <w:rPr>
                <w:sz w:val="20"/>
                <w:szCs w:val="20"/>
              </w:rPr>
            </w:pPr>
            <w:r w:rsidRPr="00316577">
              <w:rPr>
                <w:sz w:val="20"/>
                <w:szCs w:val="20"/>
              </w:rPr>
              <w:t>116.</w:t>
            </w:r>
          </w:p>
        </w:tc>
        <w:tc>
          <w:tcPr>
            <w:tcW w:w="7745" w:type="dxa"/>
          </w:tcPr>
          <w:p w14:paraId="2F967F3F" w14:textId="77777777" w:rsidR="00316577" w:rsidRPr="00316577" w:rsidRDefault="00316577" w:rsidP="00316577">
            <w:pPr>
              <w:spacing w:before="240"/>
              <w:rPr>
                <w:sz w:val="20"/>
                <w:szCs w:val="20"/>
              </w:rPr>
            </w:pPr>
            <w:r w:rsidRPr="00316577">
              <w:rPr>
                <w:sz w:val="20"/>
                <w:szCs w:val="20"/>
              </w:rPr>
              <w:t xml:space="preserve">Michigan Quality Improvement Consortium Guideline (2014) Management and Prevention of Osteoporosis </w:t>
            </w:r>
            <w:hyperlink r:id="rId65" w:tgtFrame="blank" w:history="1">
              <w:r w:rsidRPr="00316577">
                <w:rPr>
                  <w:color w:val="0563C1" w:themeColor="hyperlink"/>
                  <w:sz w:val="20"/>
                  <w:szCs w:val="20"/>
                  <w:u w:val="single"/>
                </w:rPr>
                <w:t>Michigan Quality Improvement Consortium</w:t>
              </w:r>
            </w:hyperlink>
            <w:r w:rsidRPr="00316577">
              <w:rPr>
                <w:sz w:val="20"/>
                <w:szCs w:val="20"/>
              </w:rPr>
              <w:t xml:space="preserve"> Accessed 25 October 2015</w:t>
            </w:r>
          </w:p>
        </w:tc>
      </w:tr>
      <w:tr w:rsidR="00316577" w:rsidRPr="00316577" w14:paraId="75841A76" w14:textId="77777777" w:rsidTr="00316577">
        <w:tc>
          <w:tcPr>
            <w:tcW w:w="704" w:type="dxa"/>
          </w:tcPr>
          <w:p w14:paraId="7910C26C" w14:textId="77777777" w:rsidR="00316577" w:rsidRPr="00316577" w:rsidRDefault="00316577" w:rsidP="00316577">
            <w:pPr>
              <w:spacing w:before="240"/>
              <w:rPr>
                <w:sz w:val="20"/>
                <w:szCs w:val="20"/>
              </w:rPr>
            </w:pPr>
            <w:r w:rsidRPr="00316577">
              <w:rPr>
                <w:sz w:val="20"/>
                <w:szCs w:val="20"/>
              </w:rPr>
              <w:t>117.</w:t>
            </w:r>
          </w:p>
        </w:tc>
        <w:tc>
          <w:tcPr>
            <w:tcW w:w="7745" w:type="dxa"/>
          </w:tcPr>
          <w:p w14:paraId="12FFAC5D" w14:textId="77777777" w:rsidR="00316577" w:rsidRPr="00316577" w:rsidRDefault="00316577" w:rsidP="00316577">
            <w:pPr>
              <w:spacing w:before="240"/>
              <w:rPr>
                <w:sz w:val="20"/>
                <w:szCs w:val="20"/>
              </w:rPr>
            </w:pPr>
            <w:r w:rsidRPr="00316577">
              <w:rPr>
                <w:sz w:val="20"/>
                <w:szCs w:val="20"/>
              </w:rPr>
              <w:t xml:space="preserve">American College of Obstetricians and </w:t>
            </w:r>
            <w:proofErr w:type="spellStart"/>
            <w:r w:rsidRPr="00316577">
              <w:rPr>
                <w:sz w:val="20"/>
                <w:szCs w:val="20"/>
              </w:rPr>
              <w:t>Gynecologists</w:t>
            </w:r>
            <w:proofErr w:type="spellEnd"/>
            <w:r w:rsidRPr="00316577">
              <w:rPr>
                <w:sz w:val="20"/>
                <w:szCs w:val="20"/>
              </w:rPr>
              <w:t xml:space="preserve"> (ACOG). Osteoporosis. Washington (DC): American College of Obstetricians and </w:t>
            </w:r>
            <w:proofErr w:type="spellStart"/>
            <w:r w:rsidRPr="00316577">
              <w:rPr>
                <w:sz w:val="20"/>
                <w:szCs w:val="20"/>
              </w:rPr>
              <w:t>Gynecologists</w:t>
            </w:r>
            <w:proofErr w:type="spellEnd"/>
            <w:r w:rsidRPr="00316577">
              <w:rPr>
                <w:sz w:val="20"/>
                <w:szCs w:val="20"/>
              </w:rPr>
              <w:t xml:space="preserve"> (AC OG); 2012 Sep. 17. p. (ACOG practice bulletin; no. 129).</w:t>
            </w:r>
          </w:p>
        </w:tc>
      </w:tr>
      <w:tr w:rsidR="00316577" w:rsidRPr="00316577" w14:paraId="6F58E2AC" w14:textId="77777777" w:rsidTr="00316577">
        <w:tc>
          <w:tcPr>
            <w:tcW w:w="704" w:type="dxa"/>
            <w:shd w:val="clear" w:color="auto" w:fill="auto"/>
          </w:tcPr>
          <w:p w14:paraId="67F82749" w14:textId="77777777" w:rsidR="00316577" w:rsidRPr="00316577" w:rsidRDefault="00316577" w:rsidP="00316577">
            <w:pPr>
              <w:spacing w:before="240"/>
              <w:rPr>
                <w:sz w:val="20"/>
                <w:szCs w:val="20"/>
                <w:highlight w:val="green"/>
              </w:rPr>
            </w:pPr>
            <w:r w:rsidRPr="00316577">
              <w:rPr>
                <w:sz w:val="20"/>
                <w:szCs w:val="20"/>
              </w:rPr>
              <w:t>118.</w:t>
            </w:r>
          </w:p>
        </w:tc>
        <w:tc>
          <w:tcPr>
            <w:tcW w:w="7745" w:type="dxa"/>
          </w:tcPr>
          <w:p w14:paraId="360816A1" w14:textId="77777777" w:rsidR="00316577" w:rsidRPr="00316577" w:rsidRDefault="00316577" w:rsidP="00316577">
            <w:pPr>
              <w:spacing w:before="240"/>
              <w:rPr>
                <w:sz w:val="20"/>
                <w:szCs w:val="20"/>
              </w:rPr>
            </w:pPr>
            <w:r w:rsidRPr="00316577">
              <w:rPr>
                <w:sz w:val="20"/>
                <w:szCs w:val="20"/>
              </w:rPr>
              <w:t>North American Menopause Society (NAMS) (2010) Management of osteoporosis in postmenopausal women: 2010 position statement of The North American Menopause Society. Menopause 17: 25-54</w:t>
            </w:r>
          </w:p>
        </w:tc>
      </w:tr>
      <w:tr w:rsidR="00316577" w:rsidRPr="00316577" w14:paraId="69040A82" w14:textId="77777777" w:rsidTr="00316577">
        <w:tc>
          <w:tcPr>
            <w:tcW w:w="704" w:type="dxa"/>
          </w:tcPr>
          <w:p w14:paraId="3FFCC590" w14:textId="77777777" w:rsidR="00316577" w:rsidRPr="00316577" w:rsidRDefault="00316577" w:rsidP="00316577">
            <w:pPr>
              <w:spacing w:before="240"/>
              <w:rPr>
                <w:sz w:val="20"/>
                <w:szCs w:val="20"/>
              </w:rPr>
            </w:pPr>
            <w:r w:rsidRPr="00316577">
              <w:rPr>
                <w:sz w:val="20"/>
                <w:szCs w:val="20"/>
              </w:rPr>
              <w:t>119.</w:t>
            </w:r>
          </w:p>
        </w:tc>
        <w:tc>
          <w:tcPr>
            <w:tcW w:w="7745" w:type="dxa"/>
          </w:tcPr>
          <w:p w14:paraId="5F340080" w14:textId="77777777" w:rsidR="00316577" w:rsidRPr="00316577" w:rsidRDefault="00316577" w:rsidP="00316577">
            <w:pPr>
              <w:spacing w:before="240"/>
              <w:rPr>
                <w:sz w:val="20"/>
                <w:szCs w:val="20"/>
              </w:rPr>
            </w:pPr>
            <w:r w:rsidRPr="00316577">
              <w:rPr>
                <w:sz w:val="20"/>
                <w:szCs w:val="20"/>
              </w:rPr>
              <w:t xml:space="preserve">Sweet MG, Sweet JM, Jeremiah MP, </w:t>
            </w:r>
            <w:proofErr w:type="spellStart"/>
            <w:r w:rsidRPr="00316577">
              <w:rPr>
                <w:sz w:val="20"/>
                <w:szCs w:val="20"/>
              </w:rPr>
              <w:t>Galaska</w:t>
            </w:r>
            <w:proofErr w:type="spellEnd"/>
            <w:r w:rsidRPr="00316577">
              <w:rPr>
                <w:sz w:val="20"/>
                <w:szCs w:val="20"/>
              </w:rPr>
              <w:t xml:space="preserve"> SS (2008) Diagnosis and Treatment of Osteoporosis. American Family Physician 79: 193-200</w:t>
            </w:r>
          </w:p>
        </w:tc>
      </w:tr>
      <w:tr w:rsidR="00316577" w:rsidRPr="00316577" w14:paraId="5D1F732E" w14:textId="77777777" w:rsidTr="00316577">
        <w:tc>
          <w:tcPr>
            <w:tcW w:w="704" w:type="dxa"/>
          </w:tcPr>
          <w:p w14:paraId="5B141F87" w14:textId="77777777" w:rsidR="00316577" w:rsidRPr="00316577" w:rsidRDefault="00316577" w:rsidP="00316577">
            <w:pPr>
              <w:spacing w:before="240"/>
              <w:rPr>
                <w:sz w:val="20"/>
                <w:szCs w:val="20"/>
              </w:rPr>
            </w:pPr>
            <w:r w:rsidRPr="00316577">
              <w:rPr>
                <w:sz w:val="20"/>
                <w:szCs w:val="20"/>
              </w:rPr>
              <w:t>120.</w:t>
            </w:r>
          </w:p>
        </w:tc>
        <w:tc>
          <w:tcPr>
            <w:tcW w:w="7745" w:type="dxa"/>
          </w:tcPr>
          <w:p w14:paraId="2E0A5303" w14:textId="77777777" w:rsidR="00316577" w:rsidRPr="00316577" w:rsidRDefault="00316577" w:rsidP="00316577">
            <w:pPr>
              <w:spacing w:before="240"/>
              <w:rPr>
                <w:sz w:val="20"/>
                <w:szCs w:val="20"/>
              </w:rPr>
            </w:pPr>
            <w:r w:rsidRPr="00316577">
              <w:rPr>
                <w:sz w:val="20"/>
                <w:szCs w:val="20"/>
              </w:rPr>
              <w:t xml:space="preserve">Adler RA, Hastings FW, </w:t>
            </w:r>
            <w:proofErr w:type="spellStart"/>
            <w:r w:rsidRPr="00316577">
              <w:rPr>
                <w:sz w:val="20"/>
                <w:szCs w:val="20"/>
              </w:rPr>
              <w:t>Petkov</w:t>
            </w:r>
            <w:proofErr w:type="spellEnd"/>
            <w:r w:rsidRPr="00316577">
              <w:rPr>
                <w:sz w:val="20"/>
                <w:szCs w:val="20"/>
              </w:rPr>
              <w:t xml:space="preserve"> VI (2010) Treatment thresholds for osteoporosis in men on androgen deprivation therapy: T-score versus FRAX. Osteoporos Int. 21:647-53</w:t>
            </w:r>
          </w:p>
        </w:tc>
      </w:tr>
      <w:tr w:rsidR="00316577" w:rsidRPr="00316577" w14:paraId="4E8B4D38" w14:textId="77777777" w:rsidTr="00316577">
        <w:tc>
          <w:tcPr>
            <w:tcW w:w="704" w:type="dxa"/>
          </w:tcPr>
          <w:p w14:paraId="1A92846E" w14:textId="77777777" w:rsidR="00316577" w:rsidRPr="00316577" w:rsidRDefault="00316577" w:rsidP="00316577">
            <w:pPr>
              <w:autoSpaceDE w:val="0"/>
              <w:autoSpaceDN w:val="0"/>
              <w:adjustRightInd w:val="0"/>
              <w:spacing w:before="240"/>
              <w:rPr>
                <w:sz w:val="20"/>
                <w:szCs w:val="20"/>
              </w:rPr>
            </w:pPr>
            <w:r w:rsidRPr="00316577">
              <w:rPr>
                <w:sz w:val="20"/>
                <w:szCs w:val="20"/>
              </w:rPr>
              <w:lastRenderedPageBreak/>
              <w:t>121.</w:t>
            </w:r>
          </w:p>
        </w:tc>
        <w:tc>
          <w:tcPr>
            <w:tcW w:w="7745" w:type="dxa"/>
          </w:tcPr>
          <w:p w14:paraId="01EF25D7" w14:textId="77777777" w:rsidR="00316577" w:rsidRPr="00316577" w:rsidRDefault="00316577" w:rsidP="00316577">
            <w:pPr>
              <w:autoSpaceDE w:val="0"/>
              <w:autoSpaceDN w:val="0"/>
              <w:adjustRightInd w:val="0"/>
              <w:spacing w:before="240"/>
              <w:rPr>
                <w:sz w:val="20"/>
                <w:szCs w:val="20"/>
              </w:rPr>
            </w:pPr>
            <w:proofErr w:type="spellStart"/>
            <w:r w:rsidRPr="00316577">
              <w:rPr>
                <w:sz w:val="20"/>
                <w:szCs w:val="20"/>
              </w:rPr>
              <w:t>Gralow</w:t>
            </w:r>
            <w:proofErr w:type="spellEnd"/>
            <w:r w:rsidRPr="00316577">
              <w:rPr>
                <w:sz w:val="20"/>
                <w:szCs w:val="20"/>
              </w:rPr>
              <w:t xml:space="preserve"> JR, Biermann JS, </w:t>
            </w:r>
            <w:proofErr w:type="spellStart"/>
            <w:r w:rsidRPr="00316577">
              <w:rPr>
                <w:sz w:val="20"/>
                <w:szCs w:val="20"/>
              </w:rPr>
              <w:t>Farooki</w:t>
            </w:r>
            <w:proofErr w:type="spellEnd"/>
            <w:r w:rsidRPr="00316577">
              <w:rPr>
                <w:sz w:val="20"/>
                <w:szCs w:val="20"/>
              </w:rPr>
              <w:t xml:space="preserve"> A, et al (2009) NCCN Task Force Report: Bone Health in Cancer Care. Journal of the National Comprehensive Cancer Network 7: S1-S32.</w:t>
            </w:r>
          </w:p>
        </w:tc>
      </w:tr>
      <w:tr w:rsidR="00316577" w:rsidRPr="00316577" w14:paraId="695FB13D" w14:textId="77777777" w:rsidTr="00316577">
        <w:tc>
          <w:tcPr>
            <w:tcW w:w="704" w:type="dxa"/>
          </w:tcPr>
          <w:p w14:paraId="511E4C50" w14:textId="77777777" w:rsidR="00316577" w:rsidRPr="00316577" w:rsidRDefault="00316577" w:rsidP="00316577">
            <w:pPr>
              <w:spacing w:before="240"/>
              <w:rPr>
                <w:sz w:val="20"/>
                <w:szCs w:val="20"/>
              </w:rPr>
            </w:pPr>
            <w:r w:rsidRPr="00316577">
              <w:rPr>
                <w:sz w:val="20"/>
                <w:szCs w:val="20"/>
              </w:rPr>
              <w:t>122.</w:t>
            </w:r>
          </w:p>
        </w:tc>
        <w:tc>
          <w:tcPr>
            <w:tcW w:w="7745" w:type="dxa"/>
          </w:tcPr>
          <w:p w14:paraId="12628A48" w14:textId="77777777" w:rsidR="00316577" w:rsidRPr="00316577" w:rsidRDefault="00316577" w:rsidP="00316577">
            <w:pPr>
              <w:spacing w:before="240"/>
              <w:rPr>
                <w:sz w:val="20"/>
                <w:szCs w:val="20"/>
              </w:rPr>
            </w:pPr>
            <w:r w:rsidRPr="00316577">
              <w:rPr>
                <w:sz w:val="20"/>
                <w:szCs w:val="20"/>
              </w:rPr>
              <w:t xml:space="preserve">Jeremiah MP, Unwin BK, </w:t>
            </w:r>
            <w:proofErr w:type="spellStart"/>
            <w:r w:rsidRPr="00316577">
              <w:rPr>
                <w:sz w:val="20"/>
                <w:szCs w:val="20"/>
              </w:rPr>
              <w:t>Greenawald</w:t>
            </w:r>
            <w:proofErr w:type="spellEnd"/>
            <w:r w:rsidRPr="00316577">
              <w:rPr>
                <w:sz w:val="20"/>
                <w:szCs w:val="20"/>
              </w:rPr>
              <w:t xml:space="preserve"> MH, </w:t>
            </w:r>
            <w:proofErr w:type="spellStart"/>
            <w:r w:rsidRPr="00316577">
              <w:rPr>
                <w:sz w:val="20"/>
                <w:szCs w:val="20"/>
              </w:rPr>
              <w:t>Casiano</w:t>
            </w:r>
            <w:proofErr w:type="spellEnd"/>
            <w:r w:rsidRPr="00316577">
              <w:rPr>
                <w:sz w:val="20"/>
                <w:szCs w:val="20"/>
              </w:rPr>
              <w:t xml:space="preserve"> VE (2015) Diagnosis and management of osteoporosis. Am Fam Physician 92: 261-8</w:t>
            </w:r>
          </w:p>
        </w:tc>
      </w:tr>
      <w:tr w:rsidR="00316577" w:rsidRPr="00316577" w14:paraId="4B55896A" w14:textId="77777777" w:rsidTr="00316577">
        <w:tc>
          <w:tcPr>
            <w:tcW w:w="704" w:type="dxa"/>
          </w:tcPr>
          <w:p w14:paraId="171F5D22" w14:textId="77777777" w:rsidR="00316577" w:rsidRPr="00316577" w:rsidRDefault="00316577" w:rsidP="00316577">
            <w:pPr>
              <w:autoSpaceDE w:val="0"/>
              <w:autoSpaceDN w:val="0"/>
              <w:adjustRightInd w:val="0"/>
              <w:spacing w:before="240"/>
              <w:rPr>
                <w:sz w:val="20"/>
                <w:szCs w:val="20"/>
              </w:rPr>
            </w:pPr>
            <w:r w:rsidRPr="00316577">
              <w:rPr>
                <w:sz w:val="20"/>
                <w:szCs w:val="20"/>
              </w:rPr>
              <w:t>123.</w:t>
            </w:r>
          </w:p>
        </w:tc>
        <w:tc>
          <w:tcPr>
            <w:tcW w:w="7745" w:type="dxa"/>
          </w:tcPr>
          <w:p w14:paraId="2944B160" w14:textId="77777777" w:rsidR="00316577" w:rsidRPr="00316577" w:rsidRDefault="00316577" w:rsidP="00316577">
            <w:pPr>
              <w:autoSpaceDE w:val="0"/>
              <w:autoSpaceDN w:val="0"/>
              <w:adjustRightInd w:val="0"/>
              <w:spacing w:before="240"/>
              <w:rPr>
                <w:sz w:val="20"/>
                <w:szCs w:val="20"/>
              </w:rPr>
            </w:pPr>
            <w:r w:rsidRPr="00316577">
              <w:rPr>
                <w:sz w:val="20"/>
                <w:szCs w:val="20"/>
              </w:rPr>
              <w:t xml:space="preserve">Institute for Clinical Systems Improvement (2013) Diagnosis and treatment of osteoporosis. </w:t>
            </w:r>
            <w:hyperlink r:id="rId66" w:history="1">
              <w:r w:rsidRPr="00316577">
                <w:rPr>
                  <w:color w:val="0563C1" w:themeColor="hyperlink"/>
                  <w:sz w:val="20"/>
                  <w:szCs w:val="20"/>
                  <w:u w:val="single"/>
                </w:rPr>
                <w:t>http://www.isci.org/guidelines_more</w:t>
              </w:r>
            </w:hyperlink>
            <w:r w:rsidRPr="00316577">
              <w:rPr>
                <w:sz w:val="20"/>
                <w:szCs w:val="20"/>
              </w:rPr>
              <w:t xml:space="preserve"> Accessed Jan 29, 2016 </w:t>
            </w:r>
          </w:p>
        </w:tc>
      </w:tr>
      <w:tr w:rsidR="00316577" w:rsidRPr="00316577" w14:paraId="2B13A35D" w14:textId="77777777" w:rsidTr="00316577">
        <w:tc>
          <w:tcPr>
            <w:tcW w:w="704" w:type="dxa"/>
          </w:tcPr>
          <w:p w14:paraId="2B8583AC" w14:textId="77777777" w:rsidR="00316577" w:rsidRPr="00316577" w:rsidRDefault="00316577" w:rsidP="00316577">
            <w:pPr>
              <w:spacing w:before="240"/>
              <w:rPr>
                <w:sz w:val="20"/>
                <w:szCs w:val="20"/>
              </w:rPr>
            </w:pPr>
            <w:r w:rsidRPr="00316577">
              <w:rPr>
                <w:sz w:val="20"/>
                <w:szCs w:val="20"/>
              </w:rPr>
              <w:t>124.</w:t>
            </w:r>
          </w:p>
        </w:tc>
        <w:tc>
          <w:tcPr>
            <w:tcW w:w="7745" w:type="dxa"/>
          </w:tcPr>
          <w:p w14:paraId="3C1920FF" w14:textId="77777777" w:rsidR="00316577" w:rsidRPr="00316577" w:rsidRDefault="00316577" w:rsidP="00316577">
            <w:pPr>
              <w:spacing w:before="240"/>
              <w:rPr>
                <w:sz w:val="20"/>
                <w:szCs w:val="20"/>
              </w:rPr>
            </w:pPr>
            <w:proofErr w:type="spellStart"/>
            <w:r w:rsidRPr="00316577">
              <w:rPr>
                <w:sz w:val="20"/>
                <w:szCs w:val="20"/>
              </w:rPr>
              <w:t>Tosteson</w:t>
            </w:r>
            <w:proofErr w:type="spellEnd"/>
            <w:r w:rsidRPr="00316577">
              <w:rPr>
                <w:sz w:val="20"/>
                <w:szCs w:val="20"/>
              </w:rPr>
              <w:t xml:space="preserve"> AN, Melton LJ 3rd, Dawson-Hughes B et al. Cost-effective osteoporosis treatment thresholds: the United States perspective. Osteoporos Int. 2008; 19:437–447</w:t>
            </w:r>
          </w:p>
        </w:tc>
      </w:tr>
      <w:tr w:rsidR="00316577" w:rsidRPr="00316577" w14:paraId="7AD22A7F" w14:textId="77777777" w:rsidTr="00316577">
        <w:tc>
          <w:tcPr>
            <w:tcW w:w="704" w:type="dxa"/>
          </w:tcPr>
          <w:p w14:paraId="2B6F00A0" w14:textId="77777777" w:rsidR="00316577" w:rsidRPr="00316577" w:rsidRDefault="00316577" w:rsidP="00316577">
            <w:pPr>
              <w:spacing w:before="240"/>
              <w:rPr>
                <w:sz w:val="20"/>
                <w:szCs w:val="20"/>
              </w:rPr>
            </w:pPr>
            <w:r w:rsidRPr="00316577">
              <w:rPr>
                <w:sz w:val="20"/>
                <w:szCs w:val="20"/>
              </w:rPr>
              <w:t>125.</w:t>
            </w:r>
          </w:p>
        </w:tc>
        <w:tc>
          <w:tcPr>
            <w:tcW w:w="7745" w:type="dxa"/>
          </w:tcPr>
          <w:p w14:paraId="5C77CBCC" w14:textId="77777777" w:rsidR="00316577" w:rsidRPr="00316577" w:rsidRDefault="00316577" w:rsidP="00316577">
            <w:pPr>
              <w:spacing w:before="240"/>
              <w:rPr>
                <w:sz w:val="20"/>
                <w:szCs w:val="20"/>
              </w:rPr>
            </w:pPr>
            <w:r w:rsidRPr="00316577">
              <w:rPr>
                <w:sz w:val="20"/>
                <w:szCs w:val="20"/>
              </w:rPr>
              <w:t xml:space="preserve">Berry SD, Kiel DP, Donaldson MG, et al (2010) Application of the National Osteoporosis Foundation Guidelines to postmenopausal women and men: the Framingham Osteoporosis Study. Osteoporos </w:t>
            </w:r>
            <w:proofErr w:type="spellStart"/>
            <w:r w:rsidRPr="00316577">
              <w:rPr>
                <w:sz w:val="20"/>
                <w:szCs w:val="20"/>
              </w:rPr>
              <w:t>Int</w:t>
            </w:r>
            <w:proofErr w:type="spellEnd"/>
            <w:r w:rsidRPr="00316577">
              <w:rPr>
                <w:sz w:val="20"/>
                <w:szCs w:val="20"/>
              </w:rPr>
              <w:t xml:space="preserve"> 21:  53-60</w:t>
            </w:r>
          </w:p>
        </w:tc>
      </w:tr>
      <w:tr w:rsidR="00316577" w:rsidRPr="00316577" w14:paraId="24550935" w14:textId="77777777" w:rsidTr="00316577">
        <w:tc>
          <w:tcPr>
            <w:tcW w:w="704" w:type="dxa"/>
          </w:tcPr>
          <w:p w14:paraId="6BB53EB9" w14:textId="77777777" w:rsidR="00316577" w:rsidRPr="00316577" w:rsidRDefault="00316577" w:rsidP="00316577">
            <w:pPr>
              <w:autoSpaceDE w:val="0"/>
              <w:autoSpaceDN w:val="0"/>
              <w:adjustRightInd w:val="0"/>
              <w:spacing w:before="240"/>
              <w:rPr>
                <w:sz w:val="20"/>
                <w:szCs w:val="20"/>
              </w:rPr>
            </w:pPr>
            <w:r w:rsidRPr="00316577">
              <w:rPr>
                <w:sz w:val="20"/>
                <w:szCs w:val="20"/>
              </w:rPr>
              <w:t>126.</w:t>
            </w:r>
          </w:p>
        </w:tc>
        <w:tc>
          <w:tcPr>
            <w:tcW w:w="7745" w:type="dxa"/>
          </w:tcPr>
          <w:p w14:paraId="23343153" w14:textId="77777777" w:rsidR="00316577" w:rsidRPr="00316577" w:rsidRDefault="00316577" w:rsidP="00316577">
            <w:pPr>
              <w:autoSpaceDE w:val="0"/>
              <w:autoSpaceDN w:val="0"/>
              <w:adjustRightInd w:val="0"/>
              <w:spacing w:before="240"/>
              <w:rPr>
                <w:sz w:val="20"/>
                <w:szCs w:val="20"/>
              </w:rPr>
            </w:pPr>
            <w:r w:rsidRPr="00316577">
              <w:rPr>
                <w:sz w:val="20"/>
                <w:szCs w:val="20"/>
              </w:rPr>
              <w:t xml:space="preserve">Dawson-Hughes B, Looker AC, </w:t>
            </w:r>
            <w:proofErr w:type="spellStart"/>
            <w:r w:rsidRPr="00316577">
              <w:rPr>
                <w:sz w:val="20"/>
                <w:szCs w:val="20"/>
              </w:rPr>
              <w:t>Tosteson</w:t>
            </w:r>
            <w:proofErr w:type="spellEnd"/>
            <w:r w:rsidRPr="00316577">
              <w:rPr>
                <w:sz w:val="20"/>
                <w:szCs w:val="20"/>
              </w:rPr>
              <w:t xml:space="preserve"> AN, Johansson H, Kanis JA, Melton LJ 3rd (2010) The potential impact of new National Osteoporosis Foundation guidance on treatment patterns. Osteoporos </w:t>
            </w:r>
            <w:proofErr w:type="spellStart"/>
            <w:r w:rsidRPr="00316577">
              <w:rPr>
                <w:sz w:val="20"/>
                <w:szCs w:val="20"/>
              </w:rPr>
              <w:t>Int</w:t>
            </w:r>
            <w:proofErr w:type="spellEnd"/>
            <w:r w:rsidRPr="00316577">
              <w:rPr>
                <w:sz w:val="20"/>
                <w:szCs w:val="20"/>
              </w:rPr>
              <w:t xml:space="preserve"> 21: 41-52</w:t>
            </w:r>
          </w:p>
        </w:tc>
      </w:tr>
      <w:tr w:rsidR="00316577" w:rsidRPr="00316577" w14:paraId="024D7955" w14:textId="77777777" w:rsidTr="00316577">
        <w:tc>
          <w:tcPr>
            <w:tcW w:w="704" w:type="dxa"/>
          </w:tcPr>
          <w:p w14:paraId="6D4EF7BD" w14:textId="77777777" w:rsidR="00316577" w:rsidRPr="00316577" w:rsidRDefault="00316577" w:rsidP="00316577">
            <w:pPr>
              <w:autoSpaceDE w:val="0"/>
              <w:autoSpaceDN w:val="0"/>
              <w:adjustRightInd w:val="0"/>
              <w:spacing w:before="240"/>
              <w:rPr>
                <w:sz w:val="20"/>
                <w:szCs w:val="20"/>
              </w:rPr>
            </w:pPr>
            <w:r w:rsidRPr="00316577">
              <w:rPr>
                <w:sz w:val="20"/>
                <w:szCs w:val="20"/>
              </w:rPr>
              <w:t>127.</w:t>
            </w:r>
          </w:p>
        </w:tc>
        <w:tc>
          <w:tcPr>
            <w:tcW w:w="7745" w:type="dxa"/>
          </w:tcPr>
          <w:p w14:paraId="0983046D" w14:textId="77777777" w:rsidR="00316577" w:rsidRPr="00316577" w:rsidRDefault="00316577" w:rsidP="00316577">
            <w:pPr>
              <w:autoSpaceDE w:val="0"/>
              <w:autoSpaceDN w:val="0"/>
              <w:adjustRightInd w:val="0"/>
              <w:spacing w:before="240"/>
              <w:rPr>
                <w:sz w:val="20"/>
                <w:szCs w:val="20"/>
              </w:rPr>
            </w:pPr>
            <w:r w:rsidRPr="00316577">
              <w:rPr>
                <w:sz w:val="20"/>
                <w:szCs w:val="20"/>
              </w:rPr>
              <w:t xml:space="preserve">Crandall CJ, Larson J, </w:t>
            </w:r>
            <w:proofErr w:type="spellStart"/>
            <w:r w:rsidRPr="00316577">
              <w:rPr>
                <w:sz w:val="20"/>
                <w:szCs w:val="20"/>
              </w:rPr>
              <w:t>Gourlay</w:t>
            </w:r>
            <w:proofErr w:type="spellEnd"/>
            <w:r w:rsidRPr="00316577">
              <w:rPr>
                <w:sz w:val="20"/>
                <w:szCs w:val="20"/>
              </w:rPr>
              <w:t xml:space="preserve"> M et al (2014) Osteoporosis screening in postmenopausal women 50-64 years-old: Comparison of U.S. Preventive Services Task Force strategy and two traditional strategies in the Women’s Health Initiative. J Bone Miner Res. 29: 1661-6</w:t>
            </w:r>
          </w:p>
        </w:tc>
      </w:tr>
      <w:tr w:rsidR="00316577" w:rsidRPr="00316577" w14:paraId="4128F1D6" w14:textId="77777777" w:rsidTr="00316577">
        <w:tc>
          <w:tcPr>
            <w:tcW w:w="704" w:type="dxa"/>
          </w:tcPr>
          <w:p w14:paraId="71345A0A" w14:textId="77777777" w:rsidR="00316577" w:rsidRPr="00316577" w:rsidRDefault="00316577" w:rsidP="00316577">
            <w:pPr>
              <w:spacing w:before="240"/>
              <w:rPr>
                <w:sz w:val="20"/>
                <w:szCs w:val="20"/>
              </w:rPr>
            </w:pPr>
            <w:r w:rsidRPr="00316577">
              <w:rPr>
                <w:sz w:val="20"/>
                <w:szCs w:val="20"/>
              </w:rPr>
              <w:t>128.</w:t>
            </w:r>
          </w:p>
        </w:tc>
        <w:tc>
          <w:tcPr>
            <w:tcW w:w="7745" w:type="dxa"/>
          </w:tcPr>
          <w:p w14:paraId="006F1944" w14:textId="77777777" w:rsidR="00316577" w:rsidRPr="00316577" w:rsidRDefault="00316577" w:rsidP="00316577">
            <w:pPr>
              <w:spacing w:before="240"/>
              <w:rPr>
                <w:sz w:val="20"/>
                <w:szCs w:val="20"/>
              </w:rPr>
            </w:pPr>
            <w:r w:rsidRPr="00316577">
              <w:rPr>
                <w:sz w:val="20"/>
                <w:szCs w:val="20"/>
              </w:rPr>
              <w:t xml:space="preserve">Kanis JA, Harvey N, McCloskey EV (2014) Pre-screening young postmenopausal women for BMD testing.  </w:t>
            </w:r>
            <w:proofErr w:type="spellStart"/>
            <w:r w:rsidRPr="00316577">
              <w:rPr>
                <w:sz w:val="20"/>
                <w:szCs w:val="20"/>
              </w:rPr>
              <w:t>BoneKEy</w:t>
            </w:r>
            <w:proofErr w:type="spellEnd"/>
            <w:r w:rsidRPr="00316577">
              <w:rPr>
                <w:sz w:val="20"/>
                <w:szCs w:val="20"/>
              </w:rPr>
              <w:t xml:space="preserve"> Reports 3, Article number: 544 doi:10.1038/bonekey.39, Published online 11 June 2014.</w:t>
            </w:r>
          </w:p>
        </w:tc>
      </w:tr>
      <w:tr w:rsidR="00316577" w:rsidRPr="00316577" w14:paraId="661121D7" w14:textId="77777777" w:rsidTr="00316577">
        <w:tc>
          <w:tcPr>
            <w:tcW w:w="704" w:type="dxa"/>
          </w:tcPr>
          <w:p w14:paraId="5AD2780E" w14:textId="77777777" w:rsidR="00316577" w:rsidRPr="00316577" w:rsidRDefault="00316577" w:rsidP="00316577">
            <w:pPr>
              <w:spacing w:before="240"/>
              <w:rPr>
                <w:sz w:val="20"/>
                <w:szCs w:val="20"/>
              </w:rPr>
            </w:pPr>
            <w:r w:rsidRPr="00316577">
              <w:rPr>
                <w:sz w:val="20"/>
                <w:szCs w:val="20"/>
              </w:rPr>
              <w:t>129.</w:t>
            </w:r>
          </w:p>
        </w:tc>
        <w:tc>
          <w:tcPr>
            <w:tcW w:w="7745" w:type="dxa"/>
          </w:tcPr>
          <w:p w14:paraId="5754AA2B" w14:textId="77777777" w:rsidR="00316577" w:rsidRPr="00316577" w:rsidRDefault="00316577" w:rsidP="00316577">
            <w:pPr>
              <w:spacing w:before="240"/>
              <w:rPr>
                <w:sz w:val="20"/>
                <w:szCs w:val="20"/>
              </w:rPr>
            </w:pPr>
            <w:proofErr w:type="spellStart"/>
            <w:r w:rsidRPr="00316577">
              <w:rPr>
                <w:sz w:val="20"/>
                <w:szCs w:val="20"/>
              </w:rPr>
              <w:t>Lydick</w:t>
            </w:r>
            <w:proofErr w:type="spellEnd"/>
            <w:r w:rsidRPr="00316577">
              <w:rPr>
                <w:sz w:val="20"/>
                <w:szCs w:val="20"/>
              </w:rPr>
              <w:t xml:space="preserve"> E, Cook K, Turpin J, Melton M, Stine R, Byrnes C (1998) Development and validation of a simple questionnaire to facilitate identification of women likely to have low bone density. Am J </w:t>
            </w:r>
            <w:proofErr w:type="spellStart"/>
            <w:r w:rsidRPr="00316577">
              <w:rPr>
                <w:sz w:val="20"/>
                <w:szCs w:val="20"/>
              </w:rPr>
              <w:t>Manag</w:t>
            </w:r>
            <w:proofErr w:type="spellEnd"/>
            <w:r w:rsidRPr="00316577">
              <w:rPr>
                <w:sz w:val="20"/>
                <w:szCs w:val="20"/>
              </w:rPr>
              <w:t xml:space="preserve"> Care 4: 37-48.</w:t>
            </w:r>
          </w:p>
        </w:tc>
      </w:tr>
      <w:tr w:rsidR="00316577" w:rsidRPr="00316577" w14:paraId="485DE60F" w14:textId="77777777" w:rsidTr="00316577">
        <w:tc>
          <w:tcPr>
            <w:tcW w:w="704" w:type="dxa"/>
          </w:tcPr>
          <w:p w14:paraId="3A4C165D" w14:textId="77777777" w:rsidR="00316577" w:rsidRPr="00316577" w:rsidRDefault="00316577" w:rsidP="00316577">
            <w:pPr>
              <w:spacing w:before="240"/>
              <w:rPr>
                <w:sz w:val="20"/>
                <w:szCs w:val="20"/>
              </w:rPr>
            </w:pPr>
            <w:r w:rsidRPr="00316577">
              <w:rPr>
                <w:sz w:val="20"/>
                <w:szCs w:val="20"/>
              </w:rPr>
              <w:t>130.</w:t>
            </w:r>
          </w:p>
        </w:tc>
        <w:tc>
          <w:tcPr>
            <w:tcW w:w="7745" w:type="dxa"/>
          </w:tcPr>
          <w:p w14:paraId="1402BEC9" w14:textId="77777777" w:rsidR="00316577" w:rsidRPr="00316577" w:rsidRDefault="00316577" w:rsidP="00316577">
            <w:pPr>
              <w:spacing w:before="240"/>
              <w:rPr>
                <w:sz w:val="20"/>
                <w:szCs w:val="20"/>
              </w:rPr>
            </w:pPr>
            <w:proofErr w:type="spellStart"/>
            <w:r w:rsidRPr="00316577">
              <w:rPr>
                <w:sz w:val="20"/>
                <w:szCs w:val="20"/>
              </w:rPr>
              <w:t>Koh</w:t>
            </w:r>
            <w:proofErr w:type="spellEnd"/>
            <w:r w:rsidRPr="00316577">
              <w:rPr>
                <w:sz w:val="20"/>
                <w:szCs w:val="20"/>
              </w:rPr>
              <w:t xml:space="preserve"> LK, </w:t>
            </w:r>
            <w:proofErr w:type="spellStart"/>
            <w:r w:rsidRPr="00316577">
              <w:rPr>
                <w:sz w:val="20"/>
                <w:szCs w:val="20"/>
              </w:rPr>
              <w:t>Sedrine</w:t>
            </w:r>
            <w:proofErr w:type="spellEnd"/>
            <w:r w:rsidRPr="00316577">
              <w:rPr>
                <w:sz w:val="20"/>
                <w:szCs w:val="20"/>
              </w:rPr>
              <w:t xml:space="preserve"> WB, </w:t>
            </w:r>
            <w:proofErr w:type="spellStart"/>
            <w:r w:rsidRPr="00316577">
              <w:rPr>
                <w:sz w:val="20"/>
                <w:szCs w:val="20"/>
              </w:rPr>
              <w:t>Torralba</w:t>
            </w:r>
            <w:proofErr w:type="spellEnd"/>
            <w:r w:rsidRPr="00316577">
              <w:rPr>
                <w:sz w:val="20"/>
                <w:szCs w:val="20"/>
              </w:rPr>
              <w:t xml:space="preserve"> TP et al (2001) A simple tool to identify Asian women at increased risk of osteoporosis. Osteoporos </w:t>
            </w:r>
            <w:proofErr w:type="spellStart"/>
            <w:r w:rsidRPr="00316577">
              <w:rPr>
                <w:sz w:val="20"/>
                <w:szCs w:val="20"/>
              </w:rPr>
              <w:t>Int</w:t>
            </w:r>
            <w:proofErr w:type="spellEnd"/>
            <w:r w:rsidRPr="00316577">
              <w:rPr>
                <w:sz w:val="20"/>
                <w:szCs w:val="20"/>
              </w:rPr>
              <w:t xml:space="preserve"> 12: 699–705.</w:t>
            </w:r>
          </w:p>
        </w:tc>
      </w:tr>
      <w:tr w:rsidR="00316577" w:rsidRPr="00316577" w14:paraId="4AC762C8" w14:textId="77777777" w:rsidTr="00316577">
        <w:tc>
          <w:tcPr>
            <w:tcW w:w="704" w:type="dxa"/>
          </w:tcPr>
          <w:p w14:paraId="554F9A66" w14:textId="77777777" w:rsidR="00316577" w:rsidRPr="00316577" w:rsidRDefault="00316577" w:rsidP="00316577">
            <w:pPr>
              <w:spacing w:before="240"/>
              <w:rPr>
                <w:sz w:val="20"/>
                <w:szCs w:val="20"/>
              </w:rPr>
            </w:pPr>
            <w:r w:rsidRPr="00316577">
              <w:rPr>
                <w:sz w:val="20"/>
                <w:szCs w:val="20"/>
              </w:rPr>
              <w:t>131.</w:t>
            </w:r>
          </w:p>
        </w:tc>
        <w:tc>
          <w:tcPr>
            <w:tcW w:w="7745" w:type="dxa"/>
          </w:tcPr>
          <w:p w14:paraId="69E329CC" w14:textId="77777777" w:rsidR="00316577" w:rsidRPr="00316577" w:rsidRDefault="00316577" w:rsidP="00316577">
            <w:pPr>
              <w:spacing w:before="240"/>
              <w:rPr>
                <w:sz w:val="20"/>
                <w:szCs w:val="20"/>
              </w:rPr>
            </w:pPr>
            <w:r w:rsidRPr="00316577">
              <w:rPr>
                <w:sz w:val="20"/>
                <w:szCs w:val="20"/>
              </w:rPr>
              <w:t xml:space="preserve">Bansal S, </w:t>
            </w:r>
            <w:proofErr w:type="spellStart"/>
            <w:r w:rsidRPr="00316577">
              <w:rPr>
                <w:sz w:val="20"/>
                <w:szCs w:val="20"/>
              </w:rPr>
              <w:t>Pecina</w:t>
            </w:r>
            <w:proofErr w:type="spellEnd"/>
            <w:r w:rsidRPr="00316577">
              <w:rPr>
                <w:sz w:val="20"/>
                <w:szCs w:val="20"/>
              </w:rPr>
              <w:t xml:space="preserve"> JL, Merry SP, et al (2015) US Preventative Services Task Force FRAX threshold has a low sensitivity to detect osteoporosis in women ages 50-64 years. Osteoporos </w:t>
            </w:r>
            <w:proofErr w:type="spellStart"/>
            <w:r w:rsidRPr="00316577">
              <w:rPr>
                <w:sz w:val="20"/>
                <w:szCs w:val="20"/>
              </w:rPr>
              <w:t>Int</w:t>
            </w:r>
            <w:proofErr w:type="spellEnd"/>
            <w:r w:rsidRPr="00316577">
              <w:rPr>
                <w:sz w:val="20"/>
                <w:szCs w:val="20"/>
              </w:rPr>
              <w:t xml:space="preserve"> 26: 1429-33.</w:t>
            </w:r>
          </w:p>
        </w:tc>
      </w:tr>
      <w:tr w:rsidR="00316577" w:rsidRPr="00316577" w14:paraId="308B389B" w14:textId="77777777" w:rsidTr="00316577">
        <w:tc>
          <w:tcPr>
            <w:tcW w:w="704" w:type="dxa"/>
          </w:tcPr>
          <w:p w14:paraId="5E256D2B" w14:textId="77777777" w:rsidR="00316577" w:rsidRPr="00316577" w:rsidRDefault="00316577" w:rsidP="00316577">
            <w:pPr>
              <w:spacing w:before="240"/>
              <w:rPr>
                <w:sz w:val="20"/>
                <w:szCs w:val="20"/>
              </w:rPr>
            </w:pPr>
            <w:r w:rsidRPr="00316577">
              <w:rPr>
                <w:sz w:val="20"/>
                <w:szCs w:val="20"/>
              </w:rPr>
              <w:t>132.</w:t>
            </w:r>
          </w:p>
        </w:tc>
        <w:tc>
          <w:tcPr>
            <w:tcW w:w="7745" w:type="dxa"/>
          </w:tcPr>
          <w:p w14:paraId="5CD9F4A5" w14:textId="77777777" w:rsidR="00316577" w:rsidRPr="00316577" w:rsidRDefault="00316577" w:rsidP="00316577">
            <w:pPr>
              <w:spacing w:before="240"/>
              <w:rPr>
                <w:sz w:val="20"/>
                <w:szCs w:val="20"/>
              </w:rPr>
            </w:pPr>
            <w:r w:rsidRPr="00316577">
              <w:rPr>
                <w:sz w:val="20"/>
                <w:szCs w:val="20"/>
              </w:rPr>
              <w:t>National Osteoporosis Foundation (NOF) (2008) Clinician’s Guide to prevention and treatment of osteoporosis. Washington: DC National Osteoporosis Foundation.</w:t>
            </w:r>
          </w:p>
        </w:tc>
      </w:tr>
      <w:tr w:rsidR="00316577" w:rsidRPr="00316577" w14:paraId="0A9904BE" w14:textId="77777777" w:rsidTr="00316577">
        <w:tc>
          <w:tcPr>
            <w:tcW w:w="704" w:type="dxa"/>
          </w:tcPr>
          <w:p w14:paraId="680763E7" w14:textId="77777777" w:rsidR="00316577" w:rsidRPr="00316577" w:rsidRDefault="00316577" w:rsidP="00316577">
            <w:pPr>
              <w:spacing w:before="240"/>
              <w:rPr>
                <w:sz w:val="20"/>
                <w:szCs w:val="20"/>
              </w:rPr>
            </w:pPr>
            <w:r w:rsidRPr="00316577">
              <w:rPr>
                <w:sz w:val="20"/>
                <w:szCs w:val="20"/>
              </w:rPr>
              <w:t>133.</w:t>
            </w:r>
          </w:p>
        </w:tc>
        <w:tc>
          <w:tcPr>
            <w:tcW w:w="7745" w:type="dxa"/>
          </w:tcPr>
          <w:p w14:paraId="7E908DB3" w14:textId="77777777" w:rsidR="00316577" w:rsidRPr="00316577" w:rsidRDefault="00316577" w:rsidP="00316577">
            <w:pPr>
              <w:spacing w:before="240"/>
              <w:rPr>
                <w:sz w:val="20"/>
                <w:szCs w:val="20"/>
              </w:rPr>
            </w:pPr>
            <w:r w:rsidRPr="00316577">
              <w:rPr>
                <w:sz w:val="20"/>
                <w:szCs w:val="20"/>
              </w:rPr>
              <w:t xml:space="preserve">van Staa TP, Leufkens HG, </w:t>
            </w:r>
            <w:proofErr w:type="spellStart"/>
            <w:r w:rsidRPr="00316577">
              <w:rPr>
                <w:sz w:val="20"/>
                <w:szCs w:val="20"/>
              </w:rPr>
              <w:t>Abenhaim</w:t>
            </w:r>
            <w:proofErr w:type="spellEnd"/>
            <w:r w:rsidRPr="00316577">
              <w:rPr>
                <w:sz w:val="20"/>
                <w:szCs w:val="20"/>
              </w:rPr>
              <w:t xml:space="preserve"> L, Zhang B, Cooper C (2000) Oral corticosteroids and fracture risk: relationship to daily and cumulative doses. </w:t>
            </w:r>
            <w:proofErr w:type="spellStart"/>
            <w:r w:rsidRPr="00316577">
              <w:rPr>
                <w:sz w:val="20"/>
                <w:szCs w:val="20"/>
              </w:rPr>
              <w:t>Rheumatol</w:t>
            </w:r>
            <w:proofErr w:type="spellEnd"/>
            <w:r w:rsidRPr="00316577">
              <w:rPr>
                <w:sz w:val="20"/>
                <w:szCs w:val="20"/>
              </w:rPr>
              <w:t xml:space="preserve"> (Oxford) 39: 1383-9.</w:t>
            </w:r>
          </w:p>
        </w:tc>
      </w:tr>
      <w:tr w:rsidR="00316577" w:rsidRPr="00316577" w14:paraId="19D0A65F" w14:textId="77777777" w:rsidTr="00316577">
        <w:tc>
          <w:tcPr>
            <w:tcW w:w="704" w:type="dxa"/>
          </w:tcPr>
          <w:p w14:paraId="2B57921D" w14:textId="77777777" w:rsidR="00316577" w:rsidRPr="00316577" w:rsidRDefault="00316577" w:rsidP="00316577">
            <w:pPr>
              <w:spacing w:before="240"/>
              <w:rPr>
                <w:sz w:val="20"/>
                <w:szCs w:val="20"/>
              </w:rPr>
            </w:pPr>
            <w:r w:rsidRPr="00316577">
              <w:rPr>
                <w:sz w:val="20"/>
                <w:szCs w:val="20"/>
              </w:rPr>
              <w:t>134.</w:t>
            </w:r>
          </w:p>
        </w:tc>
        <w:tc>
          <w:tcPr>
            <w:tcW w:w="7745" w:type="dxa"/>
          </w:tcPr>
          <w:p w14:paraId="598D3900" w14:textId="77777777" w:rsidR="00316577" w:rsidRPr="00316577" w:rsidRDefault="00316577" w:rsidP="00316577">
            <w:pPr>
              <w:spacing w:before="240"/>
              <w:rPr>
                <w:sz w:val="20"/>
                <w:szCs w:val="20"/>
                <w:lang w:val="fr-FR"/>
              </w:rPr>
            </w:pPr>
            <w:proofErr w:type="spellStart"/>
            <w:r w:rsidRPr="00316577">
              <w:rPr>
                <w:sz w:val="20"/>
                <w:szCs w:val="20"/>
              </w:rPr>
              <w:t>Orimo</w:t>
            </w:r>
            <w:proofErr w:type="spellEnd"/>
            <w:r w:rsidRPr="00316577">
              <w:rPr>
                <w:sz w:val="20"/>
                <w:szCs w:val="20"/>
              </w:rPr>
              <w:t xml:space="preserve"> H, Hayashi Y, </w:t>
            </w:r>
            <w:proofErr w:type="spellStart"/>
            <w:r w:rsidRPr="00316577">
              <w:rPr>
                <w:sz w:val="20"/>
                <w:szCs w:val="20"/>
              </w:rPr>
              <w:t>Fukunaga</w:t>
            </w:r>
            <w:proofErr w:type="spellEnd"/>
            <w:r w:rsidRPr="00316577">
              <w:rPr>
                <w:sz w:val="20"/>
                <w:szCs w:val="20"/>
              </w:rPr>
              <w:t xml:space="preserve"> M et al (2001) Diagnostic criteria for primary osteoporosis: year 2000 revision. </w:t>
            </w:r>
            <w:r w:rsidRPr="00316577">
              <w:rPr>
                <w:sz w:val="20"/>
                <w:szCs w:val="20"/>
                <w:lang w:val="fr-FR"/>
              </w:rPr>
              <w:t xml:space="preserve">Jap J </w:t>
            </w:r>
            <w:proofErr w:type="spellStart"/>
            <w:r w:rsidRPr="00316577">
              <w:rPr>
                <w:sz w:val="20"/>
                <w:szCs w:val="20"/>
                <w:lang w:val="fr-FR"/>
              </w:rPr>
              <w:t>Bone</w:t>
            </w:r>
            <w:proofErr w:type="spellEnd"/>
            <w:r w:rsidRPr="00316577">
              <w:rPr>
                <w:sz w:val="20"/>
                <w:szCs w:val="20"/>
                <w:lang w:val="fr-FR"/>
              </w:rPr>
              <w:t xml:space="preserve"> Miner </w:t>
            </w:r>
            <w:proofErr w:type="spellStart"/>
            <w:r w:rsidRPr="00316577">
              <w:rPr>
                <w:sz w:val="20"/>
                <w:szCs w:val="20"/>
                <w:lang w:val="fr-FR"/>
              </w:rPr>
              <w:t>Metab</w:t>
            </w:r>
            <w:proofErr w:type="spellEnd"/>
            <w:r w:rsidRPr="00316577">
              <w:rPr>
                <w:sz w:val="20"/>
                <w:szCs w:val="20"/>
                <w:lang w:val="fr-FR"/>
              </w:rPr>
              <w:t xml:space="preserve"> 19: 331–337</w:t>
            </w:r>
          </w:p>
        </w:tc>
      </w:tr>
      <w:tr w:rsidR="00316577" w:rsidRPr="00316577" w14:paraId="21A75D8C" w14:textId="77777777" w:rsidTr="00316577">
        <w:tc>
          <w:tcPr>
            <w:tcW w:w="704" w:type="dxa"/>
          </w:tcPr>
          <w:p w14:paraId="748B372B" w14:textId="77777777" w:rsidR="00316577" w:rsidRPr="00316577" w:rsidRDefault="00316577" w:rsidP="00316577">
            <w:pPr>
              <w:spacing w:before="240"/>
              <w:rPr>
                <w:sz w:val="20"/>
                <w:szCs w:val="20"/>
              </w:rPr>
            </w:pPr>
            <w:r w:rsidRPr="00316577">
              <w:rPr>
                <w:sz w:val="20"/>
                <w:szCs w:val="20"/>
              </w:rPr>
              <w:t>135.</w:t>
            </w:r>
          </w:p>
        </w:tc>
        <w:tc>
          <w:tcPr>
            <w:tcW w:w="7745" w:type="dxa"/>
          </w:tcPr>
          <w:p w14:paraId="1BD0505A" w14:textId="77777777" w:rsidR="00316577" w:rsidRPr="00316577" w:rsidRDefault="00316577" w:rsidP="00316577">
            <w:pPr>
              <w:spacing w:before="240"/>
              <w:rPr>
                <w:sz w:val="20"/>
                <w:szCs w:val="20"/>
              </w:rPr>
            </w:pPr>
            <w:r w:rsidRPr="00316577">
              <w:rPr>
                <w:sz w:val="20"/>
                <w:szCs w:val="20"/>
              </w:rPr>
              <w:t xml:space="preserve">Fujiwara S, Nakamura T, </w:t>
            </w:r>
            <w:proofErr w:type="spellStart"/>
            <w:r w:rsidRPr="00316577">
              <w:rPr>
                <w:sz w:val="20"/>
                <w:szCs w:val="20"/>
              </w:rPr>
              <w:t>Orimo</w:t>
            </w:r>
            <w:proofErr w:type="spellEnd"/>
            <w:r w:rsidRPr="00316577">
              <w:rPr>
                <w:sz w:val="20"/>
                <w:szCs w:val="20"/>
              </w:rPr>
              <w:t xml:space="preserve"> H (2008) Development and application of a Japanese model of the WHO fracture risk assessment tool (FRAX). Osteoporos </w:t>
            </w:r>
            <w:proofErr w:type="spellStart"/>
            <w:r w:rsidRPr="00316577">
              <w:rPr>
                <w:sz w:val="20"/>
                <w:szCs w:val="20"/>
              </w:rPr>
              <w:t>Int</w:t>
            </w:r>
            <w:proofErr w:type="spellEnd"/>
            <w:r w:rsidRPr="00316577">
              <w:rPr>
                <w:sz w:val="20"/>
                <w:szCs w:val="20"/>
              </w:rPr>
              <w:t xml:space="preserve"> 19: 429–435</w:t>
            </w:r>
          </w:p>
        </w:tc>
      </w:tr>
      <w:tr w:rsidR="00316577" w:rsidRPr="00316577" w14:paraId="29B2ABF2" w14:textId="77777777" w:rsidTr="00316577">
        <w:tc>
          <w:tcPr>
            <w:tcW w:w="704" w:type="dxa"/>
          </w:tcPr>
          <w:p w14:paraId="2CBC76F6" w14:textId="77777777" w:rsidR="00316577" w:rsidRPr="00316577" w:rsidRDefault="00316577" w:rsidP="00316577">
            <w:pPr>
              <w:spacing w:before="240"/>
              <w:rPr>
                <w:sz w:val="20"/>
                <w:szCs w:val="20"/>
              </w:rPr>
            </w:pPr>
            <w:r w:rsidRPr="00316577">
              <w:rPr>
                <w:sz w:val="20"/>
                <w:szCs w:val="20"/>
              </w:rPr>
              <w:t>136.</w:t>
            </w:r>
          </w:p>
        </w:tc>
        <w:tc>
          <w:tcPr>
            <w:tcW w:w="7745" w:type="dxa"/>
          </w:tcPr>
          <w:p w14:paraId="552C908F" w14:textId="77777777" w:rsidR="00316577" w:rsidRPr="00316577" w:rsidRDefault="00316577" w:rsidP="00316577">
            <w:pPr>
              <w:spacing w:before="240"/>
              <w:rPr>
                <w:sz w:val="20"/>
                <w:szCs w:val="20"/>
              </w:rPr>
            </w:pPr>
            <w:r w:rsidRPr="00316577">
              <w:rPr>
                <w:sz w:val="20"/>
                <w:szCs w:val="20"/>
              </w:rPr>
              <w:t xml:space="preserve">Kanis JA, Delmas P, Burckhardt P, Cooper C, Torgerson D (1997) Guidelines for diagnosis and management of osteoporosis. Osteoporos </w:t>
            </w:r>
            <w:proofErr w:type="spellStart"/>
            <w:r w:rsidRPr="00316577">
              <w:rPr>
                <w:sz w:val="20"/>
                <w:szCs w:val="20"/>
              </w:rPr>
              <w:t>Int</w:t>
            </w:r>
            <w:proofErr w:type="spellEnd"/>
            <w:r w:rsidRPr="00316577">
              <w:rPr>
                <w:sz w:val="20"/>
                <w:szCs w:val="20"/>
              </w:rPr>
              <w:t xml:space="preserve"> 7:390–406</w:t>
            </w:r>
          </w:p>
        </w:tc>
      </w:tr>
      <w:tr w:rsidR="00316577" w:rsidRPr="00316577" w14:paraId="37EE4917" w14:textId="77777777" w:rsidTr="00316577">
        <w:tc>
          <w:tcPr>
            <w:tcW w:w="704" w:type="dxa"/>
          </w:tcPr>
          <w:p w14:paraId="467B2F44" w14:textId="77777777" w:rsidR="00316577" w:rsidRPr="00316577" w:rsidRDefault="00316577" w:rsidP="00316577">
            <w:pPr>
              <w:spacing w:before="240"/>
              <w:rPr>
                <w:sz w:val="20"/>
                <w:szCs w:val="20"/>
              </w:rPr>
            </w:pPr>
            <w:r w:rsidRPr="00316577">
              <w:rPr>
                <w:sz w:val="20"/>
                <w:szCs w:val="20"/>
              </w:rPr>
              <w:t>137.</w:t>
            </w:r>
          </w:p>
        </w:tc>
        <w:tc>
          <w:tcPr>
            <w:tcW w:w="7745" w:type="dxa"/>
          </w:tcPr>
          <w:p w14:paraId="7ED1210F" w14:textId="77777777" w:rsidR="00316577" w:rsidRPr="00316577" w:rsidRDefault="00316577" w:rsidP="00316577">
            <w:pPr>
              <w:spacing w:before="240"/>
              <w:rPr>
                <w:sz w:val="20"/>
                <w:szCs w:val="20"/>
              </w:rPr>
            </w:pPr>
            <w:r w:rsidRPr="00316577">
              <w:rPr>
                <w:sz w:val="20"/>
                <w:szCs w:val="20"/>
              </w:rPr>
              <w:t>Royal College of Physicians (1999) Osteoporosis: clinical guidelines for the prevention and treatment. RCP, London</w:t>
            </w:r>
          </w:p>
        </w:tc>
      </w:tr>
      <w:tr w:rsidR="00316577" w:rsidRPr="00316577" w14:paraId="709E4E69" w14:textId="77777777" w:rsidTr="00316577">
        <w:tc>
          <w:tcPr>
            <w:tcW w:w="704" w:type="dxa"/>
          </w:tcPr>
          <w:p w14:paraId="4B76CEF2" w14:textId="77777777" w:rsidR="00316577" w:rsidRPr="00316577" w:rsidRDefault="00316577" w:rsidP="00316577">
            <w:pPr>
              <w:autoSpaceDE w:val="0"/>
              <w:autoSpaceDN w:val="0"/>
              <w:adjustRightInd w:val="0"/>
              <w:spacing w:before="240"/>
              <w:rPr>
                <w:sz w:val="20"/>
                <w:szCs w:val="20"/>
              </w:rPr>
            </w:pPr>
            <w:r w:rsidRPr="00316577">
              <w:rPr>
                <w:sz w:val="20"/>
                <w:szCs w:val="20"/>
              </w:rPr>
              <w:lastRenderedPageBreak/>
              <w:t>138.</w:t>
            </w:r>
          </w:p>
        </w:tc>
        <w:tc>
          <w:tcPr>
            <w:tcW w:w="7745" w:type="dxa"/>
          </w:tcPr>
          <w:p w14:paraId="27EE00B8" w14:textId="77777777" w:rsidR="00316577" w:rsidRPr="00316577" w:rsidRDefault="00316577" w:rsidP="00316577">
            <w:pPr>
              <w:autoSpaceDE w:val="0"/>
              <w:autoSpaceDN w:val="0"/>
              <w:adjustRightInd w:val="0"/>
              <w:spacing w:before="240"/>
              <w:rPr>
                <w:sz w:val="20"/>
                <w:szCs w:val="20"/>
              </w:rPr>
            </w:pPr>
            <w:r w:rsidRPr="00316577">
              <w:rPr>
                <w:sz w:val="20"/>
                <w:szCs w:val="20"/>
              </w:rPr>
              <w:t xml:space="preserve">Hwang J, Chan D, Chen J, Cheng T, Wu C, Soong Y, et al (2013) Clinical practice guidelines for the prevention and treatment of osteoporosis in Taiwan: Summary. J Bone Miner </w:t>
            </w:r>
            <w:proofErr w:type="spellStart"/>
            <w:r w:rsidRPr="00316577">
              <w:rPr>
                <w:sz w:val="20"/>
                <w:szCs w:val="20"/>
              </w:rPr>
              <w:t>Metab</w:t>
            </w:r>
            <w:proofErr w:type="spellEnd"/>
            <w:r w:rsidRPr="00316577">
              <w:rPr>
                <w:sz w:val="20"/>
                <w:szCs w:val="20"/>
              </w:rPr>
              <w:t>. 31:1-7.</w:t>
            </w:r>
          </w:p>
        </w:tc>
      </w:tr>
      <w:tr w:rsidR="00316577" w:rsidRPr="00316577" w14:paraId="620240D7" w14:textId="77777777" w:rsidTr="00316577">
        <w:tc>
          <w:tcPr>
            <w:tcW w:w="704" w:type="dxa"/>
          </w:tcPr>
          <w:p w14:paraId="0432FB7F" w14:textId="77777777" w:rsidR="00316577" w:rsidRPr="00316577" w:rsidRDefault="00316577" w:rsidP="00316577">
            <w:pPr>
              <w:spacing w:before="240"/>
              <w:rPr>
                <w:sz w:val="20"/>
                <w:szCs w:val="20"/>
              </w:rPr>
            </w:pPr>
            <w:r w:rsidRPr="00316577">
              <w:rPr>
                <w:sz w:val="20"/>
                <w:szCs w:val="20"/>
              </w:rPr>
              <w:t>139.</w:t>
            </w:r>
          </w:p>
        </w:tc>
        <w:tc>
          <w:tcPr>
            <w:tcW w:w="7745" w:type="dxa"/>
          </w:tcPr>
          <w:p w14:paraId="32E6F999" w14:textId="77777777" w:rsidR="00316577" w:rsidRPr="00316577" w:rsidRDefault="00316577" w:rsidP="00316577">
            <w:pPr>
              <w:spacing w:before="240"/>
              <w:rPr>
                <w:sz w:val="20"/>
                <w:szCs w:val="20"/>
              </w:rPr>
            </w:pPr>
            <w:r w:rsidRPr="00316577">
              <w:rPr>
                <w:sz w:val="20"/>
                <w:szCs w:val="20"/>
              </w:rPr>
              <w:t xml:space="preserve">Compston J, Bowring  C, Cooper A, et al (2013) Diagnosis and management of osteoporosis in postmenopausal women and </w:t>
            </w:r>
            <w:proofErr w:type="spellStart"/>
            <w:r w:rsidRPr="00316577">
              <w:rPr>
                <w:sz w:val="20"/>
                <w:szCs w:val="20"/>
              </w:rPr>
              <w:t>oldermen</w:t>
            </w:r>
            <w:proofErr w:type="spellEnd"/>
            <w:r w:rsidRPr="00316577">
              <w:rPr>
                <w:sz w:val="20"/>
                <w:szCs w:val="20"/>
              </w:rPr>
              <w:t xml:space="preserve"> in the UK: National Osteoporosis Guideline Group (NOGG) update 2013 </w:t>
            </w:r>
            <w:proofErr w:type="spellStart"/>
            <w:r w:rsidRPr="00316577">
              <w:rPr>
                <w:sz w:val="20"/>
                <w:szCs w:val="20"/>
              </w:rPr>
              <w:t>Maturitas</w:t>
            </w:r>
            <w:proofErr w:type="spellEnd"/>
            <w:r w:rsidRPr="00316577">
              <w:rPr>
                <w:sz w:val="20"/>
                <w:szCs w:val="20"/>
              </w:rPr>
              <w:t xml:space="preserve"> 75:392-396.</w:t>
            </w:r>
          </w:p>
        </w:tc>
      </w:tr>
      <w:tr w:rsidR="00316577" w:rsidRPr="00316577" w14:paraId="1F0745AD" w14:textId="77777777" w:rsidTr="00316577">
        <w:tc>
          <w:tcPr>
            <w:tcW w:w="704" w:type="dxa"/>
          </w:tcPr>
          <w:p w14:paraId="0B7E6548" w14:textId="77777777" w:rsidR="00316577" w:rsidRPr="00316577" w:rsidRDefault="00316577" w:rsidP="00316577">
            <w:pPr>
              <w:spacing w:before="240"/>
              <w:rPr>
                <w:sz w:val="20"/>
                <w:szCs w:val="20"/>
              </w:rPr>
            </w:pPr>
            <w:r w:rsidRPr="00316577">
              <w:rPr>
                <w:sz w:val="20"/>
                <w:szCs w:val="20"/>
              </w:rPr>
              <w:t>140.</w:t>
            </w:r>
          </w:p>
        </w:tc>
        <w:tc>
          <w:tcPr>
            <w:tcW w:w="7745" w:type="dxa"/>
          </w:tcPr>
          <w:p w14:paraId="0B002139" w14:textId="77777777" w:rsidR="00316577" w:rsidRPr="00316577" w:rsidRDefault="00316577" w:rsidP="00316577">
            <w:pPr>
              <w:spacing w:before="240"/>
              <w:rPr>
                <w:sz w:val="20"/>
                <w:szCs w:val="20"/>
              </w:rPr>
            </w:pPr>
            <w:r w:rsidRPr="00316577">
              <w:rPr>
                <w:sz w:val="20"/>
                <w:szCs w:val="20"/>
              </w:rPr>
              <w:t xml:space="preserve">Kanis JA, McCloskey EV, Johansson H, Strom O, Borgstrom F, Oden A and the National Osteoporosis Guideline Group (2008)  Case finding for the management of osteoporosis with FRAX® - Assessment and intervention thresholds for the UK Osteoporosis International 19; 1395-1408. PMID: 18751937. Erratum in Osteoporos </w:t>
            </w:r>
            <w:proofErr w:type="spellStart"/>
            <w:r w:rsidRPr="00316577">
              <w:rPr>
                <w:sz w:val="20"/>
                <w:szCs w:val="20"/>
              </w:rPr>
              <w:t>Int</w:t>
            </w:r>
            <w:proofErr w:type="spellEnd"/>
            <w:r w:rsidRPr="00316577">
              <w:rPr>
                <w:sz w:val="20"/>
                <w:szCs w:val="20"/>
              </w:rPr>
              <w:t xml:space="preserve"> 2009;20:499–502</w:t>
            </w:r>
          </w:p>
        </w:tc>
      </w:tr>
      <w:tr w:rsidR="00316577" w:rsidRPr="00316577" w14:paraId="6106F7FB" w14:textId="77777777" w:rsidTr="00316577">
        <w:tc>
          <w:tcPr>
            <w:tcW w:w="704" w:type="dxa"/>
          </w:tcPr>
          <w:p w14:paraId="7508B9A3" w14:textId="77777777" w:rsidR="00316577" w:rsidRPr="00316577" w:rsidRDefault="00316577" w:rsidP="00316577">
            <w:pPr>
              <w:spacing w:before="240"/>
              <w:rPr>
                <w:sz w:val="20"/>
                <w:szCs w:val="20"/>
              </w:rPr>
            </w:pPr>
            <w:r w:rsidRPr="00316577">
              <w:rPr>
                <w:sz w:val="20"/>
                <w:szCs w:val="20"/>
              </w:rPr>
              <w:t>141.</w:t>
            </w:r>
          </w:p>
        </w:tc>
        <w:tc>
          <w:tcPr>
            <w:tcW w:w="7745" w:type="dxa"/>
          </w:tcPr>
          <w:p w14:paraId="6AC6A077" w14:textId="77777777" w:rsidR="00316577" w:rsidRPr="00316577" w:rsidRDefault="00316577" w:rsidP="00316577">
            <w:pPr>
              <w:spacing w:before="240"/>
              <w:rPr>
                <w:sz w:val="20"/>
                <w:szCs w:val="20"/>
              </w:rPr>
            </w:pPr>
            <w:r w:rsidRPr="00316577">
              <w:rPr>
                <w:sz w:val="20"/>
                <w:szCs w:val="20"/>
              </w:rPr>
              <w:t xml:space="preserve">Compston J, Cooper A, Cooper C et al (2009) Guidelines for the diagnosis and management of osteoporosis in postmenopausal women and men from the age of 50 years in the UK. </w:t>
            </w:r>
            <w:proofErr w:type="spellStart"/>
            <w:r w:rsidRPr="00316577">
              <w:rPr>
                <w:sz w:val="20"/>
                <w:szCs w:val="20"/>
              </w:rPr>
              <w:t>Maturitas</w:t>
            </w:r>
            <w:proofErr w:type="spellEnd"/>
            <w:r w:rsidRPr="00316577">
              <w:rPr>
                <w:sz w:val="20"/>
                <w:szCs w:val="20"/>
              </w:rPr>
              <w:t xml:space="preserve">  62:105–108.</w:t>
            </w:r>
          </w:p>
        </w:tc>
      </w:tr>
      <w:tr w:rsidR="00316577" w:rsidRPr="00316577" w14:paraId="07F4CF8E" w14:textId="77777777" w:rsidTr="00316577">
        <w:tc>
          <w:tcPr>
            <w:tcW w:w="704" w:type="dxa"/>
          </w:tcPr>
          <w:p w14:paraId="636430AC" w14:textId="77777777" w:rsidR="00316577" w:rsidRPr="00316577" w:rsidRDefault="00316577" w:rsidP="00316577">
            <w:pPr>
              <w:spacing w:before="240"/>
              <w:rPr>
                <w:sz w:val="20"/>
                <w:szCs w:val="20"/>
              </w:rPr>
            </w:pPr>
            <w:r w:rsidRPr="00316577">
              <w:rPr>
                <w:sz w:val="20"/>
                <w:szCs w:val="20"/>
              </w:rPr>
              <w:t>142.</w:t>
            </w:r>
          </w:p>
        </w:tc>
        <w:tc>
          <w:tcPr>
            <w:tcW w:w="7745" w:type="dxa"/>
          </w:tcPr>
          <w:p w14:paraId="15AC242F" w14:textId="77777777" w:rsidR="00316577" w:rsidRPr="00316577" w:rsidRDefault="00316577" w:rsidP="00316577">
            <w:pPr>
              <w:spacing w:before="240"/>
              <w:rPr>
                <w:sz w:val="20"/>
                <w:szCs w:val="20"/>
              </w:rPr>
            </w:pPr>
            <w:r w:rsidRPr="00316577">
              <w:rPr>
                <w:sz w:val="20"/>
                <w:szCs w:val="20"/>
              </w:rPr>
              <w:t>Johansson H, Oden A, Johnell O et al (2004) Optimization of BMD measurements to identify high risk groups for treatment – a test analysis. J Bone Miner Res 19: 906-913.</w:t>
            </w:r>
          </w:p>
        </w:tc>
      </w:tr>
      <w:tr w:rsidR="00316577" w:rsidRPr="00316577" w14:paraId="64BDF83E" w14:textId="77777777" w:rsidTr="00316577">
        <w:tc>
          <w:tcPr>
            <w:tcW w:w="704" w:type="dxa"/>
          </w:tcPr>
          <w:p w14:paraId="55CB4211" w14:textId="77777777" w:rsidR="00316577" w:rsidRPr="00316577" w:rsidRDefault="00316577" w:rsidP="00316577">
            <w:pPr>
              <w:spacing w:before="240"/>
              <w:rPr>
                <w:sz w:val="20"/>
                <w:szCs w:val="20"/>
              </w:rPr>
            </w:pPr>
            <w:r w:rsidRPr="00316577">
              <w:rPr>
                <w:sz w:val="20"/>
                <w:szCs w:val="20"/>
              </w:rPr>
              <w:t>143.</w:t>
            </w:r>
          </w:p>
        </w:tc>
        <w:tc>
          <w:tcPr>
            <w:tcW w:w="7745" w:type="dxa"/>
          </w:tcPr>
          <w:p w14:paraId="71B26AF4" w14:textId="77777777" w:rsidR="00316577" w:rsidRPr="00316577" w:rsidRDefault="00316577" w:rsidP="00316577">
            <w:pPr>
              <w:spacing w:before="240"/>
              <w:rPr>
                <w:sz w:val="20"/>
                <w:szCs w:val="20"/>
              </w:rPr>
            </w:pPr>
            <w:r w:rsidRPr="00316577">
              <w:rPr>
                <w:sz w:val="20"/>
                <w:szCs w:val="20"/>
              </w:rPr>
              <w:t xml:space="preserve">Kanis JA, Stevenson M, McCloskey EV, Davis S, Lloyd-Jones M (2007) Glucocorticoid-induced osteoporosis: a systematic review and cost-utility analysis. Health </w:t>
            </w:r>
            <w:proofErr w:type="spellStart"/>
            <w:r w:rsidRPr="00316577">
              <w:rPr>
                <w:sz w:val="20"/>
                <w:szCs w:val="20"/>
              </w:rPr>
              <w:t>Technol</w:t>
            </w:r>
            <w:proofErr w:type="spellEnd"/>
            <w:r w:rsidRPr="00316577">
              <w:rPr>
                <w:sz w:val="20"/>
                <w:szCs w:val="20"/>
              </w:rPr>
              <w:t xml:space="preserve"> Assess. 2007; 11:1–256.</w:t>
            </w:r>
          </w:p>
        </w:tc>
      </w:tr>
      <w:tr w:rsidR="00316577" w:rsidRPr="00316577" w14:paraId="61D121D6" w14:textId="77777777" w:rsidTr="00316577">
        <w:tc>
          <w:tcPr>
            <w:tcW w:w="704" w:type="dxa"/>
          </w:tcPr>
          <w:p w14:paraId="66E9480D" w14:textId="77777777" w:rsidR="00316577" w:rsidRPr="00316577" w:rsidRDefault="00316577" w:rsidP="00316577">
            <w:pPr>
              <w:spacing w:before="240"/>
              <w:rPr>
                <w:sz w:val="20"/>
                <w:szCs w:val="20"/>
              </w:rPr>
            </w:pPr>
            <w:r w:rsidRPr="00316577">
              <w:rPr>
                <w:sz w:val="20"/>
                <w:szCs w:val="20"/>
              </w:rPr>
              <w:t>144.</w:t>
            </w:r>
          </w:p>
        </w:tc>
        <w:tc>
          <w:tcPr>
            <w:tcW w:w="7745" w:type="dxa"/>
          </w:tcPr>
          <w:p w14:paraId="1E7DF949" w14:textId="77777777" w:rsidR="00316577" w:rsidRPr="00316577" w:rsidRDefault="00316577" w:rsidP="00316577">
            <w:pPr>
              <w:spacing w:before="240"/>
              <w:rPr>
                <w:sz w:val="20"/>
                <w:szCs w:val="20"/>
              </w:rPr>
            </w:pPr>
            <w:r w:rsidRPr="00316577">
              <w:rPr>
                <w:sz w:val="20"/>
                <w:szCs w:val="20"/>
              </w:rPr>
              <w:t xml:space="preserve">Johansson H, Kanis JA, Oden A, Compston J, McCloskey E (2012) A comparison of case-finding strategies in the UK for the management of hip fractures. Osteoporos </w:t>
            </w:r>
            <w:proofErr w:type="spellStart"/>
            <w:r w:rsidRPr="00316577">
              <w:rPr>
                <w:sz w:val="20"/>
                <w:szCs w:val="20"/>
              </w:rPr>
              <w:t>Int</w:t>
            </w:r>
            <w:proofErr w:type="spellEnd"/>
            <w:r w:rsidRPr="00316577">
              <w:rPr>
                <w:sz w:val="20"/>
                <w:szCs w:val="20"/>
              </w:rPr>
              <w:t xml:space="preserve"> 23:907–915</w:t>
            </w:r>
          </w:p>
        </w:tc>
      </w:tr>
      <w:tr w:rsidR="00316577" w:rsidRPr="00316577" w14:paraId="2E23E882" w14:textId="77777777" w:rsidTr="00316577">
        <w:tc>
          <w:tcPr>
            <w:tcW w:w="704" w:type="dxa"/>
          </w:tcPr>
          <w:p w14:paraId="2F0BF10D" w14:textId="77777777" w:rsidR="00316577" w:rsidRPr="00316577" w:rsidRDefault="00316577" w:rsidP="00316577">
            <w:pPr>
              <w:spacing w:before="240"/>
              <w:rPr>
                <w:sz w:val="20"/>
                <w:szCs w:val="20"/>
              </w:rPr>
            </w:pPr>
            <w:r w:rsidRPr="00316577">
              <w:rPr>
                <w:sz w:val="20"/>
                <w:szCs w:val="20"/>
              </w:rPr>
              <w:t>145.</w:t>
            </w:r>
          </w:p>
        </w:tc>
        <w:tc>
          <w:tcPr>
            <w:tcW w:w="7745" w:type="dxa"/>
          </w:tcPr>
          <w:p w14:paraId="782B3F2F" w14:textId="77777777" w:rsidR="00316577" w:rsidRPr="00316577" w:rsidRDefault="00316577" w:rsidP="00316577">
            <w:pPr>
              <w:spacing w:before="240"/>
              <w:rPr>
                <w:sz w:val="20"/>
                <w:szCs w:val="20"/>
              </w:rPr>
            </w:pPr>
            <w:r w:rsidRPr="00316577">
              <w:rPr>
                <w:sz w:val="20"/>
                <w:szCs w:val="20"/>
              </w:rPr>
              <w:t>Kyriakos G, Vidal-</w:t>
            </w:r>
            <w:proofErr w:type="spellStart"/>
            <w:r w:rsidRPr="00316577">
              <w:rPr>
                <w:sz w:val="20"/>
                <w:szCs w:val="20"/>
              </w:rPr>
              <w:t>Casariego</w:t>
            </w:r>
            <w:proofErr w:type="spellEnd"/>
            <w:r w:rsidRPr="00316577">
              <w:rPr>
                <w:sz w:val="20"/>
                <w:szCs w:val="20"/>
              </w:rPr>
              <w:t xml:space="preserve"> A, Fernandez-Martinez MN et al (2015) Impact of the NOGG and NOF Guidelines on the Indication of Bone Mineral Density in Routine Clinical Practice. J </w:t>
            </w:r>
            <w:proofErr w:type="spellStart"/>
            <w:r w:rsidRPr="00316577">
              <w:rPr>
                <w:sz w:val="20"/>
                <w:szCs w:val="20"/>
              </w:rPr>
              <w:t>Clin</w:t>
            </w:r>
            <w:proofErr w:type="spellEnd"/>
            <w:r w:rsidRPr="00316577">
              <w:rPr>
                <w:sz w:val="20"/>
                <w:szCs w:val="20"/>
              </w:rPr>
              <w:t xml:space="preserve"> </w:t>
            </w:r>
            <w:proofErr w:type="spellStart"/>
            <w:r w:rsidRPr="00316577">
              <w:rPr>
                <w:sz w:val="20"/>
                <w:szCs w:val="20"/>
              </w:rPr>
              <w:t>Densitom</w:t>
            </w:r>
            <w:proofErr w:type="spellEnd"/>
            <w:r w:rsidRPr="00316577">
              <w:rPr>
                <w:sz w:val="20"/>
                <w:szCs w:val="20"/>
              </w:rPr>
              <w:t xml:space="preserve"> 18: 533-538</w:t>
            </w:r>
          </w:p>
        </w:tc>
      </w:tr>
      <w:tr w:rsidR="00316577" w:rsidRPr="00316577" w14:paraId="66260F27" w14:textId="77777777" w:rsidTr="00316577">
        <w:tc>
          <w:tcPr>
            <w:tcW w:w="704" w:type="dxa"/>
          </w:tcPr>
          <w:p w14:paraId="329B9593" w14:textId="77777777" w:rsidR="00316577" w:rsidRPr="00316577" w:rsidRDefault="00316577" w:rsidP="00316577">
            <w:pPr>
              <w:spacing w:before="240"/>
              <w:rPr>
                <w:sz w:val="20"/>
                <w:szCs w:val="20"/>
              </w:rPr>
            </w:pPr>
            <w:r w:rsidRPr="00316577">
              <w:rPr>
                <w:sz w:val="20"/>
                <w:szCs w:val="20"/>
              </w:rPr>
              <w:t>146.</w:t>
            </w:r>
          </w:p>
        </w:tc>
        <w:tc>
          <w:tcPr>
            <w:tcW w:w="7745" w:type="dxa"/>
          </w:tcPr>
          <w:p w14:paraId="15C5F3C8" w14:textId="77777777" w:rsidR="00316577" w:rsidRPr="00316577" w:rsidRDefault="00316577" w:rsidP="00316577">
            <w:pPr>
              <w:spacing w:before="240"/>
              <w:rPr>
                <w:sz w:val="20"/>
                <w:szCs w:val="20"/>
              </w:rPr>
            </w:pPr>
            <w:r w:rsidRPr="00316577">
              <w:rPr>
                <w:sz w:val="20"/>
                <w:szCs w:val="20"/>
              </w:rPr>
              <w:t>Chen JS, Simpson JM, Blyth FM, March LM (2014) Managing osteoporosis with FRAX (R) in Australia: Proposed new treatment thresholds from the 45 &amp;Up Study cohort. Bone 69: 148-53.</w:t>
            </w:r>
          </w:p>
        </w:tc>
      </w:tr>
      <w:tr w:rsidR="00316577" w:rsidRPr="00316577" w14:paraId="4960B719" w14:textId="77777777" w:rsidTr="00316577">
        <w:tc>
          <w:tcPr>
            <w:tcW w:w="704" w:type="dxa"/>
          </w:tcPr>
          <w:p w14:paraId="5D2040A7" w14:textId="77777777" w:rsidR="00316577" w:rsidRPr="00316577" w:rsidRDefault="00316577" w:rsidP="00316577">
            <w:pPr>
              <w:spacing w:before="240"/>
              <w:rPr>
                <w:sz w:val="20"/>
                <w:szCs w:val="20"/>
              </w:rPr>
            </w:pPr>
            <w:r w:rsidRPr="00316577">
              <w:rPr>
                <w:sz w:val="20"/>
                <w:szCs w:val="20"/>
              </w:rPr>
              <w:t>147.</w:t>
            </w:r>
          </w:p>
        </w:tc>
        <w:tc>
          <w:tcPr>
            <w:tcW w:w="7745" w:type="dxa"/>
          </w:tcPr>
          <w:p w14:paraId="395D3FAE" w14:textId="77777777" w:rsidR="00316577" w:rsidRPr="00316577" w:rsidRDefault="00316577" w:rsidP="00316577">
            <w:pPr>
              <w:spacing w:before="240"/>
              <w:rPr>
                <w:sz w:val="20"/>
                <w:szCs w:val="20"/>
              </w:rPr>
            </w:pPr>
            <w:r w:rsidRPr="00316577">
              <w:rPr>
                <w:sz w:val="20"/>
                <w:szCs w:val="20"/>
              </w:rPr>
              <w:t xml:space="preserve">Johansson H, Kanis JA, McCloskey EV, et al (2011) A FRAX (R) model for the assessment of fracture probability in Belgium. Osteoporos </w:t>
            </w:r>
            <w:proofErr w:type="spellStart"/>
            <w:r w:rsidRPr="00316577">
              <w:rPr>
                <w:sz w:val="20"/>
                <w:szCs w:val="20"/>
              </w:rPr>
              <w:t>Int</w:t>
            </w:r>
            <w:proofErr w:type="spellEnd"/>
            <w:r w:rsidRPr="00316577">
              <w:rPr>
                <w:sz w:val="20"/>
                <w:szCs w:val="20"/>
              </w:rPr>
              <w:t xml:space="preserve"> 22: 453-61.</w:t>
            </w:r>
          </w:p>
        </w:tc>
      </w:tr>
      <w:tr w:rsidR="00316577" w:rsidRPr="00316577" w14:paraId="340E2055" w14:textId="77777777" w:rsidTr="00316577">
        <w:tc>
          <w:tcPr>
            <w:tcW w:w="704" w:type="dxa"/>
          </w:tcPr>
          <w:p w14:paraId="1E5D1F76" w14:textId="77777777" w:rsidR="00316577" w:rsidRPr="00316577" w:rsidRDefault="00316577" w:rsidP="00316577">
            <w:pPr>
              <w:spacing w:before="240"/>
              <w:rPr>
                <w:sz w:val="20"/>
                <w:szCs w:val="20"/>
              </w:rPr>
            </w:pPr>
            <w:r w:rsidRPr="00316577">
              <w:rPr>
                <w:sz w:val="20"/>
                <w:szCs w:val="20"/>
              </w:rPr>
              <w:t>148.</w:t>
            </w:r>
          </w:p>
        </w:tc>
        <w:tc>
          <w:tcPr>
            <w:tcW w:w="7745" w:type="dxa"/>
          </w:tcPr>
          <w:p w14:paraId="758CC27D" w14:textId="77777777" w:rsidR="00316577" w:rsidRPr="00316577" w:rsidRDefault="00316577" w:rsidP="00316577">
            <w:pPr>
              <w:spacing w:before="240"/>
              <w:rPr>
                <w:sz w:val="20"/>
                <w:szCs w:val="20"/>
              </w:rPr>
            </w:pPr>
            <w:proofErr w:type="spellStart"/>
            <w:r w:rsidRPr="00316577">
              <w:rPr>
                <w:sz w:val="20"/>
                <w:szCs w:val="20"/>
              </w:rPr>
              <w:t>Zerbini</w:t>
            </w:r>
            <w:proofErr w:type="spellEnd"/>
            <w:r w:rsidRPr="00316577">
              <w:rPr>
                <w:sz w:val="20"/>
                <w:szCs w:val="20"/>
              </w:rPr>
              <w:t xml:space="preserve"> CAF, </w:t>
            </w:r>
            <w:proofErr w:type="spellStart"/>
            <w:r w:rsidRPr="00316577">
              <w:rPr>
                <w:sz w:val="20"/>
                <w:szCs w:val="20"/>
              </w:rPr>
              <w:t>Szejnfeld</w:t>
            </w:r>
            <w:proofErr w:type="spellEnd"/>
            <w:r w:rsidRPr="00316577">
              <w:rPr>
                <w:sz w:val="20"/>
                <w:szCs w:val="20"/>
              </w:rPr>
              <w:t xml:space="preserve"> VL, </w:t>
            </w:r>
            <w:proofErr w:type="spellStart"/>
            <w:r w:rsidRPr="00316577">
              <w:rPr>
                <w:sz w:val="20"/>
                <w:szCs w:val="20"/>
              </w:rPr>
              <w:t>Abergaria</w:t>
            </w:r>
            <w:proofErr w:type="spellEnd"/>
            <w:r w:rsidRPr="00316577">
              <w:rPr>
                <w:sz w:val="20"/>
                <w:szCs w:val="20"/>
              </w:rPr>
              <w:t xml:space="preserve"> BH, McCloskey EV, Johansson H, Kanis JA (2015) Incidence of hip fracture in Brazil and the development of a FRAX model. Arch Osteoporos 10(: 224.</w:t>
            </w:r>
          </w:p>
        </w:tc>
      </w:tr>
      <w:tr w:rsidR="00316577" w:rsidRPr="00316577" w14:paraId="465B5FF9" w14:textId="77777777" w:rsidTr="00316577">
        <w:tc>
          <w:tcPr>
            <w:tcW w:w="704" w:type="dxa"/>
          </w:tcPr>
          <w:p w14:paraId="1CFB3E83" w14:textId="77777777" w:rsidR="00316577" w:rsidRPr="00316577" w:rsidRDefault="00316577" w:rsidP="00316577">
            <w:pPr>
              <w:spacing w:before="240"/>
              <w:rPr>
                <w:sz w:val="20"/>
                <w:szCs w:val="20"/>
              </w:rPr>
            </w:pPr>
            <w:r w:rsidRPr="00316577">
              <w:rPr>
                <w:sz w:val="20"/>
                <w:szCs w:val="20"/>
              </w:rPr>
              <w:t>149.</w:t>
            </w:r>
          </w:p>
        </w:tc>
        <w:tc>
          <w:tcPr>
            <w:tcW w:w="7745" w:type="dxa"/>
          </w:tcPr>
          <w:p w14:paraId="6D99F510" w14:textId="77777777" w:rsidR="00316577" w:rsidRPr="00316577" w:rsidRDefault="00316577" w:rsidP="00316577">
            <w:pPr>
              <w:spacing w:before="240"/>
              <w:rPr>
                <w:sz w:val="20"/>
                <w:szCs w:val="20"/>
              </w:rPr>
            </w:pPr>
            <w:proofErr w:type="spellStart"/>
            <w:r w:rsidRPr="00316577">
              <w:rPr>
                <w:sz w:val="20"/>
                <w:szCs w:val="20"/>
              </w:rPr>
              <w:t>Lekamwasam</w:t>
            </w:r>
            <w:proofErr w:type="spellEnd"/>
            <w:r w:rsidRPr="00316577">
              <w:rPr>
                <w:sz w:val="20"/>
                <w:szCs w:val="20"/>
              </w:rPr>
              <w:t xml:space="preserve"> S, Adachi JD, Agnusdei D, et al (2012) A framework for the development of guidelines for the management of glucocorticoid-induced osteoporosis. Osteoporos </w:t>
            </w:r>
            <w:proofErr w:type="spellStart"/>
            <w:r w:rsidRPr="00316577">
              <w:rPr>
                <w:sz w:val="20"/>
                <w:szCs w:val="20"/>
              </w:rPr>
              <w:t>Int</w:t>
            </w:r>
            <w:proofErr w:type="spellEnd"/>
            <w:r w:rsidRPr="00316577">
              <w:rPr>
                <w:sz w:val="20"/>
                <w:szCs w:val="20"/>
              </w:rPr>
              <w:t xml:space="preserve"> 23:  2257-76.</w:t>
            </w:r>
          </w:p>
        </w:tc>
      </w:tr>
      <w:tr w:rsidR="00316577" w:rsidRPr="00316577" w14:paraId="6EFE5582" w14:textId="77777777" w:rsidTr="00316577">
        <w:tc>
          <w:tcPr>
            <w:tcW w:w="704" w:type="dxa"/>
          </w:tcPr>
          <w:p w14:paraId="3A7DA25B" w14:textId="77777777" w:rsidR="00316577" w:rsidRPr="00316577" w:rsidRDefault="00316577" w:rsidP="00316577">
            <w:pPr>
              <w:spacing w:before="240"/>
              <w:rPr>
                <w:sz w:val="20"/>
                <w:szCs w:val="20"/>
              </w:rPr>
            </w:pPr>
            <w:r w:rsidRPr="00316577">
              <w:rPr>
                <w:sz w:val="20"/>
                <w:szCs w:val="20"/>
              </w:rPr>
              <w:t>150.</w:t>
            </w:r>
          </w:p>
        </w:tc>
        <w:tc>
          <w:tcPr>
            <w:tcW w:w="7745" w:type="dxa"/>
          </w:tcPr>
          <w:p w14:paraId="00CA612B" w14:textId="77777777" w:rsidR="00316577" w:rsidRPr="00316577" w:rsidRDefault="00316577" w:rsidP="00316577">
            <w:pPr>
              <w:spacing w:before="240"/>
              <w:rPr>
                <w:sz w:val="20"/>
                <w:szCs w:val="20"/>
              </w:rPr>
            </w:pPr>
            <w:proofErr w:type="spellStart"/>
            <w:r w:rsidRPr="00316577">
              <w:rPr>
                <w:sz w:val="20"/>
                <w:szCs w:val="20"/>
              </w:rPr>
              <w:t>Niskanen</w:t>
            </w:r>
            <w:proofErr w:type="spellEnd"/>
            <w:r w:rsidRPr="00316577">
              <w:rPr>
                <w:sz w:val="20"/>
                <w:szCs w:val="20"/>
              </w:rPr>
              <w:t xml:space="preserve"> L, </w:t>
            </w:r>
            <w:proofErr w:type="spellStart"/>
            <w:r w:rsidRPr="00316577">
              <w:rPr>
                <w:sz w:val="20"/>
                <w:szCs w:val="20"/>
              </w:rPr>
              <w:t>Kettunen</w:t>
            </w:r>
            <w:proofErr w:type="spellEnd"/>
            <w:r w:rsidRPr="00316577">
              <w:rPr>
                <w:sz w:val="20"/>
                <w:szCs w:val="20"/>
              </w:rPr>
              <w:t xml:space="preserve"> J, </w:t>
            </w:r>
            <w:proofErr w:type="spellStart"/>
            <w:r w:rsidRPr="00316577">
              <w:rPr>
                <w:sz w:val="20"/>
                <w:szCs w:val="20"/>
              </w:rPr>
              <w:t>Koski</w:t>
            </w:r>
            <w:proofErr w:type="spellEnd"/>
            <w:r w:rsidRPr="00316577">
              <w:rPr>
                <w:sz w:val="20"/>
                <w:szCs w:val="20"/>
              </w:rPr>
              <w:t xml:space="preserve"> A-M et al for the Finnish Medical Society </w:t>
            </w:r>
            <w:proofErr w:type="spellStart"/>
            <w:r w:rsidRPr="00316577">
              <w:rPr>
                <w:sz w:val="20"/>
                <w:szCs w:val="20"/>
              </w:rPr>
              <w:t>Duodecim</w:t>
            </w:r>
            <w:proofErr w:type="spellEnd"/>
            <w:r w:rsidRPr="00316577">
              <w:rPr>
                <w:sz w:val="20"/>
                <w:szCs w:val="20"/>
              </w:rPr>
              <w:t xml:space="preserve">, Finnish Endocrine Society and Finnish Gynaecological Association (National) (2014) Osteoporosis. Current care guidelines. </w:t>
            </w:r>
            <w:proofErr w:type="spellStart"/>
            <w:r w:rsidRPr="00316577">
              <w:rPr>
                <w:sz w:val="20"/>
                <w:szCs w:val="20"/>
              </w:rPr>
              <w:t>Suomalaisen</w:t>
            </w:r>
            <w:proofErr w:type="spellEnd"/>
            <w:r w:rsidRPr="00316577">
              <w:rPr>
                <w:sz w:val="20"/>
                <w:szCs w:val="20"/>
              </w:rPr>
              <w:t xml:space="preserve"> </w:t>
            </w:r>
            <w:proofErr w:type="spellStart"/>
            <w:r w:rsidRPr="00316577">
              <w:rPr>
                <w:sz w:val="20"/>
                <w:szCs w:val="20"/>
              </w:rPr>
              <w:t>Lääkäriseuran</w:t>
            </w:r>
            <w:proofErr w:type="spellEnd"/>
            <w:r w:rsidRPr="00316577">
              <w:rPr>
                <w:sz w:val="20"/>
                <w:szCs w:val="20"/>
              </w:rPr>
              <w:t xml:space="preserve"> </w:t>
            </w:r>
            <w:proofErr w:type="spellStart"/>
            <w:r w:rsidRPr="00316577">
              <w:rPr>
                <w:sz w:val="20"/>
                <w:szCs w:val="20"/>
              </w:rPr>
              <w:t>Duodecimin</w:t>
            </w:r>
            <w:proofErr w:type="spellEnd"/>
            <w:r w:rsidRPr="00316577">
              <w:rPr>
                <w:sz w:val="20"/>
                <w:szCs w:val="20"/>
              </w:rPr>
              <w:t xml:space="preserve">, </w:t>
            </w:r>
            <w:proofErr w:type="spellStart"/>
            <w:r w:rsidRPr="00316577">
              <w:rPr>
                <w:sz w:val="20"/>
                <w:szCs w:val="20"/>
              </w:rPr>
              <w:t>Suomen</w:t>
            </w:r>
            <w:proofErr w:type="spellEnd"/>
            <w:r w:rsidRPr="00316577">
              <w:rPr>
                <w:sz w:val="20"/>
                <w:szCs w:val="20"/>
              </w:rPr>
              <w:t xml:space="preserve"> </w:t>
            </w:r>
            <w:proofErr w:type="spellStart"/>
            <w:r w:rsidRPr="00316577">
              <w:rPr>
                <w:sz w:val="20"/>
                <w:szCs w:val="20"/>
              </w:rPr>
              <w:t>Endokrinologiyhdistyksen</w:t>
            </w:r>
            <w:proofErr w:type="spellEnd"/>
            <w:r w:rsidRPr="00316577">
              <w:rPr>
                <w:sz w:val="20"/>
                <w:szCs w:val="20"/>
              </w:rPr>
              <w:t xml:space="preserve"> </w:t>
            </w:r>
            <w:proofErr w:type="spellStart"/>
            <w:r w:rsidRPr="00316577">
              <w:rPr>
                <w:sz w:val="20"/>
                <w:szCs w:val="20"/>
              </w:rPr>
              <w:t>ja</w:t>
            </w:r>
            <w:proofErr w:type="spellEnd"/>
            <w:r w:rsidRPr="00316577">
              <w:rPr>
                <w:sz w:val="20"/>
                <w:szCs w:val="20"/>
              </w:rPr>
              <w:t xml:space="preserve"> </w:t>
            </w:r>
            <w:proofErr w:type="spellStart"/>
            <w:r w:rsidRPr="00316577">
              <w:rPr>
                <w:sz w:val="20"/>
                <w:szCs w:val="20"/>
              </w:rPr>
              <w:t>Suomen</w:t>
            </w:r>
            <w:proofErr w:type="spellEnd"/>
            <w:r w:rsidRPr="00316577">
              <w:rPr>
                <w:sz w:val="20"/>
                <w:szCs w:val="20"/>
              </w:rPr>
              <w:t xml:space="preserve"> </w:t>
            </w:r>
            <w:proofErr w:type="spellStart"/>
            <w:r w:rsidRPr="00316577">
              <w:rPr>
                <w:sz w:val="20"/>
                <w:szCs w:val="20"/>
              </w:rPr>
              <w:t>Gynekologiyhdistyksen</w:t>
            </w:r>
            <w:proofErr w:type="spellEnd"/>
            <w:r w:rsidRPr="00316577">
              <w:rPr>
                <w:sz w:val="20"/>
                <w:szCs w:val="20"/>
              </w:rPr>
              <w:t xml:space="preserve"> </w:t>
            </w:r>
            <w:proofErr w:type="spellStart"/>
            <w:r w:rsidRPr="00316577">
              <w:rPr>
                <w:sz w:val="20"/>
                <w:szCs w:val="20"/>
              </w:rPr>
              <w:t>asettama</w:t>
            </w:r>
            <w:proofErr w:type="spellEnd"/>
            <w:r w:rsidRPr="00316577">
              <w:rPr>
                <w:sz w:val="20"/>
                <w:szCs w:val="20"/>
              </w:rPr>
              <w:t xml:space="preserve"> </w:t>
            </w:r>
            <w:proofErr w:type="spellStart"/>
            <w:r w:rsidRPr="00316577">
              <w:rPr>
                <w:sz w:val="20"/>
                <w:szCs w:val="20"/>
              </w:rPr>
              <w:t>työryhmä</w:t>
            </w:r>
            <w:proofErr w:type="spellEnd"/>
            <w:r w:rsidRPr="00316577">
              <w:rPr>
                <w:sz w:val="20"/>
                <w:szCs w:val="20"/>
              </w:rPr>
              <w:t xml:space="preserve"> (2014) </w:t>
            </w:r>
            <w:proofErr w:type="spellStart"/>
            <w:r w:rsidRPr="00316577">
              <w:rPr>
                <w:sz w:val="20"/>
                <w:szCs w:val="20"/>
              </w:rPr>
              <w:t>Osteoporoosi</w:t>
            </w:r>
            <w:proofErr w:type="spellEnd"/>
            <w:r w:rsidRPr="00316577">
              <w:rPr>
                <w:sz w:val="20"/>
                <w:szCs w:val="20"/>
              </w:rPr>
              <w:t xml:space="preserve">.   </w:t>
            </w:r>
            <w:hyperlink r:id="rId67" w:history="1">
              <w:r w:rsidRPr="00316577">
                <w:rPr>
                  <w:color w:val="0563C1" w:themeColor="hyperlink"/>
                  <w:sz w:val="20"/>
                  <w:szCs w:val="20"/>
                  <w:u w:val="single"/>
                </w:rPr>
                <w:t>http://www.terveysportti.fi/xmedia/hoi/hoi24065.pdf</w:t>
              </w:r>
            </w:hyperlink>
            <w:r w:rsidRPr="00316577">
              <w:rPr>
                <w:sz w:val="20"/>
                <w:szCs w:val="20"/>
              </w:rPr>
              <w:t xml:space="preserve">  accessed 26 October 2015</w:t>
            </w:r>
          </w:p>
        </w:tc>
      </w:tr>
      <w:tr w:rsidR="00316577" w:rsidRPr="00316577" w14:paraId="1C09B81C" w14:textId="77777777" w:rsidTr="00316577">
        <w:tc>
          <w:tcPr>
            <w:tcW w:w="704" w:type="dxa"/>
          </w:tcPr>
          <w:p w14:paraId="2E23407C" w14:textId="77777777" w:rsidR="00316577" w:rsidRPr="00316577" w:rsidRDefault="00316577" w:rsidP="00316577">
            <w:pPr>
              <w:spacing w:before="240"/>
              <w:rPr>
                <w:sz w:val="20"/>
                <w:szCs w:val="20"/>
              </w:rPr>
            </w:pPr>
            <w:r w:rsidRPr="00316577">
              <w:rPr>
                <w:sz w:val="20"/>
                <w:szCs w:val="20"/>
              </w:rPr>
              <w:t>151.</w:t>
            </w:r>
          </w:p>
        </w:tc>
        <w:tc>
          <w:tcPr>
            <w:tcW w:w="7745" w:type="dxa"/>
          </w:tcPr>
          <w:p w14:paraId="196D956A" w14:textId="77777777" w:rsidR="00316577" w:rsidRPr="00316577" w:rsidRDefault="00316577" w:rsidP="00316577">
            <w:pPr>
              <w:spacing w:before="240"/>
              <w:rPr>
                <w:sz w:val="20"/>
                <w:szCs w:val="20"/>
              </w:rPr>
            </w:pPr>
            <w:proofErr w:type="spellStart"/>
            <w:r w:rsidRPr="00316577">
              <w:rPr>
                <w:sz w:val="20"/>
                <w:szCs w:val="20"/>
              </w:rPr>
              <w:t>Briot</w:t>
            </w:r>
            <w:proofErr w:type="spellEnd"/>
            <w:r w:rsidRPr="00316577">
              <w:rPr>
                <w:sz w:val="20"/>
                <w:szCs w:val="20"/>
              </w:rPr>
              <w:t xml:space="preserve"> K, </w:t>
            </w:r>
            <w:proofErr w:type="spellStart"/>
            <w:r w:rsidRPr="00316577">
              <w:rPr>
                <w:sz w:val="20"/>
                <w:szCs w:val="20"/>
              </w:rPr>
              <w:t>Cortet</w:t>
            </w:r>
            <w:proofErr w:type="spellEnd"/>
            <w:r w:rsidRPr="00316577">
              <w:rPr>
                <w:sz w:val="20"/>
                <w:szCs w:val="20"/>
              </w:rPr>
              <w:t xml:space="preserve"> B, Thomas T et al (2012) 2010 update of French guidelines for the pharmacological treatment of postmenopausal osteoporosis. Joint Bone Spine 79:304–313.</w:t>
            </w:r>
          </w:p>
        </w:tc>
      </w:tr>
      <w:tr w:rsidR="00316577" w:rsidRPr="00316577" w14:paraId="4C7F6190" w14:textId="77777777" w:rsidTr="00316577">
        <w:tc>
          <w:tcPr>
            <w:tcW w:w="704" w:type="dxa"/>
          </w:tcPr>
          <w:p w14:paraId="3BE8D148" w14:textId="77777777" w:rsidR="00316577" w:rsidRPr="00316577" w:rsidRDefault="00316577" w:rsidP="00316577">
            <w:pPr>
              <w:spacing w:before="240"/>
              <w:rPr>
                <w:sz w:val="20"/>
                <w:szCs w:val="20"/>
              </w:rPr>
            </w:pPr>
            <w:r w:rsidRPr="00316577">
              <w:rPr>
                <w:sz w:val="20"/>
                <w:szCs w:val="20"/>
              </w:rPr>
              <w:lastRenderedPageBreak/>
              <w:t>152.</w:t>
            </w:r>
          </w:p>
        </w:tc>
        <w:tc>
          <w:tcPr>
            <w:tcW w:w="7745" w:type="dxa"/>
          </w:tcPr>
          <w:p w14:paraId="6DB17917" w14:textId="77777777" w:rsidR="00316577" w:rsidRPr="00316577" w:rsidRDefault="00316577" w:rsidP="00316577">
            <w:pPr>
              <w:spacing w:before="240"/>
              <w:rPr>
                <w:sz w:val="20"/>
                <w:szCs w:val="20"/>
              </w:rPr>
            </w:pPr>
            <w:r w:rsidRPr="00316577">
              <w:rPr>
                <w:sz w:val="20"/>
                <w:szCs w:val="20"/>
              </w:rPr>
              <w:t xml:space="preserve">McGowan B, Kanis JA, Johansson H, </w:t>
            </w:r>
            <w:proofErr w:type="spellStart"/>
            <w:r w:rsidRPr="00316577">
              <w:rPr>
                <w:sz w:val="20"/>
                <w:szCs w:val="20"/>
              </w:rPr>
              <w:t>Silke</w:t>
            </w:r>
            <w:proofErr w:type="spellEnd"/>
            <w:r w:rsidRPr="00316577">
              <w:rPr>
                <w:sz w:val="20"/>
                <w:szCs w:val="20"/>
              </w:rPr>
              <w:t xml:space="preserve"> C, Whelan B  (2013) Development and use of FRAX in the management of osteoporosis in Ireland.  Arch Osteoporos 8:146. </w:t>
            </w:r>
            <w:proofErr w:type="spellStart"/>
            <w:r w:rsidRPr="00316577">
              <w:rPr>
                <w:sz w:val="20"/>
                <w:szCs w:val="20"/>
              </w:rPr>
              <w:t>Doi</w:t>
            </w:r>
            <w:proofErr w:type="spellEnd"/>
            <w:r w:rsidRPr="00316577">
              <w:rPr>
                <w:sz w:val="20"/>
                <w:szCs w:val="20"/>
              </w:rPr>
              <w:t>: 10.1007/s11657-013-0146-z.</w:t>
            </w:r>
          </w:p>
        </w:tc>
      </w:tr>
      <w:tr w:rsidR="00316577" w:rsidRPr="00316577" w14:paraId="52DC5310" w14:textId="77777777" w:rsidTr="00316577">
        <w:tc>
          <w:tcPr>
            <w:tcW w:w="704" w:type="dxa"/>
          </w:tcPr>
          <w:p w14:paraId="4DCEB50B" w14:textId="77777777" w:rsidR="00316577" w:rsidRPr="00316577" w:rsidRDefault="00316577" w:rsidP="00316577">
            <w:pPr>
              <w:autoSpaceDE w:val="0"/>
              <w:autoSpaceDN w:val="0"/>
              <w:adjustRightInd w:val="0"/>
              <w:spacing w:before="240"/>
              <w:rPr>
                <w:sz w:val="20"/>
                <w:szCs w:val="20"/>
              </w:rPr>
            </w:pPr>
            <w:r w:rsidRPr="00316577">
              <w:rPr>
                <w:sz w:val="20"/>
                <w:szCs w:val="20"/>
              </w:rPr>
              <w:t>153.</w:t>
            </w:r>
          </w:p>
        </w:tc>
        <w:tc>
          <w:tcPr>
            <w:tcW w:w="7745" w:type="dxa"/>
          </w:tcPr>
          <w:p w14:paraId="0E0437C6" w14:textId="77777777" w:rsidR="00316577" w:rsidRPr="00316577" w:rsidRDefault="00316577" w:rsidP="00316577">
            <w:pPr>
              <w:autoSpaceDE w:val="0"/>
              <w:autoSpaceDN w:val="0"/>
              <w:adjustRightInd w:val="0"/>
              <w:spacing w:before="240"/>
              <w:rPr>
                <w:sz w:val="20"/>
                <w:szCs w:val="20"/>
              </w:rPr>
            </w:pPr>
            <w:proofErr w:type="spellStart"/>
            <w:r w:rsidRPr="00316577">
              <w:rPr>
                <w:sz w:val="20"/>
                <w:szCs w:val="20"/>
              </w:rPr>
              <w:t>Grigorie</w:t>
            </w:r>
            <w:proofErr w:type="spellEnd"/>
            <w:r w:rsidRPr="00316577">
              <w:rPr>
                <w:sz w:val="20"/>
                <w:szCs w:val="20"/>
              </w:rPr>
              <w:t xml:space="preserve"> D, </w:t>
            </w:r>
            <w:proofErr w:type="spellStart"/>
            <w:r w:rsidRPr="00316577">
              <w:rPr>
                <w:sz w:val="20"/>
                <w:szCs w:val="20"/>
              </w:rPr>
              <w:t>Sucaliuc</w:t>
            </w:r>
            <w:proofErr w:type="spellEnd"/>
            <w:r w:rsidRPr="00316577">
              <w:rPr>
                <w:sz w:val="20"/>
                <w:szCs w:val="20"/>
              </w:rPr>
              <w:t xml:space="preserve"> A, Johansson H, Kanis JA, McCloskey E (2013) FRAX-based intervention and assessment thresholds for osteoporosis in Romania. Arch Osteoporos 8: 164.</w:t>
            </w:r>
          </w:p>
        </w:tc>
      </w:tr>
      <w:tr w:rsidR="00316577" w:rsidRPr="00316577" w14:paraId="3B9D8BC3" w14:textId="77777777" w:rsidTr="00316577">
        <w:tc>
          <w:tcPr>
            <w:tcW w:w="704" w:type="dxa"/>
          </w:tcPr>
          <w:p w14:paraId="696B6620" w14:textId="77777777" w:rsidR="00316577" w:rsidRPr="00316577" w:rsidRDefault="00316577" w:rsidP="00316577">
            <w:pPr>
              <w:spacing w:before="240"/>
              <w:rPr>
                <w:sz w:val="20"/>
                <w:szCs w:val="20"/>
              </w:rPr>
            </w:pPr>
            <w:r w:rsidRPr="00316577">
              <w:rPr>
                <w:sz w:val="20"/>
                <w:szCs w:val="20"/>
              </w:rPr>
              <w:t>154.</w:t>
            </w:r>
          </w:p>
        </w:tc>
        <w:tc>
          <w:tcPr>
            <w:tcW w:w="7745" w:type="dxa"/>
          </w:tcPr>
          <w:p w14:paraId="5839C73E" w14:textId="77777777" w:rsidR="00316577" w:rsidRPr="00316577" w:rsidRDefault="00316577" w:rsidP="00316577">
            <w:pPr>
              <w:spacing w:before="240"/>
              <w:rPr>
                <w:sz w:val="20"/>
                <w:szCs w:val="20"/>
              </w:rPr>
            </w:pPr>
            <w:proofErr w:type="spellStart"/>
            <w:r w:rsidRPr="00316577">
              <w:rPr>
                <w:sz w:val="20"/>
                <w:szCs w:val="20"/>
              </w:rPr>
              <w:t>Lesnyak</w:t>
            </w:r>
            <w:proofErr w:type="spellEnd"/>
            <w:r w:rsidRPr="00316577">
              <w:rPr>
                <w:sz w:val="20"/>
                <w:szCs w:val="20"/>
              </w:rPr>
              <w:t xml:space="preserve"> O, </w:t>
            </w:r>
            <w:proofErr w:type="spellStart"/>
            <w:r w:rsidRPr="00316577">
              <w:rPr>
                <w:sz w:val="20"/>
                <w:szCs w:val="20"/>
              </w:rPr>
              <w:t>Ershova</w:t>
            </w:r>
            <w:proofErr w:type="spellEnd"/>
            <w:r w:rsidRPr="00316577">
              <w:rPr>
                <w:sz w:val="20"/>
                <w:szCs w:val="20"/>
              </w:rPr>
              <w:t xml:space="preserve"> O, </w:t>
            </w:r>
            <w:proofErr w:type="spellStart"/>
            <w:r w:rsidRPr="00316577">
              <w:rPr>
                <w:sz w:val="20"/>
                <w:szCs w:val="20"/>
              </w:rPr>
              <w:t>Belova</w:t>
            </w:r>
            <w:proofErr w:type="spellEnd"/>
            <w:r w:rsidRPr="00316577">
              <w:rPr>
                <w:sz w:val="20"/>
                <w:szCs w:val="20"/>
              </w:rPr>
              <w:t xml:space="preserve"> K et al (2012) Epidemiology of fracture in the Russian Federation and the development of a FRAX model. Arch Osteoporos 7: 67-73. </w:t>
            </w:r>
            <w:proofErr w:type="spellStart"/>
            <w:r w:rsidRPr="00316577">
              <w:rPr>
                <w:sz w:val="20"/>
                <w:szCs w:val="20"/>
              </w:rPr>
              <w:t>doi</w:t>
            </w:r>
            <w:proofErr w:type="spellEnd"/>
            <w:r w:rsidRPr="00316577">
              <w:rPr>
                <w:sz w:val="20"/>
                <w:szCs w:val="20"/>
              </w:rPr>
              <w:t>: 10.1007/s11657-012-0082-3.</w:t>
            </w:r>
          </w:p>
        </w:tc>
      </w:tr>
      <w:tr w:rsidR="00316577" w:rsidRPr="00316577" w14:paraId="06E2CD45" w14:textId="77777777" w:rsidTr="00316577">
        <w:tc>
          <w:tcPr>
            <w:tcW w:w="704" w:type="dxa"/>
          </w:tcPr>
          <w:p w14:paraId="26078372" w14:textId="77777777" w:rsidR="00316577" w:rsidRPr="00316577" w:rsidRDefault="00316577" w:rsidP="00316577">
            <w:pPr>
              <w:spacing w:before="240"/>
              <w:rPr>
                <w:sz w:val="20"/>
                <w:szCs w:val="20"/>
                <w:highlight w:val="yellow"/>
              </w:rPr>
            </w:pPr>
            <w:r w:rsidRPr="00316577">
              <w:rPr>
                <w:sz w:val="20"/>
                <w:szCs w:val="20"/>
              </w:rPr>
              <w:t>155.</w:t>
            </w:r>
          </w:p>
        </w:tc>
        <w:tc>
          <w:tcPr>
            <w:tcW w:w="7745" w:type="dxa"/>
          </w:tcPr>
          <w:p w14:paraId="094A6A75" w14:textId="77777777" w:rsidR="00316577" w:rsidRPr="00316577" w:rsidRDefault="00316577" w:rsidP="00316577">
            <w:pPr>
              <w:spacing w:before="240"/>
              <w:rPr>
                <w:sz w:val="20"/>
                <w:szCs w:val="20"/>
              </w:rPr>
            </w:pPr>
            <w:r w:rsidRPr="00316577">
              <w:rPr>
                <w:sz w:val="20"/>
                <w:szCs w:val="20"/>
              </w:rPr>
              <w:t>Russian Association on Osteoporosis (2013) http://www.osteoporoz.ru/content/view/891/113/ Accessed 22 October 2015</w:t>
            </w:r>
          </w:p>
        </w:tc>
      </w:tr>
      <w:tr w:rsidR="00316577" w:rsidRPr="00316577" w14:paraId="17B7F2DF" w14:textId="77777777" w:rsidTr="00316577">
        <w:tc>
          <w:tcPr>
            <w:tcW w:w="704" w:type="dxa"/>
          </w:tcPr>
          <w:p w14:paraId="45E97D79" w14:textId="77777777" w:rsidR="00316577" w:rsidRPr="00316577" w:rsidRDefault="00316577" w:rsidP="00316577">
            <w:pPr>
              <w:autoSpaceDE w:val="0"/>
              <w:autoSpaceDN w:val="0"/>
              <w:adjustRightInd w:val="0"/>
              <w:spacing w:before="240"/>
              <w:rPr>
                <w:sz w:val="20"/>
                <w:szCs w:val="20"/>
                <w:highlight w:val="green"/>
              </w:rPr>
            </w:pPr>
            <w:r w:rsidRPr="00316577">
              <w:rPr>
                <w:sz w:val="20"/>
                <w:szCs w:val="20"/>
              </w:rPr>
              <w:t>156.</w:t>
            </w:r>
          </w:p>
        </w:tc>
        <w:tc>
          <w:tcPr>
            <w:tcW w:w="7745" w:type="dxa"/>
          </w:tcPr>
          <w:p w14:paraId="297F67A5" w14:textId="77777777" w:rsidR="00316577" w:rsidRPr="00316577" w:rsidRDefault="00316577" w:rsidP="00316577">
            <w:pPr>
              <w:autoSpaceDE w:val="0"/>
              <w:autoSpaceDN w:val="0"/>
              <w:adjustRightInd w:val="0"/>
              <w:spacing w:before="240"/>
              <w:rPr>
                <w:sz w:val="20"/>
                <w:szCs w:val="20"/>
              </w:rPr>
            </w:pPr>
            <w:r w:rsidRPr="00316577">
              <w:rPr>
                <w:sz w:val="20"/>
                <w:szCs w:val="20"/>
              </w:rPr>
              <w:t xml:space="preserve">International Osteoporosis Foundation (2012) Ministry of Health official officially launches FRAX model in Sri Lanka </w:t>
            </w:r>
            <w:hyperlink r:id="rId68" w:history="1">
              <w:r w:rsidRPr="00316577">
                <w:rPr>
                  <w:color w:val="0563C1" w:themeColor="hyperlink"/>
                  <w:sz w:val="20"/>
                  <w:szCs w:val="20"/>
                  <w:u w:val="single"/>
                </w:rPr>
                <w:t>http://www.iofbonehealth.org/ministry-health-official-officially-launches-frax-model-sri-lanka</w:t>
              </w:r>
            </w:hyperlink>
            <w:r w:rsidRPr="00316577">
              <w:rPr>
                <w:sz w:val="20"/>
                <w:szCs w:val="20"/>
              </w:rPr>
              <w:t xml:space="preserve"> Accessed 21 October 2015</w:t>
            </w:r>
          </w:p>
        </w:tc>
      </w:tr>
      <w:tr w:rsidR="00316577" w:rsidRPr="00316577" w14:paraId="5E43A544" w14:textId="77777777" w:rsidTr="00316577">
        <w:tc>
          <w:tcPr>
            <w:tcW w:w="704" w:type="dxa"/>
          </w:tcPr>
          <w:p w14:paraId="06ED04E5" w14:textId="77777777" w:rsidR="00316577" w:rsidRPr="00316577" w:rsidRDefault="00316577" w:rsidP="00316577">
            <w:pPr>
              <w:spacing w:before="240"/>
              <w:rPr>
                <w:sz w:val="20"/>
                <w:szCs w:val="20"/>
              </w:rPr>
            </w:pPr>
            <w:r w:rsidRPr="00316577">
              <w:rPr>
                <w:sz w:val="20"/>
                <w:szCs w:val="20"/>
              </w:rPr>
              <w:t>157.</w:t>
            </w:r>
          </w:p>
        </w:tc>
        <w:tc>
          <w:tcPr>
            <w:tcW w:w="7745" w:type="dxa"/>
          </w:tcPr>
          <w:p w14:paraId="4DE17B4A" w14:textId="77777777" w:rsidR="00316577" w:rsidRPr="00316577" w:rsidRDefault="00316577" w:rsidP="00316577">
            <w:pPr>
              <w:spacing w:before="240"/>
              <w:rPr>
                <w:sz w:val="20"/>
                <w:szCs w:val="20"/>
              </w:rPr>
            </w:pPr>
            <w:r w:rsidRPr="00316577">
              <w:rPr>
                <w:sz w:val="20"/>
                <w:szCs w:val="20"/>
              </w:rPr>
              <w:t xml:space="preserve">Association Suisse </w:t>
            </w:r>
            <w:proofErr w:type="spellStart"/>
            <w:r w:rsidRPr="00316577">
              <w:rPr>
                <w:sz w:val="20"/>
                <w:szCs w:val="20"/>
              </w:rPr>
              <w:t>Contre</w:t>
            </w:r>
            <w:proofErr w:type="spellEnd"/>
            <w:r w:rsidRPr="00316577">
              <w:rPr>
                <w:sz w:val="20"/>
                <w:szCs w:val="20"/>
              </w:rPr>
              <w:t xml:space="preserve"> </w:t>
            </w:r>
            <w:proofErr w:type="spellStart"/>
            <w:r w:rsidRPr="00316577">
              <w:rPr>
                <w:sz w:val="20"/>
                <w:szCs w:val="20"/>
              </w:rPr>
              <w:t>l‘Ostéoporose</w:t>
            </w:r>
            <w:proofErr w:type="spellEnd"/>
            <w:r w:rsidRPr="00316577">
              <w:rPr>
                <w:sz w:val="20"/>
                <w:szCs w:val="20"/>
              </w:rPr>
              <w:t xml:space="preserve"> (2015) </w:t>
            </w:r>
            <w:hyperlink r:id="rId69" w:history="1">
              <w:r w:rsidRPr="00316577">
                <w:rPr>
                  <w:color w:val="0563C1" w:themeColor="hyperlink"/>
                  <w:sz w:val="20"/>
                  <w:szCs w:val="20"/>
                  <w:u w:val="single"/>
                </w:rPr>
                <w:t>www.svgo.ch</w:t>
              </w:r>
            </w:hyperlink>
            <w:r w:rsidRPr="00316577">
              <w:rPr>
                <w:sz w:val="20"/>
                <w:szCs w:val="20"/>
              </w:rPr>
              <w:t xml:space="preserve">  accessed 18th October 2015</w:t>
            </w:r>
          </w:p>
        </w:tc>
      </w:tr>
      <w:tr w:rsidR="00316577" w:rsidRPr="00316577" w14:paraId="47D21138" w14:textId="77777777" w:rsidTr="00316577">
        <w:tc>
          <w:tcPr>
            <w:tcW w:w="704" w:type="dxa"/>
          </w:tcPr>
          <w:p w14:paraId="6428044F" w14:textId="77777777" w:rsidR="00316577" w:rsidRPr="00316577" w:rsidRDefault="00316577" w:rsidP="00316577">
            <w:pPr>
              <w:spacing w:before="240"/>
              <w:rPr>
                <w:sz w:val="20"/>
                <w:szCs w:val="20"/>
              </w:rPr>
            </w:pPr>
            <w:r w:rsidRPr="00316577">
              <w:rPr>
                <w:sz w:val="20"/>
                <w:szCs w:val="20"/>
              </w:rPr>
              <w:t>158.</w:t>
            </w:r>
          </w:p>
        </w:tc>
        <w:tc>
          <w:tcPr>
            <w:tcW w:w="7745" w:type="dxa"/>
          </w:tcPr>
          <w:p w14:paraId="6E3A2609" w14:textId="77777777" w:rsidR="00316577" w:rsidRPr="00316577" w:rsidRDefault="00316577" w:rsidP="00316577">
            <w:pPr>
              <w:spacing w:before="240"/>
              <w:rPr>
                <w:sz w:val="20"/>
                <w:szCs w:val="20"/>
              </w:rPr>
            </w:pPr>
            <w:r w:rsidRPr="00316577">
              <w:rPr>
                <w:sz w:val="20"/>
                <w:szCs w:val="20"/>
              </w:rPr>
              <w:t xml:space="preserve">Nottinghamshire Osteoporosis Guidelines 2014 </w:t>
            </w:r>
            <w:hyperlink r:id="rId70" w:history="1">
              <w:r w:rsidRPr="00316577">
                <w:rPr>
                  <w:color w:val="0563C1" w:themeColor="hyperlink"/>
                  <w:sz w:val="20"/>
                  <w:szCs w:val="20"/>
                  <w:u w:val="single"/>
                </w:rPr>
                <w:t>http://www.nottsapc.nhs.uk/attachments/article/3/osteoporosis%20guideline.pdf</w:t>
              </w:r>
            </w:hyperlink>
            <w:r w:rsidRPr="00316577">
              <w:rPr>
                <w:sz w:val="20"/>
                <w:szCs w:val="20"/>
              </w:rPr>
              <w:t xml:space="preserve"> Accessed  1November 2015</w:t>
            </w:r>
          </w:p>
        </w:tc>
      </w:tr>
      <w:tr w:rsidR="00316577" w:rsidRPr="00316577" w14:paraId="29DD5086" w14:textId="77777777" w:rsidTr="00316577">
        <w:tc>
          <w:tcPr>
            <w:tcW w:w="704" w:type="dxa"/>
          </w:tcPr>
          <w:p w14:paraId="60EB6530" w14:textId="77777777" w:rsidR="00316577" w:rsidRPr="00316577" w:rsidRDefault="00316577" w:rsidP="00316577">
            <w:pPr>
              <w:spacing w:before="240"/>
              <w:rPr>
                <w:sz w:val="20"/>
                <w:szCs w:val="20"/>
              </w:rPr>
            </w:pPr>
            <w:r w:rsidRPr="00316577">
              <w:rPr>
                <w:sz w:val="20"/>
                <w:szCs w:val="20"/>
              </w:rPr>
              <w:t>159.</w:t>
            </w:r>
          </w:p>
        </w:tc>
        <w:tc>
          <w:tcPr>
            <w:tcW w:w="7745" w:type="dxa"/>
          </w:tcPr>
          <w:p w14:paraId="4195C618" w14:textId="77777777" w:rsidR="00316577" w:rsidRPr="00316577" w:rsidRDefault="00316577" w:rsidP="00316577">
            <w:pPr>
              <w:spacing w:before="240"/>
              <w:rPr>
                <w:sz w:val="20"/>
                <w:szCs w:val="20"/>
              </w:rPr>
            </w:pPr>
            <w:proofErr w:type="spellStart"/>
            <w:r w:rsidRPr="00316577">
              <w:rPr>
                <w:sz w:val="20"/>
                <w:szCs w:val="20"/>
              </w:rPr>
              <w:t>Bruyere</w:t>
            </w:r>
            <w:proofErr w:type="spellEnd"/>
            <w:r w:rsidRPr="00316577">
              <w:rPr>
                <w:sz w:val="20"/>
                <w:szCs w:val="20"/>
              </w:rPr>
              <w:t xml:space="preserve"> O </w:t>
            </w:r>
            <w:proofErr w:type="spellStart"/>
            <w:r w:rsidRPr="00316577">
              <w:rPr>
                <w:sz w:val="20"/>
                <w:szCs w:val="20"/>
              </w:rPr>
              <w:t>Fossi</w:t>
            </w:r>
            <w:proofErr w:type="spellEnd"/>
            <w:r w:rsidRPr="00316577">
              <w:rPr>
                <w:sz w:val="20"/>
                <w:szCs w:val="20"/>
              </w:rPr>
              <w:t xml:space="preserve"> M, </w:t>
            </w:r>
            <w:proofErr w:type="spellStart"/>
            <w:r w:rsidRPr="00316577">
              <w:rPr>
                <w:sz w:val="20"/>
                <w:szCs w:val="20"/>
              </w:rPr>
              <w:t>Zegels</w:t>
            </w:r>
            <w:proofErr w:type="spellEnd"/>
            <w:r w:rsidRPr="00316577">
              <w:rPr>
                <w:sz w:val="20"/>
                <w:szCs w:val="20"/>
              </w:rPr>
              <w:t xml:space="preserve"> D,  </w:t>
            </w:r>
            <w:proofErr w:type="spellStart"/>
            <w:r w:rsidRPr="00316577">
              <w:rPr>
                <w:sz w:val="20"/>
                <w:szCs w:val="20"/>
              </w:rPr>
              <w:t>Leonori</w:t>
            </w:r>
            <w:proofErr w:type="spellEnd"/>
            <w:r w:rsidRPr="00316577">
              <w:rPr>
                <w:sz w:val="20"/>
                <w:szCs w:val="20"/>
              </w:rPr>
              <w:t xml:space="preserve"> L, </w:t>
            </w:r>
            <w:proofErr w:type="spellStart"/>
            <w:r w:rsidRPr="00316577">
              <w:rPr>
                <w:sz w:val="20"/>
                <w:szCs w:val="20"/>
              </w:rPr>
              <w:t>Hiligsmann</w:t>
            </w:r>
            <w:proofErr w:type="spellEnd"/>
            <w:r w:rsidRPr="00316577">
              <w:rPr>
                <w:sz w:val="20"/>
                <w:szCs w:val="20"/>
              </w:rPr>
              <w:t xml:space="preserve"> M, </w:t>
            </w:r>
            <w:proofErr w:type="spellStart"/>
            <w:r w:rsidRPr="00316577">
              <w:rPr>
                <w:sz w:val="20"/>
                <w:szCs w:val="20"/>
              </w:rPr>
              <w:t>Neuprez</w:t>
            </w:r>
            <w:proofErr w:type="spellEnd"/>
            <w:r w:rsidRPr="00316577">
              <w:rPr>
                <w:sz w:val="20"/>
                <w:szCs w:val="20"/>
              </w:rPr>
              <w:t xml:space="preserve"> A, Reginster JY (2013) Comparison of the proportion of patients potentially treated with an anti-osteoporotic drug using the current criteria of the Belgian national social security and the new suggested FRAX criteria. </w:t>
            </w:r>
            <w:proofErr w:type="spellStart"/>
            <w:r w:rsidRPr="00316577">
              <w:rPr>
                <w:sz w:val="20"/>
                <w:szCs w:val="20"/>
              </w:rPr>
              <w:t>Rheumatol</w:t>
            </w:r>
            <w:proofErr w:type="spellEnd"/>
            <w:r w:rsidRPr="00316577">
              <w:rPr>
                <w:sz w:val="20"/>
                <w:szCs w:val="20"/>
              </w:rPr>
              <w:t xml:space="preserve"> </w:t>
            </w:r>
            <w:proofErr w:type="spellStart"/>
            <w:r w:rsidRPr="00316577">
              <w:rPr>
                <w:sz w:val="20"/>
                <w:szCs w:val="20"/>
              </w:rPr>
              <w:t>Int</w:t>
            </w:r>
            <w:proofErr w:type="spellEnd"/>
            <w:r w:rsidRPr="00316577">
              <w:rPr>
                <w:sz w:val="20"/>
                <w:szCs w:val="20"/>
              </w:rPr>
              <w:t xml:space="preserve"> 33 :973-8.</w:t>
            </w:r>
          </w:p>
        </w:tc>
      </w:tr>
      <w:tr w:rsidR="00316577" w:rsidRPr="00316577" w14:paraId="2301CB01" w14:textId="77777777" w:rsidTr="00316577">
        <w:tc>
          <w:tcPr>
            <w:tcW w:w="704" w:type="dxa"/>
          </w:tcPr>
          <w:p w14:paraId="2A66FB4C" w14:textId="77777777" w:rsidR="00316577" w:rsidRPr="00316577" w:rsidRDefault="00316577" w:rsidP="00316577">
            <w:pPr>
              <w:spacing w:before="240"/>
              <w:rPr>
                <w:sz w:val="20"/>
                <w:szCs w:val="20"/>
              </w:rPr>
            </w:pPr>
            <w:r w:rsidRPr="00316577">
              <w:rPr>
                <w:sz w:val="20"/>
                <w:szCs w:val="20"/>
              </w:rPr>
              <w:t>160.</w:t>
            </w:r>
          </w:p>
        </w:tc>
        <w:tc>
          <w:tcPr>
            <w:tcW w:w="7745" w:type="dxa"/>
          </w:tcPr>
          <w:p w14:paraId="4BC36B8D" w14:textId="77777777" w:rsidR="00316577" w:rsidRPr="00316577" w:rsidRDefault="00316577" w:rsidP="00316577">
            <w:pPr>
              <w:spacing w:before="240"/>
              <w:rPr>
                <w:sz w:val="20"/>
                <w:szCs w:val="20"/>
              </w:rPr>
            </w:pPr>
            <w:r w:rsidRPr="00316577">
              <w:rPr>
                <w:sz w:val="20"/>
                <w:szCs w:val="20"/>
              </w:rPr>
              <w:t xml:space="preserve">Johansson H, Kanis JA, Oden A, Compston J, McCloskey E (2012) A comparison of case-finding strategies in the UK for the management of hip fractures. Osteoporos </w:t>
            </w:r>
            <w:proofErr w:type="spellStart"/>
            <w:r w:rsidRPr="00316577">
              <w:rPr>
                <w:sz w:val="20"/>
                <w:szCs w:val="20"/>
              </w:rPr>
              <w:t>Int</w:t>
            </w:r>
            <w:proofErr w:type="spellEnd"/>
            <w:r w:rsidRPr="00316577">
              <w:rPr>
                <w:sz w:val="20"/>
                <w:szCs w:val="20"/>
              </w:rPr>
              <w:t xml:space="preserve"> 23: 907-15.</w:t>
            </w:r>
          </w:p>
        </w:tc>
      </w:tr>
      <w:tr w:rsidR="00316577" w:rsidRPr="00316577" w14:paraId="5BD80528" w14:textId="77777777" w:rsidTr="00316577">
        <w:tc>
          <w:tcPr>
            <w:tcW w:w="704" w:type="dxa"/>
          </w:tcPr>
          <w:p w14:paraId="16D5A37B" w14:textId="77777777" w:rsidR="00316577" w:rsidRPr="00316577" w:rsidRDefault="00316577" w:rsidP="00316577">
            <w:pPr>
              <w:spacing w:before="240"/>
              <w:rPr>
                <w:bCs/>
                <w:sz w:val="20"/>
                <w:szCs w:val="20"/>
                <w:highlight w:val="green"/>
              </w:rPr>
            </w:pPr>
            <w:r w:rsidRPr="00316577">
              <w:rPr>
                <w:bCs/>
                <w:sz w:val="20"/>
                <w:szCs w:val="20"/>
              </w:rPr>
              <w:t>161.</w:t>
            </w:r>
          </w:p>
        </w:tc>
        <w:tc>
          <w:tcPr>
            <w:tcW w:w="7745" w:type="dxa"/>
          </w:tcPr>
          <w:p w14:paraId="1CED6F6A" w14:textId="77777777" w:rsidR="00316577" w:rsidRPr="00316577" w:rsidRDefault="00316577" w:rsidP="00316577">
            <w:pPr>
              <w:spacing w:before="240"/>
              <w:rPr>
                <w:bCs/>
                <w:sz w:val="20"/>
                <w:szCs w:val="20"/>
              </w:rPr>
            </w:pPr>
            <w:r w:rsidRPr="00316577">
              <w:rPr>
                <w:bCs/>
                <w:sz w:val="20"/>
                <w:szCs w:val="20"/>
              </w:rPr>
              <w:t>National Clinical Guideline Centre (2012)</w:t>
            </w:r>
            <w:r w:rsidRPr="00316577">
              <w:rPr>
                <w:sz w:val="20"/>
                <w:szCs w:val="20"/>
              </w:rPr>
              <w:t xml:space="preserve"> </w:t>
            </w:r>
            <w:r w:rsidRPr="00316577">
              <w:rPr>
                <w:bCs/>
                <w:sz w:val="20"/>
                <w:szCs w:val="20"/>
              </w:rPr>
              <w:t>Osteoporosis: fragility fracture risk. Osteoporosis: assessing the risk of fragility fracture. Short clinical guideline - CG146 Evidence and recommendations August 2012.</w:t>
            </w:r>
            <w:r w:rsidRPr="00316577">
              <w:rPr>
                <w:sz w:val="20"/>
                <w:szCs w:val="20"/>
              </w:rPr>
              <w:t xml:space="preserve"> </w:t>
            </w:r>
            <w:r w:rsidRPr="00316577">
              <w:rPr>
                <w:bCs/>
                <w:sz w:val="20"/>
                <w:szCs w:val="20"/>
              </w:rPr>
              <w:t>Published by the National Clinical Guideline Centre by the Royal College of Physicians, London</w:t>
            </w:r>
          </w:p>
        </w:tc>
      </w:tr>
      <w:tr w:rsidR="00316577" w:rsidRPr="00316577" w14:paraId="7F3374C2" w14:textId="77777777" w:rsidTr="00316577">
        <w:tc>
          <w:tcPr>
            <w:tcW w:w="704" w:type="dxa"/>
          </w:tcPr>
          <w:p w14:paraId="094AAC99" w14:textId="77777777" w:rsidR="00316577" w:rsidRPr="00316577" w:rsidRDefault="00316577" w:rsidP="00316577">
            <w:pPr>
              <w:spacing w:before="240"/>
              <w:rPr>
                <w:sz w:val="20"/>
                <w:szCs w:val="20"/>
              </w:rPr>
            </w:pPr>
            <w:r w:rsidRPr="00316577">
              <w:rPr>
                <w:sz w:val="20"/>
                <w:szCs w:val="20"/>
              </w:rPr>
              <w:t>162.</w:t>
            </w:r>
          </w:p>
        </w:tc>
        <w:tc>
          <w:tcPr>
            <w:tcW w:w="7745" w:type="dxa"/>
          </w:tcPr>
          <w:p w14:paraId="10CC0DA0" w14:textId="77777777" w:rsidR="00316577" w:rsidRPr="00316577" w:rsidRDefault="00316577" w:rsidP="00316577">
            <w:pPr>
              <w:spacing w:before="240"/>
              <w:rPr>
                <w:sz w:val="20"/>
                <w:szCs w:val="20"/>
              </w:rPr>
            </w:pPr>
            <w:r w:rsidRPr="00316577">
              <w:rPr>
                <w:sz w:val="20"/>
                <w:szCs w:val="20"/>
              </w:rPr>
              <w:t xml:space="preserve">Shepstone L, Lenaghan E, Cooper et al (2012) A pragmatic randomised controlled trial of the effectiveness and cost effectiveness of screening older women for the prevention of fractures: rationale, design and methods for the ‘SCOOP’ Study. Osteoporosis </w:t>
            </w:r>
            <w:proofErr w:type="spellStart"/>
            <w:r w:rsidRPr="00316577">
              <w:rPr>
                <w:sz w:val="20"/>
                <w:szCs w:val="20"/>
              </w:rPr>
              <w:t>Int</w:t>
            </w:r>
            <w:proofErr w:type="spellEnd"/>
            <w:r w:rsidRPr="00316577">
              <w:rPr>
                <w:sz w:val="20"/>
                <w:szCs w:val="20"/>
              </w:rPr>
              <w:t xml:space="preserve"> 23: 2507-2515.</w:t>
            </w:r>
          </w:p>
        </w:tc>
      </w:tr>
      <w:tr w:rsidR="00316577" w:rsidRPr="00316577" w14:paraId="329EA2E1" w14:textId="77777777" w:rsidTr="00316577">
        <w:tc>
          <w:tcPr>
            <w:tcW w:w="704" w:type="dxa"/>
          </w:tcPr>
          <w:p w14:paraId="74133B2C" w14:textId="77777777" w:rsidR="00316577" w:rsidRPr="00316577" w:rsidRDefault="00316577" w:rsidP="00316577">
            <w:pPr>
              <w:spacing w:before="240"/>
              <w:rPr>
                <w:sz w:val="20"/>
                <w:szCs w:val="20"/>
              </w:rPr>
            </w:pPr>
            <w:r w:rsidRPr="00316577">
              <w:rPr>
                <w:sz w:val="20"/>
                <w:szCs w:val="20"/>
              </w:rPr>
              <w:t>163.</w:t>
            </w:r>
          </w:p>
        </w:tc>
        <w:tc>
          <w:tcPr>
            <w:tcW w:w="7745" w:type="dxa"/>
          </w:tcPr>
          <w:p w14:paraId="20D1FB33" w14:textId="77777777" w:rsidR="00316577" w:rsidRPr="00316577" w:rsidRDefault="00316577" w:rsidP="00316577">
            <w:pPr>
              <w:spacing w:before="240"/>
              <w:rPr>
                <w:sz w:val="20"/>
                <w:szCs w:val="20"/>
              </w:rPr>
            </w:pPr>
            <w:r w:rsidRPr="00316577">
              <w:rPr>
                <w:sz w:val="20"/>
                <w:szCs w:val="20"/>
              </w:rPr>
              <w:t xml:space="preserve">Strom O, </w:t>
            </w:r>
            <w:proofErr w:type="spellStart"/>
            <w:r w:rsidRPr="00316577">
              <w:rPr>
                <w:sz w:val="20"/>
                <w:szCs w:val="20"/>
              </w:rPr>
              <w:t>Borgstrom</w:t>
            </w:r>
            <w:proofErr w:type="spellEnd"/>
            <w:r w:rsidRPr="00316577">
              <w:rPr>
                <w:sz w:val="20"/>
                <w:szCs w:val="20"/>
              </w:rPr>
              <w:t xml:space="preserve"> F, </w:t>
            </w:r>
            <w:proofErr w:type="spellStart"/>
            <w:r w:rsidRPr="00316577">
              <w:rPr>
                <w:sz w:val="20"/>
                <w:szCs w:val="20"/>
              </w:rPr>
              <w:t>Kleman</w:t>
            </w:r>
            <w:proofErr w:type="spellEnd"/>
            <w:r w:rsidRPr="00316577">
              <w:rPr>
                <w:sz w:val="20"/>
                <w:szCs w:val="20"/>
              </w:rPr>
              <w:t xml:space="preserve"> M et al (2010) FRAX and its applications in health economics—cost-effectiveness and intervention thresholds using bazedoxifene in a Swedish setting as an example. Bone 47:430–437</w:t>
            </w:r>
          </w:p>
        </w:tc>
      </w:tr>
      <w:tr w:rsidR="00316577" w:rsidRPr="00316577" w14:paraId="4976320C" w14:textId="77777777" w:rsidTr="00316577">
        <w:tc>
          <w:tcPr>
            <w:tcW w:w="704" w:type="dxa"/>
          </w:tcPr>
          <w:p w14:paraId="0ADB52EE" w14:textId="77777777" w:rsidR="00316577" w:rsidRPr="00316577" w:rsidRDefault="00316577" w:rsidP="00316577">
            <w:pPr>
              <w:spacing w:before="240"/>
              <w:rPr>
                <w:sz w:val="20"/>
                <w:szCs w:val="20"/>
              </w:rPr>
            </w:pPr>
            <w:r w:rsidRPr="00316577">
              <w:rPr>
                <w:sz w:val="20"/>
                <w:szCs w:val="20"/>
              </w:rPr>
              <w:t>164.</w:t>
            </w:r>
          </w:p>
        </w:tc>
        <w:tc>
          <w:tcPr>
            <w:tcW w:w="7745" w:type="dxa"/>
          </w:tcPr>
          <w:p w14:paraId="1B0928FD" w14:textId="77777777" w:rsidR="00316577" w:rsidRPr="00316577" w:rsidRDefault="00316577" w:rsidP="00316577">
            <w:pPr>
              <w:spacing w:before="240"/>
              <w:rPr>
                <w:sz w:val="20"/>
                <w:szCs w:val="20"/>
              </w:rPr>
            </w:pPr>
            <w:r w:rsidRPr="00316577">
              <w:rPr>
                <w:sz w:val="20"/>
                <w:szCs w:val="20"/>
              </w:rPr>
              <w:t xml:space="preserve">Strom O, Jonsson B, Kanis JA (2013) Intervention thresholds for denosumab in the UK using a FRAX(R)-based cost-effectiveness analysis. Osteoporos </w:t>
            </w:r>
            <w:proofErr w:type="spellStart"/>
            <w:r w:rsidRPr="00316577">
              <w:rPr>
                <w:sz w:val="20"/>
                <w:szCs w:val="20"/>
              </w:rPr>
              <w:t>Int</w:t>
            </w:r>
            <w:proofErr w:type="spellEnd"/>
            <w:r w:rsidRPr="00316577">
              <w:rPr>
                <w:sz w:val="20"/>
                <w:szCs w:val="20"/>
              </w:rPr>
              <w:t xml:space="preserve"> 24:1491–1502</w:t>
            </w:r>
          </w:p>
        </w:tc>
      </w:tr>
      <w:tr w:rsidR="00316577" w:rsidRPr="00316577" w14:paraId="34AB40CD" w14:textId="77777777" w:rsidTr="00316577">
        <w:tc>
          <w:tcPr>
            <w:tcW w:w="704" w:type="dxa"/>
          </w:tcPr>
          <w:p w14:paraId="566AE2C8" w14:textId="77777777" w:rsidR="00316577" w:rsidRPr="00316577" w:rsidRDefault="00316577" w:rsidP="00316577">
            <w:pPr>
              <w:spacing w:before="240"/>
              <w:rPr>
                <w:sz w:val="20"/>
                <w:szCs w:val="20"/>
              </w:rPr>
            </w:pPr>
            <w:r w:rsidRPr="00316577">
              <w:rPr>
                <w:sz w:val="20"/>
                <w:szCs w:val="20"/>
              </w:rPr>
              <w:t>165.</w:t>
            </w:r>
          </w:p>
        </w:tc>
        <w:tc>
          <w:tcPr>
            <w:tcW w:w="7745" w:type="dxa"/>
          </w:tcPr>
          <w:p w14:paraId="5D8AE620" w14:textId="77777777" w:rsidR="00316577" w:rsidRPr="00316577" w:rsidRDefault="00316577" w:rsidP="00316577">
            <w:pPr>
              <w:spacing w:before="240"/>
              <w:rPr>
                <w:sz w:val="20"/>
                <w:szCs w:val="20"/>
              </w:rPr>
            </w:pPr>
            <w:r w:rsidRPr="00316577">
              <w:rPr>
                <w:sz w:val="20"/>
                <w:szCs w:val="20"/>
              </w:rPr>
              <w:t>Kanis JA, Adams J, Borgstrom F et al (2008) The cost-effectiveness of alendronate in the management of osteoporosis. Bone  42:4–15.</w:t>
            </w:r>
          </w:p>
        </w:tc>
      </w:tr>
      <w:tr w:rsidR="00316577" w:rsidRPr="00316577" w14:paraId="67DEF904" w14:textId="77777777" w:rsidTr="00316577">
        <w:tc>
          <w:tcPr>
            <w:tcW w:w="704" w:type="dxa"/>
          </w:tcPr>
          <w:p w14:paraId="28E1D6E2" w14:textId="77777777" w:rsidR="00316577" w:rsidRPr="00316577" w:rsidRDefault="00316577" w:rsidP="00316577">
            <w:pPr>
              <w:spacing w:before="240"/>
              <w:rPr>
                <w:sz w:val="20"/>
                <w:szCs w:val="20"/>
              </w:rPr>
            </w:pPr>
            <w:r w:rsidRPr="00316577">
              <w:rPr>
                <w:sz w:val="20"/>
                <w:szCs w:val="20"/>
              </w:rPr>
              <w:t>166.</w:t>
            </w:r>
          </w:p>
        </w:tc>
        <w:tc>
          <w:tcPr>
            <w:tcW w:w="7745" w:type="dxa"/>
          </w:tcPr>
          <w:p w14:paraId="7AFD70D8" w14:textId="77777777" w:rsidR="00316577" w:rsidRPr="00316577" w:rsidRDefault="00316577" w:rsidP="00316577">
            <w:pPr>
              <w:spacing w:before="240"/>
              <w:rPr>
                <w:sz w:val="20"/>
                <w:szCs w:val="20"/>
              </w:rPr>
            </w:pPr>
            <w:r w:rsidRPr="00316577">
              <w:rPr>
                <w:sz w:val="20"/>
                <w:szCs w:val="20"/>
              </w:rPr>
              <w:t>Borgström F, Ström O, Coelho J, Johansson H, Oden A, McCloskey EV, Kanis JA. (2010) The cost-effectiveness of risedronate in the UK for the management of osteoporosis using the FRAX. Osteoporosis International 21: 495-505.</w:t>
            </w:r>
          </w:p>
        </w:tc>
      </w:tr>
      <w:tr w:rsidR="00316577" w:rsidRPr="00316577" w14:paraId="6C292E4A" w14:textId="77777777" w:rsidTr="00316577">
        <w:tc>
          <w:tcPr>
            <w:tcW w:w="704" w:type="dxa"/>
          </w:tcPr>
          <w:p w14:paraId="7003F3AE" w14:textId="77777777" w:rsidR="00316577" w:rsidRPr="00316577" w:rsidRDefault="00316577" w:rsidP="00316577">
            <w:pPr>
              <w:spacing w:before="240"/>
              <w:rPr>
                <w:sz w:val="20"/>
                <w:szCs w:val="20"/>
              </w:rPr>
            </w:pPr>
            <w:r w:rsidRPr="00316577">
              <w:rPr>
                <w:sz w:val="20"/>
                <w:szCs w:val="20"/>
              </w:rPr>
              <w:lastRenderedPageBreak/>
              <w:t>167.</w:t>
            </w:r>
          </w:p>
        </w:tc>
        <w:tc>
          <w:tcPr>
            <w:tcW w:w="7745" w:type="dxa"/>
          </w:tcPr>
          <w:p w14:paraId="62A84342" w14:textId="77777777" w:rsidR="00316577" w:rsidRPr="00316577" w:rsidRDefault="00316577" w:rsidP="00316577">
            <w:pPr>
              <w:spacing w:before="240"/>
              <w:rPr>
                <w:sz w:val="20"/>
                <w:szCs w:val="20"/>
              </w:rPr>
            </w:pPr>
            <w:r w:rsidRPr="00316577">
              <w:rPr>
                <w:sz w:val="20"/>
                <w:szCs w:val="20"/>
              </w:rPr>
              <w:t xml:space="preserve">Jonsson B, Strom O, </w:t>
            </w:r>
            <w:proofErr w:type="spellStart"/>
            <w:r w:rsidRPr="00316577">
              <w:rPr>
                <w:sz w:val="20"/>
                <w:szCs w:val="20"/>
              </w:rPr>
              <w:t>Eisman</w:t>
            </w:r>
            <w:proofErr w:type="spellEnd"/>
            <w:r w:rsidRPr="00316577">
              <w:rPr>
                <w:sz w:val="20"/>
                <w:szCs w:val="20"/>
              </w:rPr>
              <w:t xml:space="preserve"> JA et al (2011) Cost-effectiveness of denosumab for the treatment of postmenopausal osteoporosis. Osteoporos </w:t>
            </w:r>
            <w:proofErr w:type="spellStart"/>
            <w:r w:rsidRPr="00316577">
              <w:rPr>
                <w:sz w:val="20"/>
                <w:szCs w:val="20"/>
              </w:rPr>
              <w:t>Int</w:t>
            </w:r>
            <w:proofErr w:type="spellEnd"/>
            <w:r w:rsidRPr="00316577">
              <w:rPr>
                <w:sz w:val="20"/>
                <w:szCs w:val="20"/>
              </w:rPr>
              <w:t xml:space="preserve"> 22: 967–82</w:t>
            </w:r>
          </w:p>
        </w:tc>
      </w:tr>
      <w:tr w:rsidR="00316577" w:rsidRPr="00316577" w14:paraId="60E1305D" w14:textId="77777777" w:rsidTr="00316577">
        <w:tc>
          <w:tcPr>
            <w:tcW w:w="704" w:type="dxa"/>
          </w:tcPr>
          <w:p w14:paraId="02E1BBA2" w14:textId="77777777" w:rsidR="00316577" w:rsidRPr="00316577" w:rsidRDefault="00316577" w:rsidP="00316577">
            <w:pPr>
              <w:autoSpaceDE w:val="0"/>
              <w:autoSpaceDN w:val="0"/>
              <w:adjustRightInd w:val="0"/>
              <w:spacing w:before="240"/>
              <w:rPr>
                <w:sz w:val="20"/>
                <w:szCs w:val="20"/>
              </w:rPr>
            </w:pPr>
            <w:r w:rsidRPr="00316577">
              <w:rPr>
                <w:sz w:val="20"/>
                <w:szCs w:val="20"/>
              </w:rPr>
              <w:t>168.</w:t>
            </w:r>
          </w:p>
        </w:tc>
        <w:tc>
          <w:tcPr>
            <w:tcW w:w="7745" w:type="dxa"/>
          </w:tcPr>
          <w:p w14:paraId="28E7D4F3" w14:textId="77777777" w:rsidR="00316577" w:rsidRPr="00316577" w:rsidRDefault="00316577" w:rsidP="00316577">
            <w:pPr>
              <w:autoSpaceDE w:val="0"/>
              <w:autoSpaceDN w:val="0"/>
              <w:adjustRightInd w:val="0"/>
              <w:spacing w:before="240"/>
              <w:rPr>
                <w:sz w:val="20"/>
                <w:szCs w:val="20"/>
              </w:rPr>
            </w:pPr>
            <w:r w:rsidRPr="00316577">
              <w:rPr>
                <w:sz w:val="20"/>
                <w:szCs w:val="20"/>
              </w:rPr>
              <w:t xml:space="preserve">Ivergard M, Strom O, Borgstrom F, Burge RT, </w:t>
            </w:r>
            <w:proofErr w:type="spellStart"/>
            <w:r w:rsidRPr="00316577">
              <w:rPr>
                <w:sz w:val="20"/>
                <w:szCs w:val="20"/>
              </w:rPr>
              <w:t>Tosteson</w:t>
            </w:r>
            <w:proofErr w:type="spellEnd"/>
            <w:r w:rsidRPr="00316577">
              <w:rPr>
                <w:sz w:val="20"/>
                <w:szCs w:val="20"/>
              </w:rPr>
              <w:t xml:space="preserve"> AN, Kanis J (2010) Identifying cost-effective treatment with raloxifene in postmenopausal women using risk algorithms for fractures and invasive breast cancer. Bone 47:966–974</w:t>
            </w:r>
          </w:p>
        </w:tc>
      </w:tr>
      <w:tr w:rsidR="00316577" w:rsidRPr="00316577" w14:paraId="3C96C058" w14:textId="77777777" w:rsidTr="00316577">
        <w:tc>
          <w:tcPr>
            <w:tcW w:w="704" w:type="dxa"/>
          </w:tcPr>
          <w:p w14:paraId="3A095892" w14:textId="77777777" w:rsidR="00316577" w:rsidRPr="00316577" w:rsidRDefault="00316577" w:rsidP="00316577">
            <w:pPr>
              <w:spacing w:before="240"/>
              <w:rPr>
                <w:sz w:val="20"/>
                <w:szCs w:val="20"/>
              </w:rPr>
            </w:pPr>
            <w:r w:rsidRPr="00316577">
              <w:rPr>
                <w:sz w:val="20"/>
                <w:szCs w:val="20"/>
              </w:rPr>
              <w:t>169.</w:t>
            </w:r>
          </w:p>
        </w:tc>
        <w:tc>
          <w:tcPr>
            <w:tcW w:w="7745" w:type="dxa"/>
          </w:tcPr>
          <w:p w14:paraId="1397AB63" w14:textId="77777777" w:rsidR="00316577" w:rsidRPr="00316577" w:rsidRDefault="00316577" w:rsidP="00316577">
            <w:pPr>
              <w:spacing w:before="240"/>
              <w:rPr>
                <w:sz w:val="20"/>
                <w:szCs w:val="20"/>
              </w:rPr>
            </w:pPr>
            <w:r w:rsidRPr="00316577">
              <w:rPr>
                <w:sz w:val="20"/>
                <w:szCs w:val="20"/>
              </w:rPr>
              <w:t xml:space="preserve">Borgstrom F, Strom O, Coelho J et al (2010) The cost-effectiveness of strontium ranelate in the UK for the management of osteoporosis. Osteoporos </w:t>
            </w:r>
            <w:proofErr w:type="spellStart"/>
            <w:r w:rsidRPr="00316577">
              <w:rPr>
                <w:sz w:val="20"/>
                <w:szCs w:val="20"/>
              </w:rPr>
              <w:t>Int</w:t>
            </w:r>
            <w:proofErr w:type="spellEnd"/>
            <w:r w:rsidRPr="00316577">
              <w:rPr>
                <w:sz w:val="20"/>
                <w:szCs w:val="20"/>
              </w:rPr>
              <w:t xml:space="preserve"> 21:339–349</w:t>
            </w:r>
          </w:p>
        </w:tc>
      </w:tr>
      <w:tr w:rsidR="00316577" w:rsidRPr="00316577" w14:paraId="75F1BE7D" w14:textId="77777777" w:rsidTr="00316577">
        <w:tc>
          <w:tcPr>
            <w:tcW w:w="704" w:type="dxa"/>
          </w:tcPr>
          <w:p w14:paraId="7E5DBF77" w14:textId="77777777" w:rsidR="00316577" w:rsidRPr="00316577" w:rsidRDefault="00316577" w:rsidP="00316577">
            <w:pPr>
              <w:spacing w:before="240"/>
              <w:rPr>
                <w:sz w:val="20"/>
                <w:szCs w:val="20"/>
              </w:rPr>
            </w:pPr>
            <w:r w:rsidRPr="00316577">
              <w:rPr>
                <w:sz w:val="20"/>
                <w:szCs w:val="20"/>
              </w:rPr>
              <w:t>170.</w:t>
            </w:r>
          </w:p>
        </w:tc>
        <w:tc>
          <w:tcPr>
            <w:tcW w:w="7745" w:type="dxa"/>
          </w:tcPr>
          <w:p w14:paraId="6D872DB7" w14:textId="77777777" w:rsidR="00316577" w:rsidRPr="00316577" w:rsidRDefault="00316577" w:rsidP="00316577">
            <w:pPr>
              <w:spacing w:before="240"/>
              <w:rPr>
                <w:sz w:val="20"/>
                <w:szCs w:val="20"/>
              </w:rPr>
            </w:pPr>
            <w:r w:rsidRPr="00316577">
              <w:rPr>
                <w:sz w:val="20"/>
                <w:szCs w:val="20"/>
              </w:rPr>
              <w:t xml:space="preserve">Borgstrom F, Strom O, </w:t>
            </w:r>
            <w:proofErr w:type="spellStart"/>
            <w:r w:rsidRPr="00316577">
              <w:rPr>
                <w:sz w:val="20"/>
                <w:szCs w:val="20"/>
              </w:rPr>
              <w:t>Kleman</w:t>
            </w:r>
            <w:proofErr w:type="spellEnd"/>
            <w:r w:rsidRPr="00316577">
              <w:rPr>
                <w:sz w:val="20"/>
                <w:szCs w:val="20"/>
              </w:rPr>
              <w:t xml:space="preserve"> M et al (2010) Cost-effectiveness of bazedoxifene incorporating the FRAX(R) algorithm in a European perspective. Osteoporos </w:t>
            </w:r>
            <w:proofErr w:type="spellStart"/>
            <w:r w:rsidRPr="00316577">
              <w:rPr>
                <w:sz w:val="20"/>
                <w:szCs w:val="20"/>
              </w:rPr>
              <w:t>Int</w:t>
            </w:r>
            <w:proofErr w:type="spellEnd"/>
            <w:r w:rsidRPr="00316577">
              <w:rPr>
                <w:sz w:val="20"/>
                <w:szCs w:val="20"/>
              </w:rPr>
              <w:t xml:space="preserve"> 22: 955–65</w:t>
            </w:r>
          </w:p>
        </w:tc>
      </w:tr>
      <w:tr w:rsidR="00316577" w:rsidRPr="00316577" w14:paraId="5B3F0650" w14:textId="77777777" w:rsidTr="00316577">
        <w:tc>
          <w:tcPr>
            <w:tcW w:w="704" w:type="dxa"/>
          </w:tcPr>
          <w:p w14:paraId="5625A8BC" w14:textId="77777777" w:rsidR="00316577" w:rsidRPr="00316577" w:rsidRDefault="00316577" w:rsidP="00316577">
            <w:pPr>
              <w:spacing w:before="240"/>
              <w:rPr>
                <w:sz w:val="20"/>
                <w:szCs w:val="20"/>
              </w:rPr>
            </w:pPr>
            <w:r w:rsidRPr="00316577">
              <w:rPr>
                <w:sz w:val="20"/>
                <w:szCs w:val="20"/>
              </w:rPr>
              <w:t>171.</w:t>
            </w:r>
          </w:p>
        </w:tc>
        <w:tc>
          <w:tcPr>
            <w:tcW w:w="7745" w:type="dxa"/>
          </w:tcPr>
          <w:p w14:paraId="7DC720B7" w14:textId="77777777" w:rsidR="00316577" w:rsidRPr="00316577" w:rsidRDefault="00316577" w:rsidP="00316577">
            <w:pPr>
              <w:spacing w:before="240"/>
              <w:rPr>
                <w:sz w:val="20"/>
                <w:szCs w:val="20"/>
              </w:rPr>
            </w:pPr>
            <w:r w:rsidRPr="00316577">
              <w:rPr>
                <w:sz w:val="20"/>
                <w:szCs w:val="20"/>
              </w:rPr>
              <w:t xml:space="preserve">Azagra R, Roca G, Martin-Sanchez et al (2015) FRAX thresholds to identify people with high or low risk of osteoporotic fracture in Spanish female population. Med </w:t>
            </w:r>
            <w:proofErr w:type="spellStart"/>
            <w:r w:rsidRPr="00316577">
              <w:rPr>
                <w:sz w:val="20"/>
                <w:szCs w:val="20"/>
              </w:rPr>
              <w:t>Clin</w:t>
            </w:r>
            <w:proofErr w:type="spellEnd"/>
            <w:r w:rsidRPr="00316577">
              <w:rPr>
                <w:sz w:val="20"/>
                <w:szCs w:val="20"/>
              </w:rPr>
              <w:t xml:space="preserve"> (</w:t>
            </w:r>
            <w:proofErr w:type="spellStart"/>
            <w:r w:rsidRPr="00316577">
              <w:rPr>
                <w:sz w:val="20"/>
                <w:szCs w:val="20"/>
              </w:rPr>
              <w:t>Barc</w:t>
            </w:r>
            <w:proofErr w:type="spellEnd"/>
            <w:r w:rsidRPr="00316577">
              <w:rPr>
                <w:sz w:val="20"/>
                <w:szCs w:val="20"/>
              </w:rPr>
              <w:t>) 144: 1-8.</w:t>
            </w:r>
          </w:p>
        </w:tc>
      </w:tr>
      <w:tr w:rsidR="00316577" w:rsidRPr="00316577" w14:paraId="4CC46590" w14:textId="77777777" w:rsidTr="00316577">
        <w:tc>
          <w:tcPr>
            <w:tcW w:w="704" w:type="dxa"/>
          </w:tcPr>
          <w:p w14:paraId="1BE21264" w14:textId="77777777" w:rsidR="00316577" w:rsidRPr="00316577" w:rsidRDefault="00316577" w:rsidP="00316577">
            <w:pPr>
              <w:spacing w:before="240"/>
              <w:rPr>
                <w:sz w:val="20"/>
                <w:szCs w:val="20"/>
                <w:highlight w:val="green"/>
              </w:rPr>
            </w:pPr>
            <w:r w:rsidRPr="00316577">
              <w:rPr>
                <w:sz w:val="20"/>
                <w:szCs w:val="20"/>
              </w:rPr>
              <w:t>172.</w:t>
            </w:r>
          </w:p>
        </w:tc>
        <w:tc>
          <w:tcPr>
            <w:tcW w:w="7745" w:type="dxa"/>
          </w:tcPr>
          <w:p w14:paraId="4AE84C50" w14:textId="77777777" w:rsidR="00316577" w:rsidRPr="00316577" w:rsidRDefault="00316577" w:rsidP="00316577">
            <w:pPr>
              <w:spacing w:before="240"/>
              <w:rPr>
                <w:sz w:val="20"/>
                <w:szCs w:val="20"/>
              </w:rPr>
            </w:pPr>
            <w:r w:rsidRPr="00316577">
              <w:rPr>
                <w:sz w:val="20"/>
                <w:szCs w:val="20"/>
              </w:rPr>
              <w:t>National Institute for Health and Clinical Excellence (2010) Denosumab for the prevention of osteoporotic fractures in postmenopausal women. Technology appraisal 204 http://guidance.nice.org.uk/TA204  Accessed 24 May 2011</w:t>
            </w:r>
          </w:p>
        </w:tc>
      </w:tr>
      <w:tr w:rsidR="00316577" w:rsidRPr="00316577" w14:paraId="0D1D2E06" w14:textId="77777777" w:rsidTr="00316577">
        <w:tc>
          <w:tcPr>
            <w:tcW w:w="704" w:type="dxa"/>
          </w:tcPr>
          <w:p w14:paraId="2579309D" w14:textId="77777777" w:rsidR="00316577" w:rsidRPr="00316577" w:rsidRDefault="00316577" w:rsidP="00316577">
            <w:pPr>
              <w:spacing w:before="240"/>
              <w:rPr>
                <w:sz w:val="20"/>
                <w:szCs w:val="20"/>
                <w:highlight w:val="green"/>
              </w:rPr>
            </w:pPr>
            <w:r w:rsidRPr="00316577">
              <w:rPr>
                <w:sz w:val="20"/>
                <w:szCs w:val="20"/>
              </w:rPr>
              <w:t>173.</w:t>
            </w:r>
          </w:p>
        </w:tc>
        <w:tc>
          <w:tcPr>
            <w:tcW w:w="7745" w:type="dxa"/>
          </w:tcPr>
          <w:p w14:paraId="354AAEB5" w14:textId="77777777" w:rsidR="00316577" w:rsidRPr="00316577" w:rsidRDefault="00316577" w:rsidP="00316577">
            <w:pPr>
              <w:spacing w:before="240"/>
              <w:rPr>
                <w:sz w:val="20"/>
                <w:szCs w:val="20"/>
              </w:rPr>
            </w:pPr>
            <w:r w:rsidRPr="00316577">
              <w:rPr>
                <w:sz w:val="20"/>
                <w:szCs w:val="20"/>
              </w:rPr>
              <w:t>National Institute for Health and Clinical Excellence (2011a) Alendronate, etidronate, risedronate, raloxifene and strontium ranelate for the primary prevention of osteoporotic fragility fractures in postmenopausal women. Technology appraisal TA160. http://guidance.nice.org.uk/TA160 Accessed 24 May 2011</w:t>
            </w:r>
          </w:p>
        </w:tc>
      </w:tr>
      <w:tr w:rsidR="00316577" w:rsidRPr="00316577" w14:paraId="79F3554F" w14:textId="77777777" w:rsidTr="00316577">
        <w:tc>
          <w:tcPr>
            <w:tcW w:w="704" w:type="dxa"/>
          </w:tcPr>
          <w:p w14:paraId="337B4E9C" w14:textId="77777777" w:rsidR="00316577" w:rsidRPr="00316577" w:rsidRDefault="00316577" w:rsidP="00316577">
            <w:pPr>
              <w:spacing w:before="240"/>
              <w:rPr>
                <w:sz w:val="20"/>
                <w:szCs w:val="20"/>
                <w:highlight w:val="green"/>
              </w:rPr>
            </w:pPr>
            <w:r w:rsidRPr="00316577">
              <w:rPr>
                <w:sz w:val="20"/>
                <w:szCs w:val="20"/>
              </w:rPr>
              <w:t>174.</w:t>
            </w:r>
          </w:p>
        </w:tc>
        <w:tc>
          <w:tcPr>
            <w:tcW w:w="7745" w:type="dxa"/>
          </w:tcPr>
          <w:p w14:paraId="1C837384" w14:textId="77777777" w:rsidR="00316577" w:rsidRPr="00316577" w:rsidRDefault="00316577" w:rsidP="00316577">
            <w:pPr>
              <w:spacing w:before="240"/>
              <w:rPr>
                <w:sz w:val="20"/>
                <w:szCs w:val="20"/>
              </w:rPr>
            </w:pPr>
            <w:r w:rsidRPr="00316577">
              <w:rPr>
                <w:sz w:val="20"/>
                <w:szCs w:val="20"/>
              </w:rPr>
              <w:t>National Institute for Health and Clinical Excellence (2011b) Alendronate, etidronate, risedronate, raloxifene, strontium ranelate and teriparatide for the secondary prevention of osteoporotic fragility fractures in postmenopausal women. Technology appraisal TA161.http://egap.evidence.nhs.uk/TA161 Accessed 24 May 2011</w:t>
            </w:r>
          </w:p>
        </w:tc>
      </w:tr>
      <w:tr w:rsidR="00316577" w:rsidRPr="00316577" w14:paraId="6BA22A96" w14:textId="77777777" w:rsidTr="00316577">
        <w:tc>
          <w:tcPr>
            <w:tcW w:w="704" w:type="dxa"/>
          </w:tcPr>
          <w:p w14:paraId="071CA70C" w14:textId="77777777" w:rsidR="00316577" w:rsidRPr="00316577" w:rsidRDefault="00316577" w:rsidP="00316577">
            <w:pPr>
              <w:spacing w:before="240"/>
              <w:rPr>
                <w:sz w:val="20"/>
                <w:szCs w:val="20"/>
              </w:rPr>
            </w:pPr>
            <w:r w:rsidRPr="00316577">
              <w:rPr>
                <w:sz w:val="20"/>
                <w:szCs w:val="20"/>
              </w:rPr>
              <w:t>175.</w:t>
            </w:r>
          </w:p>
        </w:tc>
        <w:tc>
          <w:tcPr>
            <w:tcW w:w="7745" w:type="dxa"/>
          </w:tcPr>
          <w:p w14:paraId="714127D6" w14:textId="77777777" w:rsidR="00316577" w:rsidRPr="00316577" w:rsidRDefault="00316577" w:rsidP="00316577">
            <w:pPr>
              <w:spacing w:before="240"/>
              <w:rPr>
                <w:sz w:val="20"/>
                <w:szCs w:val="20"/>
              </w:rPr>
            </w:pPr>
            <w:r w:rsidRPr="00316577">
              <w:rPr>
                <w:sz w:val="20"/>
                <w:szCs w:val="20"/>
              </w:rPr>
              <w:t>Kanis JA, McCloskey E, Jönsson B, Cooper A, Ström O Borgström F (2010) An evaluation of the NICE guidance for the prevention of osteoporotic fragility fractures in postmenopausal women.  Arch Osteoporos 5: 19-48</w:t>
            </w:r>
          </w:p>
        </w:tc>
      </w:tr>
      <w:tr w:rsidR="00316577" w:rsidRPr="00316577" w14:paraId="77F26E4C" w14:textId="77777777" w:rsidTr="00316577">
        <w:tc>
          <w:tcPr>
            <w:tcW w:w="704" w:type="dxa"/>
          </w:tcPr>
          <w:p w14:paraId="4748A16C" w14:textId="77777777" w:rsidR="00316577" w:rsidRPr="00316577" w:rsidRDefault="00316577" w:rsidP="00316577">
            <w:pPr>
              <w:spacing w:before="240"/>
              <w:rPr>
                <w:sz w:val="20"/>
                <w:szCs w:val="20"/>
              </w:rPr>
            </w:pPr>
            <w:r w:rsidRPr="00316577">
              <w:rPr>
                <w:sz w:val="20"/>
                <w:szCs w:val="20"/>
              </w:rPr>
              <w:t>176.</w:t>
            </w:r>
          </w:p>
        </w:tc>
        <w:tc>
          <w:tcPr>
            <w:tcW w:w="7745" w:type="dxa"/>
          </w:tcPr>
          <w:p w14:paraId="4865797C" w14:textId="77777777" w:rsidR="00316577" w:rsidRPr="00316577" w:rsidRDefault="00316577" w:rsidP="00316577">
            <w:pPr>
              <w:spacing w:before="240"/>
              <w:rPr>
                <w:sz w:val="20"/>
                <w:szCs w:val="20"/>
              </w:rPr>
            </w:pPr>
            <w:proofErr w:type="spellStart"/>
            <w:r w:rsidRPr="00316577">
              <w:rPr>
                <w:sz w:val="20"/>
                <w:szCs w:val="20"/>
              </w:rPr>
              <w:t>Zethraeus</w:t>
            </w:r>
            <w:proofErr w:type="spellEnd"/>
            <w:r w:rsidRPr="00316577">
              <w:rPr>
                <w:sz w:val="20"/>
                <w:szCs w:val="20"/>
              </w:rPr>
              <w:t xml:space="preserve"> N, </w:t>
            </w:r>
            <w:proofErr w:type="spellStart"/>
            <w:r w:rsidRPr="00316577">
              <w:rPr>
                <w:sz w:val="20"/>
                <w:szCs w:val="20"/>
              </w:rPr>
              <w:t>Borgstrom</w:t>
            </w:r>
            <w:proofErr w:type="spellEnd"/>
            <w:r w:rsidRPr="00316577">
              <w:rPr>
                <w:sz w:val="20"/>
                <w:szCs w:val="20"/>
              </w:rPr>
              <w:t xml:space="preserve"> F, Strom O, Kanis JA, Jonsson B (2007) Cost-effectiveness of the treatment and prevention of osteoporosis—a review of the literature and a reference model. Osteoporos </w:t>
            </w:r>
            <w:proofErr w:type="spellStart"/>
            <w:r w:rsidRPr="00316577">
              <w:rPr>
                <w:sz w:val="20"/>
                <w:szCs w:val="20"/>
              </w:rPr>
              <w:t>Int</w:t>
            </w:r>
            <w:proofErr w:type="spellEnd"/>
            <w:r w:rsidRPr="00316577">
              <w:rPr>
                <w:sz w:val="20"/>
                <w:szCs w:val="20"/>
              </w:rPr>
              <w:t xml:space="preserve"> 18:9–23</w:t>
            </w:r>
          </w:p>
        </w:tc>
      </w:tr>
      <w:tr w:rsidR="00316577" w:rsidRPr="00316577" w14:paraId="4E7DF317" w14:textId="77777777" w:rsidTr="00316577">
        <w:tc>
          <w:tcPr>
            <w:tcW w:w="704" w:type="dxa"/>
          </w:tcPr>
          <w:p w14:paraId="2A7E5B29" w14:textId="77777777" w:rsidR="00316577" w:rsidRPr="00316577" w:rsidRDefault="00316577" w:rsidP="00316577">
            <w:pPr>
              <w:autoSpaceDE w:val="0"/>
              <w:autoSpaceDN w:val="0"/>
              <w:adjustRightInd w:val="0"/>
              <w:spacing w:before="240"/>
              <w:rPr>
                <w:sz w:val="20"/>
                <w:szCs w:val="20"/>
              </w:rPr>
            </w:pPr>
            <w:r w:rsidRPr="00316577">
              <w:rPr>
                <w:sz w:val="20"/>
                <w:szCs w:val="20"/>
              </w:rPr>
              <w:t>177.</w:t>
            </w:r>
          </w:p>
        </w:tc>
        <w:tc>
          <w:tcPr>
            <w:tcW w:w="7745" w:type="dxa"/>
          </w:tcPr>
          <w:p w14:paraId="4C7C0FFB" w14:textId="77777777" w:rsidR="00316577" w:rsidRPr="00316577" w:rsidRDefault="00316577" w:rsidP="00316577">
            <w:pPr>
              <w:autoSpaceDE w:val="0"/>
              <w:autoSpaceDN w:val="0"/>
              <w:adjustRightInd w:val="0"/>
              <w:spacing w:before="240"/>
              <w:rPr>
                <w:sz w:val="20"/>
                <w:szCs w:val="20"/>
              </w:rPr>
            </w:pPr>
            <w:proofErr w:type="spellStart"/>
            <w:r w:rsidRPr="00316577">
              <w:rPr>
                <w:sz w:val="20"/>
                <w:szCs w:val="20"/>
              </w:rPr>
              <w:t>Hippisley</w:t>
            </w:r>
            <w:proofErr w:type="spellEnd"/>
            <w:r w:rsidRPr="00316577">
              <w:rPr>
                <w:sz w:val="20"/>
                <w:szCs w:val="20"/>
              </w:rPr>
              <w:t xml:space="preserve">-Cox J, </w:t>
            </w:r>
            <w:proofErr w:type="spellStart"/>
            <w:r w:rsidRPr="00316577">
              <w:rPr>
                <w:sz w:val="20"/>
                <w:szCs w:val="20"/>
              </w:rPr>
              <w:t>Coupland</w:t>
            </w:r>
            <w:proofErr w:type="spellEnd"/>
            <w:r w:rsidRPr="00316577">
              <w:rPr>
                <w:sz w:val="20"/>
                <w:szCs w:val="20"/>
              </w:rPr>
              <w:t xml:space="preserve"> C (2009) Predicting risk of osteoporotic fracture in men and women in England and Wales: prospective derivation and validation of </w:t>
            </w:r>
            <w:proofErr w:type="spellStart"/>
            <w:r w:rsidRPr="00316577">
              <w:rPr>
                <w:sz w:val="20"/>
                <w:szCs w:val="20"/>
              </w:rPr>
              <w:t>QFractures</w:t>
            </w:r>
            <w:proofErr w:type="spellEnd"/>
            <w:r w:rsidRPr="00316577">
              <w:rPr>
                <w:sz w:val="20"/>
                <w:szCs w:val="20"/>
              </w:rPr>
              <w:t xml:space="preserve"> Scores. Br Med J  339: b4229</w:t>
            </w:r>
          </w:p>
        </w:tc>
      </w:tr>
      <w:tr w:rsidR="00316577" w:rsidRPr="00316577" w14:paraId="777B6640" w14:textId="77777777" w:rsidTr="00316577">
        <w:tc>
          <w:tcPr>
            <w:tcW w:w="704" w:type="dxa"/>
          </w:tcPr>
          <w:p w14:paraId="50E38A34" w14:textId="77777777" w:rsidR="00316577" w:rsidRPr="00316577" w:rsidRDefault="00316577" w:rsidP="00316577">
            <w:pPr>
              <w:spacing w:before="240"/>
              <w:rPr>
                <w:sz w:val="20"/>
                <w:szCs w:val="20"/>
              </w:rPr>
            </w:pPr>
            <w:r w:rsidRPr="00316577">
              <w:rPr>
                <w:sz w:val="20"/>
                <w:szCs w:val="20"/>
              </w:rPr>
              <w:t>178.</w:t>
            </w:r>
          </w:p>
        </w:tc>
        <w:tc>
          <w:tcPr>
            <w:tcW w:w="7745" w:type="dxa"/>
          </w:tcPr>
          <w:p w14:paraId="4439C65B" w14:textId="77777777" w:rsidR="00316577" w:rsidRPr="00316577" w:rsidRDefault="00316577" w:rsidP="00316577">
            <w:pPr>
              <w:spacing w:before="240"/>
              <w:rPr>
                <w:sz w:val="20"/>
                <w:szCs w:val="20"/>
              </w:rPr>
            </w:pPr>
            <w:r w:rsidRPr="00316577">
              <w:rPr>
                <w:sz w:val="20"/>
                <w:szCs w:val="20"/>
              </w:rPr>
              <w:t xml:space="preserve">Chen P, </w:t>
            </w:r>
            <w:proofErr w:type="spellStart"/>
            <w:r w:rsidRPr="00316577">
              <w:rPr>
                <w:sz w:val="20"/>
                <w:szCs w:val="20"/>
              </w:rPr>
              <w:t>Krege</w:t>
            </w:r>
            <w:proofErr w:type="spellEnd"/>
            <w:r w:rsidRPr="00316577">
              <w:rPr>
                <w:sz w:val="20"/>
                <w:szCs w:val="20"/>
              </w:rPr>
              <w:t xml:space="preserve"> JH, Adachi JD, et al (2009) Vertebral fracture status and the World Health Organization risk factors for predicting osteoporotic fracture risk. J Bone Miner 24:495–502.</w:t>
            </w:r>
          </w:p>
        </w:tc>
      </w:tr>
      <w:tr w:rsidR="00316577" w:rsidRPr="00316577" w14:paraId="2E309586" w14:textId="77777777" w:rsidTr="00316577">
        <w:tc>
          <w:tcPr>
            <w:tcW w:w="704" w:type="dxa"/>
          </w:tcPr>
          <w:p w14:paraId="540E933E" w14:textId="77777777" w:rsidR="00316577" w:rsidRPr="00316577" w:rsidRDefault="00316577" w:rsidP="00316577">
            <w:pPr>
              <w:spacing w:before="240"/>
              <w:rPr>
                <w:sz w:val="20"/>
                <w:szCs w:val="20"/>
              </w:rPr>
            </w:pPr>
            <w:r w:rsidRPr="00316577">
              <w:rPr>
                <w:sz w:val="20"/>
                <w:szCs w:val="20"/>
              </w:rPr>
              <w:t>179.</w:t>
            </w:r>
          </w:p>
        </w:tc>
        <w:tc>
          <w:tcPr>
            <w:tcW w:w="7745" w:type="dxa"/>
          </w:tcPr>
          <w:p w14:paraId="4E33A43D" w14:textId="77777777" w:rsidR="00316577" w:rsidRPr="00316577" w:rsidRDefault="00316577" w:rsidP="00316577">
            <w:pPr>
              <w:spacing w:before="240"/>
              <w:rPr>
                <w:sz w:val="20"/>
                <w:szCs w:val="20"/>
              </w:rPr>
            </w:pPr>
            <w:proofErr w:type="spellStart"/>
            <w:r w:rsidRPr="00316577">
              <w:rPr>
                <w:sz w:val="20"/>
                <w:szCs w:val="20"/>
              </w:rPr>
              <w:t>Sornay-Rendu</w:t>
            </w:r>
            <w:proofErr w:type="spellEnd"/>
            <w:r w:rsidRPr="00316577">
              <w:rPr>
                <w:sz w:val="20"/>
                <w:szCs w:val="20"/>
              </w:rPr>
              <w:t xml:space="preserve"> E, Munoz F, Delmas PD, Chapurlat RD (2010) The FRAX® tool in French women : how well does it describe the real incidence of fracture in the OFELY cohort. J Bone Miner Res 25: 2101–2107 </w:t>
            </w:r>
          </w:p>
        </w:tc>
      </w:tr>
      <w:tr w:rsidR="00316577" w:rsidRPr="00316577" w14:paraId="2032CF22" w14:textId="77777777" w:rsidTr="00316577">
        <w:tc>
          <w:tcPr>
            <w:tcW w:w="704" w:type="dxa"/>
          </w:tcPr>
          <w:p w14:paraId="18E4F599" w14:textId="77777777" w:rsidR="00316577" w:rsidRPr="00316577" w:rsidRDefault="00316577" w:rsidP="00316577">
            <w:pPr>
              <w:spacing w:before="240"/>
              <w:rPr>
                <w:sz w:val="20"/>
                <w:szCs w:val="20"/>
              </w:rPr>
            </w:pPr>
            <w:r w:rsidRPr="00316577">
              <w:rPr>
                <w:sz w:val="20"/>
                <w:szCs w:val="20"/>
              </w:rPr>
              <w:t>180.</w:t>
            </w:r>
          </w:p>
        </w:tc>
        <w:tc>
          <w:tcPr>
            <w:tcW w:w="7745" w:type="dxa"/>
          </w:tcPr>
          <w:p w14:paraId="22AE9FBD" w14:textId="77777777" w:rsidR="00316577" w:rsidRPr="00316577" w:rsidRDefault="00316577" w:rsidP="00316577">
            <w:pPr>
              <w:spacing w:before="240"/>
              <w:rPr>
                <w:sz w:val="20"/>
                <w:szCs w:val="20"/>
              </w:rPr>
            </w:pPr>
            <w:proofErr w:type="spellStart"/>
            <w:r w:rsidRPr="00316577">
              <w:rPr>
                <w:sz w:val="20"/>
                <w:szCs w:val="20"/>
              </w:rPr>
              <w:t>Bolland</w:t>
            </w:r>
            <w:proofErr w:type="spellEnd"/>
            <w:r w:rsidRPr="00316577">
              <w:rPr>
                <w:sz w:val="20"/>
                <w:szCs w:val="20"/>
              </w:rPr>
              <w:t xml:space="preserve"> MJ, Siu AT, Mason BH et al (2011) Evaluation of the FRAX and Garvan fracture risk calculators in older women. J Bone Miner Res  26: 420-427</w:t>
            </w:r>
          </w:p>
        </w:tc>
      </w:tr>
      <w:tr w:rsidR="00316577" w:rsidRPr="00316577" w14:paraId="18009182" w14:textId="77777777" w:rsidTr="00316577">
        <w:tc>
          <w:tcPr>
            <w:tcW w:w="704" w:type="dxa"/>
          </w:tcPr>
          <w:p w14:paraId="58410B0A" w14:textId="77777777" w:rsidR="00316577" w:rsidRPr="00316577" w:rsidRDefault="00316577" w:rsidP="00316577">
            <w:pPr>
              <w:autoSpaceDE w:val="0"/>
              <w:autoSpaceDN w:val="0"/>
              <w:adjustRightInd w:val="0"/>
              <w:spacing w:before="240"/>
              <w:rPr>
                <w:iCs/>
                <w:sz w:val="20"/>
                <w:szCs w:val="20"/>
              </w:rPr>
            </w:pPr>
            <w:r w:rsidRPr="00316577">
              <w:rPr>
                <w:iCs/>
                <w:sz w:val="20"/>
                <w:szCs w:val="20"/>
              </w:rPr>
              <w:t>181.</w:t>
            </w:r>
          </w:p>
        </w:tc>
        <w:tc>
          <w:tcPr>
            <w:tcW w:w="7745" w:type="dxa"/>
          </w:tcPr>
          <w:p w14:paraId="5251679B" w14:textId="77777777" w:rsidR="00316577" w:rsidRPr="00316577" w:rsidRDefault="00316577" w:rsidP="00316577">
            <w:pPr>
              <w:autoSpaceDE w:val="0"/>
              <w:autoSpaceDN w:val="0"/>
              <w:adjustRightInd w:val="0"/>
              <w:spacing w:before="240"/>
              <w:rPr>
                <w:iCs/>
                <w:sz w:val="20"/>
                <w:szCs w:val="20"/>
              </w:rPr>
            </w:pPr>
            <w:proofErr w:type="spellStart"/>
            <w:r w:rsidRPr="00316577">
              <w:rPr>
                <w:iCs/>
                <w:sz w:val="20"/>
                <w:szCs w:val="20"/>
              </w:rPr>
              <w:t>Ensrud</w:t>
            </w:r>
            <w:proofErr w:type="spellEnd"/>
            <w:r w:rsidRPr="00316577">
              <w:rPr>
                <w:iCs/>
                <w:sz w:val="20"/>
                <w:szCs w:val="20"/>
              </w:rPr>
              <w:t xml:space="preserve"> KE, </w:t>
            </w:r>
            <w:proofErr w:type="spellStart"/>
            <w:r w:rsidRPr="00316577">
              <w:rPr>
                <w:iCs/>
                <w:sz w:val="20"/>
                <w:szCs w:val="20"/>
              </w:rPr>
              <w:t>Lui</w:t>
            </w:r>
            <w:proofErr w:type="spellEnd"/>
            <w:r w:rsidRPr="00316577">
              <w:rPr>
                <w:iCs/>
                <w:sz w:val="20"/>
                <w:szCs w:val="20"/>
              </w:rPr>
              <w:t xml:space="preserve"> LY, Taylor BC et al (2009) A comparison of prediction models for fractures in older women: is more better? Arch Intern Med 169:2087-94.</w:t>
            </w:r>
          </w:p>
        </w:tc>
      </w:tr>
      <w:tr w:rsidR="00316577" w:rsidRPr="00316577" w14:paraId="6DE02905" w14:textId="77777777" w:rsidTr="00316577">
        <w:tc>
          <w:tcPr>
            <w:tcW w:w="704" w:type="dxa"/>
          </w:tcPr>
          <w:p w14:paraId="68DAE6CA" w14:textId="77777777" w:rsidR="00316577" w:rsidRPr="00316577" w:rsidRDefault="00316577" w:rsidP="00316577">
            <w:pPr>
              <w:spacing w:before="240"/>
              <w:rPr>
                <w:sz w:val="20"/>
                <w:szCs w:val="20"/>
              </w:rPr>
            </w:pPr>
            <w:r w:rsidRPr="00316577">
              <w:rPr>
                <w:sz w:val="20"/>
                <w:szCs w:val="20"/>
              </w:rPr>
              <w:t>182.</w:t>
            </w:r>
          </w:p>
        </w:tc>
        <w:tc>
          <w:tcPr>
            <w:tcW w:w="7745" w:type="dxa"/>
          </w:tcPr>
          <w:p w14:paraId="30D4C6EC" w14:textId="77777777" w:rsidR="00316577" w:rsidRPr="00316577" w:rsidRDefault="00316577" w:rsidP="00316577">
            <w:pPr>
              <w:spacing w:before="240"/>
              <w:rPr>
                <w:sz w:val="20"/>
                <w:szCs w:val="20"/>
              </w:rPr>
            </w:pPr>
            <w:proofErr w:type="spellStart"/>
            <w:r w:rsidRPr="00316577">
              <w:rPr>
                <w:sz w:val="20"/>
                <w:szCs w:val="20"/>
              </w:rPr>
              <w:t>Tremollieres</w:t>
            </w:r>
            <w:proofErr w:type="spellEnd"/>
            <w:r w:rsidRPr="00316577">
              <w:rPr>
                <w:sz w:val="20"/>
                <w:szCs w:val="20"/>
              </w:rPr>
              <w:t xml:space="preserve"> FA, </w:t>
            </w:r>
            <w:proofErr w:type="spellStart"/>
            <w:r w:rsidRPr="00316577">
              <w:rPr>
                <w:sz w:val="20"/>
                <w:szCs w:val="20"/>
              </w:rPr>
              <w:t>Pouilles</w:t>
            </w:r>
            <w:proofErr w:type="spellEnd"/>
            <w:r w:rsidRPr="00316577">
              <w:rPr>
                <w:sz w:val="20"/>
                <w:szCs w:val="20"/>
              </w:rPr>
              <w:t xml:space="preserve"> JM, </w:t>
            </w:r>
            <w:proofErr w:type="spellStart"/>
            <w:r w:rsidRPr="00316577">
              <w:rPr>
                <w:sz w:val="20"/>
                <w:szCs w:val="20"/>
              </w:rPr>
              <w:t>Drewniak</w:t>
            </w:r>
            <w:proofErr w:type="spellEnd"/>
            <w:r w:rsidRPr="00316577">
              <w:rPr>
                <w:sz w:val="20"/>
                <w:szCs w:val="20"/>
              </w:rPr>
              <w:t xml:space="preserve"> N, </w:t>
            </w:r>
            <w:proofErr w:type="spellStart"/>
            <w:r w:rsidRPr="00316577">
              <w:rPr>
                <w:sz w:val="20"/>
                <w:szCs w:val="20"/>
              </w:rPr>
              <w:t>Laparra</w:t>
            </w:r>
            <w:proofErr w:type="spellEnd"/>
            <w:r w:rsidRPr="00316577">
              <w:rPr>
                <w:sz w:val="20"/>
                <w:szCs w:val="20"/>
              </w:rPr>
              <w:t xml:space="preserve"> J, </w:t>
            </w:r>
            <w:proofErr w:type="spellStart"/>
            <w:r w:rsidRPr="00316577">
              <w:rPr>
                <w:sz w:val="20"/>
                <w:szCs w:val="20"/>
              </w:rPr>
              <w:t>Ribot</w:t>
            </w:r>
            <w:proofErr w:type="spellEnd"/>
            <w:r w:rsidRPr="00316577">
              <w:rPr>
                <w:sz w:val="20"/>
                <w:szCs w:val="20"/>
              </w:rPr>
              <w:t xml:space="preserve"> CA, </w:t>
            </w:r>
            <w:proofErr w:type="spellStart"/>
            <w:r w:rsidRPr="00316577">
              <w:rPr>
                <w:sz w:val="20"/>
                <w:szCs w:val="20"/>
              </w:rPr>
              <w:t>Dargent</w:t>
            </w:r>
            <w:proofErr w:type="spellEnd"/>
            <w:r w:rsidRPr="00316577">
              <w:rPr>
                <w:sz w:val="20"/>
                <w:szCs w:val="20"/>
              </w:rPr>
              <w:t xml:space="preserve">-Molina P (2010) </w:t>
            </w:r>
            <w:r w:rsidRPr="00316577">
              <w:rPr>
                <w:sz w:val="20"/>
                <w:szCs w:val="20"/>
              </w:rPr>
              <w:lastRenderedPageBreak/>
              <w:t>Fracture risk prediction using BMD and clinical risk factors in early postmenopausal women: sensitivity of the WHO FRAX tool. J Bone Miner Res 25: 1002-9.</w:t>
            </w:r>
          </w:p>
        </w:tc>
      </w:tr>
      <w:tr w:rsidR="00316577" w:rsidRPr="00316577" w14:paraId="0CC838CD" w14:textId="77777777" w:rsidTr="00316577">
        <w:tc>
          <w:tcPr>
            <w:tcW w:w="704" w:type="dxa"/>
          </w:tcPr>
          <w:p w14:paraId="4B928420" w14:textId="77777777" w:rsidR="00316577" w:rsidRPr="00316577" w:rsidRDefault="00316577" w:rsidP="00316577">
            <w:pPr>
              <w:autoSpaceDE w:val="0"/>
              <w:autoSpaceDN w:val="0"/>
              <w:adjustRightInd w:val="0"/>
              <w:spacing w:before="240"/>
              <w:rPr>
                <w:sz w:val="20"/>
                <w:szCs w:val="20"/>
              </w:rPr>
            </w:pPr>
            <w:r w:rsidRPr="00316577">
              <w:rPr>
                <w:sz w:val="20"/>
                <w:szCs w:val="20"/>
              </w:rPr>
              <w:lastRenderedPageBreak/>
              <w:t>183.</w:t>
            </w:r>
          </w:p>
        </w:tc>
        <w:tc>
          <w:tcPr>
            <w:tcW w:w="7745" w:type="dxa"/>
          </w:tcPr>
          <w:p w14:paraId="4EE39B43" w14:textId="77777777" w:rsidR="00316577" w:rsidRPr="00316577" w:rsidRDefault="00316577" w:rsidP="00316577">
            <w:pPr>
              <w:autoSpaceDE w:val="0"/>
              <w:autoSpaceDN w:val="0"/>
              <w:adjustRightInd w:val="0"/>
              <w:spacing w:before="240"/>
              <w:rPr>
                <w:sz w:val="20"/>
                <w:szCs w:val="20"/>
              </w:rPr>
            </w:pPr>
            <w:r w:rsidRPr="00316577">
              <w:rPr>
                <w:sz w:val="20"/>
                <w:szCs w:val="20"/>
              </w:rPr>
              <w:t xml:space="preserve">Donaldson MG,  Palermo L,  </w:t>
            </w:r>
            <w:proofErr w:type="spellStart"/>
            <w:r w:rsidRPr="00316577">
              <w:rPr>
                <w:sz w:val="20"/>
                <w:szCs w:val="20"/>
              </w:rPr>
              <w:t>Schousboe</w:t>
            </w:r>
            <w:proofErr w:type="spellEnd"/>
            <w:r w:rsidRPr="00316577">
              <w:rPr>
                <w:sz w:val="20"/>
                <w:szCs w:val="20"/>
              </w:rPr>
              <w:t xml:space="preserve"> JT, </w:t>
            </w:r>
            <w:proofErr w:type="spellStart"/>
            <w:r w:rsidRPr="00316577">
              <w:rPr>
                <w:sz w:val="20"/>
                <w:szCs w:val="20"/>
              </w:rPr>
              <w:t>Ensrud</w:t>
            </w:r>
            <w:proofErr w:type="spellEnd"/>
            <w:r w:rsidRPr="00316577">
              <w:rPr>
                <w:sz w:val="20"/>
                <w:szCs w:val="20"/>
              </w:rPr>
              <w:t xml:space="preserve"> KE , Hochberg MC, Cummings SR (2009) FRAX and risk of vertebral fractures: The Fracture Intervention Trial.  J Bone Miner Res 24:1793–1799</w:t>
            </w:r>
          </w:p>
        </w:tc>
      </w:tr>
      <w:tr w:rsidR="00316577" w:rsidRPr="00316577" w14:paraId="4C57AAB5" w14:textId="77777777" w:rsidTr="00316577">
        <w:tc>
          <w:tcPr>
            <w:tcW w:w="704" w:type="dxa"/>
          </w:tcPr>
          <w:p w14:paraId="7837D3AE" w14:textId="77777777" w:rsidR="00316577" w:rsidRPr="00316577" w:rsidRDefault="00316577" w:rsidP="00316577">
            <w:pPr>
              <w:autoSpaceDE w:val="0"/>
              <w:autoSpaceDN w:val="0"/>
              <w:adjustRightInd w:val="0"/>
              <w:spacing w:before="240"/>
              <w:rPr>
                <w:sz w:val="20"/>
                <w:szCs w:val="20"/>
              </w:rPr>
            </w:pPr>
            <w:r w:rsidRPr="00316577">
              <w:rPr>
                <w:sz w:val="20"/>
                <w:szCs w:val="20"/>
              </w:rPr>
              <w:t>184.</w:t>
            </w:r>
          </w:p>
        </w:tc>
        <w:tc>
          <w:tcPr>
            <w:tcW w:w="7745" w:type="dxa"/>
          </w:tcPr>
          <w:p w14:paraId="10C0B7CB" w14:textId="77777777" w:rsidR="00316577" w:rsidRPr="00316577" w:rsidRDefault="00316577" w:rsidP="00316577">
            <w:pPr>
              <w:autoSpaceDE w:val="0"/>
              <w:autoSpaceDN w:val="0"/>
              <w:adjustRightInd w:val="0"/>
              <w:spacing w:before="240"/>
              <w:rPr>
                <w:sz w:val="20"/>
                <w:szCs w:val="20"/>
              </w:rPr>
            </w:pPr>
            <w:r w:rsidRPr="00316577">
              <w:rPr>
                <w:sz w:val="20"/>
                <w:szCs w:val="20"/>
              </w:rPr>
              <w:t xml:space="preserve">Hillier TA, </w:t>
            </w:r>
            <w:proofErr w:type="spellStart"/>
            <w:r w:rsidRPr="00316577">
              <w:rPr>
                <w:sz w:val="20"/>
                <w:szCs w:val="20"/>
              </w:rPr>
              <w:t>Cauley</w:t>
            </w:r>
            <w:proofErr w:type="spellEnd"/>
            <w:r w:rsidRPr="00316577">
              <w:rPr>
                <w:sz w:val="20"/>
                <w:szCs w:val="20"/>
              </w:rPr>
              <w:t xml:space="preserve"> JA, Rizzo JH (2011) The WHO absolute fracture risk models (FRAX): Do clinical risk factors improve fracture prediction in older women without osteoporosis? J Bone Miner Res. 26: 1774-82. </w:t>
            </w:r>
          </w:p>
        </w:tc>
      </w:tr>
      <w:tr w:rsidR="00316577" w:rsidRPr="00316577" w14:paraId="62EFB352" w14:textId="77777777" w:rsidTr="00316577">
        <w:tc>
          <w:tcPr>
            <w:tcW w:w="704" w:type="dxa"/>
          </w:tcPr>
          <w:p w14:paraId="5A3CB1ED" w14:textId="77777777" w:rsidR="00316577" w:rsidRPr="00316577" w:rsidRDefault="00316577" w:rsidP="00316577">
            <w:pPr>
              <w:spacing w:before="240"/>
              <w:rPr>
                <w:sz w:val="20"/>
                <w:szCs w:val="20"/>
              </w:rPr>
            </w:pPr>
            <w:r w:rsidRPr="00316577">
              <w:rPr>
                <w:sz w:val="20"/>
                <w:szCs w:val="20"/>
              </w:rPr>
              <w:t>185.</w:t>
            </w:r>
          </w:p>
        </w:tc>
        <w:tc>
          <w:tcPr>
            <w:tcW w:w="7745" w:type="dxa"/>
          </w:tcPr>
          <w:p w14:paraId="6582B892" w14:textId="77777777" w:rsidR="00316577" w:rsidRPr="00316577" w:rsidRDefault="00316577" w:rsidP="00316577">
            <w:pPr>
              <w:spacing w:before="240"/>
              <w:rPr>
                <w:sz w:val="20"/>
                <w:szCs w:val="20"/>
              </w:rPr>
            </w:pPr>
            <w:proofErr w:type="spellStart"/>
            <w:r w:rsidRPr="00316577">
              <w:rPr>
                <w:sz w:val="20"/>
                <w:szCs w:val="20"/>
              </w:rPr>
              <w:t>Pluskiewicz</w:t>
            </w:r>
            <w:proofErr w:type="spellEnd"/>
            <w:r w:rsidRPr="00316577">
              <w:rPr>
                <w:sz w:val="20"/>
                <w:szCs w:val="20"/>
              </w:rPr>
              <w:t xml:space="preserve"> W, </w:t>
            </w:r>
            <w:proofErr w:type="spellStart"/>
            <w:r w:rsidRPr="00316577">
              <w:rPr>
                <w:sz w:val="20"/>
                <w:szCs w:val="20"/>
              </w:rPr>
              <w:t>Adamczyk</w:t>
            </w:r>
            <w:proofErr w:type="spellEnd"/>
            <w:r w:rsidRPr="00316577">
              <w:rPr>
                <w:sz w:val="20"/>
                <w:szCs w:val="20"/>
              </w:rPr>
              <w:t xml:space="preserve"> P, Franek E et al (2010) Ten-year probability of osteoporotic fracture in 2012 Polish women assessed by FRAX and nomogram by Nguyen et al.- Conformity between methods and their clinical utility. Bone 46:1661-1667</w:t>
            </w:r>
          </w:p>
        </w:tc>
      </w:tr>
      <w:tr w:rsidR="00316577" w:rsidRPr="00316577" w14:paraId="1F2189CB" w14:textId="77777777" w:rsidTr="00316577">
        <w:tc>
          <w:tcPr>
            <w:tcW w:w="704" w:type="dxa"/>
          </w:tcPr>
          <w:p w14:paraId="20BF3B6A" w14:textId="77777777" w:rsidR="00316577" w:rsidRPr="00316577" w:rsidRDefault="00316577" w:rsidP="00316577">
            <w:pPr>
              <w:spacing w:before="240"/>
              <w:rPr>
                <w:sz w:val="20"/>
                <w:szCs w:val="20"/>
              </w:rPr>
            </w:pPr>
            <w:r w:rsidRPr="00316577">
              <w:rPr>
                <w:sz w:val="20"/>
                <w:szCs w:val="20"/>
              </w:rPr>
              <w:t>186.</w:t>
            </w:r>
          </w:p>
        </w:tc>
        <w:tc>
          <w:tcPr>
            <w:tcW w:w="7745" w:type="dxa"/>
          </w:tcPr>
          <w:p w14:paraId="63571730" w14:textId="77777777" w:rsidR="00316577" w:rsidRPr="00316577" w:rsidRDefault="00316577" w:rsidP="00316577">
            <w:pPr>
              <w:spacing w:before="240"/>
              <w:rPr>
                <w:sz w:val="20"/>
                <w:szCs w:val="20"/>
              </w:rPr>
            </w:pPr>
            <w:r w:rsidRPr="00316577">
              <w:rPr>
                <w:sz w:val="20"/>
                <w:szCs w:val="20"/>
              </w:rPr>
              <w:t xml:space="preserve">Tamaki J, </w:t>
            </w:r>
            <w:proofErr w:type="spellStart"/>
            <w:r w:rsidRPr="00316577">
              <w:rPr>
                <w:sz w:val="20"/>
                <w:szCs w:val="20"/>
              </w:rPr>
              <w:t>Iki</w:t>
            </w:r>
            <w:proofErr w:type="spellEnd"/>
            <w:r w:rsidRPr="00316577">
              <w:rPr>
                <w:sz w:val="20"/>
                <w:szCs w:val="20"/>
              </w:rPr>
              <w:t xml:space="preserve"> M, </w:t>
            </w:r>
            <w:proofErr w:type="spellStart"/>
            <w:r w:rsidRPr="00316577">
              <w:rPr>
                <w:sz w:val="20"/>
                <w:szCs w:val="20"/>
              </w:rPr>
              <w:t>Kadowaki</w:t>
            </w:r>
            <w:proofErr w:type="spellEnd"/>
            <w:r w:rsidRPr="00316577">
              <w:rPr>
                <w:sz w:val="20"/>
                <w:szCs w:val="20"/>
              </w:rPr>
              <w:t xml:space="preserve"> E, Sato Yet al (2011) The clinical utility of FRAX to discriminate fracture status in men and women with chronic kidney disease.  Osteoporos </w:t>
            </w:r>
            <w:proofErr w:type="spellStart"/>
            <w:r w:rsidRPr="00316577">
              <w:rPr>
                <w:sz w:val="20"/>
                <w:szCs w:val="20"/>
              </w:rPr>
              <w:t>Int</w:t>
            </w:r>
            <w:proofErr w:type="spellEnd"/>
            <w:r w:rsidRPr="00316577">
              <w:rPr>
                <w:sz w:val="20"/>
                <w:szCs w:val="20"/>
              </w:rPr>
              <w:t xml:space="preserve"> 25: 71-6.</w:t>
            </w:r>
          </w:p>
        </w:tc>
      </w:tr>
      <w:tr w:rsidR="00316577" w:rsidRPr="00316577" w14:paraId="458D3319" w14:textId="77777777" w:rsidTr="00316577">
        <w:tc>
          <w:tcPr>
            <w:tcW w:w="704" w:type="dxa"/>
          </w:tcPr>
          <w:p w14:paraId="64B0062A" w14:textId="77777777" w:rsidR="00316577" w:rsidRPr="00316577" w:rsidRDefault="00316577" w:rsidP="00316577">
            <w:pPr>
              <w:spacing w:before="240"/>
              <w:rPr>
                <w:sz w:val="20"/>
                <w:szCs w:val="20"/>
              </w:rPr>
            </w:pPr>
            <w:r w:rsidRPr="00316577">
              <w:rPr>
                <w:sz w:val="20"/>
                <w:szCs w:val="20"/>
              </w:rPr>
              <w:t>187.</w:t>
            </w:r>
          </w:p>
        </w:tc>
        <w:tc>
          <w:tcPr>
            <w:tcW w:w="7745" w:type="dxa"/>
          </w:tcPr>
          <w:p w14:paraId="4FE955CB" w14:textId="77777777" w:rsidR="00316577" w:rsidRPr="00316577" w:rsidRDefault="00316577" w:rsidP="00316577">
            <w:pPr>
              <w:spacing w:before="240"/>
              <w:rPr>
                <w:sz w:val="20"/>
                <w:szCs w:val="20"/>
              </w:rPr>
            </w:pPr>
            <w:r w:rsidRPr="00316577">
              <w:rPr>
                <w:sz w:val="20"/>
                <w:szCs w:val="20"/>
              </w:rPr>
              <w:t xml:space="preserve">Azagra R, Roca G, </w:t>
            </w:r>
            <w:proofErr w:type="spellStart"/>
            <w:r w:rsidRPr="00316577">
              <w:rPr>
                <w:sz w:val="20"/>
                <w:szCs w:val="20"/>
              </w:rPr>
              <w:t>Encabo</w:t>
            </w:r>
            <w:proofErr w:type="spellEnd"/>
            <w:r w:rsidRPr="00316577">
              <w:rPr>
                <w:sz w:val="20"/>
                <w:szCs w:val="20"/>
              </w:rPr>
              <w:t xml:space="preserve"> G et al (2012) FRAX® tool, the WHO algorithm to predict osteoporotic fractures: the first analysis of its discriminative and predictive ability in the Spanish FRIDEX cohort. BMC </w:t>
            </w:r>
            <w:proofErr w:type="spellStart"/>
            <w:r w:rsidRPr="00316577">
              <w:rPr>
                <w:sz w:val="20"/>
                <w:szCs w:val="20"/>
              </w:rPr>
              <w:t>Musculoskelet</w:t>
            </w:r>
            <w:proofErr w:type="spellEnd"/>
            <w:r w:rsidRPr="00316577">
              <w:rPr>
                <w:sz w:val="20"/>
                <w:szCs w:val="20"/>
              </w:rPr>
              <w:t xml:space="preserve"> </w:t>
            </w:r>
            <w:proofErr w:type="spellStart"/>
            <w:r w:rsidRPr="00316577">
              <w:rPr>
                <w:sz w:val="20"/>
                <w:szCs w:val="20"/>
              </w:rPr>
              <w:t>Disord</w:t>
            </w:r>
            <w:proofErr w:type="spellEnd"/>
            <w:r w:rsidRPr="00316577">
              <w:rPr>
                <w:sz w:val="20"/>
                <w:szCs w:val="20"/>
              </w:rPr>
              <w:t xml:space="preserve">. 13:204. </w:t>
            </w:r>
            <w:proofErr w:type="spellStart"/>
            <w:r w:rsidRPr="00316577">
              <w:rPr>
                <w:sz w:val="20"/>
                <w:szCs w:val="20"/>
              </w:rPr>
              <w:t>doi</w:t>
            </w:r>
            <w:proofErr w:type="spellEnd"/>
            <w:r w:rsidRPr="00316577">
              <w:rPr>
                <w:sz w:val="20"/>
                <w:szCs w:val="20"/>
              </w:rPr>
              <w:t>: 10.1186/1471-2474-13-204.</w:t>
            </w:r>
          </w:p>
        </w:tc>
      </w:tr>
      <w:tr w:rsidR="00316577" w:rsidRPr="00316577" w14:paraId="747E7E64" w14:textId="77777777" w:rsidTr="00316577">
        <w:tc>
          <w:tcPr>
            <w:tcW w:w="704" w:type="dxa"/>
          </w:tcPr>
          <w:p w14:paraId="54EE2491" w14:textId="77777777" w:rsidR="00316577" w:rsidRPr="00316577" w:rsidRDefault="00316577" w:rsidP="00316577">
            <w:pPr>
              <w:spacing w:before="240"/>
              <w:rPr>
                <w:sz w:val="20"/>
                <w:szCs w:val="20"/>
              </w:rPr>
            </w:pPr>
            <w:r w:rsidRPr="00316577">
              <w:rPr>
                <w:sz w:val="20"/>
                <w:szCs w:val="20"/>
              </w:rPr>
              <w:t>188.</w:t>
            </w:r>
          </w:p>
        </w:tc>
        <w:tc>
          <w:tcPr>
            <w:tcW w:w="7745" w:type="dxa"/>
          </w:tcPr>
          <w:p w14:paraId="4EFDAA63" w14:textId="77777777" w:rsidR="00316577" w:rsidRPr="00316577" w:rsidRDefault="00316577" w:rsidP="00316577">
            <w:pPr>
              <w:spacing w:before="240"/>
              <w:rPr>
                <w:sz w:val="20"/>
                <w:szCs w:val="20"/>
              </w:rPr>
            </w:pPr>
            <w:r w:rsidRPr="00316577">
              <w:rPr>
                <w:sz w:val="20"/>
                <w:szCs w:val="20"/>
              </w:rPr>
              <w:t xml:space="preserve">Sandhu SK, Nguyen ND, </w:t>
            </w:r>
            <w:proofErr w:type="spellStart"/>
            <w:r w:rsidRPr="00316577">
              <w:rPr>
                <w:sz w:val="20"/>
                <w:szCs w:val="20"/>
              </w:rPr>
              <w:t>Center</w:t>
            </w:r>
            <w:proofErr w:type="spellEnd"/>
            <w:r w:rsidRPr="00316577">
              <w:rPr>
                <w:sz w:val="20"/>
                <w:szCs w:val="20"/>
              </w:rPr>
              <w:t xml:space="preserve"> JR, </w:t>
            </w:r>
            <w:proofErr w:type="spellStart"/>
            <w:r w:rsidRPr="00316577">
              <w:rPr>
                <w:sz w:val="20"/>
                <w:szCs w:val="20"/>
              </w:rPr>
              <w:t>Pocock</w:t>
            </w:r>
            <w:proofErr w:type="spellEnd"/>
            <w:r w:rsidRPr="00316577">
              <w:rPr>
                <w:sz w:val="20"/>
                <w:szCs w:val="20"/>
              </w:rPr>
              <w:t xml:space="preserve"> NA, </w:t>
            </w:r>
            <w:proofErr w:type="spellStart"/>
            <w:r w:rsidRPr="00316577">
              <w:rPr>
                <w:sz w:val="20"/>
                <w:szCs w:val="20"/>
              </w:rPr>
              <w:t>Eisman</w:t>
            </w:r>
            <w:proofErr w:type="spellEnd"/>
            <w:r w:rsidRPr="00316577">
              <w:rPr>
                <w:sz w:val="20"/>
                <w:szCs w:val="20"/>
              </w:rPr>
              <w:t xml:space="preserve"> JA, Nguyen TV (2010) Prognosis of fracture: evaluation of predictive accuracy of the FRAX™ algorithm and Garvan nomogram. Osteoporos </w:t>
            </w:r>
            <w:proofErr w:type="spellStart"/>
            <w:r w:rsidRPr="00316577">
              <w:rPr>
                <w:sz w:val="20"/>
                <w:szCs w:val="20"/>
              </w:rPr>
              <w:t>Int</w:t>
            </w:r>
            <w:proofErr w:type="spellEnd"/>
            <w:r w:rsidRPr="00316577">
              <w:rPr>
                <w:sz w:val="20"/>
                <w:szCs w:val="20"/>
              </w:rPr>
              <w:t xml:space="preserve"> 21:863–871</w:t>
            </w:r>
          </w:p>
        </w:tc>
      </w:tr>
      <w:tr w:rsidR="00316577" w:rsidRPr="00316577" w14:paraId="0472C66F" w14:textId="77777777" w:rsidTr="00316577">
        <w:tc>
          <w:tcPr>
            <w:tcW w:w="704" w:type="dxa"/>
          </w:tcPr>
          <w:p w14:paraId="33C3A7C8" w14:textId="77777777" w:rsidR="00316577" w:rsidRPr="00316577" w:rsidRDefault="00316577" w:rsidP="00316577">
            <w:pPr>
              <w:spacing w:before="240"/>
              <w:rPr>
                <w:sz w:val="20"/>
                <w:szCs w:val="20"/>
              </w:rPr>
            </w:pPr>
            <w:r w:rsidRPr="00316577">
              <w:rPr>
                <w:sz w:val="20"/>
                <w:szCs w:val="20"/>
              </w:rPr>
              <w:t>189.</w:t>
            </w:r>
          </w:p>
        </w:tc>
        <w:tc>
          <w:tcPr>
            <w:tcW w:w="7745" w:type="dxa"/>
          </w:tcPr>
          <w:p w14:paraId="74087B65" w14:textId="77777777" w:rsidR="00316577" w:rsidRPr="00316577" w:rsidRDefault="00316577" w:rsidP="00316577">
            <w:pPr>
              <w:spacing w:before="240"/>
              <w:rPr>
                <w:sz w:val="20"/>
                <w:szCs w:val="20"/>
              </w:rPr>
            </w:pPr>
            <w:r w:rsidRPr="00316577">
              <w:rPr>
                <w:sz w:val="20"/>
                <w:szCs w:val="20"/>
              </w:rPr>
              <w:t>Leslie WD, Lix LM (2014) Comparison between various fracture risk assessment tools. Osteoporos Int. 25: 1-21</w:t>
            </w:r>
          </w:p>
        </w:tc>
      </w:tr>
      <w:tr w:rsidR="00316577" w:rsidRPr="00316577" w14:paraId="401621D5" w14:textId="77777777" w:rsidTr="00316577">
        <w:tc>
          <w:tcPr>
            <w:tcW w:w="704" w:type="dxa"/>
          </w:tcPr>
          <w:p w14:paraId="423343CD" w14:textId="77777777" w:rsidR="00316577" w:rsidRPr="00316577" w:rsidRDefault="00316577" w:rsidP="00316577">
            <w:pPr>
              <w:autoSpaceDE w:val="0"/>
              <w:autoSpaceDN w:val="0"/>
              <w:adjustRightInd w:val="0"/>
              <w:spacing w:before="240"/>
              <w:rPr>
                <w:bCs/>
                <w:sz w:val="20"/>
                <w:szCs w:val="20"/>
              </w:rPr>
            </w:pPr>
            <w:r w:rsidRPr="00316577">
              <w:rPr>
                <w:bCs/>
                <w:sz w:val="20"/>
                <w:szCs w:val="20"/>
              </w:rPr>
              <w:t>190.</w:t>
            </w:r>
          </w:p>
        </w:tc>
        <w:tc>
          <w:tcPr>
            <w:tcW w:w="7745" w:type="dxa"/>
          </w:tcPr>
          <w:p w14:paraId="43BCE125" w14:textId="77777777" w:rsidR="00316577" w:rsidRPr="00316577" w:rsidRDefault="00316577" w:rsidP="00316577">
            <w:pPr>
              <w:autoSpaceDE w:val="0"/>
              <w:autoSpaceDN w:val="0"/>
              <w:adjustRightInd w:val="0"/>
              <w:spacing w:before="240"/>
              <w:rPr>
                <w:bCs/>
                <w:sz w:val="20"/>
                <w:szCs w:val="20"/>
              </w:rPr>
            </w:pPr>
            <w:r w:rsidRPr="00316577">
              <w:rPr>
                <w:bCs/>
                <w:sz w:val="20"/>
                <w:szCs w:val="20"/>
              </w:rPr>
              <w:t xml:space="preserve">Kanis JA, Oden A, Johansson H, McCloskey E (2012) Pitfalls in the external validation of FRAX.  Osteoporos </w:t>
            </w:r>
            <w:proofErr w:type="spellStart"/>
            <w:r w:rsidRPr="00316577">
              <w:rPr>
                <w:bCs/>
                <w:sz w:val="20"/>
                <w:szCs w:val="20"/>
              </w:rPr>
              <w:t>Int</w:t>
            </w:r>
            <w:proofErr w:type="spellEnd"/>
            <w:r w:rsidRPr="00316577">
              <w:rPr>
                <w:bCs/>
                <w:sz w:val="20"/>
                <w:szCs w:val="20"/>
              </w:rPr>
              <w:t xml:space="preserve"> 23: 423-31</w:t>
            </w:r>
          </w:p>
        </w:tc>
      </w:tr>
      <w:tr w:rsidR="00316577" w:rsidRPr="00316577" w14:paraId="6EF245CA" w14:textId="77777777" w:rsidTr="00316577">
        <w:tc>
          <w:tcPr>
            <w:tcW w:w="704" w:type="dxa"/>
          </w:tcPr>
          <w:p w14:paraId="2C1CB69B" w14:textId="77777777" w:rsidR="00316577" w:rsidRPr="00316577" w:rsidRDefault="00316577" w:rsidP="00316577">
            <w:pPr>
              <w:spacing w:before="240"/>
              <w:rPr>
                <w:sz w:val="20"/>
                <w:szCs w:val="20"/>
              </w:rPr>
            </w:pPr>
            <w:r w:rsidRPr="00316577">
              <w:rPr>
                <w:sz w:val="20"/>
                <w:szCs w:val="20"/>
              </w:rPr>
              <w:t>191.</w:t>
            </w:r>
          </w:p>
        </w:tc>
        <w:tc>
          <w:tcPr>
            <w:tcW w:w="7745" w:type="dxa"/>
          </w:tcPr>
          <w:p w14:paraId="6496240F" w14:textId="77777777" w:rsidR="00316577" w:rsidRPr="00316577" w:rsidRDefault="00316577" w:rsidP="00316577">
            <w:pPr>
              <w:spacing w:before="240"/>
              <w:rPr>
                <w:sz w:val="20"/>
                <w:szCs w:val="20"/>
              </w:rPr>
            </w:pPr>
            <w:proofErr w:type="spellStart"/>
            <w:r w:rsidRPr="00316577">
              <w:rPr>
                <w:sz w:val="20"/>
                <w:szCs w:val="20"/>
              </w:rPr>
              <w:t>Marques,A</w:t>
            </w:r>
            <w:proofErr w:type="spellEnd"/>
            <w:r w:rsidRPr="00316577">
              <w:rPr>
                <w:sz w:val="20"/>
                <w:szCs w:val="20"/>
              </w:rPr>
              <w:t xml:space="preserve">, Ferreira RJO, Santos E, </w:t>
            </w:r>
            <w:proofErr w:type="spellStart"/>
            <w:r w:rsidRPr="00316577">
              <w:rPr>
                <w:sz w:val="20"/>
                <w:szCs w:val="20"/>
              </w:rPr>
              <w:t>Loza</w:t>
            </w:r>
            <w:proofErr w:type="spellEnd"/>
            <w:r w:rsidRPr="00316577">
              <w:rPr>
                <w:sz w:val="20"/>
                <w:szCs w:val="20"/>
              </w:rPr>
              <w:t xml:space="preserve"> E, Carmona L, Pereira da Silva JA (2015) The accuracy of osteoporotic fracture risk prediction tools: a systematic review and meta-analysis. Ann Rheum Dis. Downloaded from http://ard.bmj.com/ on August 7, 2015</w:t>
            </w:r>
          </w:p>
        </w:tc>
      </w:tr>
      <w:tr w:rsidR="00316577" w:rsidRPr="00316577" w14:paraId="36C54039" w14:textId="77777777" w:rsidTr="00316577">
        <w:tc>
          <w:tcPr>
            <w:tcW w:w="704" w:type="dxa"/>
          </w:tcPr>
          <w:p w14:paraId="5F6C3743" w14:textId="77777777" w:rsidR="00316577" w:rsidRPr="00316577" w:rsidRDefault="00316577" w:rsidP="00316577">
            <w:pPr>
              <w:spacing w:before="240"/>
              <w:rPr>
                <w:sz w:val="20"/>
                <w:szCs w:val="20"/>
              </w:rPr>
            </w:pPr>
            <w:r w:rsidRPr="00316577">
              <w:rPr>
                <w:sz w:val="20"/>
                <w:szCs w:val="20"/>
              </w:rPr>
              <w:t>192.</w:t>
            </w:r>
          </w:p>
        </w:tc>
        <w:tc>
          <w:tcPr>
            <w:tcW w:w="7745" w:type="dxa"/>
          </w:tcPr>
          <w:p w14:paraId="5591004C" w14:textId="77777777" w:rsidR="00316577" w:rsidRPr="00316577" w:rsidRDefault="00316577" w:rsidP="00316577">
            <w:pPr>
              <w:spacing w:before="240"/>
              <w:rPr>
                <w:sz w:val="20"/>
                <w:szCs w:val="20"/>
              </w:rPr>
            </w:pPr>
            <w:proofErr w:type="spellStart"/>
            <w:r w:rsidRPr="00316577">
              <w:rPr>
                <w:sz w:val="20"/>
                <w:szCs w:val="20"/>
              </w:rPr>
              <w:t>Nayak</w:t>
            </w:r>
            <w:proofErr w:type="spellEnd"/>
            <w:r w:rsidRPr="00316577">
              <w:rPr>
                <w:sz w:val="20"/>
                <w:szCs w:val="20"/>
              </w:rPr>
              <w:t xml:space="preserve"> S, Edwards DL, Saleh AA, Greenspan SL (2015) Systematic review and meta-analysis of the performance of clinical risk assessment instruments for screening for osteoporosis or low bone density. Osteoporos </w:t>
            </w:r>
            <w:proofErr w:type="spellStart"/>
            <w:r w:rsidRPr="00316577">
              <w:rPr>
                <w:sz w:val="20"/>
                <w:szCs w:val="20"/>
              </w:rPr>
              <w:t>Int</w:t>
            </w:r>
            <w:proofErr w:type="spellEnd"/>
            <w:r w:rsidRPr="00316577">
              <w:rPr>
                <w:sz w:val="20"/>
                <w:szCs w:val="20"/>
              </w:rPr>
              <w:t xml:space="preserve"> 26:1543-54. </w:t>
            </w:r>
          </w:p>
        </w:tc>
      </w:tr>
      <w:tr w:rsidR="00316577" w:rsidRPr="00316577" w14:paraId="03D9DE5A" w14:textId="77777777" w:rsidTr="00316577">
        <w:tc>
          <w:tcPr>
            <w:tcW w:w="704" w:type="dxa"/>
          </w:tcPr>
          <w:p w14:paraId="483D91AA" w14:textId="77777777" w:rsidR="00316577" w:rsidRPr="00316577" w:rsidRDefault="00316577" w:rsidP="00316577">
            <w:pPr>
              <w:spacing w:before="240"/>
              <w:rPr>
                <w:sz w:val="20"/>
                <w:szCs w:val="20"/>
              </w:rPr>
            </w:pPr>
            <w:r w:rsidRPr="00316577">
              <w:rPr>
                <w:sz w:val="20"/>
                <w:szCs w:val="20"/>
              </w:rPr>
              <w:t>193.</w:t>
            </w:r>
          </w:p>
        </w:tc>
        <w:tc>
          <w:tcPr>
            <w:tcW w:w="7745" w:type="dxa"/>
          </w:tcPr>
          <w:p w14:paraId="7D0A011E" w14:textId="77777777" w:rsidR="00316577" w:rsidRPr="00316577" w:rsidRDefault="00316577" w:rsidP="00316577">
            <w:pPr>
              <w:spacing w:before="240"/>
              <w:rPr>
                <w:sz w:val="20"/>
                <w:szCs w:val="20"/>
              </w:rPr>
            </w:pPr>
            <w:r w:rsidRPr="00316577">
              <w:rPr>
                <w:sz w:val="20"/>
                <w:szCs w:val="20"/>
              </w:rPr>
              <w:t xml:space="preserve">Kanis JA, Odén A,  Johansson H, McCloskey EV (2013) Pitfalls in the external validation of FRAX: response to </w:t>
            </w:r>
            <w:proofErr w:type="spellStart"/>
            <w:r w:rsidRPr="00316577">
              <w:rPr>
                <w:sz w:val="20"/>
                <w:szCs w:val="20"/>
              </w:rPr>
              <w:t>Bolland</w:t>
            </w:r>
            <w:proofErr w:type="spellEnd"/>
            <w:r w:rsidRPr="00316577">
              <w:rPr>
                <w:sz w:val="20"/>
                <w:szCs w:val="20"/>
              </w:rPr>
              <w:t xml:space="preserve"> et al. Osteoporos Int. 24: 391-2 </w:t>
            </w:r>
          </w:p>
        </w:tc>
      </w:tr>
      <w:tr w:rsidR="00316577" w:rsidRPr="00316577" w14:paraId="1008A816" w14:textId="77777777" w:rsidTr="00316577">
        <w:tc>
          <w:tcPr>
            <w:tcW w:w="704" w:type="dxa"/>
          </w:tcPr>
          <w:p w14:paraId="5833DF50" w14:textId="77777777" w:rsidR="00316577" w:rsidRPr="00316577" w:rsidRDefault="00316577" w:rsidP="00316577">
            <w:pPr>
              <w:autoSpaceDE w:val="0"/>
              <w:autoSpaceDN w:val="0"/>
              <w:adjustRightInd w:val="0"/>
              <w:spacing w:before="240"/>
              <w:rPr>
                <w:bCs/>
                <w:sz w:val="20"/>
                <w:szCs w:val="20"/>
              </w:rPr>
            </w:pPr>
            <w:r w:rsidRPr="00316577">
              <w:rPr>
                <w:bCs/>
                <w:sz w:val="20"/>
                <w:szCs w:val="20"/>
              </w:rPr>
              <w:t>194.</w:t>
            </w:r>
          </w:p>
        </w:tc>
        <w:tc>
          <w:tcPr>
            <w:tcW w:w="7745" w:type="dxa"/>
          </w:tcPr>
          <w:p w14:paraId="590AD7E1" w14:textId="77777777" w:rsidR="00316577" w:rsidRPr="00316577" w:rsidRDefault="00316577" w:rsidP="00316577">
            <w:pPr>
              <w:autoSpaceDE w:val="0"/>
              <w:autoSpaceDN w:val="0"/>
              <w:adjustRightInd w:val="0"/>
              <w:spacing w:before="240"/>
              <w:rPr>
                <w:bCs/>
                <w:sz w:val="20"/>
                <w:szCs w:val="20"/>
              </w:rPr>
            </w:pPr>
            <w:r w:rsidRPr="00316577">
              <w:rPr>
                <w:bCs/>
                <w:sz w:val="20"/>
                <w:szCs w:val="20"/>
              </w:rPr>
              <w:t xml:space="preserve">Fraser LA, </w:t>
            </w:r>
            <w:proofErr w:type="spellStart"/>
            <w:r w:rsidRPr="00316577">
              <w:rPr>
                <w:bCs/>
                <w:sz w:val="20"/>
                <w:szCs w:val="20"/>
              </w:rPr>
              <w:t>Langsetmo</w:t>
            </w:r>
            <w:proofErr w:type="spellEnd"/>
            <w:r w:rsidRPr="00316577">
              <w:rPr>
                <w:bCs/>
                <w:sz w:val="20"/>
                <w:szCs w:val="20"/>
              </w:rPr>
              <w:t xml:space="preserve"> L, Berger C, et al (2011) Fracture prediction and calibration of a Canadian FRAX tool: a population-based report from </w:t>
            </w:r>
            <w:proofErr w:type="spellStart"/>
            <w:r w:rsidRPr="00316577">
              <w:rPr>
                <w:bCs/>
                <w:sz w:val="20"/>
                <w:szCs w:val="20"/>
              </w:rPr>
              <w:t>CaMos</w:t>
            </w:r>
            <w:proofErr w:type="spellEnd"/>
            <w:r w:rsidRPr="00316577">
              <w:rPr>
                <w:bCs/>
                <w:sz w:val="20"/>
                <w:szCs w:val="20"/>
              </w:rPr>
              <w:t xml:space="preserve">. Osteoporos </w:t>
            </w:r>
            <w:proofErr w:type="spellStart"/>
            <w:r w:rsidRPr="00316577">
              <w:rPr>
                <w:bCs/>
                <w:sz w:val="20"/>
                <w:szCs w:val="20"/>
              </w:rPr>
              <w:t>Int</w:t>
            </w:r>
            <w:proofErr w:type="spellEnd"/>
            <w:r w:rsidRPr="00316577">
              <w:rPr>
                <w:bCs/>
                <w:i/>
                <w:iCs/>
                <w:sz w:val="20"/>
                <w:szCs w:val="20"/>
              </w:rPr>
              <w:t xml:space="preserve"> </w:t>
            </w:r>
            <w:r w:rsidRPr="00316577">
              <w:rPr>
                <w:bCs/>
                <w:sz w:val="20"/>
                <w:szCs w:val="20"/>
              </w:rPr>
              <w:t xml:space="preserve">22: 829-837 </w:t>
            </w:r>
          </w:p>
        </w:tc>
      </w:tr>
      <w:tr w:rsidR="00316577" w:rsidRPr="00316577" w14:paraId="55456E53" w14:textId="77777777" w:rsidTr="004921D5">
        <w:tc>
          <w:tcPr>
            <w:tcW w:w="704" w:type="dxa"/>
            <w:shd w:val="clear" w:color="auto" w:fill="auto"/>
          </w:tcPr>
          <w:p w14:paraId="37250333" w14:textId="77777777" w:rsidR="00316577" w:rsidRPr="004921D5" w:rsidRDefault="00316577" w:rsidP="00316577">
            <w:pPr>
              <w:spacing w:before="240"/>
              <w:rPr>
                <w:sz w:val="20"/>
                <w:szCs w:val="20"/>
              </w:rPr>
            </w:pPr>
            <w:r w:rsidRPr="004921D5">
              <w:rPr>
                <w:sz w:val="20"/>
                <w:szCs w:val="20"/>
              </w:rPr>
              <w:t>195.</w:t>
            </w:r>
          </w:p>
        </w:tc>
        <w:tc>
          <w:tcPr>
            <w:tcW w:w="7745" w:type="dxa"/>
            <w:shd w:val="clear" w:color="auto" w:fill="auto"/>
          </w:tcPr>
          <w:p w14:paraId="21F87FA4" w14:textId="77777777" w:rsidR="00316577" w:rsidRPr="004921D5" w:rsidRDefault="00316577" w:rsidP="00316577">
            <w:pPr>
              <w:spacing w:before="240"/>
              <w:rPr>
                <w:sz w:val="20"/>
                <w:szCs w:val="20"/>
              </w:rPr>
            </w:pPr>
            <w:r w:rsidRPr="004921D5">
              <w:rPr>
                <w:sz w:val="20"/>
                <w:szCs w:val="20"/>
              </w:rPr>
              <w:t>Leslie WD, Lix LM, Johansson H et al (2010) Independent clinical validation of a Canadian FRAX tool: fracture prediction and model calibration. J Bone  Miner Res 25: 2350-2358</w:t>
            </w:r>
          </w:p>
        </w:tc>
      </w:tr>
      <w:tr w:rsidR="004921D5" w:rsidRPr="00316577" w14:paraId="77A5248A" w14:textId="77777777" w:rsidTr="002C1B7F">
        <w:tc>
          <w:tcPr>
            <w:tcW w:w="704" w:type="dxa"/>
          </w:tcPr>
          <w:p w14:paraId="6EAC04E9" w14:textId="6300BE6A" w:rsidR="004921D5" w:rsidRPr="00316577" w:rsidRDefault="004921D5" w:rsidP="004921D5">
            <w:pPr>
              <w:spacing w:before="240"/>
              <w:rPr>
                <w:sz w:val="20"/>
                <w:szCs w:val="20"/>
              </w:rPr>
            </w:pPr>
            <w:r>
              <w:rPr>
                <w:sz w:val="20"/>
                <w:szCs w:val="20"/>
                <w:lang w:val="fr-FR"/>
              </w:rPr>
              <w:t>196</w:t>
            </w:r>
            <w:r w:rsidRPr="00316577">
              <w:rPr>
                <w:sz w:val="20"/>
                <w:szCs w:val="20"/>
                <w:lang w:val="fr-FR"/>
              </w:rPr>
              <w:t>.</w:t>
            </w:r>
          </w:p>
        </w:tc>
        <w:tc>
          <w:tcPr>
            <w:tcW w:w="7745" w:type="dxa"/>
          </w:tcPr>
          <w:p w14:paraId="58455A46" w14:textId="31995939" w:rsidR="004921D5" w:rsidRPr="00316577" w:rsidRDefault="004921D5" w:rsidP="004921D5">
            <w:pPr>
              <w:spacing w:before="240"/>
              <w:rPr>
                <w:sz w:val="20"/>
                <w:szCs w:val="20"/>
              </w:rPr>
            </w:pPr>
            <w:proofErr w:type="spellStart"/>
            <w:r w:rsidRPr="00316577">
              <w:rPr>
                <w:sz w:val="20"/>
                <w:szCs w:val="20"/>
                <w:lang w:val="fr-FR"/>
              </w:rPr>
              <w:t>Brennan</w:t>
            </w:r>
            <w:proofErr w:type="spellEnd"/>
            <w:r w:rsidRPr="00316577">
              <w:rPr>
                <w:sz w:val="20"/>
                <w:szCs w:val="20"/>
                <w:lang w:val="fr-FR"/>
              </w:rPr>
              <w:t xml:space="preserve"> SL, Leslie WD, Lix LM et al (2014). </w:t>
            </w:r>
            <w:r w:rsidRPr="00316577">
              <w:rPr>
                <w:sz w:val="20"/>
                <w:szCs w:val="20"/>
              </w:rPr>
              <w:t xml:space="preserve">FRAX provides robust fracture prediction regardless of socioeconomic status Osteoporos </w:t>
            </w:r>
            <w:proofErr w:type="spellStart"/>
            <w:r w:rsidRPr="00316577">
              <w:rPr>
                <w:sz w:val="20"/>
                <w:szCs w:val="20"/>
              </w:rPr>
              <w:t>Int</w:t>
            </w:r>
            <w:proofErr w:type="spellEnd"/>
            <w:r w:rsidRPr="00316577">
              <w:rPr>
                <w:sz w:val="20"/>
                <w:szCs w:val="20"/>
              </w:rPr>
              <w:t xml:space="preserve"> 25: 61-69.</w:t>
            </w:r>
          </w:p>
        </w:tc>
      </w:tr>
      <w:tr w:rsidR="004921D5" w:rsidRPr="00316577" w14:paraId="08EB196F" w14:textId="77777777" w:rsidTr="00316577">
        <w:tc>
          <w:tcPr>
            <w:tcW w:w="704" w:type="dxa"/>
          </w:tcPr>
          <w:p w14:paraId="63A64562" w14:textId="00114539" w:rsidR="004921D5" w:rsidRPr="00316577" w:rsidRDefault="004921D5" w:rsidP="004921D5">
            <w:pPr>
              <w:spacing w:before="240"/>
              <w:rPr>
                <w:sz w:val="20"/>
                <w:szCs w:val="20"/>
              </w:rPr>
            </w:pPr>
            <w:r w:rsidRPr="00316577">
              <w:rPr>
                <w:sz w:val="20"/>
                <w:szCs w:val="20"/>
              </w:rPr>
              <w:t>19</w:t>
            </w:r>
            <w:r>
              <w:rPr>
                <w:sz w:val="20"/>
                <w:szCs w:val="20"/>
              </w:rPr>
              <w:t>7</w:t>
            </w:r>
            <w:r w:rsidRPr="00316577">
              <w:rPr>
                <w:sz w:val="20"/>
                <w:szCs w:val="20"/>
              </w:rPr>
              <w:t>.</w:t>
            </w:r>
          </w:p>
        </w:tc>
        <w:tc>
          <w:tcPr>
            <w:tcW w:w="7745" w:type="dxa"/>
          </w:tcPr>
          <w:p w14:paraId="7CC0BBA1" w14:textId="77777777" w:rsidR="004921D5" w:rsidRPr="00316577" w:rsidRDefault="004921D5" w:rsidP="004921D5">
            <w:pPr>
              <w:spacing w:before="240"/>
              <w:rPr>
                <w:sz w:val="20"/>
                <w:szCs w:val="20"/>
              </w:rPr>
            </w:pPr>
            <w:r w:rsidRPr="00316577">
              <w:rPr>
                <w:sz w:val="20"/>
                <w:szCs w:val="20"/>
              </w:rPr>
              <w:t xml:space="preserve">Rubin KH, Abrahamsen B, Hermann AP et al (2011) Fracture risk assessed by fracture risk assessment tool (FRAX) compared with fracture risk derived from population fracture rates. </w:t>
            </w:r>
            <w:proofErr w:type="spellStart"/>
            <w:r w:rsidRPr="00316577">
              <w:rPr>
                <w:sz w:val="20"/>
                <w:szCs w:val="20"/>
              </w:rPr>
              <w:t>Scand</w:t>
            </w:r>
            <w:proofErr w:type="spellEnd"/>
            <w:r w:rsidRPr="00316577">
              <w:rPr>
                <w:sz w:val="20"/>
                <w:szCs w:val="20"/>
              </w:rPr>
              <w:t xml:space="preserve"> J Public Health 39:312–318</w:t>
            </w:r>
          </w:p>
        </w:tc>
      </w:tr>
      <w:tr w:rsidR="004921D5" w:rsidRPr="00316577" w14:paraId="7CF0F64E" w14:textId="77777777" w:rsidTr="00316577">
        <w:tc>
          <w:tcPr>
            <w:tcW w:w="704" w:type="dxa"/>
          </w:tcPr>
          <w:p w14:paraId="3E3B7A3C" w14:textId="19F6F413" w:rsidR="004921D5" w:rsidRPr="00316577" w:rsidRDefault="004921D5" w:rsidP="004921D5">
            <w:pPr>
              <w:spacing w:before="240"/>
              <w:rPr>
                <w:sz w:val="20"/>
                <w:szCs w:val="20"/>
              </w:rPr>
            </w:pPr>
            <w:r w:rsidRPr="00316577">
              <w:rPr>
                <w:sz w:val="20"/>
                <w:szCs w:val="20"/>
              </w:rPr>
              <w:t>19</w:t>
            </w:r>
            <w:r>
              <w:rPr>
                <w:sz w:val="20"/>
                <w:szCs w:val="20"/>
              </w:rPr>
              <w:t>8</w:t>
            </w:r>
            <w:r w:rsidRPr="00316577">
              <w:rPr>
                <w:sz w:val="20"/>
                <w:szCs w:val="20"/>
              </w:rPr>
              <w:t>.</w:t>
            </w:r>
          </w:p>
        </w:tc>
        <w:tc>
          <w:tcPr>
            <w:tcW w:w="7745" w:type="dxa"/>
          </w:tcPr>
          <w:p w14:paraId="0ACD3182" w14:textId="77777777" w:rsidR="004921D5" w:rsidRPr="00316577" w:rsidRDefault="004921D5" w:rsidP="004921D5">
            <w:pPr>
              <w:spacing w:before="240"/>
              <w:rPr>
                <w:sz w:val="20"/>
                <w:szCs w:val="20"/>
              </w:rPr>
            </w:pPr>
            <w:proofErr w:type="spellStart"/>
            <w:r w:rsidRPr="00316577">
              <w:rPr>
                <w:sz w:val="20"/>
                <w:szCs w:val="20"/>
              </w:rPr>
              <w:t>Sund</w:t>
            </w:r>
            <w:proofErr w:type="spellEnd"/>
            <w:r w:rsidRPr="00316577">
              <w:rPr>
                <w:sz w:val="20"/>
                <w:szCs w:val="20"/>
              </w:rPr>
              <w:t xml:space="preserve"> R, </w:t>
            </w:r>
            <w:proofErr w:type="spellStart"/>
            <w:r w:rsidRPr="00316577">
              <w:rPr>
                <w:sz w:val="20"/>
                <w:szCs w:val="20"/>
              </w:rPr>
              <w:t>Honkanen</w:t>
            </w:r>
            <w:proofErr w:type="spellEnd"/>
            <w:r w:rsidRPr="00316577">
              <w:rPr>
                <w:sz w:val="20"/>
                <w:szCs w:val="20"/>
              </w:rPr>
              <w:t xml:space="preserve"> R, Johansson H, Oden A, McCloskey EV, Kanis JA, </w:t>
            </w:r>
            <w:proofErr w:type="spellStart"/>
            <w:r w:rsidRPr="00316577">
              <w:rPr>
                <w:sz w:val="20"/>
                <w:szCs w:val="20"/>
              </w:rPr>
              <w:t>Kröger</w:t>
            </w:r>
            <w:proofErr w:type="spellEnd"/>
            <w:r w:rsidRPr="00316577">
              <w:rPr>
                <w:sz w:val="20"/>
                <w:szCs w:val="20"/>
              </w:rPr>
              <w:t xml:space="preserve"> H (2014) </w:t>
            </w:r>
            <w:r w:rsidRPr="00316577">
              <w:rPr>
                <w:sz w:val="20"/>
                <w:szCs w:val="20"/>
              </w:rPr>
              <w:lastRenderedPageBreak/>
              <w:t xml:space="preserve">Evaluation of the FRAX model for the prediction of hip fractures in Kuopio, Finland. </w:t>
            </w:r>
            <w:proofErr w:type="spellStart"/>
            <w:r w:rsidRPr="00316577">
              <w:rPr>
                <w:sz w:val="20"/>
                <w:szCs w:val="20"/>
              </w:rPr>
              <w:t>Calcif</w:t>
            </w:r>
            <w:proofErr w:type="spellEnd"/>
            <w:r w:rsidRPr="00316577">
              <w:rPr>
                <w:sz w:val="20"/>
                <w:szCs w:val="20"/>
              </w:rPr>
              <w:t xml:space="preserve"> </w:t>
            </w:r>
            <w:proofErr w:type="spellStart"/>
            <w:r w:rsidRPr="00316577">
              <w:rPr>
                <w:sz w:val="20"/>
                <w:szCs w:val="20"/>
              </w:rPr>
              <w:t>Tiss</w:t>
            </w:r>
            <w:proofErr w:type="spellEnd"/>
            <w:r w:rsidRPr="00316577">
              <w:rPr>
                <w:sz w:val="20"/>
                <w:szCs w:val="20"/>
              </w:rPr>
              <w:t xml:space="preserve"> </w:t>
            </w:r>
            <w:proofErr w:type="spellStart"/>
            <w:r w:rsidRPr="00316577">
              <w:rPr>
                <w:sz w:val="20"/>
                <w:szCs w:val="20"/>
              </w:rPr>
              <w:t>Int</w:t>
            </w:r>
            <w:proofErr w:type="spellEnd"/>
            <w:r w:rsidRPr="00316577">
              <w:rPr>
                <w:sz w:val="20"/>
                <w:szCs w:val="20"/>
              </w:rPr>
              <w:t xml:space="preserve"> 95: 39-45.</w:t>
            </w:r>
          </w:p>
        </w:tc>
      </w:tr>
      <w:tr w:rsidR="004921D5" w:rsidRPr="00316577" w14:paraId="0371F743" w14:textId="77777777" w:rsidTr="00316577">
        <w:tc>
          <w:tcPr>
            <w:tcW w:w="704" w:type="dxa"/>
          </w:tcPr>
          <w:p w14:paraId="43260360" w14:textId="39DBD58B" w:rsidR="004921D5" w:rsidRPr="00316577" w:rsidRDefault="004921D5" w:rsidP="004921D5">
            <w:pPr>
              <w:spacing w:before="240"/>
              <w:rPr>
                <w:sz w:val="20"/>
                <w:szCs w:val="20"/>
              </w:rPr>
            </w:pPr>
            <w:r w:rsidRPr="00316577">
              <w:rPr>
                <w:sz w:val="20"/>
                <w:szCs w:val="20"/>
              </w:rPr>
              <w:lastRenderedPageBreak/>
              <w:t>19</w:t>
            </w:r>
            <w:r>
              <w:rPr>
                <w:sz w:val="20"/>
                <w:szCs w:val="20"/>
              </w:rPr>
              <w:t>9</w:t>
            </w:r>
            <w:r w:rsidRPr="00316577">
              <w:rPr>
                <w:sz w:val="20"/>
                <w:szCs w:val="20"/>
              </w:rPr>
              <w:t>.</w:t>
            </w:r>
          </w:p>
        </w:tc>
        <w:tc>
          <w:tcPr>
            <w:tcW w:w="7745" w:type="dxa"/>
          </w:tcPr>
          <w:p w14:paraId="245C493A" w14:textId="77777777" w:rsidR="004921D5" w:rsidRPr="00316577" w:rsidRDefault="004921D5" w:rsidP="004921D5">
            <w:pPr>
              <w:spacing w:before="240"/>
              <w:rPr>
                <w:sz w:val="20"/>
                <w:szCs w:val="20"/>
              </w:rPr>
            </w:pPr>
            <w:proofErr w:type="spellStart"/>
            <w:r w:rsidRPr="00316577">
              <w:rPr>
                <w:sz w:val="20"/>
                <w:szCs w:val="20"/>
              </w:rPr>
              <w:t>Sund</w:t>
            </w:r>
            <w:proofErr w:type="spellEnd"/>
            <w:r w:rsidRPr="00316577">
              <w:rPr>
                <w:sz w:val="20"/>
                <w:szCs w:val="20"/>
              </w:rPr>
              <w:t xml:space="preserve"> R (2007) Utilization of routinely collected administrative data in monitoring of aging-dependent hip fracture incidence. </w:t>
            </w:r>
            <w:proofErr w:type="spellStart"/>
            <w:r w:rsidRPr="00316577">
              <w:rPr>
                <w:sz w:val="20"/>
                <w:szCs w:val="20"/>
              </w:rPr>
              <w:t>Epidemiol</w:t>
            </w:r>
            <w:proofErr w:type="spellEnd"/>
            <w:r w:rsidRPr="00316577">
              <w:rPr>
                <w:sz w:val="20"/>
                <w:szCs w:val="20"/>
              </w:rPr>
              <w:t xml:space="preserve"> </w:t>
            </w:r>
            <w:proofErr w:type="spellStart"/>
            <w:r w:rsidRPr="00316577">
              <w:rPr>
                <w:sz w:val="20"/>
                <w:szCs w:val="20"/>
              </w:rPr>
              <w:t>Perspect</w:t>
            </w:r>
            <w:proofErr w:type="spellEnd"/>
            <w:r w:rsidRPr="00316577">
              <w:rPr>
                <w:sz w:val="20"/>
                <w:szCs w:val="20"/>
              </w:rPr>
              <w:t xml:space="preserve"> </w:t>
            </w:r>
            <w:proofErr w:type="spellStart"/>
            <w:r w:rsidRPr="00316577">
              <w:rPr>
                <w:sz w:val="20"/>
                <w:szCs w:val="20"/>
              </w:rPr>
              <w:t>Innov</w:t>
            </w:r>
            <w:proofErr w:type="spellEnd"/>
            <w:r w:rsidRPr="00316577">
              <w:rPr>
                <w:sz w:val="20"/>
                <w:szCs w:val="20"/>
              </w:rPr>
              <w:t xml:space="preserve"> 4:2</w:t>
            </w:r>
          </w:p>
        </w:tc>
      </w:tr>
      <w:tr w:rsidR="004921D5" w:rsidRPr="00316577" w14:paraId="4FCD8071" w14:textId="77777777" w:rsidTr="00316577">
        <w:tc>
          <w:tcPr>
            <w:tcW w:w="704" w:type="dxa"/>
          </w:tcPr>
          <w:p w14:paraId="462779DD" w14:textId="1C85B200" w:rsidR="004921D5" w:rsidRPr="00316577" w:rsidRDefault="004921D5" w:rsidP="004921D5">
            <w:pPr>
              <w:spacing w:before="240"/>
              <w:rPr>
                <w:sz w:val="20"/>
                <w:szCs w:val="20"/>
              </w:rPr>
            </w:pPr>
            <w:r>
              <w:rPr>
                <w:sz w:val="20"/>
                <w:szCs w:val="20"/>
              </w:rPr>
              <w:t>200</w:t>
            </w:r>
            <w:r w:rsidRPr="00316577">
              <w:rPr>
                <w:sz w:val="20"/>
                <w:szCs w:val="20"/>
              </w:rPr>
              <w:t>.</w:t>
            </w:r>
          </w:p>
        </w:tc>
        <w:tc>
          <w:tcPr>
            <w:tcW w:w="7745" w:type="dxa"/>
          </w:tcPr>
          <w:p w14:paraId="737AF9C9" w14:textId="77777777" w:rsidR="004921D5" w:rsidRPr="00316577" w:rsidRDefault="004921D5" w:rsidP="004921D5">
            <w:pPr>
              <w:spacing w:before="240"/>
              <w:rPr>
                <w:sz w:val="20"/>
                <w:szCs w:val="20"/>
              </w:rPr>
            </w:pPr>
            <w:proofErr w:type="spellStart"/>
            <w:r w:rsidRPr="00316577">
              <w:rPr>
                <w:sz w:val="20"/>
                <w:szCs w:val="20"/>
              </w:rPr>
              <w:t>Sund</w:t>
            </w:r>
            <w:proofErr w:type="spellEnd"/>
            <w:r w:rsidRPr="00316577">
              <w:rPr>
                <w:sz w:val="20"/>
                <w:szCs w:val="20"/>
              </w:rPr>
              <w:t xml:space="preserve"> R (2006) Hip fracture incidence in Finland, 1998–2002. </w:t>
            </w:r>
            <w:proofErr w:type="spellStart"/>
            <w:r w:rsidRPr="00316577">
              <w:rPr>
                <w:sz w:val="20"/>
                <w:szCs w:val="20"/>
              </w:rPr>
              <w:t>Duodecim</w:t>
            </w:r>
            <w:proofErr w:type="spellEnd"/>
            <w:r w:rsidRPr="00316577">
              <w:rPr>
                <w:sz w:val="20"/>
                <w:szCs w:val="20"/>
              </w:rPr>
              <w:t xml:space="preserve"> 122(9):1085–1091</w:t>
            </w:r>
          </w:p>
        </w:tc>
      </w:tr>
      <w:tr w:rsidR="004921D5" w:rsidRPr="00316577" w14:paraId="5F8C5D12" w14:textId="77777777" w:rsidTr="00316577">
        <w:tc>
          <w:tcPr>
            <w:tcW w:w="704" w:type="dxa"/>
          </w:tcPr>
          <w:p w14:paraId="19C54299" w14:textId="42D13E46" w:rsidR="004921D5" w:rsidRPr="00316577" w:rsidRDefault="004921D5" w:rsidP="004921D5">
            <w:pPr>
              <w:spacing w:before="240"/>
              <w:rPr>
                <w:sz w:val="20"/>
                <w:szCs w:val="20"/>
              </w:rPr>
            </w:pPr>
            <w:r w:rsidRPr="00316577">
              <w:rPr>
                <w:sz w:val="20"/>
                <w:szCs w:val="20"/>
              </w:rPr>
              <w:t>20</w:t>
            </w:r>
            <w:r>
              <w:rPr>
                <w:sz w:val="20"/>
                <w:szCs w:val="20"/>
              </w:rPr>
              <w:t>1</w:t>
            </w:r>
            <w:r w:rsidRPr="00316577">
              <w:rPr>
                <w:sz w:val="20"/>
                <w:szCs w:val="20"/>
              </w:rPr>
              <w:t>.</w:t>
            </w:r>
          </w:p>
        </w:tc>
        <w:tc>
          <w:tcPr>
            <w:tcW w:w="7745" w:type="dxa"/>
          </w:tcPr>
          <w:p w14:paraId="3F98AF5D" w14:textId="77777777" w:rsidR="004921D5" w:rsidRPr="00316577" w:rsidRDefault="004921D5" w:rsidP="004921D5">
            <w:pPr>
              <w:spacing w:before="240"/>
              <w:rPr>
                <w:sz w:val="20"/>
                <w:szCs w:val="20"/>
              </w:rPr>
            </w:pPr>
            <w:r w:rsidRPr="00316577">
              <w:rPr>
                <w:sz w:val="20"/>
                <w:szCs w:val="20"/>
              </w:rPr>
              <w:t xml:space="preserve">Abrahamsen B, </w:t>
            </w:r>
            <w:proofErr w:type="spellStart"/>
            <w:r w:rsidRPr="00316577">
              <w:rPr>
                <w:sz w:val="20"/>
                <w:szCs w:val="20"/>
              </w:rPr>
              <w:t>Vestergaard</w:t>
            </w:r>
            <w:proofErr w:type="spellEnd"/>
            <w:r w:rsidRPr="00316577">
              <w:rPr>
                <w:sz w:val="20"/>
                <w:szCs w:val="20"/>
              </w:rPr>
              <w:t xml:space="preserve"> P, </w:t>
            </w:r>
            <w:proofErr w:type="spellStart"/>
            <w:r w:rsidRPr="00316577">
              <w:rPr>
                <w:sz w:val="20"/>
                <w:szCs w:val="20"/>
              </w:rPr>
              <w:t>Rud</w:t>
            </w:r>
            <w:proofErr w:type="spellEnd"/>
            <w:r w:rsidRPr="00316577">
              <w:rPr>
                <w:sz w:val="20"/>
                <w:szCs w:val="20"/>
              </w:rPr>
              <w:t xml:space="preserve"> B et al (2006) Ten-Year Absolute Risk of Osteoporotic Fractures According to BMD T Score at Menopause: The Danish Osteoporosis Prevention Study. J</w:t>
            </w:r>
            <w:r w:rsidRPr="00316577">
              <w:rPr>
                <w:rFonts w:cs="Arial"/>
                <w:sz w:val="20"/>
                <w:szCs w:val="20"/>
              </w:rPr>
              <w:t xml:space="preserve"> </w:t>
            </w:r>
            <w:r w:rsidRPr="00316577">
              <w:rPr>
                <w:sz w:val="20"/>
                <w:szCs w:val="20"/>
              </w:rPr>
              <w:t>Bone Miner Res 21: 796–800</w:t>
            </w:r>
          </w:p>
        </w:tc>
      </w:tr>
      <w:tr w:rsidR="004921D5" w:rsidRPr="00316577" w14:paraId="47F1EBF1" w14:textId="77777777" w:rsidTr="00316577">
        <w:tc>
          <w:tcPr>
            <w:tcW w:w="704" w:type="dxa"/>
          </w:tcPr>
          <w:p w14:paraId="26DB7706" w14:textId="4071DF6A" w:rsidR="004921D5" w:rsidRPr="00316577" w:rsidRDefault="004921D5" w:rsidP="004921D5">
            <w:pPr>
              <w:spacing w:before="240"/>
              <w:rPr>
                <w:sz w:val="20"/>
                <w:szCs w:val="20"/>
              </w:rPr>
            </w:pPr>
            <w:r w:rsidRPr="00316577">
              <w:rPr>
                <w:sz w:val="20"/>
                <w:szCs w:val="20"/>
              </w:rPr>
              <w:t>20</w:t>
            </w:r>
            <w:r>
              <w:rPr>
                <w:sz w:val="20"/>
                <w:szCs w:val="20"/>
              </w:rPr>
              <w:t>2</w:t>
            </w:r>
            <w:r w:rsidRPr="00316577">
              <w:rPr>
                <w:sz w:val="20"/>
                <w:szCs w:val="20"/>
              </w:rPr>
              <w:t>.</w:t>
            </w:r>
          </w:p>
        </w:tc>
        <w:tc>
          <w:tcPr>
            <w:tcW w:w="7745" w:type="dxa"/>
          </w:tcPr>
          <w:p w14:paraId="4C71E1D8" w14:textId="77777777" w:rsidR="004921D5" w:rsidRPr="00316577" w:rsidRDefault="004921D5" w:rsidP="004921D5">
            <w:pPr>
              <w:spacing w:before="240"/>
              <w:rPr>
                <w:sz w:val="20"/>
                <w:szCs w:val="20"/>
              </w:rPr>
            </w:pPr>
            <w:r w:rsidRPr="00316577">
              <w:rPr>
                <w:sz w:val="20"/>
                <w:szCs w:val="20"/>
              </w:rPr>
              <w:t xml:space="preserve">Azagra R, Roca G, </w:t>
            </w:r>
            <w:proofErr w:type="spellStart"/>
            <w:r w:rsidRPr="00316577">
              <w:rPr>
                <w:sz w:val="20"/>
                <w:szCs w:val="20"/>
              </w:rPr>
              <w:t>Zwart</w:t>
            </w:r>
            <w:proofErr w:type="spellEnd"/>
            <w:r w:rsidRPr="00316577">
              <w:rPr>
                <w:sz w:val="20"/>
                <w:szCs w:val="20"/>
              </w:rPr>
              <w:t xml:space="preserve"> M, </w:t>
            </w:r>
            <w:proofErr w:type="spellStart"/>
            <w:r w:rsidRPr="00316577">
              <w:rPr>
                <w:sz w:val="20"/>
                <w:szCs w:val="20"/>
              </w:rPr>
              <w:t>Encabo</w:t>
            </w:r>
            <w:proofErr w:type="spellEnd"/>
            <w:r w:rsidRPr="00316577">
              <w:rPr>
                <w:sz w:val="20"/>
                <w:szCs w:val="20"/>
              </w:rPr>
              <w:t xml:space="preserve"> G (2011) Differences in the predictive values of the FRAX (TM) tool between the Spanish and United Kingdom population and considerations about the intervention threshold. Med </w:t>
            </w:r>
            <w:proofErr w:type="spellStart"/>
            <w:r w:rsidRPr="00316577">
              <w:rPr>
                <w:sz w:val="20"/>
                <w:szCs w:val="20"/>
              </w:rPr>
              <w:t>Clin</w:t>
            </w:r>
            <w:proofErr w:type="spellEnd"/>
            <w:r w:rsidRPr="00316577">
              <w:rPr>
                <w:sz w:val="20"/>
                <w:szCs w:val="20"/>
              </w:rPr>
              <w:t xml:space="preserve"> (</w:t>
            </w:r>
            <w:proofErr w:type="spellStart"/>
            <w:r w:rsidRPr="00316577">
              <w:rPr>
                <w:sz w:val="20"/>
                <w:szCs w:val="20"/>
              </w:rPr>
              <w:t>Barc</w:t>
            </w:r>
            <w:proofErr w:type="spellEnd"/>
            <w:r w:rsidRPr="00316577">
              <w:rPr>
                <w:sz w:val="20"/>
                <w:szCs w:val="20"/>
              </w:rPr>
              <w:t>) 2011; 137(15): 713-4.</w:t>
            </w:r>
          </w:p>
        </w:tc>
      </w:tr>
      <w:tr w:rsidR="004921D5" w:rsidRPr="00316577" w14:paraId="0D6694CD" w14:textId="77777777" w:rsidTr="00316577">
        <w:tc>
          <w:tcPr>
            <w:tcW w:w="704" w:type="dxa"/>
          </w:tcPr>
          <w:p w14:paraId="26F5598A" w14:textId="26CC8C00" w:rsidR="004921D5" w:rsidRPr="00316577" w:rsidRDefault="004921D5" w:rsidP="004921D5">
            <w:pPr>
              <w:autoSpaceDE w:val="0"/>
              <w:autoSpaceDN w:val="0"/>
              <w:adjustRightInd w:val="0"/>
              <w:spacing w:before="240"/>
              <w:rPr>
                <w:iCs/>
                <w:sz w:val="20"/>
                <w:szCs w:val="20"/>
              </w:rPr>
            </w:pPr>
            <w:r w:rsidRPr="00316577">
              <w:rPr>
                <w:iCs/>
                <w:sz w:val="20"/>
                <w:szCs w:val="20"/>
              </w:rPr>
              <w:t>20</w:t>
            </w:r>
            <w:r>
              <w:rPr>
                <w:iCs/>
                <w:sz w:val="20"/>
                <w:szCs w:val="20"/>
              </w:rPr>
              <w:t>3</w:t>
            </w:r>
            <w:r w:rsidRPr="00316577">
              <w:rPr>
                <w:iCs/>
                <w:sz w:val="20"/>
                <w:szCs w:val="20"/>
              </w:rPr>
              <w:t>.</w:t>
            </w:r>
          </w:p>
        </w:tc>
        <w:tc>
          <w:tcPr>
            <w:tcW w:w="7745" w:type="dxa"/>
          </w:tcPr>
          <w:p w14:paraId="2D78C692" w14:textId="77777777" w:rsidR="004921D5" w:rsidRPr="00316577" w:rsidRDefault="004921D5" w:rsidP="004921D5">
            <w:pPr>
              <w:autoSpaceDE w:val="0"/>
              <w:autoSpaceDN w:val="0"/>
              <w:adjustRightInd w:val="0"/>
              <w:spacing w:before="240"/>
              <w:rPr>
                <w:iCs/>
                <w:sz w:val="20"/>
                <w:szCs w:val="20"/>
                <w:lang w:val="fr-FR"/>
              </w:rPr>
            </w:pPr>
            <w:proofErr w:type="spellStart"/>
            <w:r w:rsidRPr="00316577">
              <w:rPr>
                <w:iCs/>
                <w:sz w:val="20"/>
                <w:szCs w:val="20"/>
              </w:rPr>
              <w:t>Ettinger</w:t>
            </w:r>
            <w:proofErr w:type="spellEnd"/>
            <w:r w:rsidRPr="00316577">
              <w:rPr>
                <w:iCs/>
                <w:sz w:val="20"/>
                <w:szCs w:val="20"/>
              </w:rPr>
              <w:t xml:space="preserve"> B, </w:t>
            </w:r>
            <w:proofErr w:type="spellStart"/>
            <w:r w:rsidRPr="00316577">
              <w:rPr>
                <w:iCs/>
                <w:sz w:val="20"/>
                <w:szCs w:val="20"/>
              </w:rPr>
              <w:t>Ensrud</w:t>
            </w:r>
            <w:proofErr w:type="spellEnd"/>
            <w:r w:rsidRPr="00316577">
              <w:rPr>
                <w:iCs/>
                <w:sz w:val="20"/>
                <w:szCs w:val="20"/>
              </w:rPr>
              <w:t xml:space="preserve"> KE, Blackwell T et al (2013) Performance of FRAX in a cohort of community-dwelling, ambulatory older men: the Osteoporotic Fractures in Men (</w:t>
            </w:r>
            <w:proofErr w:type="spellStart"/>
            <w:r w:rsidRPr="00316577">
              <w:rPr>
                <w:iCs/>
                <w:sz w:val="20"/>
                <w:szCs w:val="20"/>
              </w:rPr>
              <w:t>MrOS</w:t>
            </w:r>
            <w:proofErr w:type="spellEnd"/>
            <w:r w:rsidRPr="00316577">
              <w:rPr>
                <w:iCs/>
                <w:sz w:val="20"/>
                <w:szCs w:val="20"/>
              </w:rPr>
              <w:t xml:space="preserve">) study. </w:t>
            </w:r>
            <w:r w:rsidRPr="00316577">
              <w:rPr>
                <w:iCs/>
                <w:sz w:val="20"/>
                <w:szCs w:val="20"/>
                <w:lang w:val="fr-FR"/>
              </w:rPr>
              <w:t>Osteoporos Int 24:1185-93.</w:t>
            </w:r>
          </w:p>
        </w:tc>
      </w:tr>
      <w:tr w:rsidR="004921D5" w:rsidRPr="00316577" w14:paraId="16AD59A8" w14:textId="77777777" w:rsidTr="00316577">
        <w:tc>
          <w:tcPr>
            <w:tcW w:w="704" w:type="dxa"/>
          </w:tcPr>
          <w:p w14:paraId="33673412" w14:textId="2BA9D5BD" w:rsidR="004921D5" w:rsidRPr="00316577" w:rsidRDefault="004921D5" w:rsidP="004921D5">
            <w:pPr>
              <w:spacing w:before="240"/>
              <w:rPr>
                <w:sz w:val="20"/>
                <w:szCs w:val="20"/>
              </w:rPr>
            </w:pPr>
            <w:r w:rsidRPr="00316577">
              <w:rPr>
                <w:sz w:val="20"/>
                <w:szCs w:val="20"/>
              </w:rPr>
              <w:t>20</w:t>
            </w:r>
            <w:r>
              <w:rPr>
                <w:sz w:val="20"/>
                <w:szCs w:val="20"/>
              </w:rPr>
              <w:t>4</w:t>
            </w:r>
            <w:r w:rsidRPr="00316577">
              <w:rPr>
                <w:sz w:val="20"/>
                <w:szCs w:val="20"/>
              </w:rPr>
              <w:t>.</w:t>
            </w:r>
          </w:p>
        </w:tc>
        <w:tc>
          <w:tcPr>
            <w:tcW w:w="7745" w:type="dxa"/>
          </w:tcPr>
          <w:p w14:paraId="194567D7" w14:textId="77777777" w:rsidR="004921D5" w:rsidRPr="00316577" w:rsidRDefault="004921D5" w:rsidP="004921D5">
            <w:pPr>
              <w:spacing w:before="240"/>
              <w:rPr>
                <w:sz w:val="20"/>
                <w:szCs w:val="20"/>
              </w:rPr>
            </w:pPr>
            <w:r w:rsidRPr="00316577">
              <w:rPr>
                <w:sz w:val="20"/>
                <w:szCs w:val="20"/>
              </w:rPr>
              <w:t xml:space="preserve">Schwartz AV, </w:t>
            </w:r>
            <w:proofErr w:type="spellStart"/>
            <w:r w:rsidRPr="00316577">
              <w:rPr>
                <w:sz w:val="20"/>
                <w:szCs w:val="20"/>
              </w:rPr>
              <w:t>Vittinghoff</w:t>
            </w:r>
            <w:proofErr w:type="spellEnd"/>
            <w:r w:rsidRPr="00316577">
              <w:rPr>
                <w:sz w:val="20"/>
                <w:szCs w:val="20"/>
              </w:rPr>
              <w:t xml:space="preserve"> E, Bauer DC et al (2011) Association of BMD and FRAX score with risk of fracture in older adults with type 2 diabetes. JAMA 305: 2184–2192</w:t>
            </w:r>
          </w:p>
        </w:tc>
      </w:tr>
      <w:tr w:rsidR="004921D5" w:rsidRPr="00316577" w14:paraId="133C2CD4" w14:textId="77777777" w:rsidTr="00316577">
        <w:tc>
          <w:tcPr>
            <w:tcW w:w="704" w:type="dxa"/>
          </w:tcPr>
          <w:p w14:paraId="13553E80" w14:textId="35DFA889" w:rsidR="004921D5" w:rsidRPr="00316577" w:rsidRDefault="004921D5" w:rsidP="004921D5">
            <w:pPr>
              <w:spacing w:before="240"/>
              <w:rPr>
                <w:sz w:val="20"/>
                <w:szCs w:val="20"/>
              </w:rPr>
            </w:pPr>
            <w:r w:rsidRPr="00316577">
              <w:rPr>
                <w:sz w:val="20"/>
                <w:szCs w:val="20"/>
              </w:rPr>
              <w:t>20</w:t>
            </w:r>
            <w:r>
              <w:rPr>
                <w:sz w:val="20"/>
                <w:szCs w:val="20"/>
              </w:rPr>
              <w:t>5</w:t>
            </w:r>
            <w:r w:rsidRPr="00316577">
              <w:rPr>
                <w:sz w:val="20"/>
                <w:szCs w:val="20"/>
              </w:rPr>
              <w:t>.</w:t>
            </w:r>
          </w:p>
        </w:tc>
        <w:tc>
          <w:tcPr>
            <w:tcW w:w="7745" w:type="dxa"/>
          </w:tcPr>
          <w:p w14:paraId="484B7E61" w14:textId="77777777" w:rsidR="004921D5" w:rsidRPr="00316577" w:rsidRDefault="004921D5" w:rsidP="004921D5">
            <w:pPr>
              <w:spacing w:before="240"/>
              <w:rPr>
                <w:sz w:val="20"/>
                <w:szCs w:val="20"/>
              </w:rPr>
            </w:pPr>
            <w:r w:rsidRPr="00316577">
              <w:rPr>
                <w:sz w:val="20"/>
                <w:szCs w:val="20"/>
              </w:rPr>
              <w:t xml:space="preserve">Pressman AR, Lo JC, Chandra M, </w:t>
            </w:r>
            <w:proofErr w:type="spellStart"/>
            <w:r w:rsidRPr="00316577">
              <w:rPr>
                <w:sz w:val="20"/>
                <w:szCs w:val="20"/>
              </w:rPr>
              <w:t>Ettinger</w:t>
            </w:r>
            <w:proofErr w:type="spellEnd"/>
            <w:r w:rsidRPr="00316577">
              <w:rPr>
                <w:sz w:val="20"/>
                <w:szCs w:val="20"/>
              </w:rPr>
              <w:t xml:space="preserve"> B (2011) Methods for assessing fracture risk prediction models: experience with FRAX in a large integrated healthcare delivery system. J </w:t>
            </w:r>
            <w:proofErr w:type="spellStart"/>
            <w:r w:rsidRPr="00316577">
              <w:rPr>
                <w:sz w:val="20"/>
                <w:szCs w:val="20"/>
              </w:rPr>
              <w:t>Clin</w:t>
            </w:r>
            <w:proofErr w:type="spellEnd"/>
            <w:r w:rsidRPr="00316577">
              <w:rPr>
                <w:sz w:val="20"/>
                <w:szCs w:val="20"/>
              </w:rPr>
              <w:t xml:space="preserve"> </w:t>
            </w:r>
            <w:proofErr w:type="spellStart"/>
            <w:r w:rsidRPr="00316577">
              <w:rPr>
                <w:sz w:val="20"/>
                <w:szCs w:val="20"/>
              </w:rPr>
              <w:t>Densitom</w:t>
            </w:r>
            <w:proofErr w:type="spellEnd"/>
            <w:r w:rsidRPr="00316577">
              <w:rPr>
                <w:sz w:val="20"/>
                <w:szCs w:val="20"/>
              </w:rPr>
              <w:t xml:space="preserve"> 14:407–415</w:t>
            </w:r>
          </w:p>
        </w:tc>
      </w:tr>
      <w:tr w:rsidR="004921D5" w:rsidRPr="00316577" w14:paraId="26D55322" w14:textId="77777777" w:rsidTr="00316577">
        <w:tc>
          <w:tcPr>
            <w:tcW w:w="704" w:type="dxa"/>
          </w:tcPr>
          <w:p w14:paraId="06906F7A" w14:textId="31CDA9EE" w:rsidR="004921D5" w:rsidRPr="00316577" w:rsidRDefault="004921D5" w:rsidP="004921D5">
            <w:pPr>
              <w:autoSpaceDE w:val="0"/>
              <w:autoSpaceDN w:val="0"/>
              <w:adjustRightInd w:val="0"/>
              <w:spacing w:before="240"/>
              <w:rPr>
                <w:sz w:val="20"/>
                <w:szCs w:val="20"/>
              </w:rPr>
            </w:pPr>
            <w:r w:rsidRPr="00316577">
              <w:rPr>
                <w:sz w:val="20"/>
                <w:szCs w:val="20"/>
              </w:rPr>
              <w:t>20</w:t>
            </w:r>
            <w:r>
              <w:rPr>
                <w:sz w:val="20"/>
                <w:szCs w:val="20"/>
              </w:rPr>
              <w:t>6</w:t>
            </w:r>
            <w:r w:rsidRPr="00316577">
              <w:rPr>
                <w:sz w:val="20"/>
                <w:szCs w:val="20"/>
              </w:rPr>
              <w:t>.</w:t>
            </w:r>
          </w:p>
        </w:tc>
        <w:tc>
          <w:tcPr>
            <w:tcW w:w="7745" w:type="dxa"/>
          </w:tcPr>
          <w:p w14:paraId="6E11401C" w14:textId="77777777" w:rsidR="004921D5" w:rsidRPr="00316577" w:rsidRDefault="004921D5" w:rsidP="004921D5">
            <w:pPr>
              <w:autoSpaceDE w:val="0"/>
              <w:autoSpaceDN w:val="0"/>
              <w:adjustRightInd w:val="0"/>
              <w:spacing w:before="240"/>
              <w:rPr>
                <w:sz w:val="20"/>
                <w:szCs w:val="20"/>
              </w:rPr>
            </w:pPr>
            <w:r w:rsidRPr="00316577">
              <w:rPr>
                <w:sz w:val="20"/>
                <w:szCs w:val="20"/>
              </w:rPr>
              <w:t xml:space="preserve">Donaldson MG, Cawthon PM, </w:t>
            </w:r>
            <w:proofErr w:type="spellStart"/>
            <w:r w:rsidRPr="00316577">
              <w:rPr>
                <w:sz w:val="20"/>
                <w:szCs w:val="20"/>
              </w:rPr>
              <w:t>Schousboe</w:t>
            </w:r>
            <w:proofErr w:type="spellEnd"/>
            <w:r w:rsidRPr="00316577">
              <w:rPr>
                <w:sz w:val="20"/>
                <w:szCs w:val="20"/>
              </w:rPr>
              <w:t xml:space="preserve"> JT et al (2011) Novel methods to evaluate fracture risk models. J Bone Miner Res 26: 1767–1773</w:t>
            </w:r>
          </w:p>
        </w:tc>
      </w:tr>
      <w:tr w:rsidR="004921D5" w:rsidRPr="00316577" w14:paraId="1C11A6B5" w14:textId="77777777" w:rsidTr="00316577">
        <w:tc>
          <w:tcPr>
            <w:tcW w:w="704" w:type="dxa"/>
          </w:tcPr>
          <w:p w14:paraId="60E2F4A0" w14:textId="69819507" w:rsidR="004921D5" w:rsidRPr="00316577" w:rsidRDefault="004921D5" w:rsidP="004921D5">
            <w:pPr>
              <w:autoSpaceDE w:val="0"/>
              <w:autoSpaceDN w:val="0"/>
              <w:adjustRightInd w:val="0"/>
              <w:spacing w:before="240"/>
              <w:rPr>
                <w:sz w:val="20"/>
                <w:szCs w:val="20"/>
              </w:rPr>
            </w:pPr>
            <w:r w:rsidRPr="00316577">
              <w:rPr>
                <w:sz w:val="20"/>
                <w:szCs w:val="20"/>
              </w:rPr>
              <w:t>20</w:t>
            </w:r>
            <w:r>
              <w:rPr>
                <w:sz w:val="20"/>
                <w:szCs w:val="20"/>
              </w:rPr>
              <w:t>7</w:t>
            </w:r>
            <w:r w:rsidRPr="00316577">
              <w:rPr>
                <w:sz w:val="20"/>
                <w:szCs w:val="20"/>
              </w:rPr>
              <w:t>.</w:t>
            </w:r>
          </w:p>
        </w:tc>
        <w:tc>
          <w:tcPr>
            <w:tcW w:w="7745" w:type="dxa"/>
          </w:tcPr>
          <w:p w14:paraId="7DCF7D95" w14:textId="77777777" w:rsidR="004921D5" w:rsidRPr="00316577" w:rsidRDefault="004921D5" w:rsidP="004921D5">
            <w:pPr>
              <w:autoSpaceDE w:val="0"/>
              <w:autoSpaceDN w:val="0"/>
              <w:adjustRightInd w:val="0"/>
              <w:spacing w:before="240"/>
              <w:rPr>
                <w:sz w:val="20"/>
                <w:szCs w:val="20"/>
              </w:rPr>
            </w:pPr>
            <w:proofErr w:type="spellStart"/>
            <w:r w:rsidRPr="00316577">
              <w:rPr>
                <w:sz w:val="20"/>
                <w:szCs w:val="20"/>
              </w:rPr>
              <w:t>Gullberg</w:t>
            </w:r>
            <w:proofErr w:type="spellEnd"/>
            <w:r w:rsidRPr="00316577">
              <w:rPr>
                <w:sz w:val="20"/>
                <w:szCs w:val="20"/>
              </w:rPr>
              <w:t xml:space="preserve"> B, </w:t>
            </w:r>
            <w:proofErr w:type="spellStart"/>
            <w:r w:rsidRPr="00316577">
              <w:rPr>
                <w:sz w:val="20"/>
                <w:szCs w:val="20"/>
              </w:rPr>
              <w:t>Johnell</w:t>
            </w:r>
            <w:proofErr w:type="spellEnd"/>
            <w:r w:rsidRPr="00316577">
              <w:rPr>
                <w:sz w:val="20"/>
                <w:szCs w:val="20"/>
              </w:rPr>
              <w:t xml:space="preserve"> O, Kanis JA (1997) World-wide projections for hip fractures. Osteoporos </w:t>
            </w:r>
            <w:proofErr w:type="spellStart"/>
            <w:r w:rsidRPr="00316577">
              <w:rPr>
                <w:sz w:val="20"/>
                <w:szCs w:val="20"/>
              </w:rPr>
              <w:t>Int</w:t>
            </w:r>
            <w:proofErr w:type="spellEnd"/>
            <w:r w:rsidRPr="00316577">
              <w:rPr>
                <w:sz w:val="20"/>
                <w:szCs w:val="20"/>
              </w:rPr>
              <w:t xml:space="preserve"> 7: 407–413</w:t>
            </w:r>
          </w:p>
        </w:tc>
      </w:tr>
      <w:tr w:rsidR="004921D5" w:rsidRPr="00316577" w14:paraId="51BF22EA" w14:textId="77777777" w:rsidTr="00316577">
        <w:tc>
          <w:tcPr>
            <w:tcW w:w="704" w:type="dxa"/>
          </w:tcPr>
          <w:p w14:paraId="6C351EAE" w14:textId="75DDFE05" w:rsidR="004921D5" w:rsidRPr="00316577" w:rsidRDefault="004921D5" w:rsidP="004921D5">
            <w:pPr>
              <w:spacing w:before="240"/>
              <w:rPr>
                <w:sz w:val="20"/>
                <w:szCs w:val="20"/>
              </w:rPr>
            </w:pPr>
            <w:r w:rsidRPr="00316577">
              <w:rPr>
                <w:sz w:val="20"/>
                <w:szCs w:val="20"/>
              </w:rPr>
              <w:t>20</w:t>
            </w:r>
            <w:r>
              <w:rPr>
                <w:sz w:val="20"/>
                <w:szCs w:val="20"/>
              </w:rPr>
              <w:t>8</w:t>
            </w:r>
            <w:r w:rsidRPr="00316577">
              <w:rPr>
                <w:sz w:val="20"/>
                <w:szCs w:val="20"/>
              </w:rPr>
              <w:t>.</w:t>
            </w:r>
          </w:p>
        </w:tc>
        <w:tc>
          <w:tcPr>
            <w:tcW w:w="7745" w:type="dxa"/>
          </w:tcPr>
          <w:p w14:paraId="4CE6EA81" w14:textId="77777777" w:rsidR="004921D5" w:rsidRPr="00316577" w:rsidRDefault="004921D5" w:rsidP="004921D5">
            <w:pPr>
              <w:spacing w:before="240"/>
              <w:rPr>
                <w:sz w:val="20"/>
                <w:szCs w:val="20"/>
              </w:rPr>
            </w:pPr>
            <w:r w:rsidRPr="00316577">
              <w:rPr>
                <w:sz w:val="20"/>
                <w:szCs w:val="20"/>
              </w:rPr>
              <w:t xml:space="preserve">Cooper C, Cole ZA, Holroyd CR, Earl SC, Harvey NC, Dennison EM, and the IOF CSA Working Group on Fracture Epidemiology (2011) Secular trends in the incidence of hip and other osteoporotic fractures. Osteoporos </w:t>
            </w:r>
            <w:proofErr w:type="spellStart"/>
            <w:r w:rsidRPr="00316577">
              <w:rPr>
                <w:sz w:val="20"/>
                <w:szCs w:val="20"/>
              </w:rPr>
              <w:t>Int</w:t>
            </w:r>
            <w:proofErr w:type="spellEnd"/>
            <w:r w:rsidRPr="00316577">
              <w:rPr>
                <w:sz w:val="20"/>
                <w:szCs w:val="20"/>
              </w:rPr>
              <w:t xml:space="preserve"> 22: 1277-88</w:t>
            </w:r>
          </w:p>
        </w:tc>
      </w:tr>
      <w:tr w:rsidR="004921D5" w:rsidRPr="00316577" w14:paraId="027829D0" w14:textId="77777777" w:rsidTr="00316577">
        <w:tc>
          <w:tcPr>
            <w:tcW w:w="704" w:type="dxa"/>
          </w:tcPr>
          <w:p w14:paraId="2CAB52DC" w14:textId="545A6EE1" w:rsidR="004921D5" w:rsidRPr="00316577" w:rsidRDefault="004921D5" w:rsidP="004921D5">
            <w:pPr>
              <w:spacing w:before="240"/>
              <w:rPr>
                <w:sz w:val="20"/>
                <w:szCs w:val="20"/>
              </w:rPr>
            </w:pPr>
            <w:r w:rsidRPr="00316577">
              <w:rPr>
                <w:sz w:val="20"/>
                <w:szCs w:val="20"/>
              </w:rPr>
              <w:t>20</w:t>
            </w:r>
            <w:r>
              <w:rPr>
                <w:sz w:val="20"/>
                <w:szCs w:val="20"/>
              </w:rPr>
              <w:t>9</w:t>
            </w:r>
            <w:r w:rsidRPr="00316577">
              <w:rPr>
                <w:sz w:val="20"/>
                <w:szCs w:val="20"/>
              </w:rPr>
              <w:t>.</w:t>
            </w:r>
          </w:p>
        </w:tc>
        <w:tc>
          <w:tcPr>
            <w:tcW w:w="7745" w:type="dxa"/>
          </w:tcPr>
          <w:p w14:paraId="43969252" w14:textId="77777777" w:rsidR="004921D5" w:rsidRPr="00316577" w:rsidRDefault="004921D5" w:rsidP="004921D5">
            <w:pPr>
              <w:spacing w:before="240"/>
              <w:rPr>
                <w:sz w:val="20"/>
                <w:szCs w:val="20"/>
              </w:rPr>
            </w:pPr>
            <w:r w:rsidRPr="00316577">
              <w:rPr>
                <w:sz w:val="20"/>
                <w:szCs w:val="20"/>
              </w:rPr>
              <w:t xml:space="preserve">Kanis JA, Johansson H, Odén A, Dawson-Hughes B, Melton LJ 3rd, McCloskey EV (2010) The effects of a FRAX® revision for the USA. Osteoporos </w:t>
            </w:r>
            <w:proofErr w:type="spellStart"/>
            <w:r w:rsidRPr="00316577">
              <w:rPr>
                <w:sz w:val="20"/>
                <w:szCs w:val="20"/>
              </w:rPr>
              <w:t>Int</w:t>
            </w:r>
            <w:proofErr w:type="spellEnd"/>
            <w:r w:rsidRPr="00316577">
              <w:rPr>
                <w:sz w:val="20"/>
                <w:szCs w:val="20"/>
              </w:rPr>
              <w:t xml:space="preserve"> 21:35–40</w:t>
            </w:r>
          </w:p>
        </w:tc>
      </w:tr>
      <w:tr w:rsidR="004921D5" w:rsidRPr="00316577" w14:paraId="7EA93356" w14:textId="77777777" w:rsidTr="00316577">
        <w:tc>
          <w:tcPr>
            <w:tcW w:w="704" w:type="dxa"/>
          </w:tcPr>
          <w:p w14:paraId="4CD4E69E" w14:textId="77777777" w:rsidR="004921D5" w:rsidRPr="00316577" w:rsidRDefault="004921D5" w:rsidP="004921D5">
            <w:pPr>
              <w:spacing w:before="240"/>
              <w:rPr>
                <w:sz w:val="20"/>
                <w:szCs w:val="20"/>
              </w:rPr>
            </w:pPr>
            <w:r w:rsidRPr="00316577">
              <w:rPr>
                <w:sz w:val="20"/>
                <w:szCs w:val="20"/>
              </w:rPr>
              <w:t>210.</w:t>
            </w:r>
          </w:p>
        </w:tc>
        <w:tc>
          <w:tcPr>
            <w:tcW w:w="7745" w:type="dxa"/>
          </w:tcPr>
          <w:p w14:paraId="1EA01743" w14:textId="77777777" w:rsidR="004921D5" w:rsidRPr="00316577" w:rsidRDefault="004921D5" w:rsidP="004921D5">
            <w:pPr>
              <w:spacing w:before="240"/>
              <w:rPr>
                <w:sz w:val="20"/>
                <w:szCs w:val="20"/>
              </w:rPr>
            </w:pPr>
            <w:r w:rsidRPr="00316577">
              <w:rPr>
                <w:sz w:val="20"/>
                <w:szCs w:val="20"/>
              </w:rPr>
              <w:t xml:space="preserve">Brennan SL, Quirk SE, Hosking  SM et al (2015) Is there an interaction between socioeconomic status and FRAX 10-year fracture probability determined with and without bone density measures? Data from the Geelong Osteoporosis Study of Female Cohort. </w:t>
            </w:r>
            <w:proofErr w:type="spellStart"/>
            <w:r w:rsidRPr="00316577">
              <w:rPr>
                <w:sz w:val="20"/>
                <w:szCs w:val="20"/>
              </w:rPr>
              <w:t>Calcif</w:t>
            </w:r>
            <w:proofErr w:type="spellEnd"/>
            <w:r w:rsidRPr="00316577">
              <w:rPr>
                <w:sz w:val="20"/>
                <w:szCs w:val="20"/>
              </w:rPr>
              <w:t xml:space="preserve"> Tissue </w:t>
            </w:r>
            <w:proofErr w:type="spellStart"/>
            <w:r w:rsidRPr="00316577">
              <w:rPr>
                <w:sz w:val="20"/>
                <w:szCs w:val="20"/>
              </w:rPr>
              <w:t>Int</w:t>
            </w:r>
            <w:proofErr w:type="spellEnd"/>
            <w:r w:rsidRPr="00316577">
              <w:rPr>
                <w:sz w:val="20"/>
                <w:szCs w:val="20"/>
              </w:rPr>
              <w:t xml:space="preserve"> 96:138–144</w:t>
            </w:r>
          </w:p>
        </w:tc>
      </w:tr>
      <w:tr w:rsidR="004921D5" w:rsidRPr="00316577" w14:paraId="3AA7E776" w14:textId="77777777" w:rsidTr="00316577">
        <w:tc>
          <w:tcPr>
            <w:tcW w:w="704" w:type="dxa"/>
          </w:tcPr>
          <w:p w14:paraId="3C236DD1" w14:textId="77777777" w:rsidR="004921D5" w:rsidRPr="00316577" w:rsidRDefault="004921D5" w:rsidP="004921D5">
            <w:pPr>
              <w:spacing w:before="240"/>
              <w:rPr>
                <w:sz w:val="20"/>
                <w:szCs w:val="20"/>
              </w:rPr>
            </w:pPr>
            <w:r w:rsidRPr="00316577">
              <w:rPr>
                <w:sz w:val="20"/>
                <w:szCs w:val="20"/>
              </w:rPr>
              <w:t>211.</w:t>
            </w:r>
          </w:p>
        </w:tc>
        <w:tc>
          <w:tcPr>
            <w:tcW w:w="7745" w:type="dxa"/>
            <w:shd w:val="clear" w:color="auto" w:fill="auto"/>
          </w:tcPr>
          <w:p w14:paraId="3638C344" w14:textId="77777777" w:rsidR="004921D5" w:rsidRPr="00316577" w:rsidRDefault="004921D5" w:rsidP="004921D5">
            <w:pPr>
              <w:spacing w:before="240"/>
              <w:rPr>
                <w:sz w:val="20"/>
                <w:szCs w:val="20"/>
              </w:rPr>
            </w:pPr>
            <w:r w:rsidRPr="00316577">
              <w:rPr>
                <w:sz w:val="20"/>
                <w:szCs w:val="20"/>
              </w:rPr>
              <w:t>Leslie WD, Lix LM, Johansson H, Oden A, McCloskey E, Kanis J (2012) Does osteoporosis therapy invalidate FRAX for fracture prediction? J Bone Miner Res 27: 1243-1251.</w:t>
            </w:r>
          </w:p>
        </w:tc>
      </w:tr>
      <w:tr w:rsidR="004921D5" w:rsidRPr="00316577" w14:paraId="11C6FB56" w14:textId="77777777" w:rsidTr="00316577">
        <w:tc>
          <w:tcPr>
            <w:tcW w:w="704" w:type="dxa"/>
          </w:tcPr>
          <w:p w14:paraId="566778F3" w14:textId="77777777" w:rsidR="004921D5" w:rsidRPr="00316577" w:rsidRDefault="004921D5" w:rsidP="004921D5">
            <w:pPr>
              <w:spacing w:before="240"/>
              <w:rPr>
                <w:sz w:val="20"/>
                <w:szCs w:val="20"/>
              </w:rPr>
            </w:pPr>
            <w:r w:rsidRPr="00316577">
              <w:rPr>
                <w:sz w:val="20"/>
                <w:szCs w:val="20"/>
              </w:rPr>
              <w:t>212.</w:t>
            </w:r>
          </w:p>
        </w:tc>
        <w:tc>
          <w:tcPr>
            <w:tcW w:w="7745" w:type="dxa"/>
            <w:shd w:val="clear" w:color="auto" w:fill="auto"/>
          </w:tcPr>
          <w:p w14:paraId="5A97EF5F" w14:textId="77777777" w:rsidR="004921D5" w:rsidRPr="00316577" w:rsidRDefault="004921D5" w:rsidP="004921D5">
            <w:pPr>
              <w:spacing w:before="240"/>
              <w:rPr>
                <w:sz w:val="20"/>
                <w:szCs w:val="20"/>
              </w:rPr>
            </w:pPr>
            <w:r w:rsidRPr="00316577">
              <w:rPr>
                <w:sz w:val="20"/>
                <w:szCs w:val="20"/>
              </w:rPr>
              <w:t xml:space="preserve">Johansson H, </w:t>
            </w:r>
            <w:proofErr w:type="spellStart"/>
            <w:r w:rsidRPr="00316577">
              <w:rPr>
                <w:sz w:val="20"/>
                <w:szCs w:val="20"/>
              </w:rPr>
              <w:t>Odén</w:t>
            </w:r>
            <w:proofErr w:type="spellEnd"/>
            <w:r w:rsidRPr="00316577">
              <w:rPr>
                <w:sz w:val="20"/>
                <w:szCs w:val="20"/>
              </w:rPr>
              <w:t xml:space="preserve"> A, </w:t>
            </w:r>
            <w:proofErr w:type="spellStart"/>
            <w:r w:rsidRPr="00316577">
              <w:rPr>
                <w:sz w:val="20"/>
                <w:szCs w:val="20"/>
              </w:rPr>
              <w:t>Lorentzon</w:t>
            </w:r>
            <w:proofErr w:type="spellEnd"/>
            <w:r w:rsidRPr="00316577">
              <w:rPr>
                <w:sz w:val="20"/>
                <w:szCs w:val="20"/>
              </w:rPr>
              <w:t xml:space="preserve"> M et al (2015) Is the Swedish FRAX model appropriate for immigrants to Sweden? Osteoporos </w:t>
            </w:r>
            <w:proofErr w:type="spellStart"/>
            <w:r w:rsidRPr="00316577">
              <w:rPr>
                <w:sz w:val="20"/>
                <w:szCs w:val="20"/>
              </w:rPr>
              <w:t>Int</w:t>
            </w:r>
            <w:proofErr w:type="spellEnd"/>
            <w:r w:rsidRPr="00316577">
              <w:rPr>
                <w:sz w:val="20"/>
                <w:szCs w:val="20"/>
              </w:rPr>
              <w:t xml:space="preserve"> 26: 2617-22.</w:t>
            </w:r>
          </w:p>
        </w:tc>
      </w:tr>
      <w:tr w:rsidR="004921D5" w:rsidRPr="00316577" w14:paraId="3A174B06" w14:textId="77777777" w:rsidTr="00316577">
        <w:tc>
          <w:tcPr>
            <w:tcW w:w="704" w:type="dxa"/>
          </w:tcPr>
          <w:p w14:paraId="19A4D455" w14:textId="77777777" w:rsidR="004921D5" w:rsidRPr="00316577" w:rsidRDefault="004921D5" w:rsidP="004921D5">
            <w:pPr>
              <w:spacing w:before="240"/>
              <w:rPr>
                <w:sz w:val="20"/>
                <w:szCs w:val="20"/>
              </w:rPr>
            </w:pPr>
            <w:r w:rsidRPr="00316577">
              <w:rPr>
                <w:sz w:val="20"/>
                <w:szCs w:val="20"/>
              </w:rPr>
              <w:t>213.</w:t>
            </w:r>
          </w:p>
        </w:tc>
        <w:tc>
          <w:tcPr>
            <w:tcW w:w="7745" w:type="dxa"/>
            <w:shd w:val="clear" w:color="auto" w:fill="auto"/>
          </w:tcPr>
          <w:p w14:paraId="63727C4C" w14:textId="77777777" w:rsidR="004921D5" w:rsidRPr="00316577" w:rsidRDefault="004921D5" w:rsidP="004921D5">
            <w:pPr>
              <w:spacing w:before="240"/>
              <w:rPr>
                <w:sz w:val="20"/>
                <w:szCs w:val="20"/>
              </w:rPr>
            </w:pPr>
            <w:r w:rsidRPr="00316577">
              <w:rPr>
                <w:sz w:val="20"/>
                <w:szCs w:val="20"/>
              </w:rPr>
              <w:t xml:space="preserve">Leslie WD, Berger C, </w:t>
            </w:r>
            <w:proofErr w:type="spellStart"/>
            <w:r w:rsidRPr="00316577">
              <w:rPr>
                <w:sz w:val="20"/>
                <w:szCs w:val="20"/>
              </w:rPr>
              <w:t>Langsetmo</w:t>
            </w:r>
            <w:proofErr w:type="spellEnd"/>
            <w:r w:rsidRPr="00316577">
              <w:rPr>
                <w:sz w:val="20"/>
                <w:szCs w:val="20"/>
              </w:rPr>
              <w:t xml:space="preserve"> L et al (2011) Construction and validation of a simplified fracture risk assessment tool for Canadian women and men: results from the </w:t>
            </w:r>
            <w:proofErr w:type="spellStart"/>
            <w:r w:rsidRPr="00316577">
              <w:rPr>
                <w:sz w:val="20"/>
                <w:szCs w:val="20"/>
              </w:rPr>
              <w:t>CaMos</w:t>
            </w:r>
            <w:proofErr w:type="spellEnd"/>
            <w:r w:rsidRPr="00316577">
              <w:rPr>
                <w:sz w:val="20"/>
                <w:szCs w:val="20"/>
              </w:rPr>
              <w:t xml:space="preserve"> and Manitoba cohorts. Osteoporos </w:t>
            </w:r>
            <w:proofErr w:type="spellStart"/>
            <w:r w:rsidRPr="00316577">
              <w:rPr>
                <w:sz w:val="20"/>
                <w:szCs w:val="20"/>
              </w:rPr>
              <w:t>Int</w:t>
            </w:r>
            <w:proofErr w:type="spellEnd"/>
            <w:r w:rsidRPr="00316577">
              <w:rPr>
                <w:sz w:val="20"/>
                <w:szCs w:val="20"/>
              </w:rPr>
              <w:t xml:space="preserve"> 22: 1873-1883</w:t>
            </w:r>
          </w:p>
        </w:tc>
      </w:tr>
      <w:tr w:rsidR="004921D5" w:rsidRPr="00316577" w14:paraId="5D0F171A" w14:textId="77777777" w:rsidTr="00316577">
        <w:tc>
          <w:tcPr>
            <w:tcW w:w="704" w:type="dxa"/>
          </w:tcPr>
          <w:p w14:paraId="2AA5EFBC" w14:textId="77777777" w:rsidR="004921D5" w:rsidRPr="00316577" w:rsidRDefault="004921D5" w:rsidP="004921D5">
            <w:pPr>
              <w:spacing w:before="240"/>
              <w:rPr>
                <w:sz w:val="20"/>
                <w:szCs w:val="20"/>
              </w:rPr>
            </w:pPr>
            <w:r w:rsidRPr="00316577">
              <w:rPr>
                <w:sz w:val="20"/>
                <w:szCs w:val="20"/>
              </w:rPr>
              <w:t>214.</w:t>
            </w:r>
          </w:p>
        </w:tc>
        <w:tc>
          <w:tcPr>
            <w:tcW w:w="7745" w:type="dxa"/>
            <w:shd w:val="clear" w:color="auto" w:fill="auto"/>
          </w:tcPr>
          <w:p w14:paraId="3AEACEDF" w14:textId="77777777" w:rsidR="004921D5" w:rsidRPr="00316577" w:rsidRDefault="004921D5" w:rsidP="004921D5">
            <w:pPr>
              <w:spacing w:before="240"/>
              <w:rPr>
                <w:sz w:val="20"/>
                <w:szCs w:val="20"/>
              </w:rPr>
            </w:pPr>
            <w:r w:rsidRPr="00316577">
              <w:rPr>
                <w:sz w:val="20"/>
                <w:szCs w:val="20"/>
              </w:rPr>
              <w:t xml:space="preserve">Johansson H, Kanis JA, Oden A, Johnell O, McCloskey E (2009) BMD, clinical risk factors and their combination for hip fracture prevention. Osteoporos </w:t>
            </w:r>
            <w:proofErr w:type="spellStart"/>
            <w:r w:rsidRPr="00316577">
              <w:rPr>
                <w:sz w:val="20"/>
                <w:szCs w:val="20"/>
              </w:rPr>
              <w:t>Int</w:t>
            </w:r>
            <w:proofErr w:type="spellEnd"/>
            <w:r w:rsidRPr="00316577">
              <w:rPr>
                <w:sz w:val="20"/>
                <w:szCs w:val="20"/>
              </w:rPr>
              <w:t xml:space="preserve"> 20: 1675-1682.</w:t>
            </w:r>
          </w:p>
        </w:tc>
      </w:tr>
      <w:tr w:rsidR="004921D5" w:rsidRPr="00316577" w14:paraId="293967B9" w14:textId="77777777" w:rsidTr="00316577">
        <w:tc>
          <w:tcPr>
            <w:tcW w:w="704" w:type="dxa"/>
            <w:shd w:val="clear" w:color="auto" w:fill="auto"/>
          </w:tcPr>
          <w:p w14:paraId="26F63556" w14:textId="77777777" w:rsidR="004921D5" w:rsidRPr="00316577" w:rsidRDefault="004921D5" w:rsidP="004921D5">
            <w:pPr>
              <w:spacing w:before="240"/>
              <w:rPr>
                <w:sz w:val="20"/>
                <w:szCs w:val="20"/>
              </w:rPr>
            </w:pPr>
            <w:r w:rsidRPr="00316577">
              <w:rPr>
                <w:sz w:val="20"/>
                <w:szCs w:val="20"/>
              </w:rPr>
              <w:lastRenderedPageBreak/>
              <w:t>215.</w:t>
            </w:r>
          </w:p>
        </w:tc>
        <w:tc>
          <w:tcPr>
            <w:tcW w:w="7745" w:type="dxa"/>
            <w:shd w:val="clear" w:color="auto" w:fill="auto"/>
          </w:tcPr>
          <w:p w14:paraId="4E68E581" w14:textId="77777777" w:rsidR="004921D5" w:rsidRPr="00316577" w:rsidRDefault="004921D5" w:rsidP="004921D5">
            <w:pPr>
              <w:spacing w:before="240"/>
              <w:rPr>
                <w:sz w:val="20"/>
                <w:szCs w:val="20"/>
              </w:rPr>
            </w:pPr>
            <w:r w:rsidRPr="00316577">
              <w:rPr>
                <w:sz w:val="20"/>
                <w:szCs w:val="20"/>
              </w:rPr>
              <w:t>Yoon J, Kwon S-R, Lim M-J, et al (2010) A Comparison of Three Different Guidelines for Osteoporosis Treatment in Patients with Rheumatoid Arthritis in Korea. Korean Journal of Internal Medicine 25: 436-46.</w:t>
            </w:r>
          </w:p>
        </w:tc>
      </w:tr>
      <w:tr w:rsidR="004921D5" w:rsidRPr="00316577" w14:paraId="29523FD0" w14:textId="77777777" w:rsidTr="00316577">
        <w:tc>
          <w:tcPr>
            <w:tcW w:w="704" w:type="dxa"/>
            <w:shd w:val="clear" w:color="auto" w:fill="auto"/>
          </w:tcPr>
          <w:p w14:paraId="1A4CE03A" w14:textId="77777777" w:rsidR="004921D5" w:rsidRPr="00316577" w:rsidRDefault="004921D5" w:rsidP="004921D5">
            <w:pPr>
              <w:spacing w:before="240"/>
              <w:rPr>
                <w:sz w:val="20"/>
                <w:szCs w:val="20"/>
              </w:rPr>
            </w:pPr>
            <w:r w:rsidRPr="00316577">
              <w:rPr>
                <w:sz w:val="20"/>
                <w:szCs w:val="20"/>
              </w:rPr>
              <w:t>216.</w:t>
            </w:r>
          </w:p>
        </w:tc>
        <w:tc>
          <w:tcPr>
            <w:tcW w:w="7745" w:type="dxa"/>
          </w:tcPr>
          <w:p w14:paraId="1242D782" w14:textId="77777777" w:rsidR="004921D5" w:rsidRPr="00316577" w:rsidRDefault="004921D5" w:rsidP="004921D5">
            <w:pPr>
              <w:spacing w:before="240"/>
              <w:rPr>
                <w:sz w:val="20"/>
                <w:szCs w:val="20"/>
              </w:rPr>
            </w:pPr>
            <w:r w:rsidRPr="00316577">
              <w:rPr>
                <w:sz w:val="20"/>
                <w:szCs w:val="20"/>
              </w:rPr>
              <w:t>Kanis JA, McCloskey EV, Harvey NC, Johansson H, Leslie WD (2015) Intervention thresholds and the diagnosis of osteoporosis. J Bone Miner Res 30: 1747-1753</w:t>
            </w:r>
          </w:p>
        </w:tc>
      </w:tr>
      <w:tr w:rsidR="004921D5" w:rsidRPr="00316577" w14:paraId="6A5FF159" w14:textId="77777777" w:rsidTr="00316577">
        <w:tc>
          <w:tcPr>
            <w:tcW w:w="704" w:type="dxa"/>
          </w:tcPr>
          <w:p w14:paraId="5366E122" w14:textId="77777777" w:rsidR="004921D5" w:rsidRPr="00316577" w:rsidRDefault="004921D5" w:rsidP="004921D5">
            <w:pPr>
              <w:spacing w:before="240"/>
              <w:rPr>
                <w:sz w:val="20"/>
                <w:szCs w:val="20"/>
              </w:rPr>
            </w:pPr>
            <w:r w:rsidRPr="00316577">
              <w:rPr>
                <w:sz w:val="20"/>
                <w:szCs w:val="20"/>
              </w:rPr>
              <w:t>217.</w:t>
            </w:r>
          </w:p>
        </w:tc>
        <w:tc>
          <w:tcPr>
            <w:tcW w:w="7745" w:type="dxa"/>
          </w:tcPr>
          <w:p w14:paraId="2CD7B5A3" w14:textId="5A98F8CE" w:rsidR="004921D5" w:rsidRPr="00316577" w:rsidRDefault="004921D5" w:rsidP="004921D5">
            <w:pPr>
              <w:spacing w:before="240"/>
              <w:rPr>
                <w:sz w:val="20"/>
                <w:szCs w:val="20"/>
              </w:rPr>
            </w:pPr>
            <w:r w:rsidRPr="00316577">
              <w:rPr>
                <w:sz w:val="20"/>
                <w:szCs w:val="20"/>
              </w:rPr>
              <w:t xml:space="preserve">Leslie W, Morin S, Majumdar S </w:t>
            </w:r>
            <w:r w:rsidRPr="004921D5">
              <w:rPr>
                <w:sz w:val="20"/>
                <w:szCs w:val="20"/>
              </w:rPr>
              <w:t>et al (2016) Net reclassification</w:t>
            </w:r>
            <w:r w:rsidRPr="00316577">
              <w:rPr>
                <w:sz w:val="20"/>
                <w:szCs w:val="20"/>
              </w:rPr>
              <w:t xml:space="preserve"> Improvement with FRAX versus a simpler risk assessment system: More is more. J Bone Miner Res 30: S103 (</w:t>
            </w:r>
            <w:r w:rsidRPr="00316577">
              <w:rPr>
                <w:sz w:val="20"/>
                <w:szCs w:val="20"/>
                <w:highlight w:val="yellow"/>
              </w:rPr>
              <w:t xml:space="preserve">Paper </w:t>
            </w:r>
            <w:r>
              <w:rPr>
                <w:sz w:val="20"/>
                <w:szCs w:val="20"/>
                <w:highlight w:val="yellow"/>
              </w:rPr>
              <w:t>accepted</w:t>
            </w:r>
            <w:r w:rsidRPr="00316577">
              <w:rPr>
                <w:sz w:val="20"/>
                <w:szCs w:val="20"/>
                <w:highlight w:val="yellow"/>
              </w:rPr>
              <w:t xml:space="preserve"> OI, Feb 2016</w:t>
            </w:r>
            <w:r w:rsidRPr="00316577">
              <w:rPr>
                <w:sz w:val="20"/>
                <w:szCs w:val="20"/>
              </w:rPr>
              <w:t>)</w:t>
            </w:r>
          </w:p>
        </w:tc>
      </w:tr>
      <w:tr w:rsidR="004921D5" w:rsidRPr="00316577" w14:paraId="548F6696" w14:textId="77777777" w:rsidTr="00316577">
        <w:tc>
          <w:tcPr>
            <w:tcW w:w="704" w:type="dxa"/>
          </w:tcPr>
          <w:p w14:paraId="7DBAD9F1" w14:textId="77777777" w:rsidR="004921D5" w:rsidRPr="00316577" w:rsidRDefault="004921D5" w:rsidP="004921D5">
            <w:pPr>
              <w:autoSpaceDE w:val="0"/>
              <w:autoSpaceDN w:val="0"/>
              <w:adjustRightInd w:val="0"/>
              <w:spacing w:before="240"/>
              <w:rPr>
                <w:sz w:val="20"/>
                <w:szCs w:val="20"/>
              </w:rPr>
            </w:pPr>
            <w:r w:rsidRPr="00316577">
              <w:rPr>
                <w:sz w:val="20"/>
                <w:szCs w:val="20"/>
              </w:rPr>
              <w:t xml:space="preserve">218. </w:t>
            </w:r>
          </w:p>
        </w:tc>
        <w:tc>
          <w:tcPr>
            <w:tcW w:w="7745" w:type="dxa"/>
          </w:tcPr>
          <w:p w14:paraId="0447E100" w14:textId="77777777" w:rsidR="004921D5" w:rsidRPr="00316577" w:rsidRDefault="004921D5" w:rsidP="004921D5">
            <w:pPr>
              <w:autoSpaceDE w:val="0"/>
              <w:autoSpaceDN w:val="0"/>
              <w:adjustRightInd w:val="0"/>
              <w:spacing w:before="240"/>
              <w:rPr>
                <w:sz w:val="20"/>
                <w:szCs w:val="20"/>
              </w:rPr>
            </w:pPr>
            <w:r w:rsidRPr="00316577">
              <w:rPr>
                <w:sz w:val="20"/>
                <w:szCs w:val="20"/>
              </w:rPr>
              <w:t xml:space="preserve">Kanis JA, Johansson H, Odén A, McCloskey EV (2012) The distribution of FRAX® based probabilities in women from Japan.  J Bone Miner </w:t>
            </w:r>
            <w:proofErr w:type="spellStart"/>
            <w:r w:rsidRPr="00316577">
              <w:rPr>
                <w:sz w:val="20"/>
                <w:szCs w:val="20"/>
              </w:rPr>
              <w:t>Metab</w:t>
            </w:r>
            <w:proofErr w:type="spellEnd"/>
            <w:r w:rsidRPr="00316577">
              <w:rPr>
                <w:sz w:val="20"/>
                <w:szCs w:val="20"/>
              </w:rPr>
              <w:t xml:space="preserve"> 30: 700-5. </w:t>
            </w:r>
          </w:p>
        </w:tc>
      </w:tr>
      <w:tr w:rsidR="004921D5" w:rsidRPr="00316577" w14:paraId="460E6338" w14:textId="77777777" w:rsidTr="00316577">
        <w:tc>
          <w:tcPr>
            <w:tcW w:w="704" w:type="dxa"/>
            <w:shd w:val="clear" w:color="auto" w:fill="auto"/>
          </w:tcPr>
          <w:p w14:paraId="1C5F5B11" w14:textId="77777777" w:rsidR="004921D5" w:rsidRPr="00316577" w:rsidRDefault="004921D5" w:rsidP="004921D5">
            <w:pPr>
              <w:spacing w:before="240"/>
              <w:rPr>
                <w:sz w:val="20"/>
                <w:szCs w:val="20"/>
              </w:rPr>
            </w:pPr>
            <w:r w:rsidRPr="00316577">
              <w:rPr>
                <w:sz w:val="20"/>
                <w:szCs w:val="20"/>
              </w:rPr>
              <w:t>219.</w:t>
            </w:r>
          </w:p>
        </w:tc>
        <w:tc>
          <w:tcPr>
            <w:tcW w:w="7745" w:type="dxa"/>
          </w:tcPr>
          <w:p w14:paraId="11355519" w14:textId="77777777" w:rsidR="004921D5" w:rsidRPr="00316577" w:rsidRDefault="004921D5" w:rsidP="004921D5">
            <w:pPr>
              <w:spacing w:before="240"/>
              <w:rPr>
                <w:sz w:val="20"/>
                <w:szCs w:val="20"/>
              </w:rPr>
            </w:pPr>
            <w:r w:rsidRPr="00316577">
              <w:rPr>
                <w:sz w:val="20"/>
                <w:szCs w:val="20"/>
              </w:rPr>
              <w:t xml:space="preserve">Borgstrom F, Johnell O, Kanis JA, et al (2006) At what hip fracture risk is it cost-effective to treat? International Intervention thresholds for the treatment of osteoporosis. Osteoporos </w:t>
            </w:r>
            <w:proofErr w:type="spellStart"/>
            <w:r w:rsidRPr="00316577">
              <w:rPr>
                <w:sz w:val="20"/>
                <w:szCs w:val="20"/>
              </w:rPr>
              <w:t>Int</w:t>
            </w:r>
            <w:proofErr w:type="spellEnd"/>
            <w:r w:rsidRPr="00316577">
              <w:rPr>
                <w:sz w:val="20"/>
                <w:szCs w:val="20"/>
              </w:rPr>
              <w:t xml:space="preserve"> 17:1459–71.</w:t>
            </w:r>
          </w:p>
        </w:tc>
      </w:tr>
      <w:tr w:rsidR="004921D5" w:rsidRPr="00316577" w14:paraId="29E70FC6" w14:textId="77777777" w:rsidTr="00316577">
        <w:tc>
          <w:tcPr>
            <w:tcW w:w="704" w:type="dxa"/>
            <w:shd w:val="clear" w:color="auto" w:fill="auto"/>
          </w:tcPr>
          <w:p w14:paraId="31012B98" w14:textId="77777777" w:rsidR="004921D5" w:rsidRPr="00316577" w:rsidRDefault="004921D5" w:rsidP="004921D5">
            <w:pPr>
              <w:spacing w:before="240"/>
              <w:rPr>
                <w:sz w:val="20"/>
                <w:szCs w:val="20"/>
              </w:rPr>
            </w:pPr>
            <w:r w:rsidRPr="00316577">
              <w:rPr>
                <w:sz w:val="20"/>
                <w:szCs w:val="20"/>
              </w:rPr>
              <w:t>220.</w:t>
            </w:r>
          </w:p>
        </w:tc>
        <w:tc>
          <w:tcPr>
            <w:tcW w:w="7745" w:type="dxa"/>
          </w:tcPr>
          <w:p w14:paraId="14F22E4D" w14:textId="77777777" w:rsidR="004921D5" w:rsidRPr="00316577" w:rsidRDefault="004921D5" w:rsidP="004921D5">
            <w:pPr>
              <w:spacing w:before="240"/>
              <w:rPr>
                <w:sz w:val="20"/>
                <w:szCs w:val="20"/>
              </w:rPr>
            </w:pPr>
            <w:r w:rsidRPr="00316577">
              <w:rPr>
                <w:sz w:val="20"/>
                <w:szCs w:val="20"/>
              </w:rPr>
              <w:t xml:space="preserve">Oden A, McCloskey EV, Johansson H, Kanis JA (2013) Assessing the Impact of osteoporosis on the burden of hip Fractures.  </w:t>
            </w:r>
            <w:proofErr w:type="spellStart"/>
            <w:r w:rsidRPr="00316577">
              <w:rPr>
                <w:sz w:val="20"/>
                <w:szCs w:val="20"/>
              </w:rPr>
              <w:t>Calcif</w:t>
            </w:r>
            <w:proofErr w:type="spellEnd"/>
            <w:r w:rsidRPr="00316577">
              <w:rPr>
                <w:sz w:val="20"/>
                <w:szCs w:val="20"/>
              </w:rPr>
              <w:t xml:space="preserve"> Tissue </w:t>
            </w:r>
            <w:proofErr w:type="spellStart"/>
            <w:r w:rsidRPr="00316577">
              <w:rPr>
                <w:sz w:val="20"/>
                <w:szCs w:val="20"/>
              </w:rPr>
              <w:t>Int</w:t>
            </w:r>
            <w:proofErr w:type="spellEnd"/>
            <w:r w:rsidRPr="00316577">
              <w:rPr>
                <w:sz w:val="20"/>
                <w:szCs w:val="20"/>
              </w:rPr>
              <w:t xml:space="preserve"> 92:42–49.</w:t>
            </w:r>
          </w:p>
        </w:tc>
      </w:tr>
      <w:tr w:rsidR="004921D5" w:rsidRPr="00316577" w14:paraId="0059417F" w14:textId="77777777" w:rsidTr="00316577">
        <w:tc>
          <w:tcPr>
            <w:tcW w:w="704" w:type="dxa"/>
            <w:shd w:val="clear" w:color="auto" w:fill="auto"/>
          </w:tcPr>
          <w:p w14:paraId="2054E391" w14:textId="77777777" w:rsidR="004921D5" w:rsidRPr="00316577" w:rsidRDefault="004921D5" w:rsidP="004921D5">
            <w:pPr>
              <w:spacing w:before="240"/>
              <w:rPr>
                <w:sz w:val="20"/>
                <w:szCs w:val="20"/>
              </w:rPr>
            </w:pPr>
            <w:r w:rsidRPr="00316577">
              <w:rPr>
                <w:sz w:val="20"/>
                <w:szCs w:val="20"/>
              </w:rPr>
              <w:t>221.</w:t>
            </w:r>
          </w:p>
        </w:tc>
        <w:tc>
          <w:tcPr>
            <w:tcW w:w="7745" w:type="dxa"/>
          </w:tcPr>
          <w:p w14:paraId="73AAF3D6" w14:textId="77777777" w:rsidR="004921D5" w:rsidRPr="00316577" w:rsidRDefault="004921D5" w:rsidP="004921D5">
            <w:pPr>
              <w:spacing w:before="240"/>
              <w:rPr>
                <w:sz w:val="20"/>
                <w:szCs w:val="20"/>
              </w:rPr>
            </w:pPr>
            <w:r w:rsidRPr="00316577">
              <w:rPr>
                <w:sz w:val="20"/>
                <w:szCs w:val="20"/>
              </w:rPr>
              <w:t xml:space="preserve">Kanis JA, Johansson H, Oden A, Cooper C, McCloskey EV and the Epidemiology and Quality of Life Working Group of IOF (2013) Worldwide uptake of FRAX Arch Osteoporosis 8:166. DOI 10.1007/s11657-013-0166-8 </w:t>
            </w:r>
          </w:p>
        </w:tc>
      </w:tr>
      <w:tr w:rsidR="004921D5" w:rsidRPr="00316577" w14:paraId="211DDB08" w14:textId="77777777" w:rsidTr="00316577">
        <w:tc>
          <w:tcPr>
            <w:tcW w:w="704" w:type="dxa"/>
            <w:shd w:val="clear" w:color="auto" w:fill="auto"/>
          </w:tcPr>
          <w:p w14:paraId="7B325636" w14:textId="77777777" w:rsidR="004921D5" w:rsidRPr="00316577" w:rsidRDefault="004921D5" w:rsidP="004921D5">
            <w:pPr>
              <w:spacing w:before="240"/>
              <w:rPr>
                <w:sz w:val="20"/>
                <w:szCs w:val="20"/>
              </w:rPr>
            </w:pPr>
            <w:r w:rsidRPr="00316577">
              <w:rPr>
                <w:sz w:val="20"/>
                <w:szCs w:val="20"/>
              </w:rPr>
              <w:t>222.</w:t>
            </w:r>
          </w:p>
        </w:tc>
        <w:tc>
          <w:tcPr>
            <w:tcW w:w="7745" w:type="dxa"/>
          </w:tcPr>
          <w:p w14:paraId="552254D9" w14:textId="77777777" w:rsidR="004921D5" w:rsidRPr="00316577" w:rsidRDefault="004921D5" w:rsidP="004921D5">
            <w:pPr>
              <w:spacing w:before="240"/>
              <w:rPr>
                <w:sz w:val="20"/>
                <w:szCs w:val="20"/>
              </w:rPr>
            </w:pPr>
            <w:r w:rsidRPr="00316577">
              <w:rPr>
                <w:sz w:val="20"/>
                <w:szCs w:val="20"/>
              </w:rPr>
              <w:t xml:space="preserve">Crabtree NJ, </w:t>
            </w:r>
            <w:proofErr w:type="spellStart"/>
            <w:r w:rsidRPr="00316577">
              <w:rPr>
                <w:sz w:val="20"/>
                <w:szCs w:val="20"/>
              </w:rPr>
              <w:t>Bebbington</w:t>
            </w:r>
            <w:proofErr w:type="spellEnd"/>
            <w:r w:rsidRPr="00316577">
              <w:rPr>
                <w:sz w:val="20"/>
                <w:szCs w:val="20"/>
              </w:rPr>
              <w:t xml:space="preserve"> NA, Chapman DM, et al (2010) Impact of UK National Guidelines based on FRAX(R)--comparison with current clinical practice. </w:t>
            </w:r>
            <w:proofErr w:type="spellStart"/>
            <w:r w:rsidRPr="00316577">
              <w:rPr>
                <w:sz w:val="20"/>
                <w:szCs w:val="20"/>
              </w:rPr>
              <w:t>Clin</w:t>
            </w:r>
            <w:proofErr w:type="spellEnd"/>
            <w:r w:rsidRPr="00316577">
              <w:rPr>
                <w:sz w:val="20"/>
                <w:szCs w:val="20"/>
              </w:rPr>
              <w:t xml:space="preserve"> </w:t>
            </w:r>
            <w:proofErr w:type="spellStart"/>
            <w:r w:rsidRPr="00316577">
              <w:rPr>
                <w:sz w:val="20"/>
                <w:szCs w:val="20"/>
              </w:rPr>
              <w:t>Endocrinol</w:t>
            </w:r>
            <w:proofErr w:type="spellEnd"/>
            <w:r w:rsidRPr="00316577">
              <w:rPr>
                <w:sz w:val="20"/>
                <w:szCs w:val="20"/>
              </w:rPr>
              <w:t xml:space="preserve"> 73: 452-6.</w:t>
            </w:r>
          </w:p>
        </w:tc>
      </w:tr>
      <w:tr w:rsidR="004921D5" w:rsidRPr="00316577" w14:paraId="68351446" w14:textId="77777777" w:rsidTr="00316577">
        <w:tc>
          <w:tcPr>
            <w:tcW w:w="704" w:type="dxa"/>
            <w:shd w:val="clear" w:color="auto" w:fill="auto"/>
          </w:tcPr>
          <w:p w14:paraId="11687F5A" w14:textId="77777777" w:rsidR="004921D5" w:rsidRPr="00316577" w:rsidRDefault="004921D5" w:rsidP="004921D5">
            <w:pPr>
              <w:spacing w:before="240"/>
              <w:rPr>
                <w:sz w:val="20"/>
                <w:szCs w:val="20"/>
              </w:rPr>
            </w:pPr>
            <w:r w:rsidRPr="00316577">
              <w:rPr>
                <w:sz w:val="20"/>
                <w:szCs w:val="20"/>
              </w:rPr>
              <w:t>223.</w:t>
            </w:r>
          </w:p>
        </w:tc>
        <w:tc>
          <w:tcPr>
            <w:tcW w:w="7745" w:type="dxa"/>
          </w:tcPr>
          <w:p w14:paraId="70EA5112" w14:textId="398DDAA4" w:rsidR="004921D5" w:rsidRPr="00316577" w:rsidRDefault="004921D5" w:rsidP="004921D5">
            <w:pPr>
              <w:spacing w:before="240"/>
              <w:rPr>
                <w:sz w:val="20"/>
                <w:szCs w:val="20"/>
              </w:rPr>
            </w:pPr>
            <w:r w:rsidRPr="00316577">
              <w:rPr>
                <w:sz w:val="20"/>
                <w:szCs w:val="20"/>
              </w:rPr>
              <w:t xml:space="preserve">McCloskey EV, Johansson H, Harvey NC, Compston J, Kanis JA </w:t>
            </w:r>
            <w:r w:rsidRPr="00FA72C0">
              <w:rPr>
                <w:sz w:val="20"/>
                <w:szCs w:val="20"/>
                <w:highlight w:val="yellow"/>
              </w:rPr>
              <w:t>(2015</w:t>
            </w:r>
            <w:r w:rsidRPr="00316577">
              <w:rPr>
                <w:sz w:val="20"/>
                <w:szCs w:val="20"/>
              </w:rPr>
              <w:t>) Online linkage of FRAX fracture risk assessment to management guidance is used by clinical practitioners. An analysis of access to National Osteoporosis Guideline Group Guidance in the UK (July 2013-June2014). Journal of Bone and Mineral Research 30: S290-</w:t>
            </w:r>
            <w:r w:rsidRPr="00316577">
              <w:rPr>
                <w:sz w:val="20"/>
                <w:szCs w:val="20"/>
                <w:highlight w:val="yellow"/>
              </w:rPr>
              <w:t xml:space="preserve">291 Submitted </w:t>
            </w:r>
            <w:r>
              <w:rPr>
                <w:sz w:val="20"/>
                <w:szCs w:val="20"/>
                <w:highlight w:val="yellow"/>
              </w:rPr>
              <w:t xml:space="preserve">OI </w:t>
            </w:r>
            <w:r w:rsidRPr="00316577">
              <w:rPr>
                <w:sz w:val="20"/>
                <w:szCs w:val="20"/>
                <w:highlight w:val="yellow"/>
              </w:rPr>
              <w:t>under review</w:t>
            </w:r>
          </w:p>
        </w:tc>
      </w:tr>
      <w:tr w:rsidR="004921D5" w:rsidRPr="00316577" w14:paraId="558E2F11" w14:textId="77777777" w:rsidTr="00316577">
        <w:tc>
          <w:tcPr>
            <w:tcW w:w="704" w:type="dxa"/>
            <w:shd w:val="clear" w:color="auto" w:fill="auto"/>
          </w:tcPr>
          <w:p w14:paraId="5757C1A2" w14:textId="77777777" w:rsidR="004921D5" w:rsidRPr="00316577" w:rsidRDefault="004921D5" w:rsidP="004921D5">
            <w:pPr>
              <w:spacing w:before="240"/>
              <w:rPr>
                <w:sz w:val="20"/>
                <w:szCs w:val="20"/>
              </w:rPr>
            </w:pPr>
            <w:r w:rsidRPr="00316577">
              <w:rPr>
                <w:sz w:val="20"/>
                <w:szCs w:val="20"/>
              </w:rPr>
              <w:t>224.</w:t>
            </w:r>
          </w:p>
        </w:tc>
        <w:tc>
          <w:tcPr>
            <w:tcW w:w="7745" w:type="dxa"/>
          </w:tcPr>
          <w:p w14:paraId="5CAC3586" w14:textId="77777777" w:rsidR="004921D5" w:rsidRPr="00316577" w:rsidRDefault="004921D5" w:rsidP="004921D5">
            <w:pPr>
              <w:spacing w:before="240"/>
              <w:rPr>
                <w:sz w:val="20"/>
                <w:szCs w:val="20"/>
              </w:rPr>
            </w:pPr>
            <w:proofErr w:type="spellStart"/>
            <w:r w:rsidRPr="00316577">
              <w:rPr>
                <w:sz w:val="20"/>
                <w:szCs w:val="20"/>
              </w:rPr>
              <w:t>Kayan</w:t>
            </w:r>
            <w:proofErr w:type="spellEnd"/>
            <w:r w:rsidRPr="00316577">
              <w:rPr>
                <w:sz w:val="20"/>
                <w:szCs w:val="20"/>
              </w:rPr>
              <w:t xml:space="preserve"> K, Johansson H, Oden A et al (2009) Can fall risk be incorporated into fracture risk assessment algorithms: a pilot study of responsiveness to clodronate. Osteoporos </w:t>
            </w:r>
            <w:proofErr w:type="spellStart"/>
            <w:r w:rsidRPr="00316577">
              <w:rPr>
                <w:sz w:val="20"/>
                <w:szCs w:val="20"/>
              </w:rPr>
              <w:t>Int</w:t>
            </w:r>
            <w:proofErr w:type="spellEnd"/>
            <w:r w:rsidRPr="00316577">
              <w:rPr>
                <w:sz w:val="20"/>
                <w:szCs w:val="20"/>
              </w:rPr>
              <w:t xml:space="preserve"> 20:2055–2061</w:t>
            </w:r>
          </w:p>
        </w:tc>
      </w:tr>
      <w:tr w:rsidR="004921D5" w:rsidRPr="00316577" w14:paraId="69E92FFB" w14:textId="77777777" w:rsidTr="00316577">
        <w:tc>
          <w:tcPr>
            <w:tcW w:w="704" w:type="dxa"/>
            <w:shd w:val="clear" w:color="auto" w:fill="auto"/>
          </w:tcPr>
          <w:p w14:paraId="4AB093C4" w14:textId="77777777" w:rsidR="004921D5" w:rsidRPr="00316577" w:rsidRDefault="004921D5" w:rsidP="004921D5">
            <w:pPr>
              <w:spacing w:before="240"/>
              <w:rPr>
                <w:sz w:val="20"/>
                <w:szCs w:val="20"/>
                <w:lang w:val="en-US"/>
              </w:rPr>
            </w:pPr>
            <w:r w:rsidRPr="00316577">
              <w:rPr>
                <w:sz w:val="20"/>
                <w:szCs w:val="20"/>
                <w:lang w:val="en-US"/>
              </w:rPr>
              <w:t>225.</w:t>
            </w:r>
          </w:p>
        </w:tc>
        <w:tc>
          <w:tcPr>
            <w:tcW w:w="7745" w:type="dxa"/>
          </w:tcPr>
          <w:p w14:paraId="732191F4" w14:textId="77777777" w:rsidR="004921D5" w:rsidRPr="00316577" w:rsidRDefault="004921D5" w:rsidP="004921D5">
            <w:pPr>
              <w:spacing w:before="240"/>
              <w:rPr>
                <w:sz w:val="20"/>
                <w:szCs w:val="20"/>
                <w:lang w:val="en-US"/>
              </w:rPr>
            </w:pPr>
            <w:r w:rsidRPr="00316577">
              <w:rPr>
                <w:sz w:val="20"/>
                <w:szCs w:val="20"/>
                <w:lang w:val="en-US"/>
              </w:rPr>
              <w:t xml:space="preserve">McClung MR, </w:t>
            </w:r>
            <w:proofErr w:type="spellStart"/>
            <w:r w:rsidRPr="00316577">
              <w:rPr>
                <w:sz w:val="20"/>
                <w:szCs w:val="20"/>
                <w:lang w:val="en-US"/>
              </w:rPr>
              <w:t>Geusens</w:t>
            </w:r>
            <w:proofErr w:type="spellEnd"/>
            <w:r w:rsidRPr="00316577">
              <w:rPr>
                <w:sz w:val="20"/>
                <w:szCs w:val="20"/>
                <w:lang w:val="en-US"/>
              </w:rPr>
              <w:t xml:space="preserve">, P, Miller, PD et al (2001) Effect of risedronate on the risk of hip fracture in elderly women. Hip Intervention Program Study Group. N </w:t>
            </w:r>
            <w:proofErr w:type="spellStart"/>
            <w:r w:rsidRPr="00316577">
              <w:rPr>
                <w:sz w:val="20"/>
                <w:szCs w:val="20"/>
                <w:lang w:val="en-US"/>
              </w:rPr>
              <w:t>Engl</w:t>
            </w:r>
            <w:proofErr w:type="spellEnd"/>
            <w:r w:rsidRPr="00316577">
              <w:rPr>
                <w:sz w:val="20"/>
                <w:szCs w:val="20"/>
                <w:lang w:val="en-US"/>
              </w:rPr>
              <w:t xml:space="preserve"> J Med 344:333-340</w:t>
            </w:r>
          </w:p>
        </w:tc>
      </w:tr>
      <w:tr w:rsidR="004921D5" w:rsidRPr="00316577" w14:paraId="337B0F17" w14:textId="77777777" w:rsidTr="00316577">
        <w:tc>
          <w:tcPr>
            <w:tcW w:w="704" w:type="dxa"/>
            <w:shd w:val="clear" w:color="auto" w:fill="auto"/>
          </w:tcPr>
          <w:p w14:paraId="31E29138" w14:textId="77777777" w:rsidR="004921D5" w:rsidRPr="00316577" w:rsidRDefault="004921D5" w:rsidP="004921D5">
            <w:pPr>
              <w:autoSpaceDE w:val="0"/>
              <w:autoSpaceDN w:val="0"/>
              <w:adjustRightInd w:val="0"/>
              <w:spacing w:before="240"/>
              <w:rPr>
                <w:sz w:val="20"/>
                <w:szCs w:val="20"/>
              </w:rPr>
            </w:pPr>
            <w:r w:rsidRPr="00316577">
              <w:rPr>
                <w:sz w:val="20"/>
                <w:szCs w:val="20"/>
              </w:rPr>
              <w:t>226.</w:t>
            </w:r>
          </w:p>
        </w:tc>
        <w:tc>
          <w:tcPr>
            <w:tcW w:w="7745" w:type="dxa"/>
          </w:tcPr>
          <w:p w14:paraId="5BE9CD6F" w14:textId="77777777" w:rsidR="004921D5" w:rsidRPr="00316577" w:rsidRDefault="004921D5" w:rsidP="004921D5">
            <w:pPr>
              <w:autoSpaceDE w:val="0"/>
              <w:autoSpaceDN w:val="0"/>
              <w:adjustRightInd w:val="0"/>
              <w:spacing w:before="240"/>
              <w:rPr>
                <w:sz w:val="20"/>
                <w:szCs w:val="20"/>
              </w:rPr>
            </w:pPr>
            <w:r w:rsidRPr="00316577">
              <w:rPr>
                <w:sz w:val="20"/>
                <w:szCs w:val="20"/>
              </w:rPr>
              <w:t xml:space="preserve">Harvey NC, Johansson H, Odén A et al (2016) FRAX predicts incident falls in elderly men. Findings from </w:t>
            </w:r>
            <w:proofErr w:type="spellStart"/>
            <w:r w:rsidRPr="00316577">
              <w:rPr>
                <w:sz w:val="20"/>
                <w:szCs w:val="20"/>
              </w:rPr>
              <w:t>MrOs</w:t>
            </w:r>
            <w:proofErr w:type="spellEnd"/>
            <w:r w:rsidRPr="00316577">
              <w:rPr>
                <w:sz w:val="20"/>
                <w:szCs w:val="20"/>
              </w:rPr>
              <w:t xml:space="preserve"> Sweden. Osteoporos </w:t>
            </w:r>
            <w:proofErr w:type="spellStart"/>
            <w:r w:rsidRPr="00316577">
              <w:rPr>
                <w:sz w:val="20"/>
                <w:szCs w:val="20"/>
              </w:rPr>
              <w:t>Int</w:t>
            </w:r>
            <w:proofErr w:type="spellEnd"/>
            <w:r w:rsidRPr="00316577">
              <w:rPr>
                <w:sz w:val="20"/>
                <w:szCs w:val="20"/>
              </w:rPr>
              <w:t xml:space="preserve"> 27: 267-274.  </w:t>
            </w:r>
          </w:p>
        </w:tc>
      </w:tr>
      <w:tr w:rsidR="004921D5" w:rsidRPr="00316577" w14:paraId="65DF3B93" w14:textId="77777777" w:rsidTr="00316577">
        <w:tc>
          <w:tcPr>
            <w:tcW w:w="704" w:type="dxa"/>
            <w:shd w:val="clear" w:color="auto" w:fill="auto"/>
          </w:tcPr>
          <w:p w14:paraId="12FEB130" w14:textId="77777777" w:rsidR="004921D5" w:rsidRPr="00316577" w:rsidRDefault="004921D5" w:rsidP="004921D5">
            <w:pPr>
              <w:spacing w:before="240"/>
              <w:rPr>
                <w:sz w:val="20"/>
                <w:szCs w:val="20"/>
              </w:rPr>
            </w:pPr>
            <w:r w:rsidRPr="00316577">
              <w:rPr>
                <w:sz w:val="20"/>
                <w:szCs w:val="20"/>
              </w:rPr>
              <w:t>227.</w:t>
            </w:r>
          </w:p>
        </w:tc>
        <w:tc>
          <w:tcPr>
            <w:tcW w:w="7745" w:type="dxa"/>
          </w:tcPr>
          <w:p w14:paraId="4FE02B05" w14:textId="77777777" w:rsidR="004921D5" w:rsidRPr="00316577" w:rsidRDefault="004921D5" w:rsidP="004921D5">
            <w:pPr>
              <w:spacing w:before="240"/>
              <w:rPr>
                <w:sz w:val="20"/>
                <w:szCs w:val="20"/>
              </w:rPr>
            </w:pPr>
            <w:r w:rsidRPr="00316577">
              <w:rPr>
                <w:sz w:val="20"/>
                <w:szCs w:val="20"/>
              </w:rPr>
              <w:t xml:space="preserve">Johansson J, Harvey N, Odén’ A et al (2015) The predictive value of falls history for incident fracture decreases with time: </w:t>
            </w:r>
            <w:proofErr w:type="spellStart"/>
            <w:r w:rsidRPr="00316577">
              <w:rPr>
                <w:sz w:val="20"/>
                <w:szCs w:val="20"/>
              </w:rPr>
              <w:t>MrOs</w:t>
            </w:r>
            <w:proofErr w:type="spellEnd"/>
            <w:r w:rsidRPr="00316577">
              <w:rPr>
                <w:sz w:val="20"/>
                <w:szCs w:val="20"/>
              </w:rPr>
              <w:t xml:space="preserve"> Sweden. </w:t>
            </w:r>
            <w:proofErr w:type="spellStart"/>
            <w:r w:rsidRPr="00316577">
              <w:rPr>
                <w:sz w:val="20"/>
                <w:szCs w:val="20"/>
              </w:rPr>
              <w:t>Jf</w:t>
            </w:r>
            <w:proofErr w:type="spellEnd"/>
            <w:r w:rsidRPr="00316577">
              <w:rPr>
                <w:sz w:val="20"/>
                <w:szCs w:val="20"/>
              </w:rPr>
              <w:t xml:space="preserve"> Bone Miner Res 30: S424</w:t>
            </w:r>
          </w:p>
        </w:tc>
      </w:tr>
      <w:tr w:rsidR="004921D5" w:rsidRPr="00316577" w14:paraId="4AE4CECA" w14:textId="77777777" w:rsidTr="00316577">
        <w:tc>
          <w:tcPr>
            <w:tcW w:w="704" w:type="dxa"/>
            <w:shd w:val="clear" w:color="auto" w:fill="auto"/>
          </w:tcPr>
          <w:p w14:paraId="3FFD71A9" w14:textId="77777777" w:rsidR="004921D5" w:rsidRPr="00316577" w:rsidRDefault="004921D5" w:rsidP="004921D5">
            <w:pPr>
              <w:spacing w:before="240"/>
              <w:rPr>
                <w:sz w:val="20"/>
                <w:szCs w:val="20"/>
              </w:rPr>
            </w:pPr>
            <w:r w:rsidRPr="00316577">
              <w:rPr>
                <w:sz w:val="20"/>
                <w:szCs w:val="20"/>
              </w:rPr>
              <w:t>228.</w:t>
            </w:r>
          </w:p>
        </w:tc>
        <w:tc>
          <w:tcPr>
            <w:tcW w:w="7745" w:type="dxa"/>
          </w:tcPr>
          <w:p w14:paraId="78FE3283" w14:textId="77777777" w:rsidR="004921D5" w:rsidRPr="00316577" w:rsidRDefault="004921D5" w:rsidP="004921D5">
            <w:pPr>
              <w:spacing w:before="240"/>
              <w:rPr>
                <w:sz w:val="20"/>
                <w:szCs w:val="20"/>
              </w:rPr>
            </w:pPr>
            <w:proofErr w:type="spellStart"/>
            <w:r w:rsidRPr="00316577">
              <w:rPr>
                <w:sz w:val="20"/>
                <w:szCs w:val="20"/>
              </w:rPr>
              <w:t>Cauley</w:t>
            </w:r>
            <w:proofErr w:type="spellEnd"/>
            <w:r w:rsidRPr="00316577">
              <w:rPr>
                <w:sz w:val="20"/>
                <w:szCs w:val="20"/>
              </w:rPr>
              <w:t xml:space="preserve"> JA, El-Hajj </w:t>
            </w:r>
            <w:proofErr w:type="spellStart"/>
            <w:r w:rsidRPr="00316577">
              <w:rPr>
                <w:sz w:val="20"/>
                <w:szCs w:val="20"/>
              </w:rPr>
              <w:t>Fuleihan</w:t>
            </w:r>
            <w:proofErr w:type="spellEnd"/>
            <w:r w:rsidRPr="00316577">
              <w:rPr>
                <w:sz w:val="20"/>
                <w:szCs w:val="20"/>
              </w:rPr>
              <w:t xml:space="preserve"> G, </w:t>
            </w:r>
            <w:proofErr w:type="spellStart"/>
            <w:r w:rsidRPr="00316577">
              <w:rPr>
                <w:sz w:val="20"/>
                <w:szCs w:val="20"/>
              </w:rPr>
              <w:t>Luckey</w:t>
            </w:r>
            <w:proofErr w:type="spellEnd"/>
            <w:r w:rsidRPr="00316577">
              <w:rPr>
                <w:sz w:val="20"/>
                <w:szCs w:val="20"/>
              </w:rPr>
              <w:t xml:space="preserve"> MM; FRAX® Position Development Conference Members (2011). Official positions for FRAX clinical regarding international differences. FRAX® International Task Force of the 2010 Joint International Society for Clinical Densitometry &amp; International Osteoporosis Foundation Position Development Conference. J </w:t>
            </w:r>
            <w:proofErr w:type="spellStart"/>
            <w:r w:rsidRPr="00316577">
              <w:rPr>
                <w:sz w:val="20"/>
                <w:szCs w:val="20"/>
              </w:rPr>
              <w:t>Clin</w:t>
            </w:r>
            <w:proofErr w:type="spellEnd"/>
            <w:r w:rsidRPr="00316577">
              <w:rPr>
                <w:sz w:val="20"/>
                <w:szCs w:val="20"/>
              </w:rPr>
              <w:t xml:space="preserve"> </w:t>
            </w:r>
            <w:proofErr w:type="spellStart"/>
            <w:r w:rsidRPr="00316577">
              <w:rPr>
                <w:sz w:val="20"/>
                <w:szCs w:val="20"/>
              </w:rPr>
              <w:t>Densitom</w:t>
            </w:r>
            <w:proofErr w:type="spellEnd"/>
            <w:r w:rsidRPr="00316577">
              <w:rPr>
                <w:sz w:val="20"/>
                <w:szCs w:val="20"/>
              </w:rPr>
              <w:t xml:space="preserve"> 14: 237-9.</w:t>
            </w:r>
          </w:p>
        </w:tc>
      </w:tr>
      <w:tr w:rsidR="004921D5" w:rsidRPr="00316577" w14:paraId="7A5FC090" w14:textId="77777777" w:rsidTr="00316577">
        <w:tc>
          <w:tcPr>
            <w:tcW w:w="704" w:type="dxa"/>
            <w:shd w:val="clear" w:color="auto" w:fill="auto"/>
          </w:tcPr>
          <w:p w14:paraId="46DDF752" w14:textId="77777777" w:rsidR="004921D5" w:rsidRPr="00316577" w:rsidRDefault="004921D5" w:rsidP="004921D5">
            <w:pPr>
              <w:spacing w:before="240"/>
              <w:rPr>
                <w:sz w:val="20"/>
                <w:szCs w:val="20"/>
              </w:rPr>
            </w:pPr>
            <w:r w:rsidRPr="00316577">
              <w:rPr>
                <w:sz w:val="20"/>
                <w:szCs w:val="20"/>
              </w:rPr>
              <w:t>229.</w:t>
            </w:r>
          </w:p>
        </w:tc>
        <w:tc>
          <w:tcPr>
            <w:tcW w:w="7745" w:type="dxa"/>
          </w:tcPr>
          <w:p w14:paraId="4C65D9C2" w14:textId="77777777" w:rsidR="004921D5" w:rsidRPr="00316577" w:rsidRDefault="004921D5" w:rsidP="004921D5">
            <w:pPr>
              <w:spacing w:before="240"/>
              <w:rPr>
                <w:sz w:val="20"/>
                <w:szCs w:val="20"/>
              </w:rPr>
            </w:pPr>
            <w:r w:rsidRPr="00316577">
              <w:rPr>
                <w:sz w:val="20"/>
                <w:szCs w:val="20"/>
              </w:rPr>
              <w:t xml:space="preserve">van den Bergh JP, van </w:t>
            </w:r>
            <w:proofErr w:type="spellStart"/>
            <w:r w:rsidRPr="00316577">
              <w:rPr>
                <w:sz w:val="20"/>
                <w:szCs w:val="20"/>
              </w:rPr>
              <w:t>Geel</w:t>
            </w:r>
            <w:proofErr w:type="spellEnd"/>
            <w:r w:rsidRPr="00316577">
              <w:rPr>
                <w:sz w:val="20"/>
                <w:szCs w:val="20"/>
              </w:rPr>
              <w:t xml:space="preserve"> TA, </w:t>
            </w:r>
            <w:proofErr w:type="spellStart"/>
            <w:r w:rsidRPr="00316577">
              <w:rPr>
                <w:sz w:val="20"/>
                <w:szCs w:val="20"/>
              </w:rPr>
              <w:t>Lems</w:t>
            </w:r>
            <w:proofErr w:type="spellEnd"/>
            <w:r w:rsidRPr="00316577">
              <w:rPr>
                <w:sz w:val="20"/>
                <w:szCs w:val="20"/>
              </w:rPr>
              <w:t xml:space="preserve"> WF, </w:t>
            </w:r>
            <w:proofErr w:type="spellStart"/>
            <w:r w:rsidRPr="00316577">
              <w:rPr>
                <w:sz w:val="20"/>
                <w:szCs w:val="20"/>
              </w:rPr>
              <w:t>Geusens</w:t>
            </w:r>
            <w:proofErr w:type="spellEnd"/>
            <w:r w:rsidRPr="00316577">
              <w:rPr>
                <w:sz w:val="20"/>
                <w:szCs w:val="20"/>
              </w:rPr>
              <w:t xml:space="preserve"> PP (2010) Assessment of individual fracture risk: FRAX and beyond. </w:t>
            </w:r>
            <w:proofErr w:type="spellStart"/>
            <w:r w:rsidRPr="00316577">
              <w:rPr>
                <w:sz w:val="20"/>
                <w:szCs w:val="20"/>
              </w:rPr>
              <w:t>Curr</w:t>
            </w:r>
            <w:proofErr w:type="spellEnd"/>
            <w:r w:rsidRPr="00316577">
              <w:rPr>
                <w:sz w:val="20"/>
                <w:szCs w:val="20"/>
              </w:rPr>
              <w:t xml:space="preserve"> Osteoporos Rep. 2010 Sep;8(3):131-7.</w:t>
            </w:r>
          </w:p>
        </w:tc>
      </w:tr>
      <w:tr w:rsidR="004921D5" w:rsidRPr="00316577" w14:paraId="09DB2828" w14:textId="77777777" w:rsidTr="00316577">
        <w:tc>
          <w:tcPr>
            <w:tcW w:w="704" w:type="dxa"/>
            <w:shd w:val="clear" w:color="auto" w:fill="auto"/>
          </w:tcPr>
          <w:p w14:paraId="466B5364" w14:textId="77777777" w:rsidR="004921D5" w:rsidRPr="00316577" w:rsidRDefault="004921D5" w:rsidP="004921D5">
            <w:pPr>
              <w:spacing w:before="240"/>
              <w:rPr>
                <w:sz w:val="20"/>
                <w:szCs w:val="20"/>
                <w:lang w:val="fr-FR"/>
              </w:rPr>
            </w:pPr>
            <w:r w:rsidRPr="00316577">
              <w:rPr>
                <w:sz w:val="20"/>
                <w:szCs w:val="20"/>
                <w:lang w:val="fr-FR"/>
              </w:rPr>
              <w:lastRenderedPageBreak/>
              <w:t>230.</w:t>
            </w:r>
          </w:p>
        </w:tc>
        <w:tc>
          <w:tcPr>
            <w:tcW w:w="7745" w:type="dxa"/>
          </w:tcPr>
          <w:p w14:paraId="1E6AFF91" w14:textId="77777777" w:rsidR="004921D5" w:rsidRPr="00316577" w:rsidRDefault="004921D5" w:rsidP="004921D5">
            <w:pPr>
              <w:spacing w:before="240"/>
              <w:rPr>
                <w:sz w:val="20"/>
                <w:szCs w:val="20"/>
              </w:rPr>
            </w:pPr>
            <w:r w:rsidRPr="00316577">
              <w:rPr>
                <w:sz w:val="20"/>
                <w:szCs w:val="20"/>
                <w:lang w:val="fr-FR"/>
              </w:rPr>
              <w:t xml:space="preserve">Leslie WD, Majumdar SR, Lix LM et al (2012). </w:t>
            </w:r>
            <w:r w:rsidRPr="00316577">
              <w:rPr>
                <w:sz w:val="20"/>
                <w:szCs w:val="20"/>
              </w:rPr>
              <w:t>High fracture probability with FRAX usually indicates densitometric osteoporosis: implications for clinical practice. Osteoporos Int. 23: 391–397</w:t>
            </w:r>
          </w:p>
        </w:tc>
      </w:tr>
      <w:tr w:rsidR="004921D5" w:rsidRPr="00316577" w14:paraId="1884379D" w14:textId="77777777" w:rsidTr="00316577">
        <w:tc>
          <w:tcPr>
            <w:tcW w:w="704" w:type="dxa"/>
            <w:shd w:val="clear" w:color="auto" w:fill="auto"/>
          </w:tcPr>
          <w:p w14:paraId="37A04F23" w14:textId="77777777" w:rsidR="004921D5" w:rsidRPr="00316577" w:rsidRDefault="004921D5" w:rsidP="004921D5">
            <w:pPr>
              <w:spacing w:before="240"/>
              <w:rPr>
                <w:sz w:val="20"/>
                <w:szCs w:val="20"/>
              </w:rPr>
            </w:pPr>
            <w:r w:rsidRPr="00316577">
              <w:rPr>
                <w:sz w:val="20"/>
                <w:szCs w:val="20"/>
              </w:rPr>
              <w:t>231.</w:t>
            </w:r>
          </w:p>
        </w:tc>
        <w:tc>
          <w:tcPr>
            <w:tcW w:w="7745" w:type="dxa"/>
          </w:tcPr>
          <w:p w14:paraId="1C08CBEE" w14:textId="77777777" w:rsidR="004921D5" w:rsidRPr="00316577" w:rsidRDefault="004921D5" w:rsidP="004921D5">
            <w:pPr>
              <w:spacing w:before="240"/>
              <w:rPr>
                <w:sz w:val="20"/>
                <w:szCs w:val="20"/>
              </w:rPr>
            </w:pPr>
            <w:r w:rsidRPr="00316577">
              <w:rPr>
                <w:sz w:val="20"/>
                <w:szCs w:val="20"/>
              </w:rPr>
              <w:t xml:space="preserve">Leslie WD, Morin S, Lix LM et al (2012) Fracture risk assessment without bone density measurement in routine clinical practice. Osteoporos </w:t>
            </w:r>
            <w:proofErr w:type="spellStart"/>
            <w:r w:rsidRPr="00316577">
              <w:rPr>
                <w:sz w:val="20"/>
                <w:szCs w:val="20"/>
              </w:rPr>
              <w:t>Int</w:t>
            </w:r>
            <w:proofErr w:type="spellEnd"/>
            <w:r w:rsidRPr="00316577">
              <w:rPr>
                <w:sz w:val="20"/>
                <w:szCs w:val="20"/>
              </w:rPr>
              <w:t xml:space="preserve"> 23:75–85.</w:t>
            </w:r>
          </w:p>
        </w:tc>
      </w:tr>
    </w:tbl>
    <w:p w14:paraId="13E77044" w14:textId="77777777" w:rsidR="00494BFD" w:rsidRPr="00DB1D7C" w:rsidRDefault="00494BFD" w:rsidP="00510C70">
      <w:pPr>
        <w:ind w:left="567" w:hanging="567"/>
        <w:rPr>
          <w:rFonts w:ascii="Calibri" w:hAnsi="Calibri"/>
          <w:b/>
          <w:sz w:val="28"/>
          <w:szCs w:val="28"/>
        </w:rPr>
      </w:pPr>
      <w:r w:rsidRPr="00DB1D7C">
        <w:rPr>
          <w:rFonts w:ascii="Calibri" w:hAnsi="Calibri"/>
          <w:b/>
          <w:sz w:val="28"/>
          <w:szCs w:val="28"/>
        </w:rPr>
        <w:br w:type="page"/>
      </w:r>
    </w:p>
    <w:p w14:paraId="036BB646" w14:textId="0D4BE58A" w:rsidR="00494BFD" w:rsidRPr="00DB1D7C" w:rsidRDefault="00494BFD" w:rsidP="00494BFD">
      <w:pPr>
        <w:rPr>
          <w:rFonts w:ascii="Calibri" w:hAnsi="Calibri"/>
          <w:b/>
          <w:sz w:val="24"/>
          <w:szCs w:val="24"/>
        </w:rPr>
      </w:pPr>
      <w:r w:rsidRPr="00DB1D7C">
        <w:rPr>
          <w:rFonts w:ascii="Calibri" w:hAnsi="Calibri"/>
          <w:b/>
          <w:sz w:val="28"/>
          <w:szCs w:val="28"/>
        </w:rPr>
        <w:lastRenderedPageBreak/>
        <w:t xml:space="preserve">Abbreviations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9"/>
        <w:gridCol w:w="236"/>
        <w:gridCol w:w="7101"/>
      </w:tblGrid>
      <w:tr w:rsidR="00657A57" w:rsidRPr="00DB1D7C" w14:paraId="48C09154" w14:textId="77777777" w:rsidTr="00A36A1B">
        <w:tc>
          <w:tcPr>
            <w:tcW w:w="1679" w:type="dxa"/>
          </w:tcPr>
          <w:p w14:paraId="4951D1F3" w14:textId="77777777" w:rsidR="00657A57" w:rsidRPr="00DB1D7C" w:rsidRDefault="00657A57" w:rsidP="0006534F">
            <w:pPr>
              <w:rPr>
                <w:rFonts w:ascii="Calibri" w:hAnsi="Calibri"/>
                <w:sz w:val="24"/>
                <w:szCs w:val="24"/>
              </w:rPr>
            </w:pPr>
            <w:r w:rsidRPr="00DB1D7C">
              <w:rPr>
                <w:rFonts w:ascii="Calibri" w:hAnsi="Calibri"/>
                <w:sz w:val="24"/>
                <w:szCs w:val="24"/>
              </w:rPr>
              <w:t>AACE</w:t>
            </w:r>
          </w:p>
        </w:tc>
        <w:tc>
          <w:tcPr>
            <w:tcW w:w="236" w:type="dxa"/>
          </w:tcPr>
          <w:p w14:paraId="62F0445F" w14:textId="77777777" w:rsidR="00657A57" w:rsidRPr="00DB1D7C" w:rsidRDefault="00657A57" w:rsidP="0006534F">
            <w:pPr>
              <w:rPr>
                <w:rFonts w:ascii="Calibri" w:hAnsi="Calibri"/>
                <w:sz w:val="24"/>
                <w:szCs w:val="24"/>
              </w:rPr>
            </w:pPr>
          </w:p>
        </w:tc>
        <w:tc>
          <w:tcPr>
            <w:tcW w:w="7101" w:type="dxa"/>
          </w:tcPr>
          <w:p w14:paraId="367BDC56" w14:textId="77777777" w:rsidR="00657A57" w:rsidRPr="00DB1D7C" w:rsidRDefault="00657A57" w:rsidP="0006534F">
            <w:pPr>
              <w:rPr>
                <w:rFonts w:ascii="Calibri" w:hAnsi="Calibri"/>
                <w:sz w:val="24"/>
                <w:szCs w:val="24"/>
              </w:rPr>
            </w:pPr>
            <w:r w:rsidRPr="00DB1D7C">
              <w:rPr>
                <w:rFonts w:ascii="Calibri" w:hAnsi="Calibri"/>
                <w:sz w:val="24"/>
                <w:szCs w:val="24"/>
              </w:rPr>
              <w:t>American Association of Clinical Endocrinologists</w:t>
            </w:r>
          </w:p>
        </w:tc>
      </w:tr>
      <w:tr w:rsidR="00657A57" w:rsidRPr="00DB1D7C" w14:paraId="799B1BDE" w14:textId="77777777" w:rsidTr="00A36A1B">
        <w:tc>
          <w:tcPr>
            <w:tcW w:w="1679" w:type="dxa"/>
          </w:tcPr>
          <w:p w14:paraId="1E94254D" w14:textId="77777777" w:rsidR="00657A57" w:rsidRPr="00DB1D7C" w:rsidRDefault="00657A57" w:rsidP="00247F58">
            <w:pPr>
              <w:rPr>
                <w:rFonts w:ascii="Calibri" w:hAnsi="Calibri"/>
                <w:sz w:val="24"/>
                <w:szCs w:val="24"/>
              </w:rPr>
            </w:pPr>
            <w:r w:rsidRPr="00DB1D7C">
              <w:rPr>
                <w:rFonts w:ascii="Calibri" w:hAnsi="Calibri"/>
                <w:sz w:val="24"/>
                <w:szCs w:val="24"/>
              </w:rPr>
              <w:t>ACR</w:t>
            </w:r>
          </w:p>
        </w:tc>
        <w:tc>
          <w:tcPr>
            <w:tcW w:w="236" w:type="dxa"/>
          </w:tcPr>
          <w:p w14:paraId="3467B006" w14:textId="77777777" w:rsidR="00657A57" w:rsidRPr="00DB1D7C" w:rsidRDefault="00657A57" w:rsidP="00247F58">
            <w:pPr>
              <w:rPr>
                <w:rFonts w:ascii="Calibri" w:hAnsi="Calibri"/>
                <w:sz w:val="24"/>
                <w:szCs w:val="24"/>
              </w:rPr>
            </w:pPr>
          </w:p>
        </w:tc>
        <w:tc>
          <w:tcPr>
            <w:tcW w:w="7101" w:type="dxa"/>
          </w:tcPr>
          <w:p w14:paraId="08D8A0BD" w14:textId="77777777" w:rsidR="00657A57" w:rsidRPr="00DB1D7C" w:rsidRDefault="00657A57" w:rsidP="00247F58">
            <w:pPr>
              <w:rPr>
                <w:rFonts w:ascii="Calibri" w:hAnsi="Calibri"/>
                <w:sz w:val="24"/>
                <w:szCs w:val="24"/>
              </w:rPr>
            </w:pPr>
            <w:r w:rsidRPr="00DB1D7C">
              <w:rPr>
                <w:rFonts w:ascii="Calibri" w:hAnsi="Calibri"/>
                <w:sz w:val="24"/>
                <w:szCs w:val="24"/>
              </w:rPr>
              <w:t>American College of Rheumatology</w:t>
            </w:r>
          </w:p>
        </w:tc>
      </w:tr>
      <w:tr w:rsidR="00657A57" w:rsidRPr="00DB1D7C" w14:paraId="4156EE3C" w14:textId="77777777" w:rsidTr="00A36A1B">
        <w:tc>
          <w:tcPr>
            <w:tcW w:w="1679" w:type="dxa"/>
          </w:tcPr>
          <w:p w14:paraId="755C796D" w14:textId="77777777" w:rsidR="00657A57" w:rsidRPr="00DB1D7C" w:rsidRDefault="00657A57" w:rsidP="00247F58">
            <w:pPr>
              <w:rPr>
                <w:rFonts w:ascii="Calibri" w:hAnsi="Calibri"/>
                <w:sz w:val="24"/>
                <w:szCs w:val="24"/>
              </w:rPr>
            </w:pPr>
            <w:r w:rsidRPr="00DB1D7C">
              <w:rPr>
                <w:rFonts w:ascii="Calibri" w:hAnsi="Calibri"/>
                <w:sz w:val="24"/>
                <w:szCs w:val="24"/>
              </w:rPr>
              <w:t>AUC</w:t>
            </w:r>
          </w:p>
        </w:tc>
        <w:tc>
          <w:tcPr>
            <w:tcW w:w="236" w:type="dxa"/>
          </w:tcPr>
          <w:p w14:paraId="77AB33DE" w14:textId="77777777" w:rsidR="00657A57" w:rsidRPr="00DB1D7C" w:rsidRDefault="00657A57" w:rsidP="00247F58">
            <w:pPr>
              <w:rPr>
                <w:rFonts w:ascii="Calibri" w:hAnsi="Calibri"/>
                <w:sz w:val="24"/>
                <w:szCs w:val="24"/>
              </w:rPr>
            </w:pPr>
          </w:p>
        </w:tc>
        <w:tc>
          <w:tcPr>
            <w:tcW w:w="7101" w:type="dxa"/>
          </w:tcPr>
          <w:p w14:paraId="7DF1D3CA" w14:textId="1AA985A3" w:rsidR="00657A57" w:rsidRPr="00DB1D7C" w:rsidRDefault="00552C49" w:rsidP="00247F58">
            <w:pPr>
              <w:rPr>
                <w:rFonts w:ascii="Calibri" w:hAnsi="Calibri"/>
                <w:sz w:val="24"/>
                <w:szCs w:val="24"/>
              </w:rPr>
            </w:pPr>
            <w:r w:rsidRPr="00552C49">
              <w:rPr>
                <w:rFonts w:ascii="Calibri" w:hAnsi="Calibri"/>
                <w:sz w:val="24"/>
                <w:szCs w:val="24"/>
              </w:rPr>
              <w:t>Area Under the receiver operating characteristic (ROC) Curve</w:t>
            </w:r>
          </w:p>
        </w:tc>
      </w:tr>
      <w:tr w:rsidR="00657A57" w:rsidRPr="00DB1D7C" w14:paraId="745AA17A" w14:textId="77777777" w:rsidTr="00A36A1B">
        <w:tc>
          <w:tcPr>
            <w:tcW w:w="1679" w:type="dxa"/>
          </w:tcPr>
          <w:p w14:paraId="3EFE4565" w14:textId="77777777" w:rsidR="00657A57" w:rsidRPr="00DB1D7C" w:rsidRDefault="00657A57" w:rsidP="0006534F">
            <w:pPr>
              <w:rPr>
                <w:rFonts w:ascii="Calibri" w:hAnsi="Calibri"/>
                <w:sz w:val="24"/>
                <w:szCs w:val="24"/>
              </w:rPr>
            </w:pPr>
            <w:r w:rsidRPr="00DB1D7C">
              <w:rPr>
                <w:rFonts w:ascii="Calibri" w:hAnsi="Calibri"/>
                <w:sz w:val="24"/>
                <w:szCs w:val="24"/>
              </w:rPr>
              <w:t>BMD</w:t>
            </w:r>
          </w:p>
        </w:tc>
        <w:tc>
          <w:tcPr>
            <w:tcW w:w="236" w:type="dxa"/>
          </w:tcPr>
          <w:p w14:paraId="3BB9061D" w14:textId="77777777" w:rsidR="00657A57" w:rsidRPr="00DB1D7C" w:rsidRDefault="00657A57" w:rsidP="0006534F">
            <w:pPr>
              <w:rPr>
                <w:rFonts w:ascii="Calibri" w:hAnsi="Calibri"/>
                <w:sz w:val="24"/>
                <w:szCs w:val="24"/>
              </w:rPr>
            </w:pPr>
          </w:p>
        </w:tc>
        <w:tc>
          <w:tcPr>
            <w:tcW w:w="7101" w:type="dxa"/>
          </w:tcPr>
          <w:p w14:paraId="442C58E2" w14:textId="77777777" w:rsidR="00657A57" w:rsidRPr="00DB1D7C" w:rsidRDefault="00657A57" w:rsidP="0006534F">
            <w:pPr>
              <w:rPr>
                <w:rFonts w:ascii="Calibri" w:hAnsi="Calibri"/>
                <w:sz w:val="24"/>
                <w:szCs w:val="24"/>
              </w:rPr>
            </w:pPr>
            <w:r w:rsidRPr="00DB1D7C">
              <w:rPr>
                <w:rFonts w:ascii="Calibri" w:hAnsi="Calibri"/>
                <w:sz w:val="24"/>
                <w:szCs w:val="24"/>
              </w:rPr>
              <w:t>Bone mineral density</w:t>
            </w:r>
          </w:p>
        </w:tc>
      </w:tr>
      <w:tr w:rsidR="00657A57" w:rsidRPr="00DB1D7C" w14:paraId="18CBF521" w14:textId="77777777" w:rsidTr="00A36A1B">
        <w:tc>
          <w:tcPr>
            <w:tcW w:w="1679" w:type="dxa"/>
          </w:tcPr>
          <w:p w14:paraId="53F1BB2E" w14:textId="77777777" w:rsidR="00657A57" w:rsidRPr="00DB1D7C" w:rsidRDefault="00657A57" w:rsidP="00373030">
            <w:pPr>
              <w:rPr>
                <w:rFonts w:ascii="Calibri" w:hAnsi="Calibri"/>
                <w:sz w:val="24"/>
                <w:szCs w:val="24"/>
              </w:rPr>
            </w:pPr>
            <w:r w:rsidRPr="00DB1D7C">
              <w:rPr>
                <w:rFonts w:ascii="Calibri" w:hAnsi="Calibri"/>
                <w:sz w:val="24"/>
                <w:szCs w:val="24"/>
              </w:rPr>
              <w:t>BMI</w:t>
            </w:r>
          </w:p>
        </w:tc>
        <w:tc>
          <w:tcPr>
            <w:tcW w:w="236" w:type="dxa"/>
          </w:tcPr>
          <w:p w14:paraId="7BA6C945" w14:textId="77777777" w:rsidR="00657A57" w:rsidRPr="00DB1D7C" w:rsidRDefault="00657A57" w:rsidP="00247F58">
            <w:pPr>
              <w:rPr>
                <w:rFonts w:ascii="Calibri" w:hAnsi="Calibri"/>
                <w:sz w:val="24"/>
                <w:szCs w:val="24"/>
              </w:rPr>
            </w:pPr>
          </w:p>
        </w:tc>
        <w:tc>
          <w:tcPr>
            <w:tcW w:w="7101" w:type="dxa"/>
          </w:tcPr>
          <w:p w14:paraId="48845C0B" w14:textId="77777777" w:rsidR="00657A57" w:rsidRPr="00DB1D7C" w:rsidRDefault="00657A57" w:rsidP="00247F58">
            <w:pPr>
              <w:rPr>
                <w:rFonts w:ascii="Calibri" w:hAnsi="Calibri"/>
                <w:sz w:val="24"/>
                <w:szCs w:val="24"/>
              </w:rPr>
            </w:pPr>
            <w:r w:rsidRPr="00DB1D7C">
              <w:rPr>
                <w:rFonts w:ascii="Calibri" w:hAnsi="Calibri"/>
                <w:sz w:val="24"/>
                <w:szCs w:val="24"/>
              </w:rPr>
              <w:t>Body mass index</w:t>
            </w:r>
          </w:p>
        </w:tc>
      </w:tr>
      <w:tr w:rsidR="00657A57" w:rsidRPr="00DB1D7C" w14:paraId="49ABF4F1" w14:textId="77777777" w:rsidTr="00A36A1B">
        <w:tc>
          <w:tcPr>
            <w:tcW w:w="1679" w:type="dxa"/>
          </w:tcPr>
          <w:p w14:paraId="4652DA85" w14:textId="77777777" w:rsidR="00657A57" w:rsidRPr="00DB1D7C" w:rsidRDefault="00657A57" w:rsidP="00247F58">
            <w:pPr>
              <w:rPr>
                <w:rFonts w:ascii="Calibri" w:hAnsi="Calibri"/>
                <w:sz w:val="24"/>
                <w:szCs w:val="24"/>
              </w:rPr>
            </w:pPr>
            <w:r w:rsidRPr="00DB1D7C">
              <w:rPr>
                <w:rFonts w:ascii="Calibri" w:hAnsi="Calibri"/>
                <w:sz w:val="24"/>
                <w:szCs w:val="24"/>
              </w:rPr>
              <w:t>CAROC</w:t>
            </w:r>
          </w:p>
        </w:tc>
        <w:tc>
          <w:tcPr>
            <w:tcW w:w="236" w:type="dxa"/>
          </w:tcPr>
          <w:p w14:paraId="7396034B" w14:textId="77777777" w:rsidR="00657A57" w:rsidRPr="00DB1D7C" w:rsidRDefault="00657A57" w:rsidP="00247F58">
            <w:pPr>
              <w:rPr>
                <w:rFonts w:ascii="Calibri" w:hAnsi="Calibri"/>
                <w:sz w:val="24"/>
                <w:szCs w:val="24"/>
              </w:rPr>
            </w:pPr>
          </w:p>
        </w:tc>
        <w:tc>
          <w:tcPr>
            <w:tcW w:w="7101" w:type="dxa"/>
          </w:tcPr>
          <w:p w14:paraId="5D09526D" w14:textId="77777777" w:rsidR="00657A57" w:rsidRPr="00DB1D7C" w:rsidRDefault="00657A57" w:rsidP="00B547DD">
            <w:pPr>
              <w:rPr>
                <w:rFonts w:ascii="Calibri" w:hAnsi="Calibri"/>
                <w:sz w:val="24"/>
                <w:szCs w:val="24"/>
              </w:rPr>
            </w:pPr>
            <w:r w:rsidRPr="00DB1D7C">
              <w:rPr>
                <w:rFonts w:ascii="Calibri" w:hAnsi="Calibri"/>
                <w:sz w:val="24"/>
                <w:szCs w:val="24"/>
              </w:rPr>
              <w:t>Canadian Association of Radiologists and Osteoporosis Canada</w:t>
            </w:r>
          </w:p>
        </w:tc>
      </w:tr>
      <w:tr w:rsidR="00657A57" w:rsidRPr="00DB1D7C" w14:paraId="6FD347FD" w14:textId="77777777" w:rsidTr="00A36A1B">
        <w:tc>
          <w:tcPr>
            <w:tcW w:w="1679" w:type="dxa"/>
          </w:tcPr>
          <w:p w14:paraId="5EE8734E" w14:textId="77777777" w:rsidR="00657A57" w:rsidRPr="00DB1D7C" w:rsidRDefault="00657A57" w:rsidP="00247F58">
            <w:pPr>
              <w:rPr>
                <w:rFonts w:ascii="Calibri" w:hAnsi="Calibri"/>
                <w:sz w:val="24"/>
                <w:szCs w:val="24"/>
              </w:rPr>
            </w:pPr>
            <w:r w:rsidRPr="00DB1D7C">
              <w:rPr>
                <w:rFonts w:ascii="Calibri" w:hAnsi="Calibri"/>
                <w:sz w:val="24"/>
                <w:szCs w:val="24"/>
              </w:rPr>
              <w:t>CI</w:t>
            </w:r>
          </w:p>
        </w:tc>
        <w:tc>
          <w:tcPr>
            <w:tcW w:w="236" w:type="dxa"/>
          </w:tcPr>
          <w:p w14:paraId="169C5AEB" w14:textId="77777777" w:rsidR="00657A57" w:rsidRPr="00DB1D7C" w:rsidRDefault="00657A57" w:rsidP="00247F58">
            <w:pPr>
              <w:rPr>
                <w:rFonts w:ascii="Calibri" w:hAnsi="Calibri"/>
                <w:sz w:val="24"/>
                <w:szCs w:val="24"/>
              </w:rPr>
            </w:pPr>
          </w:p>
        </w:tc>
        <w:tc>
          <w:tcPr>
            <w:tcW w:w="7101" w:type="dxa"/>
          </w:tcPr>
          <w:p w14:paraId="0758AC36" w14:textId="77777777" w:rsidR="00657A57" w:rsidRPr="00DB1D7C" w:rsidRDefault="00657A57" w:rsidP="00247F58">
            <w:pPr>
              <w:rPr>
                <w:rFonts w:ascii="Calibri" w:hAnsi="Calibri"/>
                <w:sz w:val="24"/>
                <w:szCs w:val="24"/>
              </w:rPr>
            </w:pPr>
            <w:r w:rsidRPr="00DB1D7C">
              <w:rPr>
                <w:rFonts w:ascii="Calibri" w:hAnsi="Calibri"/>
                <w:sz w:val="24"/>
                <w:szCs w:val="24"/>
              </w:rPr>
              <w:t>Confidence interval</w:t>
            </w:r>
          </w:p>
        </w:tc>
      </w:tr>
      <w:tr w:rsidR="00657A57" w:rsidRPr="00DB1D7C" w14:paraId="4882ED80" w14:textId="77777777" w:rsidTr="00A36A1B">
        <w:tc>
          <w:tcPr>
            <w:tcW w:w="1679" w:type="dxa"/>
          </w:tcPr>
          <w:p w14:paraId="177DB3D7" w14:textId="77777777" w:rsidR="00657A57" w:rsidRPr="00DB1D7C" w:rsidRDefault="00657A57" w:rsidP="0006534F">
            <w:pPr>
              <w:rPr>
                <w:rFonts w:ascii="Calibri" w:hAnsi="Calibri"/>
                <w:sz w:val="24"/>
                <w:szCs w:val="24"/>
              </w:rPr>
            </w:pPr>
            <w:r w:rsidRPr="00DB1D7C">
              <w:rPr>
                <w:rFonts w:ascii="Calibri" w:hAnsi="Calibri"/>
                <w:sz w:val="24"/>
                <w:szCs w:val="24"/>
              </w:rPr>
              <w:t>CRF</w:t>
            </w:r>
          </w:p>
        </w:tc>
        <w:tc>
          <w:tcPr>
            <w:tcW w:w="236" w:type="dxa"/>
          </w:tcPr>
          <w:p w14:paraId="4C690D8E" w14:textId="77777777" w:rsidR="00657A57" w:rsidRPr="00DB1D7C" w:rsidRDefault="00657A57" w:rsidP="0006534F">
            <w:pPr>
              <w:rPr>
                <w:rFonts w:ascii="Calibri" w:hAnsi="Calibri"/>
                <w:sz w:val="24"/>
                <w:szCs w:val="24"/>
              </w:rPr>
            </w:pPr>
          </w:p>
        </w:tc>
        <w:tc>
          <w:tcPr>
            <w:tcW w:w="7101" w:type="dxa"/>
          </w:tcPr>
          <w:p w14:paraId="7539E13E" w14:textId="77777777" w:rsidR="00657A57" w:rsidRPr="00DB1D7C" w:rsidRDefault="00657A57" w:rsidP="0006534F">
            <w:pPr>
              <w:rPr>
                <w:rFonts w:ascii="Calibri" w:hAnsi="Calibri"/>
                <w:sz w:val="24"/>
                <w:szCs w:val="24"/>
              </w:rPr>
            </w:pPr>
            <w:r w:rsidRPr="00DB1D7C">
              <w:rPr>
                <w:rFonts w:ascii="Calibri" w:hAnsi="Calibri"/>
                <w:sz w:val="24"/>
                <w:szCs w:val="24"/>
              </w:rPr>
              <w:t>Clinical risk factor</w:t>
            </w:r>
          </w:p>
        </w:tc>
      </w:tr>
      <w:tr w:rsidR="00657A57" w:rsidRPr="00DB1D7C" w14:paraId="48AF1029" w14:textId="77777777" w:rsidTr="00A36A1B">
        <w:tc>
          <w:tcPr>
            <w:tcW w:w="1679" w:type="dxa"/>
          </w:tcPr>
          <w:p w14:paraId="3D941251" w14:textId="77777777" w:rsidR="00657A57" w:rsidRPr="00DB1D7C" w:rsidRDefault="00657A57" w:rsidP="0006534F">
            <w:pPr>
              <w:rPr>
                <w:rFonts w:ascii="Calibri" w:hAnsi="Calibri"/>
                <w:sz w:val="24"/>
                <w:szCs w:val="24"/>
              </w:rPr>
            </w:pPr>
            <w:r w:rsidRPr="00DB1D7C">
              <w:rPr>
                <w:rFonts w:ascii="Calibri" w:hAnsi="Calibri"/>
                <w:sz w:val="24"/>
                <w:szCs w:val="24"/>
              </w:rPr>
              <w:t>DXA</w:t>
            </w:r>
          </w:p>
        </w:tc>
        <w:tc>
          <w:tcPr>
            <w:tcW w:w="236" w:type="dxa"/>
          </w:tcPr>
          <w:p w14:paraId="748F7641" w14:textId="77777777" w:rsidR="00657A57" w:rsidRPr="00DB1D7C" w:rsidRDefault="00657A57" w:rsidP="0006534F">
            <w:pPr>
              <w:rPr>
                <w:rFonts w:ascii="Calibri" w:hAnsi="Calibri"/>
                <w:sz w:val="24"/>
                <w:szCs w:val="24"/>
              </w:rPr>
            </w:pPr>
          </w:p>
        </w:tc>
        <w:tc>
          <w:tcPr>
            <w:tcW w:w="7101" w:type="dxa"/>
          </w:tcPr>
          <w:p w14:paraId="3EB88ABB" w14:textId="77777777" w:rsidR="00657A57" w:rsidRPr="00DB1D7C" w:rsidRDefault="00657A57" w:rsidP="0006534F">
            <w:pPr>
              <w:rPr>
                <w:rFonts w:ascii="Calibri" w:hAnsi="Calibri"/>
                <w:sz w:val="24"/>
                <w:szCs w:val="24"/>
              </w:rPr>
            </w:pPr>
            <w:r w:rsidRPr="00DB1D7C">
              <w:rPr>
                <w:rFonts w:ascii="Calibri" w:hAnsi="Calibri"/>
                <w:sz w:val="24"/>
                <w:szCs w:val="24"/>
              </w:rPr>
              <w:t>Dual-energy X-ray absorptiometry</w:t>
            </w:r>
          </w:p>
        </w:tc>
      </w:tr>
      <w:tr w:rsidR="00657A57" w:rsidRPr="00DB1D7C" w14:paraId="054FD212" w14:textId="77777777" w:rsidTr="00A36A1B">
        <w:tc>
          <w:tcPr>
            <w:tcW w:w="1679" w:type="dxa"/>
          </w:tcPr>
          <w:p w14:paraId="7F0BC1C4" w14:textId="77777777" w:rsidR="00657A57" w:rsidRPr="00DB1D7C" w:rsidRDefault="00657A57" w:rsidP="00247F58">
            <w:pPr>
              <w:rPr>
                <w:rFonts w:ascii="Calibri" w:hAnsi="Calibri"/>
                <w:sz w:val="24"/>
                <w:szCs w:val="24"/>
              </w:rPr>
            </w:pPr>
            <w:r w:rsidRPr="00DB1D7C">
              <w:rPr>
                <w:rFonts w:ascii="Calibri" w:hAnsi="Calibri"/>
                <w:sz w:val="24"/>
                <w:szCs w:val="24"/>
              </w:rPr>
              <w:t>ECTS</w:t>
            </w:r>
          </w:p>
        </w:tc>
        <w:tc>
          <w:tcPr>
            <w:tcW w:w="236" w:type="dxa"/>
          </w:tcPr>
          <w:p w14:paraId="01158A59" w14:textId="77777777" w:rsidR="00657A57" w:rsidRPr="00DB1D7C" w:rsidRDefault="00657A57" w:rsidP="00247F58">
            <w:pPr>
              <w:rPr>
                <w:rFonts w:ascii="Calibri" w:hAnsi="Calibri"/>
                <w:sz w:val="24"/>
                <w:szCs w:val="24"/>
              </w:rPr>
            </w:pPr>
          </w:p>
        </w:tc>
        <w:tc>
          <w:tcPr>
            <w:tcW w:w="7101" w:type="dxa"/>
          </w:tcPr>
          <w:p w14:paraId="32691B79" w14:textId="77777777" w:rsidR="00657A57" w:rsidRPr="00DB1D7C" w:rsidRDefault="00657A57" w:rsidP="00247F58">
            <w:pPr>
              <w:rPr>
                <w:rFonts w:ascii="Calibri" w:hAnsi="Calibri"/>
                <w:sz w:val="24"/>
                <w:szCs w:val="24"/>
              </w:rPr>
            </w:pPr>
            <w:r w:rsidRPr="00DB1D7C">
              <w:rPr>
                <w:rFonts w:ascii="Calibri" w:hAnsi="Calibri"/>
                <w:sz w:val="24"/>
                <w:szCs w:val="24"/>
              </w:rPr>
              <w:t>European Calcified Tissue Society</w:t>
            </w:r>
          </w:p>
        </w:tc>
      </w:tr>
      <w:tr w:rsidR="00657A57" w:rsidRPr="00DB1D7C" w14:paraId="2DC33561" w14:textId="77777777" w:rsidTr="00A36A1B">
        <w:tc>
          <w:tcPr>
            <w:tcW w:w="1679" w:type="dxa"/>
          </w:tcPr>
          <w:p w14:paraId="623AA4BD" w14:textId="77777777" w:rsidR="00657A57" w:rsidRPr="00DB1D7C" w:rsidRDefault="00657A57" w:rsidP="0006534F">
            <w:pPr>
              <w:rPr>
                <w:rFonts w:ascii="Calibri" w:hAnsi="Calibri"/>
                <w:sz w:val="24"/>
                <w:szCs w:val="24"/>
              </w:rPr>
            </w:pPr>
            <w:r w:rsidRPr="00DB1D7C">
              <w:rPr>
                <w:rFonts w:ascii="Calibri" w:hAnsi="Calibri"/>
                <w:sz w:val="24"/>
                <w:szCs w:val="24"/>
              </w:rPr>
              <w:t>EFPIA</w:t>
            </w:r>
          </w:p>
        </w:tc>
        <w:tc>
          <w:tcPr>
            <w:tcW w:w="236" w:type="dxa"/>
          </w:tcPr>
          <w:p w14:paraId="7ECEBE96" w14:textId="77777777" w:rsidR="00657A57" w:rsidRPr="00DB1D7C" w:rsidRDefault="00657A57" w:rsidP="0006534F">
            <w:pPr>
              <w:rPr>
                <w:rFonts w:ascii="Calibri" w:hAnsi="Calibri"/>
                <w:sz w:val="24"/>
                <w:szCs w:val="24"/>
              </w:rPr>
            </w:pPr>
          </w:p>
        </w:tc>
        <w:tc>
          <w:tcPr>
            <w:tcW w:w="7101" w:type="dxa"/>
          </w:tcPr>
          <w:p w14:paraId="5C72736E" w14:textId="77777777" w:rsidR="00657A57" w:rsidRPr="00DB1D7C" w:rsidRDefault="00657A57" w:rsidP="0006534F">
            <w:pPr>
              <w:rPr>
                <w:rFonts w:ascii="Calibri" w:hAnsi="Calibri"/>
                <w:sz w:val="24"/>
                <w:szCs w:val="24"/>
              </w:rPr>
            </w:pPr>
            <w:r w:rsidRPr="00DB1D7C">
              <w:rPr>
                <w:rFonts w:ascii="Calibri" w:hAnsi="Calibri"/>
                <w:sz w:val="24"/>
                <w:szCs w:val="24"/>
              </w:rPr>
              <w:t>European Federation of Pharmaceutical Industry Associations</w:t>
            </w:r>
          </w:p>
        </w:tc>
      </w:tr>
      <w:tr w:rsidR="00657A57" w:rsidRPr="00DB1D7C" w14:paraId="63584709" w14:textId="77777777" w:rsidTr="00A36A1B">
        <w:tc>
          <w:tcPr>
            <w:tcW w:w="1679" w:type="dxa"/>
          </w:tcPr>
          <w:p w14:paraId="677FE41A" w14:textId="77777777" w:rsidR="00657A57" w:rsidRPr="00DB1D7C" w:rsidRDefault="00657A57" w:rsidP="00247F58">
            <w:pPr>
              <w:rPr>
                <w:rFonts w:ascii="Calibri" w:hAnsi="Calibri"/>
                <w:sz w:val="24"/>
                <w:szCs w:val="24"/>
              </w:rPr>
            </w:pPr>
            <w:r w:rsidRPr="00DB1D7C">
              <w:rPr>
                <w:rFonts w:ascii="Calibri" w:hAnsi="Calibri"/>
                <w:sz w:val="24"/>
                <w:szCs w:val="24"/>
              </w:rPr>
              <w:t>ESCEO</w:t>
            </w:r>
          </w:p>
        </w:tc>
        <w:tc>
          <w:tcPr>
            <w:tcW w:w="236" w:type="dxa"/>
          </w:tcPr>
          <w:p w14:paraId="305E9AEE" w14:textId="77777777" w:rsidR="00657A57" w:rsidRPr="00DB1D7C" w:rsidRDefault="00657A57" w:rsidP="00247F58">
            <w:pPr>
              <w:rPr>
                <w:rFonts w:ascii="Calibri" w:hAnsi="Calibri"/>
                <w:sz w:val="24"/>
                <w:szCs w:val="24"/>
              </w:rPr>
            </w:pPr>
          </w:p>
        </w:tc>
        <w:tc>
          <w:tcPr>
            <w:tcW w:w="7101" w:type="dxa"/>
          </w:tcPr>
          <w:p w14:paraId="386A5C00" w14:textId="77777777" w:rsidR="00657A57" w:rsidRPr="00DB1D7C" w:rsidRDefault="00657A57" w:rsidP="005326EF">
            <w:pPr>
              <w:rPr>
                <w:rFonts w:ascii="Calibri" w:hAnsi="Calibri"/>
                <w:sz w:val="24"/>
                <w:szCs w:val="24"/>
              </w:rPr>
            </w:pPr>
            <w:r w:rsidRPr="00DB1D7C">
              <w:rPr>
                <w:rFonts w:ascii="Calibri" w:hAnsi="Calibri"/>
                <w:sz w:val="24"/>
                <w:szCs w:val="24"/>
              </w:rPr>
              <w:t xml:space="preserve">European Society for Clinical and Economic Aspects of Osteoporosis </w:t>
            </w:r>
          </w:p>
        </w:tc>
      </w:tr>
      <w:tr w:rsidR="00657A57" w:rsidRPr="00DB1D7C" w14:paraId="77EC4A20" w14:textId="77777777" w:rsidTr="00A36A1B">
        <w:tc>
          <w:tcPr>
            <w:tcW w:w="1679" w:type="dxa"/>
          </w:tcPr>
          <w:p w14:paraId="4CAA18B5" w14:textId="77777777" w:rsidR="00657A57" w:rsidRPr="00DB1D7C" w:rsidRDefault="00657A57" w:rsidP="0006534F">
            <w:pPr>
              <w:rPr>
                <w:rFonts w:ascii="Calibri" w:hAnsi="Calibri"/>
                <w:sz w:val="24"/>
                <w:szCs w:val="24"/>
              </w:rPr>
            </w:pPr>
            <w:r w:rsidRPr="00DB1D7C">
              <w:rPr>
                <w:rFonts w:ascii="Calibri" w:hAnsi="Calibri"/>
                <w:sz w:val="24"/>
                <w:szCs w:val="24"/>
              </w:rPr>
              <w:t>FRAX</w:t>
            </w:r>
          </w:p>
        </w:tc>
        <w:tc>
          <w:tcPr>
            <w:tcW w:w="236" w:type="dxa"/>
          </w:tcPr>
          <w:p w14:paraId="3482BBEF" w14:textId="77777777" w:rsidR="00657A57" w:rsidRPr="00DB1D7C" w:rsidRDefault="00657A57" w:rsidP="0006534F">
            <w:pPr>
              <w:rPr>
                <w:rFonts w:ascii="Calibri" w:hAnsi="Calibri"/>
                <w:sz w:val="24"/>
                <w:szCs w:val="24"/>
              </w:rPr>
            </w:pPr>
          </w:p>
        </w:tc>
        <w:tc>
          <w:tcPr>
            <w:tcW w:w="7101" w:type="dxa"/>
          </w:tcPr>
          <w:p w14:paraId="1670940C" w14:textId="77777777" w:rsidR="00657A57" w:rsidRPr="00DB1D7C" w:rsidRDefault="00657A57" w:rsidP="0006534F">
            <w:pPr>
              <w:rPr>
                <w:rFonts w:ascii="Calibri" w:hAnsi="Calibri"/>
                <w:sz w:val="24"/>
                <w:szCs w:val="24"/>
              </w:rPr>
            </w:pPr>
            <w:r w:rsidRPr="00DB1D7C">
              <w:rPr>
                <w:rFonts w:ascii="Calibri" w:hAnsi="Calibri"/>
                <w:sz w:val="24"/>
                <w:szCs w:val="24"/>
              </w:rPr>
              <w:t>WHO fracture risk assessment tool.</w:t>
            </w:r>
          </w:p>
        </w:tc>
      </w:tr>
      <w:tr w:rsidR="00657A57" w:rsidRPr="00DB1D7C" w14:paraId="16964930" w14:textId="77777777" w:rsidTr="00A36A1B">
        <w:tc>
          <w:tcPr>
            <w:tcW w:w="1679" w:type="dxa"/>
          </w:tcPr>
          <w:p w14:paraId="3EE4AF8D" w14:textId="77777777" w:rsidR="00657A57" w:rsidRPr="00DB1D7C" w:rsidRDefault="00657A57" w:rsidP="0006534F">
            <w:pPr>
              <w:rPr>
                <w:rFonts w:ascii="Calibri" w:hAnsi="Calibri"/>
                <w:sz w:val="24"/>
                <w:szCs w:val="24"/>
              </w:rPr>
            </w:pPr>
            <w:r w:rsidRPr="00DB1D7C">
              <w:rPr>
                <w:rFonts w:ascii="Calibri" w:hAnsi="Calibri"/>
                <w:sz w:val="24"/>
                <w:szCs w:val="24"/>
              </w:rPr>
              <w:t>HF</w:t>
            </w:r>
          </w:p>
        </w:tc>
        <w:tc>
          <w:tcPr>
            <w:tcW w:w="236" w:type="dxa"/>
          </w:tcPr>
          <w:p w14:paraId="662F8CDC" w14:textId="77777777" w:rsidR="00657A57" w:rsidRPr="00DB1D7C" w:rsidRDefault="00657A57" w:rsidP="0006534F">
            <w:pPr>
              <w:rPr>
                <w:rFonts w:ascii="Calibri" w:hAnsi="Calibri"/>
                <w:sz w:val="24"/>
                <w:szCs w:val="24"/>
              </w:rPr>
            </w:pPr>
          </w:p>
        </w:tc>
        <w:tc>
          <w:tcPr>
            <w:tcW w:w="7101" w:type="dxa"/>
          </w:tcPr>
          <w:p w14:paraId="493BCF8E" w14:textId="77777777" w:rsidR="00657A57" w:rsidRPr="00DB1D7C" w:rsidRDefault="00657A57" w:rsidP="0006534F">
            <w:pPr>
              <w:rPr>
                <w:rFonts w:ascii="Calibri" w:hAnsi="Calibri"/>
                <w:sz w:val="24"/>
                <w:szCs w:val="24"/>
              </w:rPr>
            </w:pPr>
            <w:r w:rsidRPr="00DB1D7C">
              <w:rPr>
                <w:rFonts w:ascii="Calibri" w:hAnsi="Calibri"/>
                <w:sz w:val="24"/>
                <w:szCs w:val="24"/>
              </w:rPr>
              <w:t>Hip fracture</w:t>
            </w:r>
          </w:p>
        </w:tc>
      </w:tr>
      <w:tr w:rsidR="00657A57" w:rsidRPr="00DB1D7C" w14:paraId="26E8E557" w14:textId="77777777" w:rsidTr="00A36A1B">
        <w:tc>
          <w:tcPr>
            <w:tcW w:w="1679" w:type="dxa"/>
          </w:tcPr>
          <w:p w14:paraId="1E827EAC" w14:textId="77777777" w:rsidR="00657A57" w:rsidRPr="00DB1D7C" w:rsidRDefault="00657A57" w:rsidP="00247F58">
            <w:pPr>
              <w:rPr>
                <w:rFonts w:ascii="Calibri" w:hAnsi="Calibri"/>
                <w:sz w:val="24"/>
                <w:szCs w:val="24"/>
              </w:rPr>
            </w:pPr>
            <w:r w:rsidRPr="00DB1D7C">
              <w:rPr>
                <w:rFonts w:ascii="Calibri" w:hAnsi="Calibri"/>
                <w:sz w:val="24"/>
                <w:szCs w:val="24"/>
              </w:rPr>
              <w:t>HSOO</w:t>
            </w:r>
          </w:p>
        </w:tc>
        <w:tc>
          <w:tcPr>
            <w:tcW w:w="236" w:type="dxa"/>
          </w:tcPr>
          <w:p w14:paraId="0F4243DC" w14:textId="77777777" w:rsidR="00657A57" w:rsidRPr="00DB1D7C" w:rsidRDefault="00657A57" w:rsidP="00247F58">
            <w:pPr>
              <w:rPr>
                <w:rFonts w:ascii="Calibri" w:hAnsi="Calibri"/>
                <w:sz w:val="24"/>
                <w:szCs w:val="24"/>
              </w:rPr>
            </w:pPr>
          </w:p>
        </w:tc>
        <w:tc>
          <w:tcPr>
            <w:tcW w:w="7101" w:type="dxa"/>
          </w:tcPr>
          <w:p w14:paraId="7C320B50" w14:textId="77777777" w:rsidR="00657A57" w:rsidRPr="00DB1D7C" w:rsidRDefault="00657A57" w:rsidP="00247F58">
            <w:pPr>
              <w:rPr>
                <w:rFonts w:ascii="Calibri" w:hAnsi="Calibri"/>
                <w:sz w:val="24"/>
                <w:szCs w:val="24"/>
              </w:rPr>
            </w:pPr>
            <w:r w:rsidRPr="00DB1D7C">
              <w:rPr>
                <w:rFonts w:ascii="Calibri" w:hAnsi="Calibri"/>
                <w:sz w:val="24"/>
                <w:szCs w:val="24"/>
              </w:rPr>
              <w:t xml:space="preserve">Hungarian Society for Osteoporosis and </w:t>
            </w:r>
            <w:proofErr w:type="spellStart"/>
            <w:r w:rsidRPr="00DB1D7C">
              <w:rPr>
                <w:rFonts w:ascii="Calibri" w:hAnsi="Calibri"/>
                <w:sz w:val="24"/>
                <w:szCs w:val="24"/>
              </w:rPr>
              <w:t>Osteoarthrology</w:t>
            </w:r>
            <w:proofErr w:type="spellEnd"/>
          </w:p>
        </w:tc>
      </w:tr>
      <w:tr w:rsidR="00657A57" w:rsidRPr="00DB1D7C" w14:paraId="43947F81" w14:textId="77777777" w:rsidTr="00A36A1B">
        <w:tc>
          <w:tcPr>
            <w:tcW w:w="1679" w:type="dxa"/>
          </w:tcPr>
          <w:p w14:paraId="4FB2F606" w14:textId="77777777" w:rsidR="00657A57" w:rsidRPr="00DB1D7C" w:rsidRDefault="00657A57" w:rsidP="0006534F">
            <w:pPr>
              <w:rPr>
                <w:rFonts w:ascii="Calibri" w:hAnsi="Calibri"/>
                <w:sz w:val="24"/>
                <w:szCs w:val="24"/>
              </w:rPr>
            </w:pPr>
            <w:r w:rsidRPr="00DB1D7C">
              <w:rPr>
                <w:rFonts w:ascii="Calibri" w:hAnsi="Calibri"/>
                <w:sz w:val="24"/>
                <w:szCs w:val="24"/>
              </w:rPr>
              <w:t>IOF</w:t>
            </w:r>
          </w:p>
        </w:tc>
        <w:tc>
          <w:tcPr>
            <w:tcW w:w="236" w:type="dxa"/>
          </w:tcPr>
          <w:p w14:paraId="1F951F98" w14:textId="77777777" w:rsidR="00657A57" w:rsidRPr="00DB1D7C" w:rsidRDefault="00657A57" w:rsidP="0006534F">
            <w:pPr>
              <w:rPr>
                <w:rFonts w:ascii="Calibri" w:hAnsi="Calibri"/>
                <w:sz w:val="24"/>
                <w:szCs w:val="24"/>
              </w:rPr>
            </w:pPr>
          </w:p>
        </w:tc>
        <w:tc>
          <w:tcPr>
            <w:tcW w:w="7101" w:type="dxa"/>
          </w:tcPr>
          <w:p w14:paraId="36E9D4C6" w14:textId="77777777" w:rsidR="00657A57" w:rsidRPr="00DB1D7C" w:rsidRDefault="00657A57" w:rsidP="0006534F">
            <w:pPr>
              <w:rPr>
                <w:rFonts w:ascii="Calibri" w:hAnsi="Calibri"/>
                <w:sz w:val="24"/>
                <w:szCs w:val="24"/>
              </w:rPr>
            </w:pPr>
            <w:r w:rsidRPr="00DB1D7C">
              <w:rPr>
                <w:rFonts w:ascii="Calibri" w:hAnsi="Calibri"/>
                <w:sz w:val="24"/>
                <w:szCs w:val="24"/>
              </w:rPr>
              <w:t>International Osteoporosis Foundation</w:t>
            </w:r>
          </w:p>
        </w:tc>
      </w:tr>
      <w:tr w:rsidR="00657A57" w:rsidRPr="00DB1D7C" w14:paraId="1713C9FB" w14:textId="77777777" w:rsidTr="00A36A1B">
        <w:tc>
          <w:tcPr>
            <w:tcW w:w="1679" w:type="dxa"/>
          </w:tcPr>
          <w:p w14:paraId="32EC4DF5" w14:textId="77777777" w:rsidR="00657A57" w:rsidRPr="00DB1D7C" w:rsidRDefault="00657A57" w:rsidP="0006534F">
            <w:pPr>
              <w:rPr>
                <w:rFonts w:ascii="Calibri" w:hAnsi="Calibri"/>
                <w:sz w:val="24"/>
                <w:szCs w:val="24"/>
              </w:rPr>
            </w:pPr>
            <w:r w:rsidRPr="00DB1D7C">
              <w:rPr>
                <w:rFonts w:ascii="Calibri" w:hAnsi="Calibri"/>
                <w:sz w:val="24"/>
                <w:szCs w:val="24"/>
              </w:rPr>
              <w:t>ISCD</w:t>
            </w:r>
          </w:p>
        </w:tc>
        <w:tc>
          <w:tcPr>
            <w:tcW w:w="236" w:type="dxa"/>
          </w:tcPr>
          <w:p w14:paraId="2E777E88" w14:textId="77777777" w:rsidR="00657A57" w:rsidRPr="00DB1D7C" w:rsidRDefault="00657A57" w:rsidP="0006534F">
            <w:pPr>
              <w:rPr>
                <w:rFonts w:ascii="Calibri" w:hAnsi="Calibri"/>
                <w:sz w:val="24"/>
                <w:szCs w:val="24"/>
              </w:rPr>
            </w:pPr>
          </w:p>
        </w:tc>
        <w:tc>
          <w:tcPr>
            <w:tcW w:w="7101" w:type="dxa"/>
          </w:tcPr>
          <w:p w14:paraId="393DE8AB" w14:textId="77777777" w:rsidR="00657A57" w:rsidRPr="00DB1D7C" w:rsidRDefault="00657A57" w:rsidP="0006534F">
            <w:pPr>
              <w:rPr>
                <w:rFonts w:ascii="Calibri" w:hAnsi="Calibri"/>
                <w:sz w:val="24"/>
                <w:szCs w:val="24"/>
              </w:rPr>
            </w:pPr>
            <w:r w:rsidRPr="00DB1D7C">
              <w:rPr>
                <w:rFonts w:ascii="Calibri" w:hAnsi="Calibri"/>
                <w:sz w:val="24"/>
                <w:szCs w:val="24"/>
              </w:rPr>
              <w:t>International Society of Clinical Densitometry</w:t>
            </w:r>
          </w:p>
        </w:tc>
      </w:tr>
      <w:tr w:rsidR="00657A57" w:rsidRPr="00DB1D7C" w14:paraId="7979A703" w14:textId="77777777" w:rsidTr="00A36A1B">
        <w:tc>
          <w:tcPr>
            <w:tcW w:w="1679" w:type="dxa"/>
          </w:tcPr>
          <w:p w14:paraId="6D385E33" w14:textId="77777777" w:rsidR="00657A57" w:rsidRPr="00DB1D7C" w:rsidRDefault="00657A57" w:rsidP="00247F58">
            <w:pPr>
              <w:rPr>
                <w:rFonts w:ascii="Calibri" w:hAnsi="Calibri"/>
                <w:sz w:val="24"/>
                <w:szCs w:val="24"/>
              </w:rPr>
            </w:pPr>
            <w:r w:rsidRPr="00DB1D7C">
              <w:rPr>
                <w:rFonts w:ascii="Calibri" w:hAnsi="Calibri"/>
                <w:sz w:val="24"/>
                <w:szCs w:val="24"/>
              </w:rPr>
              <w:t>JSBMR</w:t>
            </w:r>
          </w:p>
        </w:tc>
        <w:tc>
          <w:tcPr>
            <w:tcW w:w="236" w:type="dxa"/>
          </w:tcPr>
          <w:p w14:paraId="2682B753" w14:textId="77777777" w:rsidR="00657A57" w:rsidRPr="00DB1D7C" w:rsidRDefault="00657A57" w:rsidP="00247F58">
            <w:pPr>
              <w:rPr>
                <w:rFonts w:ascii="Calibri" w:hAnsi="Calibri"/>
                <w:sz w:val="24"/>
                <w:szCs w:val="24"/>
              </w:rPr>
            </w:pPr>
          </w:p>
        </w:tc>
        <w:tc>
          <w:tcPr>
            <w:tcW w:w="7101" w:type="dxa"/>
          </w:tcPr>
          <w:p w14:paraId="7FBFBB19" w14:textId="77777777" w:rsidR="00657A57" w:rsidRPr="00DB1D7C" w:rsidRDefault="00657A57" w:rsidP="00247F58">
            <w:pPr>
              <w:rPr>
                <w:rFonts w:ascii="Calibri" w:hAnsi="Calibri"/>
                <w:sz w:val="24"/>
                <w:szCs w:val="24"/>
              </w:rPr>
            </w:pPr>
            <w:r w:rsidRPr="00DB1D7C">
              <w:rPr>
                <w:rFonts w:ascii="Calibri" w:hAnsi="Calibri"/>
                <w:sz w:val="24"/>
                <w:szCs w:val="24"/>
              </w:rPr>
              <w:t>Japanese Society for Bone and Mineral Research</w:t>
            </w:r>
          </w:p>
        </w:tc>
      </w:tr>
      <w:tr w:rsidR="00657A57" w:rsidRPr="00DB1D7C" w14:paraId="795866CC" w14:textId="77777777" w:rsidTr="00A36A1B">
        <w:tc>
          <w:tcPr>
            <w:tcW w:w="1679" w:type="dxa"/>
          </w:tcPr>
          <w:p w14:paraId="4B0924E3" w14:textId="77777777" w:rsidR="00657A57" w:rsidRPr="00DB1D7C" w:rsidRDefault="00657A57" w:rsidP="0006534F">
            <w:pPr>
              <w:rPr>
                <w:rFonts w:ascii="Calibri" w:hAnsi="Calibri"/>
                <w:sz w:val="24"/>
                <w:szCs w:val="24"/>
              </w:rPr>
            </w:pPr>
            <w:r w:rsidRPr="00DB1D7C">
              <w:rPr>
                <w:rFonts w:ascii="Calibri" w:hAnsi="Calibri"/>
                <w:sz w:val="24"/>
                <w:szCs w:val="24"/>
              </w:rPr>
              <w:t>MOF</w:t>
            </w:r>
          </w:p>
        </w:tc>
        <w:tc>
          <w:tcPr>
            <w:tcW w:w="236" w:type="dxa"/>
          </w:tcPr>
          <w:p w14:paraId="38D8E99D" w14:textId="77777777" w:rsidR="00657A57" w:rsidRPr="00DB1D7C" w:rsidRDefault="00657A57" w:rsidP="0006534F">
            <w:pPr>
              <w:rPr>
                <w:rFonts w:ascii="Calibri" w:hAnsi="Calibri"/>
                <w:sz w:val="24"/>
                <w:szCs w:val="24"/>
              </w:rPr>
            </w:pPr>
          </w:p>
        </w:tc>
        <w:tc>
          <w:tcPr>
            <w:tcW w:w="7101" w:type="dxa"/>
          </w:tcPr>
          <w:p w14:paraId="7486FB02" w14:textId="77777777" w:rsidR="00657A57" w:rsidRPr="00DB1D7C" w:rsidRDefault="00657A57" w:rsidP="0006534F">
            <w:pPr>
              <w:rPr>
                <w:rFonts w:ascii="Calibri" w:hAnsi="Calibri"/>
                <w:sz w:val="24"/>
                <w:szCs w:val="24"/>
              </w:rPr>
            </w:pPr>
            <w:r w:rsidRPr="00DB1D7C">
              <w:rPr>
                <w:rFonts w:ascii="Calibri" w:hAnsi="Calibri"/>
                <w:sz w:val="24"/>
                <w:szCs w:val="24"/>
              </w:rPr>
              <w:t>Major osteoporotic fracture</w:t>
            </w:r>
          </w:p>
        </w:tc>
      </w:tr>
      <w:tr w:rsidR="00657A57" w:rsidRPr="00DB1D7C" w14:paraId="3493BA0A" w14:textId="77777777" w:rsidTr="00A36A1B">
        <w:tc>
          <w:tcPr>
            <w:tcW w:w="1679" w:type="dxa"/>
          </w:tcPr>
          <w:p w14:paraId="4F6C8FAD" w14:textId="77777777" w:rsidR="00657A57" w:rsidRPr="00DB1D7C" w:rsidRDefault="00657A57" w:rsidP="0006534F">
            <w:pPr>
              <w:rPr>
                <w:rFonts w:ascii="Calibri" w:hAnsi="Calibri"/>
                <w:sz w:val="24"/>
                <w:szCs w:val="24"/>
              </w:rPr>
            </w:pPr>
            <w:r w:rsidRPr="00DB1D7C">
              <w:rPr>
                <w:rFonts w:ascii="Calibri" w:hAnsi="Calibri"/>
                <w:sz w:val="24"/>
                <w:szCs w:val="24"/>
              </w:rPr>
              <w:t>NCGC</w:t>
            </w:r>
          </w:p>
        </w:tc>
        <w:tc>
          <w:tcPr>
            <w:tcW w:w="236" w:type="dxa"/>
          </w:tcPr>
          <w:p w14:paraId="12D0CB86" w14:textId="77777777" w:rsidR="00657A57" w:rsidRPr="00DB1D7C" w:rsidRDefault="00657A57" w:rsidP="0006534F">
            <w:pPr>
              <w:rPr>
                <w:rFonts w:ascii="Calibri" w:hAnsi="Calibri"/>
                <w:sz w:val="24"/>
                <w:szCs w:val="24"/>
              </w:rPr>
            </w:pPr>
          </w:p>
        </w:tc>
        <w:tc>
          <w:tcPr>
            <w:tcW w:w="7101" w:type="dxa"/>
          </w:tcPr>
          <w:p w14:paraId="6F1C87D4" w14:textId="77777777" w:rsidR="00657A57" w:rsidRPr="00DB1D7C" w:rsidRDefault="00657A57" w:rsidP="0006534F">
            <w:pPr>
              <w:rPr>
                <w:rFonts w:ascii="Calibri" w:hAnsi="Calibri"/>
                <w:sz w:val="24"/>
                <w:szCs w:val="24"/>
              </w:rPr>
            </w:pPr>
            <w:r w:rsidRPr="00DB1D7C">
              <w:rPr>
                <w:rFonts w:ascii="Calibri" w:hAnsi="Calibri"/>
                <w:sz w:val="24"/>
                <w:szCs w:val="24"/>
              </w:rPr>
              <w:t>National Clinical Guideline Centre</w:t>
            </w:r>
          </w:p>
        </w:tc>
      </w:tr>
      <w:tr w:rsidR="00657A57" w:rsidRPr="00DB1D7C" w14:paraId="421B1F66" w14:textId="77777777" w:rsidTr="00A36A1B">
        <w:tc>
          <w:tcPr>
            <w:tcW w:w="1679" w:type="dxa"/>
          </w:tcPr>
          <w:p w14:paraId="2254EC60" w14:textId="77777777" w:rsidR="00657A57" w:rsidRPr="00DB1D7C" w:rsidRDefault="00657A57" w:rsidP="00247F58">
            <w:pPr>
              <w:rPr>
                <w:rFonts w:ascii="Calibri" w:hAnsi="Calibri"/>
                <w:sz w:val="24"/>
                <w:szCs w:val="24"/>
              </w:rPr>
            </w:pPr>
            <w:r w:rsidRPr="00DB1D7C">
              <w:rPr>
                <w:rFonts w:ascii="Calibri" w:hAnsi="Calibri"/>
                <w:sz w:val="24"/>
                <w:szCs w:val="24"/>
              </w:rPr>
              <w:t>NCGC</w:t>
            </w:r>
          </w:p>
        </w:tc>
        <w:tc>
          <w:tcPr>
            <w:tcW w:w="236" w:type="dxa"/>
          </w:tcPr>
          <w:p w14:paraId="2EFCD114" w14:textId="77777777" w:rsidR="00657A57" w:rsidRPr="00DB1D7C" w:rsidRDefault="00657A57" w:rsidP="00247F58">
            <w:pPr>
              <w:rPr>
                <w:rFonts w:ascii="Calibri" w:hAnsi="Calibri"/>
                <w:sz w:val="24"/>
                <w:szCs w:val="24"/>
              </w:rPr>
            </w:pPr>
          </w:p>
        </w:tc>
        <w:tc>
          <w:tcPr>
            <w:tcW w:w="7101" w:type="dxa"/>
          </w:tcPr>
          <w:p w14:paraId="33EDBA91" w14:textId="77777777" w:rsidR="00657A57" w:rsidRPr="00DB1D7C" w:rsidRDefault="00657A57" w:rsidP="00247F58">
            <w:pPr>
              <w:rPr>
                <w:rFonts w:ascii="Calibri" w:hAnsi="Calibri"/>
                <w:sz w:val="24"/>
                <w:szCs w:val="24"/>
              </w:rPr>
            </w:pPr>
            <w:r w:rsidRPr="00DB1D7C">
              <w:rPr>
                <w:rFonts w:ascii="Calibri" w:hAnsi="Calibri"/>
                <w:sz w:val="24"/>
                <w:szCs w:val="24"/>
              </w:rPr>
              <w:t>National Clinical Guideline Centre</w:t>
            </w:r>
          </w:p>
        </w:tc>
      </w:tr>
      <w:tr w:rsidR="00657A57" w:rsidRPr="00DB1D7C" w14:paraId="01CDF06A" w14:textId="77777777" w:rsidTr="00A36A1B">
        <w:tc>
          <w:tcPr>
            <w:tcW w:w="1679" w:type="dxa"/>
          </w:tcPr>
          <w:p w14:paraId="259053EA" w14:textId="77777777" w:rsidR="00657A57" w:rsidRPr="00DB1D7C" w:rsidRDefault="00657A57" w:rsidP="0006534F">
            <w:pPr>
              <w:rPr>
                <w:rFonts w:ascii="Calibri" w:hAnsi="Calibri"/>
                <w:sz w:val="24"/>
                <w:szCs w:val="24"/>
              </w:rPr>
            </w:pPr>
            <w:r w:rsidRPr="00DB1D7C">
              <w:rPr>
                <w:rFonts w:ascii="Calibri" w:hAnsi="Calibri"/>
                <w:sz w:val="24"/>
                <w:szCs w:val="24"/>
              </w:rPr>
              <w:t>NICE</w:t>
            </w:r>
          </w:p>
        </w:tc>
        <w:tc>
          <w:tcPr>
            <w:tcW w:w="236" w:type="dxa"/>
          </w:tcPr>
          <w:p w14:paraId="2CEFF2E7" w14:textId="77777777" w:rsidR="00657A57" w:rsidRPr="00DB1D7C" w:rsidRDefault="00657A57" w:rsidP="0006534F">
            <w:pPr>
              <w:rPr>
                <w:rFonts w:ascii="Calibri" w:hAnsi="Calibri"/>
                <w:sz w:val="24"/>
                <w:szCs w:val="24"/>
              </w:rPr>
            </w:pPr>
          </w:p>
        </w:tc>
        <w:tc>
          <w:tcPr>
            <w:tcW w:w="7101" w:type="dxa"/>
          </w:tcPr>
          <w:p w14:paraId="0C4658EB" w14:textId="77777777" w:rsidR="00657A57" w:rsidRPr="00DB1D7C" w:rsidRDefault="00657A57" w:rsidP="0006534F">
            <w:pPr>
              <w:rPr>
                <w:rFonts w:ascii="Calibri" w:hAnsi="Calibri"/>
                <w:sz w:val="24"/>
                <w:szCs w:val="24"/>
              </w:rPr>
            </w:pPr>
            <w:r w:rsidRPr="00DB1D7C">
              <w:rPr>
                <w:rFonts w:ascii="Calibri" w:hAnsi="Calibri"/>
                <w:sz w:val="24"/>
                <w:szCs w:val="24"/>
              </w:rPr>
              <w:t>National Institute for health and Clinical Excellence</w:t>
            </w:r>
          </w:p>
        </w:tc>
      </w:tr>
      <w:tr w:rsidR="00657A57" w:rsidRPr="00DB1D7C" w14:paraId="427A8EF1" w14:textId="77777777" w:rsidTr="00A36A1B">
        <w:tc>
          <w:tcPr>
            <w:tcW w:w="1679" w:type="dxa"/>
          </w:tcPr>
          <w:p w14:paraId="548CB918" w14:textId="77777777" w:rsidR="00657A57" w:rsidRPr="00DB1D7C" w:rsidRDefault="00657A57" w:rsidP="00247F58">
            <w:pPr>
              <w:rPr>
                <w:rFonts w:ascii="Calibri" w:hAnsi="Calibri"/>
                <w:sz w:val="24"/>
                <w:szCs w:val="24"/>
              </w:rPr>
            </w:pPr>
            <w:r w:rsidRPr="00DB1D7C">
              <w:rPr>
                <w:rFonts w:ascii="Calibri" w:hAnsi="Calibri"/>
                <w:sz w:val="24"/>
                <w:szCs w:val="24"/>
              </w:rPr>
              <w:t>NNF</w:t>
            </w:r>
          </w:p>
        </w:tc>
        <w:tc>
          <w:tcPr>
            <w:tcW w:w="236" w:type="dxa"/>
          </w:tcPr>
          <w:p w14:paraId="35A5BC77" w14:textId="77777777" w:rsidR="00657A57" w:rsidRPr="00DB1D7C" w:rsidRDefault="00657A57" w:rsidP="00247F58">
            <w:pPr>
              <w:rPr>
                <w:rFonts w:ascii="Calibri" w:hAnsi="Calibri"/>
                <w:sz w:val="24"/>
                <w:szCs w:val="24"/>
              </w:rPr>
            </w:pPr>
          </w:p>
        </w:tc>
        <w:tc>
          <w:tcPr>
            <w:tcW w:w="7101" w:type="dxa"/>
          </w:tcPr>
          <w:p w14:paraId="323BFD8B" w14:textId="77777777" w:rsidR="00657A57" w:rsidRPr="00DB1D7C" w:rsidRDefault="00657A57" w:rsidP="00B547DD">
            <w:pPr>
              <w:rPr>
                <w:rFonts w:ascii="Calibri" w:hAnsi="Calibri"/>
                <w:sz w:val="24"/>
                <w:szCs w:val="24"/>
              </w:rPr>
            </w:pPr>
            <w:r w:rsidRPr="00DB1D7C">
              <w:rPr>
                <w:rFonts w:ascii="Calibri" w:hAnsi="Calibri"/>
                <w:sz w:val="24"/>
                <w:szCs w:val="24"/>
              </w:rPr>
              <w:t>Number Needed to FRAX</w:t>
            </w:r>
          </w:p>
        </w:tc>
      </w:tr>
      <w:tr w:rsidR="00657A57" w:rsidRPr="00DB1D7C" w14:paraId="78B21C73" w14:textId="77777777" w:rsidTr="00A36A1B">
        <w:tc>
          <w:tcPr>
            <w:tcW w:w="1679" w:type="dxa"/>
          </w:tcPr>
          <w:p w14:paraId="72CA9E65" w14:textId="77777777" w:rsidR="00657A57" w:rsidRPr="00DB1D7C" w:rsidRDefault="00657A57" w:rsidP="00247F58">
            <w:pPr>
              <w:rPr>
                <w:rFonts w:ascii="Calibri" w:hAnsi="Calibri"/>
                <w:sz w:val="24"/>
                <w:szCs w:val="24"/>
              </w:rPr>
            </w:pPr>
            <w:r w:rsidRPr="00DB1D7C">
              <w:rPr>
                <w:rFonts w:ascii="Calibri" w:hAnsi="Calibri"/>
                <w:sz w:val="24"/>
                <w:szCs w:val="24"/>
              </w:rPr>
              <w:t>NNS</w:t>
            </w:r>
          </w:p>
        </w:tc>
        <w:tc>
          <w:tcPr>
            <w:tcW w:w="236" w:type="dxa"/>
          </w:tcPr>
          <w:p w14:paraId="622B89A4" w14:textId="77777777" w:rsidR="00657A57" w:rsidRPr="00DB1D7C" w:rsidRDefault="00657A57" w:rsidP="00247F58">
            <w:pPr>
              <w:rPr>
                <w:rFonts w:ascii="Calibri" w:hAnsi="Calibri"/>
                <w:sz w:val="24"/>
                <w:szCs w:val="24"/>
              </w:rPr>
            </w:pPr>
          </w:p>
        </w:tc>
        <w:tc>
          <w:tcPr>
            <w:tcW w:w="7101" w:type="dxa"/>
          </w:tcPr>
          <w:p w14:paraId="3B4C49A5" w14:textId="77777777" w:rsidR="00657A57" w:rsidRPr="00DB1D7C" w:rsidRDefault="00657A57" w:rsidP="00247F58">
            <w:pPr>
              <w:rPr>
                <w:rFonts w:ascii="Calibri" w:hAnsi="Calibri"/>
                <w:sz w:val="24"/>
                <w:szCs w:val="24"/>
              </w:rPr>
            </w:pPr>
            <w:r w:rsidRPr="00DB1D7C">
              <w:rPr>
                <w:rFonts w:ascii="Calibri" w:hAnsi="Calibri"/>
                <w:sz w:val="24"/>
                <w:szCs w:val="24"/>
              </w:rPr>
              <w:t>Number needed to scan</w:t>
            </w:r>
          </w:p>
        </w:tc>
      </w:tr>
      <w:tr w:rsidR="00657A57" w:rsidRPr="00DB1D7C" w14:paraId="41C2A4F3" w14:textId="77777777" w:rsidTr="00A36A1B">
        <w:tc>
          <w:tcPr>
            <w:tcW w:w="1679" w:type="dxa"/>
          </w:tcPr>
          <w:p w14:paraId="63FA5BFD" w14:textId="77777777" w:rsidR="00657A57" w:rsidRPr="00DB1D7C" w:rsidRDefault="00657A57" w:rsidP="0006534F">
            <w:pPr>
              <w:rPr>
                <w:rFonts w:ascii="Calibri" w:hAnsi="Calibri"/>
                <w:sz w:val="24"/>
                <w:szCs w:val="24"/>
              </w:rPr>
            </w:pPr>
            <w:r w:rsidRPr="00DB1D7C">
              <w:rPr>
                <w:rFonts w:ascii="Calibri" w:hAnsi="Calibri"/>
                <w:sz w:val="24"/>
                <w:szCs w:val="24"/>
              </w:rPr>
              <w:t>NOF</w:t>
            </w:r>
          </w:p>
        </w:tc>
        <w:tc>
          <w:tcPr>
            <w:tcW w:w="236" w:type="dxa"/>
          </w:tcPr>
          <w:p w14:paraId="16A7EEA0" w14:textId="77777777" w:rsidR="00657A57" w:rsidRPr="00DB1D7C" w:rsidRDefault="00657A57" w:rsidP="0006534F">
            <w:pPr>
              <w:rPr>
                <w:rFonts w:ascii="Calibri" w:hAnsi="Calibri"/>
                <w:sz w:val="24"/>
                <w:szCs w:val="24"/>
              </w:rPr>
            </w:pPr>
          </w:p>
        </w:tc>
        <w:tc>
          <w:tcPr>
            <w:tcW w:w="7101" w:type="dxa"/>
          </w:tcPr>
          <w:p w14:paraId="437A3150" w14:textId="77777777" w:rsidR="00657A57" w:rsidRPr="00DB1D7C" w:rsidRDefault="00657A57" w:rsidP="0006534F">
            <w:pPr>
              <w:rPr>
                <w:rFonts w:ascii="Calibri" w:hAnsi="Calibri"/>
                <w:sz w:val="24"/>
                <w:szCs w:val="24"/>
              </w:rPr>
            </w:pPr>
            <w:r w:rsidRPr="00DB1D7C">
              <w:rPr>
                <w:rFonts w:ascii="Calibri" w:hAnsi="Calibri"/>
                <w:sz w:val="24"/>
                <w:szCs w:val="24"/>
              </w:rPr>
              <w:t>National Osteoporosis Foundation, US</w:t>
            </w:r>
          </w:p>
        </w:tc>
      </w:tr>
      <w:tr w:rsidR="00657A57" w:rsidRPr="00DB1D7C" w14:paraId="1559D69B" w14:textId="77777777" w:rsidTr="00A36A1B">
        <w:tc>
          <w:tcPr>
            <w:tcW w:w="1679" w:type="dxa"/>
          </w:tcPr>
          <w:p w14:paraId="633EE4C7" w14:textId="77777777" w:rsidR="00657A57" w:rsidRPr="00DB1D7C" w:rsidRDefault="00657A57" w:rsidP="00247F58">
            <w:pPr>
              <w:rPr>
                <w:rFonts w:ascii="Calibri" w:hAnsi="Calibri"/>
                <w:sz w:val="24"/>
                <w:szCs w:val="24"/>
              </w:rPr>
            </w:pPr>
            <w:r w:rsidRPr="00DB1D7C">
              <w:rPr>
                <w:rFonts w:ascii="Calibri" w:hAnsi="Calibri"/>
                <w:sz w:val="24"/>
                <w:szCs w:val="24"/>
              </w:rPr>
              <w:t>NOFSA</w:t>
            </w:r>
          </w:p>
        </w:tc>
        <w:tc>
          <w:tcPr>
            <w:tcW w:w="236" w:type="dxa"/>
          </w:tcPr>
          <w:p w14:paraId="7EDB92B6" w14:textId="77777777" w:rsidR="00657A57" w:rsidRPr="00DB1D7C" w:rsidRDefault="00657A57" w:rsidP="00247F58">
            <w:pPr>
              <w:rPr>
                <w:rFonts w:ascii="Calibri" w:hAnsi="Calibri"/>
                <w:sz w:val="24"/>
                <w:szCs w:val="24"/>
              </w:rPr>
            </w:pPr>
          </w:p>
        </w:tc>
        <w:tc>
          <w:tcPr>
            <w:tcW w:w="7101" w:type="dxa"/>
          </w:tcPr>
          <w:p w14:paraId="489849F3" w14:textId="77777777" w:rsidR="00657A57" w:rsidRPr="00DB1D7C" w:rsidRDefault="00657A57" w:rsidP="00247F58">
            <w:pPr>
              <w:rPr>
                <w:rFonts w:ascii="Calibri" w:hAnsi="Calibri"/>
                <w:sz w:val="24"/>
                <w:szCs w:val="24"/>
              </w:rPr>
            </w:pPr>
            <w:r w:rsidRPr="00DB1D7C">
              <w:rPr>
                <w:rFonts w:ascii="Calibri" w:hAnsi="Calibri"/>
                <w:sz w:val="24"/>
                <w:szCs w:val="24"/>
              </w:rPr>
              <w:t>National Osteoporosis Foundation of South Africa</w:t>
            </w:r>
          </w:p>
        </w:tc>
      </w:tr>
      <w:tr w:rsidR="00657A57" w:rsidRPr="00DB1D7C" w14:paraId="5A64009C" w14:textId="77777777" w:rsidTr="00A36A1B">
        <w:tc>
          <w:tcPr>
            <w:tcW w:w="1679" w:type="dxa"/>
          </w:tcPr>
          <w:p w14:paraId="328ABE4B" w14:textId="77777777" w:rsidR="00657A57" w:rsidRPr="00DB1D7C" w:rsidRDefault="00657A57" w:rsidP="0006534F">
            <w:pPr>
              <w:rPr>
                <w:rFonts w:ascii="Calibri" w:hAnsi="Calibri"/>
                <w:sz w:val="24"/>
                <w:szCs w:val="24"/>
              </w:rPr>
            </w:pPr>
            <w:r w:rsidRPr="00DB1D7C">
              <w:rPr>
                <w:rFonts w:ascii="Calibri" w:hAnsi="Calibri"/>
                <w:sz w:val="24"/>
                <w:szCs w:val="24"/>
              </w:rPr>
              <w:t>NOGG</w:t>
            </w:r>
          </w:p>
        </w:tc>
        <w:tc>
          <w:tcPr>
            <w:tcW w:w="236" w:type="dxa"/>
          </w:tcPr>
          <w:p w14:paraId="0FB30FC0" w14:textId="77777777" w:rsidR="00657A57" w:rsidRPr="00DB1D7C" w:rsidRDefault="00657A57" w:rsidP="0006534F">
            <w:pPr>
              <w:rPr>
                <w:rFonts w:ascii="Calibri" w:hAnsi="Calibri"/>
                <w:sz w:val="24"/>
                <w:szCs w:val="24"/>
              </w:rPr>
            </w:pPr>
          </w:p>
        </w:tc>
        <w:tc>
          <w:tcPr>
            <w:tcW w:w="7101" w:type="dxa"/>
          </w:tcPr>
          <w:p w14:paraId="636FFDAF" w14:textId="77777777" w:rsidR="00657A57" w:rsidRPr="00DB1D7C" w:rsidRDefault="00657A57" w:rsidP="0006534F">
            <w:pPr>
              <w:rPr>
                <w:rFonts w:ascii="Calibri" w:hAnsi="Calibri"/>
                <w:sz w:val="24"/>
                <w:szCs w:val="24"/>
              </w:rPr>
            </w:pPr>
            <w:r w:rsidRPr="00DB1D7C">
              <w:rPr>
                <w:rFonts w:ascii="Calibri" w:hAnsi="Calibri"/>
                <w:sz w:val="24"/>
                <w:szCs w:val="24"/>
              </w:rPr>
              <w:t>National Osteoporosis Guideline Group, UK</w:t>
            </w:r>
          </w:p>
        </w:tc>
      </w:tr>
      <w:tr w:rsidR="00657A57" w:rsidRPr="00DB1D7C" w14:paraId="4BF323E6" w14:textId="77777777" w:rsidTr="00A36A1B">
        <w:tc>
          <w:tcPr>
            <w:tcW w:w="1679" w:type="dxa"/>
          </w:tcPr>
          <w:p w14:paraId="497838F0" w14:textId="77777777" w:rsidR="00657A57" w:rsidRPr="00DB1D7C" w:rsidRDefault="00657A57" w:rsidP="00247F58">
            <w:pPr>
              <w:rPr>
                <w:rFonts w:ascii="Calibri" w:hAnsi="Calibri"/>
                <w:sz w:val="24"/>
                <w:szCs w:val="24"/>
              </w:rPr>
            </w:pPr>
            <w:r w:rsidRPr="00DB1D7C">
              <w:rPr>
                <w:rFonts w:ascii="Calibri" w:hAnsi="Calibri"/>
                <w:sz w:val="24"/>
                <w:szCs w:val="24"/>
              </w:rPr>
              <w:t>NRI</w:t>
            </w:r>
          </w:p>
        </w:tc>
        <w:tc>
          <w:tcPr>
            <w:tcW w:w="236" w:type="dxa"/>
          </w:tcPr>
          <w:p w14:paraId="242D27FB" w14:textId="77777777" w:rsidR="00657A57" w:rsidRPr="00DB1D7C" w:rsidRDefault="00657A57" w:rsidP="00247F58">
            <w:pPr>
              <w:rPr>
                <w:rFonts w:ascii="Calibri" w:hAnsi="Calibri"/>
                <w:sz w:val="24"/>
                <w:szCs w:val="24"/>
              </w:rPr>
            </w:pPr>
          </w:p>
        </w:tc>
        <w:tc>
          <w:tcPr>
            <w:tcW w:w="7101" w:type="dxa"/>
          </w:tcPr>
          <w:p w14:paraId="73638506" w14:textId="77777777" w:rsidR="00657A57" w:rsidRPr="00DB1D7C" w:rsidRDefault="00657A57" w:rsidP="00B547DD">
            <w:pPr>
              <w:rPr>
                <w:rFonts w:ascii="Calibri" w:hAnsi="Calibri"/>
                <w:sz w:val="24"/>
                <w:szCs w:val="24"/>
              </w:rPr>
            </w:pPr>
            <w:r w:rsidRPr="00DB1D7C">
              <w:rPr>
                <w:rFonts w:ascii="Calibri" w:hAnsi="Calibri"/>
                <w:sz w:val="24"/>
                <w:szCs w:val="24"/>
              </w:rPr>
              <w:t>Net reclassification improvement (I)</w:t>
            </w:r>
          </w:p>
        </w:tc>
      </w:tr>
      <w:tr w:rsidR="00657A57" w:rsidRPr="00DB1D7C" w14:paraId="125E87F9" w14:textId="77777777" w:rsidTr="00A36A1B">
        <w:tc>
          <w:tcPr>
            <w:tcW w:w="1679" w:type="dxa"/>
          </w:tcPr>
          <w:p w14:paraId="49B51DF9" w14:textId="77777777" w:rsidR="00657A57" w:rsidRPr="00DB1D7C" w:rsidRDefault="00657A57" w:rsidP="00247F58">
            <w:pPr>
              <w:rPr>
                <w:rFonts w:ascii="Calibri" w:hAnsi="Calibri"/>
                <w:sz w:val="24"/>
                <w:szCs w:val="24"/>
              </w:rPr>
            </w:pPr>
            <w:r w:rsidRPr="00DB1D7C">
              <w:rPr>
                <w:rFonts w:ascii="Calibri" w:hAnsi="Calibri"/>
                <w:sz w:val="24"/>
                <w:szCs w:val="24"/>
              </w:rPr>
              <w:t>OST</w:t>
            </w:r>
          </w:p>
        </w:tc>
        <w:tc>
          <w:tcPr>
            <w:tcW w:w="236" w:type="dxa"/>
          </w:tcPr>
          <w:p w14:paraId="444BB71E" w14:textId="77777777" w:rsidR="00657A57" w:rsidRPr="00DB1D7C" w:rsidRDefault="00657A57" w:rsidP="00247F58">
            <w:pPr>
              <w:rPr>
                <w:rFonts w:ascii="Calibri" w:hAnsi="Calibri"/>
                <w:sz w:val="24"/>
                <w:szCs w:val="24"/>
              </w:rPr>
            </w:pPr>
          </w:p>
        </w:tc>
        <w:tc>
          <w:tcPr>
            <w:tcW w:w="7101" w:type="dxa"/>
          </w:tcPr>
          <w:p w14:paraId="27BCD5B0" w14:textId="77777777" w:rsidR="00657A57" w:rsidRPr="00DB1D7C" w:rsidRDefault="00657A57" w:rsidP="00247F58">
            <w:pPr>
              <w:rPr>
                <w:rFonts w:ascii="Calibri" w:hAnsi="Calibri"/>
                <w:sz w:val="24"/>
                <w:szCs w:val="24"/>
              </w:rPr>
            </w:pPr>
            <w:r w:rsidRPr="00DB1D7C">
              <w:rPr>
                <w:rFonts w:ascii="Calibri" w:hAnsi="Calibri"/>
                <w:sz w:val="24"/>
                <w:szCs w:val="24"/>
              </w:rPr>
              <w:t>Osteoporosis Self-Assessment Tool</w:t>
            </w:r>
          </w:p>
        </w:tc>
      </w:tr>
      <w:tr w:rsidR="00657A57" w:rsidRPr="00DB1D7C" w14:paraId="1483928C" w14:textId="77777777" w:rsidTr="00A36A1B">
        <w:tc>
          <w:tcPr>
            <w:tcW w:w="1679" w:type="dxa"/>
          </w:tcPr>
          <w:p w14:paraId="4F93166D" w14:textId="77777777" w:rsidR="00657A57" w:rsidRPr="00DB1D7C" w:rsidRDefault="00657A57" w:rsidP="00247F58">
            <w:pPr>
              <w:rPr>
                <w:rFonts w:ascii="Calibri" w:hAnsi="Calibri"/>
                <w:sz w:val="24"/>
                <w:szCs w:val="24"/>
              </w:rPr>
            </w:pPr>
            <w:r w:rsidRPr="00DB1D7C">
              <w:rPr>
                <w:rFonts w:ascii="Calibri" w:hAnsi="Calibri"/>
                <w:sz w:val="24"/>
                <w:szCs w:val="24"/>
              </w:rPr>
              <w:t>OSTPRE</w:t>
            </w:r>
          </w:p>
        </w:tc>
        <w:tc>
          <w:tcPr>
            <w:tcW w:w="236" w:type="dxa"/>
          </w:tcPr>
          <w:p w14:paraId="58D02B90" w14:textId="77777777" w:rsidR="00657A57" w:rsidRPr="00DB1D7C" w:rsidRDefault="00657A57" w:rsidP="00247F58">
            <w:pPr>
              <w:rPr>
                <w:rFonts w:ascii="Calibri" w:hAnsi="Calibri"/>
                <w:sz w:val="24"/>
                <w:szCs w:val="24"/>
              </w:rPr>
            </w:pPr>
          </w:p>
        </w:tc>
        <w:tc>
          <w:tcPr>
            <w:tcW w:w="7101" w:type="dxa"/>
          </w:tcPr>
          <w:p w14:paraId="45241698" w14:textId="77777777" w:rsidR="00657A57" w:rsidRPr="00DB1D7C" w:rsidRDefault="00657A57" w:rsidP="00247F58">
            <w:pPr>
              <w:rPr>
                <w:rFonts w:ascii="Calibri" w:hAnsi="Calibri"/>
                <w:sz w:val="24"/>
                <w:szCs w:val="24"/>
              </w:rPr>
            </w:pPr>
            <w:r w:rsidRPr="00DB1D7C">
              <w:rPr>
                <w:rFonts w:ascii="Calibri" w:hAnsi="Calibri"/>
                <w:sz w:val="24"/>
                <w:szCs w:val="24"/>
              </w:rPr>
              <w:t>Kuopio Osteoporosis Risk Factor and Prevention - study</w:t>
            </w:r>
          </w:p>
        </w:tc>
      </w:tr>
      <w:tr w:rsidR="00657A57" w:rsidRPr="00DB1D7C" w14:paraId="533BB452" w14:textId="77777777" w:rsidTr="00A36A1B">
        <w:tc>
          <w:tcPr>
            <w:tcW w:w="1679" w:type="dxa"/>
          </w:tcPr>
          <w:p w14:paraId="1699C9B9" w14:textId="77777777" w:rsidR="00657A57" w:rsidRPr="00DB1D7C" w:rsidRDefault="00657A57" w:rsidP="00247F58">
            <w:pPr>
              <w:rPr>
                <w:rFonts w:ascii="Calibri" w:hAnsi="Calibri"/>
                <w:sz w:val="24"/>
                <w:szCs w:val="24"/>
              </w:rPr>
            </w:pPr>
            <w:r w:rsidRPr="00DB1D7C">
              <w:rPr>
                <w:rFonts w:ascii="Calibri" w:hAnsi="Calibri"/>
                <w:sz w:val="24"/>
                <w:szCs w:val="24"/>
              </w:rPr>
              <w:t>PSTF</w:t>
            </w:r>
          </w:p>
        </w:tc>
        <w:tc>
          <w:tcPr>
            <w:tcW w:w="236" w:type="dxa"/>
          </w:tcPr>
          <w:p w14:paraId="24DC6EEA" w14:textId="77777777" w:rsidR="00657A57" w:rsidRPr="00DB1D7C" w:rsidRDefault="00657A57" w:rsidP="00247F58">
            <w:pPr>
              <w:rPr>
                <w:rFonts w:ascii="Calibri" w:hAnsi="Calibri"/>
                <w:sz w:val="24"/>
                <w:szCs w:val="24"/>
              </w:rPr>
            </w:pPr>
          </w:p>
        </w:tc>
        <w:tc>
          <w:tcPr>
            <w:tcW w:w="7101" w:type="dxa"/>
          </w:tcPr>
          <w:p w14:paraId="3797BD08" w14:textId="77777777" w:rsidR="00657A57" w:rsidRPr="00DB1D7C" w:rsidRDefault="00657A57" w:rsidP="00247F58">
            <w:pPr>
              <w:rPr>
                <w:rFonts w:ascii="Calibri" w:hAnsi="Calibri"/>
                <w:sz w:val="24"/>
                <w:szCs w:val="24"/>
              </w:rPr>
            </w:pPr>
            <w:r w:rsidRPr="00DB1D7C">
              <w:rPr>
                <w:rFonts w:ascii="Calibri" w:hAnsi="Calibri"/>
                <w:sz w:val="24"/>
                <w:szCs w:val="24"/>
              </w:rPr>
              <w:t>US Preventive Services Task Force</w:t>
            </w:r>
          </w:p>
        </w:tc>
      </w:tr>
      <w:tr w:rsidR="00657A57" w:rsidRPr="00DB1D7C" w14:paraId="1BA38C9F" w14:textId="77777777" w:rsidTr="00A36A1B">
        <w:tc>
          <w:tcPr>
            <w:tcW w:w="1679" w:type="dxa"/>
          </w:tcPr>
          <w:p w14:paraId="34819484" w14:textId="77777777" w:rsidR="00657A57" w:rsidRPr="00DB1D7C" w:rsidRDefault="00657A57" w:rsidP="00247F58">
            <w:pPr>
              <w:rPr>
                <w:rFonts w:ascii="Calibri" w:hAnsi="Calibri"/>
                <w:sz w:val="24"/>
                <w:szCs w:val="24"/>
              </w:rPr>
            </w:pPr>
            <w:r w:rsidRPr="00DB1D7C">
              <w:rPr>
                <w:rFonts w:ascii="Calibri" w:hAnsi="Calibri"/>
                <w:sz w:val="24"/>
                <w:szCs w:val="24"/>
              </w:rPr>
              <w:t>QALY</w:t>
            </w:r>
          </w:p>
        </w:tc>
        <w:tc>
          <w:tcPr>
            <w:tcW w:w="236" w:type="dxa"/>
          </w:tcPr>
          <w:p w14:paraId="6A2B66EA" w14:textId="77777777" w:rsidR="00657A57" w:rsidRPr="00DB1D7C" w:rsidRDefault="00657A57" w:rsidP="00247F58">
            <w:pPr>
              <w:rPr>
                <w:rFonts w:ascii="Calibri" w:hAnsi="Calibri"/>
                <w:sz w:val="24"/>
                <w:szCs w:val="24"/>
              </w:rPr>
            </w:pPr>
          </w:p>
        </w:tc>
        <w:tc>
          <w:tcPr>
            <w:tcW w:w="7101" w:type="dxa"/>
          </w:tcPr>
          <w:p w14:paraId="1E180C7B" w14:textId="77777777" w:rsidR="00657A57" w:rsidRPr="00DB1D7C" w:rsidRDefault="00657A57" w:rsidP="00247F58">
            <w:pPr>
              <w:rPr>
                <w:rFonts w:ascii="Calibri" w:hAnsi="Calibri"/>
                <w:sz w:val="24"/>
                <w:szCs w:val="24"/>
              </w:rPr>
            </w:pPr>
            <w:r w:rsidRPr="00DB1D7C">
              <w:rPr>
                <w:rFonts w:ascii="Calibri" w:hAnsi="Calibri"/>
                <w:sz w:val="24"/>
                <w:szCs w:val="24"/>
              </w:rPr>
              <w:t>Quality-adjusted life year</w:t>
            </w:r>
          </w:p>
        </w:tc>
      </w:tr>
      <w:tr w:rsidR="00657A57" w:rsidRPr="00DB1D7C" w14:paraId="2978EB21" w14:textId="77777777" w:rsidTr="00A36A1B">
        <w:tc>
          <w:tcPr>
            <w:tcW w:w="1679" w:type="dxa"/>
          </w:tcPr>
          <w:p w14:paraId="6C56839B" w14:textId="77777777" w:rsidR="00657A57" w:rsidRPr="00DB1D7C" w:rsidRDefault="00657A57" w:rsidP="00247F58">
            <w:pPr>
              <w:rPr>
                <w:rFonts w:ascii="Calibri" w:hAnsi="Calibri"/>
                <w:sz w:val="24"/>
                <w:szCs w:val="24"/>
              </w:rPr>
            </w:pPr>
            <w:r w:rsidRPr="00DB1D7C">
              <w:rPr>
                <w:rFonts w:ascii="Calibri" w:hAnsi="Calibri"/>
                <w:sz w:val="24"/>
                <w:szCs w:val="24"/>
              </w:rPr>
              <w:t>QALY</w:t>
            </w:r>
          </w:p>
        </w:tc>
        <w:tc>
          <w:tcPr>
            <w:tcW w:w="236" w:type="dxa"/>
          </w:tcPr>
          <w:p w14:paraId="4E03B4F6" w14:textId="77777777" w:rsidR="00657A57" w:rsidRPr="00DB1D7C" w:rsidRDefault="00657A57" w:rsidP="00247F58">
            <w:pPr>
              <w:rPr>
                <w:rFonts w:ascii="Calibri" w:hAnsi="Calibri"/>
                <w:sz w:val="24"/>
                <w:szCs w:val="24"/>
              </w:rPr>
            </w:pPr>
          </w:p>
        </w:tc>
        <w:tc>
          <w:tcPr>
            <w:tcW w:w="7101" w:type="dxa"/>
          </w:tcPr>
          <w:p w14:paraId="7F4231AE" w14:textId="77777777" w:rsidR="00657A57" w:rsidRPr="00DB1D7C" w:rsidRDefault="00657A57" w:rsidP="00B547DD">
            <w:pPr>
              <w:rPr>
                <w:rFonts w:ascii="Calibri" w:hAnsi="Calibri"/>
                <w:sz w:val="24"/>
                <w:szCs w:val="24"/>
              </w:rPr>
            </w:pPr>
            <w:r w:rsidRPr="00DB1D7C">
              <w:rPr>
                <w:rFonts w:ascii="Calibri" w:hAnsi="Calibri"/>
                <w:sz w:val="24"/>
                <w:szCs w:val="24"/>
              </w:rPr>
              <w:t>Quality-adjusted life year</w:t>
            </w:r>
          </w:p>
        </w:tc>
      </w:tr>
      <w:tr w:rsidR="00657A57" w:rsidRPr="00DB1D7C" w14:paraId="0AFF196A" w14:textId="77777777" w:rsidTr="00A36A1B">
        <w:tc>
          <w:tcPr>
            <w:tcW w:w="1679" w:type="dxa"/>
          </w:tcPr>
          <w:p w14:paraId="1EE121D7" w14:textId="77777777" w:rsidR="00657A57" w:rsidRPr="00DB1D7C" w:rsidRDefault="00657A57" w:rsidP="00247F58">
            <w:pPr>
              <w:rPr>
                <w:rFonts w:ascii="Calibri" w:hAnsi="Calibri"/>
                <w:sz w:val="24"/>
                <w:szCs w:val="24"/>
              </w:rPr>
            </w:pPr>
            <w:r w:rsidRPr="00DB1D7C">
              <w:rPr>
                <w:rFonts w:ascii="Calibri" w:hAnsi="Calibri"/>
                <w:sz w:val="24"/>
                <w:szCs w:val="24"/>
              </w:rPr>
              <w:t>QFracture</w:t>
            </w:r>
          </w:p>
        </w:tc>
        <w:tc>
          <w:tcPr>
            <w:tcW w:w="236" w:type="dxa"/>
          </w:tcPr>
          <w:p w14:paraId="3DDBE835" w14:textId="77777777" w:rsidR="00657A57" w:rsidRPr="00DB1D7C" w:rsidRDefault="00657A57" w:rsidP="00247F58">
            <w:pPr>
              <w:rPr>
                <w:rFonts w:ascii="Calibri" w:hAnsi="Calibri"/>
                <w:sz w:val="24"/>
                <w:szCs w:val="24"/>
              </w:rPr>
            </w:pPr>
          </w:p>
        </w:tc>
        <w:tc>
          <w:tcPr>
            <w:tcW w:w="7101" w:type="dxa"/>
          </w:tcPr>
          <w:p w14:paraId="38680E73" w14:textId="77777777" w:rsidR="00657A57" w:rsidRPr="00DB1D7C" w:rsidRDefault="00657A57" w:rsidP="00247F58">
            <w:pPr>
              <w:rPr>
                <w:rFonts w:ascii="Calibri" w:hAnsi="Calibri"/>
                <w:sz w:val="24"/>
                <w:szCs w:val="24"/>
              </w:rPr>
            </w:pPr>
            <w:r w:rsidRPr="00DB1D7C">
              <w:rPr>
                <w:rFonts w:ascii="Calibri" w:hAnsi="Calibri"/>
                <w:sz w:val="24"/>
                <w:szCs w:val="24"/>
              </w:rPr>
              <w:t xml:space="preserve">A fracture risk assessment tool </w:t>
            </w:r>
          </w:p>
        </w:tc>
      </w:tr>
      <w:tr w:rsidR="00657A57" w:rsidRPr="00DB1D7C" w14:paraId="0D4CCDC5" w14:textId="77777777" w:rsidTr="00A36A1B">
        <w:tc>
          <w:tcPr>
            <w:tcW w:w="1679" w:type="dxa"/>
          </w:tcPr>
          <w:p w14:paraId="777E9D7E" w14:textId="77777777" w:rsidR="00657A57" w:rsidRPr="00DB1D7C" w:rsidRDefault="00657A57" w:rsidP="00247F58">
            <w:pPr>
              <w:rPr>
                <w:rFonts w:ascii="Calibri" w:hAnsi="Calibri"/>
                <w:sz w:val="24"/>
                <w:szCs w:val="24"/>
              </w:rPr>
            </w:pPr>
            <w:r w:rsidRPr="00DB1D7C">
              <w:rPr>
                <w:rFonts w:ascii="Calibri" w:hAnsi="Calibri"/>
                <w:sz w:val="24"/>
                <w:szCs w:val="24"/>
              </w:rPr>
              <w:t>RCP</w:t>
            </w:r>
          </w:p>
        </w:tc>
        <w:tc>
          <w:tcPr>
            <w:tcW w:w="236" w:type="dxa"/>
          </w:tcPr>
          <w:p w14:paraId="4F6CEE7F" w14:textId="77777777" w:rsidR="00657A57" w:rsidRPr="00DB1D7C" w:rsidRDefault="00657A57" w:rsidP="00247F58">
            <w:pPr>
              <w:rPr>
                <w:rFonts w:ascii="Calibri" w:hAnsi="Calibri"/>
                <w:sz w:val="24"/>
                <w:szCs w:val="24"/>
              </w:rPr>
            </w:pPr>
          </w:p>
        </w:tc>
        <w:tc>
          <w:tcPr>
            <w:tcW w:w="7101" w:type="dxa"/>
          </w:tcPr>
          <w:p w14:paraId="21066491" w14:textId="77777777" w:rsidR="00657A57" w:rsidRPr="00DB1D7C" w:rsidRDefault="00657A57" w:rsidP="00247F58">
            <w:pPr>
              <w:rPr>
                <w:rFonts w:ascii="Calibri" w:hAnsi="Calibri"/>
                <w:sz w:val="24"/>
                <w:szCs w:val="24"/>
              </w:rPr>
            </w:pPr>
            <w:r w:rsidRPr="00DB1D7C">
              <w:rPr>
                <w:rFonts w:ascii="Calibri" w:hAnsi="Calibri"/>
                <w:sz w:val="24"/>
                <w:szCs w:val="24"/>
              </w:rPr>
              <w:t>Royal College of Physicians, London</w:t>
            </w:r>
          </w:p>
        </w:tc>
      </w:tr>
      <w:tr w:rsidR="00657A57" w:rsidRPr="00DB1D7C" w14:paraId="07EFE99E" w14:textId="77777777" w:rsidTr="00A36A1B">
        <w:tc>
          <w:tcPr>
            <w:tcW w:w="1679" w:type="dxa"/>
          </w:tcPr>
          <w:p w14:paraId="3F6CD99C" w14:textId="77777777" w:rsidR="00657A57" w:rsidRPr="00DB1D7C" w:rsidRDefault="00657A57" w:rsidP="00247F58">
            <w:pPr>
              <w:rPr>
                <w:rFonts w:ascii="Calibri" w:hAnsi="Calibri"/>
                <w:sz w:val="24"/>
                <w:szCs w:val="24"/>
              </w:rPr>
            </w:pPr>
            <w:r w:rsidRPr="00DB1D7C">
              <w:rPr>
                <w:rFonts w:ascii="Calibri" w:hAnsi="Calibri"/>
                <w:sz w:val="24"/>
                <w:szCs w:val="24"/>
              </w:rPr>
              <w:t>ROC</w:t>
            </w:r>
          </w:p>
        </w:tc>
        <w:tc>
          <w:tcPr>
            <w:tcW w:w="236" w:type="dxa"/>
          </w:tcPr>
          <w:p w14:paraId="4DE505FF" w14:textId="77777777" w:rsidR="00657A57" w:rsidRPr="00DB1D7C" w:rsidRDefault="00657A57" w:rsidP="00247F58">
            <w:pPr>
              <w:rPr>
                <w:rFonts w:ascii="Calibri" w:hAnsi="Calibri"/>
                <w:sz w:val="24"/>
                <w:szCs w:val="24"/>
              </w:rPr>
            </w:pPr>
          </w:p>
        </w:tc>
        <w:tc>
          <w:tcPr>
            <w:tcW w:w="7101" w:type="dxa"/>
          </w:tcPr>
          <w:p w14:paraId="6623D6AF" w14:textId="77777777" w:rsidR="00657A57" w:rsidRPr="00DB1D7C" w:rsidRDefault="00657A57" w:rsidP="00247F58">
            <w:pPr>
              <w:rPr>
                <w:rFonts w:ascii="Calibri" w:hAnsi="Calibri"/>
                <w:sz w:val="24"/>
                <w:szCs w:val="24"/>
              </w:rPr>
            </w:pPr>
            <w:r w:rsidRPr="00DB1D7C">
              <w:rPr>
                <w:rFonts w:ascii="Calibri" w:hAnsi="Calibri"/>
                <w:sz w:val="24"/>
                <w:szCs w:val="24"/>
              </w:rPr>
              <w:t>Receiver operating characteristics</w:t>
            </w:r>
          </w:p>
        </w:tc>
      </w:tr>
      <w:tr w:rsidR="00657A57" w:rsidRPr="00DB1D7C" w14:paraId="478FA86C" w14:textId="77777777" w:rsidTr="00A36A1B">
        <w:tc>
          <w:tcPr>
            <w:tcW w:w="1679" w:type="dxa"/>
          </w:tcPr>
          <w:p w14:paraId="19E21769" w14:textId="77777777" w:rsidR="00657A57" w:rsidRPr="00DB1D7C" w:rsidRDefault="00657A57" w:rsidP="00247F58">
            <w:pPr>
              <w:rPr>
                <w:rFonts w:ascii="Calibri" w:hAnsi="Calibri"/>
                <w:sz w:val="24"/>
                <w:szCs w:val="24"/>
              </w:rPr>
            </w:pPr>
            <w:r w:rsidRPr="00DB1D7C">
              <w:rPr>
                <w:rFonts w:ascii="Calibri" w:hAnsi="Calibri"/>
                <w:sz w:val="24"/>
                <w:szCs w:val="24"/>
              </w:rPr>
              <w:t>SCOOP</w:t>
            </w:r>
          </w:p>
        </w:tc>
        <w:tc>
          <w:tcPr>
            <w:tcW w:w="236" w:type="dxa"/>
          </w:tcPr>
          <w:p w14:paraId="11A8D5CA" w14:textId="77777777" w:rsidR="00657A57" w:rsidRPr="00DB1D7C" w:rsidRDefault="00657A57" w:rsidP="00247F58">
            <w:pPr>
              <w:rPr>
                <w:rFonts w:ascii="Calibri" w:hAnsi="Calibri"/>
                <w:sz w:val="24"/>
                <w:szCs w:val="24"/>
              </w:rPr>
            </w:pPr>
          </w:p>
        </w:tc>
        <w:tc>
          <w:tcPr>
            <w:tcW w:w="7101" w:type="dxa"/>
          </w:tcPr>
          <w:p w14:paraId="151E542B" w14:textId="77777777" w:rsidR="00657A57" w:rsidRPr="00DB1D7C" w:rsidRDefault="00657A57" w:rsidP="00373030">
            <w:pPr>
              <w:rPr>
                <w:rFonts w:ascii="Calibri" w:hAnsi="Calibri"/>
                <w:sz w:val="24"/>
                <w:szCs w:val="24"/>
              </w:rPr>
            </w:pPr>
            <w:r w:rsidRPr="00DB1D7C">
              <w:rPr>
                <w:rFonts w:ascii="Calibri" w:hAnsi="Calibri"/>
                <w:sz w:val="24"/>
                <w:szCs w:val="24"/>
              </w:rPr>
              <w:t>Screening of older women for prevention of fracture - study</w:t>
            </w:r>
          </w:p>
        </w:tc>
      </w:tr>
      <w:tr w:rsidR="00657A57" w:rsidRPr="00DB1D7C" w14:paraId="259ED8CA" w14:textId="77777777" w:rsidTr="00A36A1B">
        <w:tc>
          <w:tcPr>
            <w:tcW w:w="1679" w:type="dxa"/>
          </w:tcPr>
          <w:p w14:paraId="6D3D16EA" w14:textId="77777777" w:rsidR="00657A57" w:rsidRPr="00DB1D7C" w:rsidRDefault="00657A57" w:rsidP="00247F58">
            <w:pPr>
              <w:rPr>
                <w:rFonts w:ascii="Calibri" w:hAnsi="Calibri"/>
                <w:sz w:val="24"/>
                <w:szCs w:val="24"/>
              </w:rPr>
            </w:pPr>
            <w:r w:rsidRPr="00DB1D7C">
              <w:rPr>
                <w:rFonts w:ascii="Calibri" w:hAnsi="Calibri"/>
                <w:sz w:val="24"/>
                <w:szCs w:val="24"/>
              </w:rPr>
              <w:t>SCORE</w:t>
            </w:r>
          </w:p>
        </w:tc>
        <w:tc>
          <w:tcPr>
            <w:tcW w:w="236" w:type="dxa"/>
          </w:tcPr>
          <w:p w14:paraId="5BA50D7C" w14:textId="77777777" w:rsidR="00657A57" w:rsidRPr="00DB1D7C" w:rsidRDefault="00657A57" w:rsidP="00247F58">
            <w:pPr>
              <w:rPr>
                <w:rFonts w:ascii="Calibri" w:hAnsi="Calibri"/>
                <w:sz w:val="24"/>
                <w:szCs w:val="24"/>
              </w:rPr>
            </w:pPr>
          </w:p>
        </w:tc>
        <w:tc>
          <w:tcPr>
            <w:tcW w:w="7101" w:type="dxa"/>
          </w:tcPr>
          <w:p w14:paraId="66033F43" w14:textId="77777777" w:rsidR="00657A57" w:rsidRPr="00DB1D7C" w:rsidRDefault="00657A57" w:rsidP="00247F58">
            <w:pPr>
              <w:rPr>
                <w:rFonts w:ascii="Calibri" w:hAnsi="Calibri"/>
                <w:sz w:val="24"/>
                <w:szCs w:val="24"/>
              </w:rPr>
            </w:pPr>
            <w:r w:rsidRPr="00DB1D7C">
              <w:rPr>
                <w:rFonts w:ascii="Calibri" w:hAnsi="Calibri"/>
                <w:sz w:val="24"/>
                <w:szCs w:val="24"/>
              </w:rPr>
              <w:t>Simple Calculated Osteoporosis Risk Estimation Tool</w:t>
            </w:r>
          </w:p>
        </w:tc>
      </w:tr>
      <w:tr w:rsidR="00657A57" w:rsidRPr="00DB1D7C" w14:paraId="1B7E20F8" w14:textId="77777777" w:rsidTr="00A36A1B">
        <w:tc>
          <w:tcPr>
            <w:tcW w:w="1679" w:type="dxa"/>
          </w:tcPr>
          <w:p w14:paraId="59EF82FD" w14:textId="77777777" w:rsidR="00657A57" w:rsidRPr="00DB1D7C" w:rsidRDefault="00657A57" w:rsidP="00247F58">
            <w:pPr>
              <w:rPr>
                <w:rFonts w:ascii="Calibri" w:hAnsi="Calibri"/>
                <w:sz w:val="24"/>
                <w:szCs w:val="24"/>
              </w:rPr>
            </w:pPr>
            <w:r w:rsidRPr="00DB1D7C">
              <w:rPr>
                <w:rFonts w:ascii="Calibri" w:hAnsi="Calibri"/>
                <w:sz w:val="24"/>
                <w:szCs w:val="24"/>
              </w:rPr>
              <w:t>SD</w:t>
            </w:r>
          </w:p>
        </w:tc>
        <w:tc>
          <w:tcPr>
            <w:tcW w:w="236" w:type="dxa"/>
          </w:tcPr>
          <w:p w14:paraId="54811A4C" w14:textId="77777777" w:rsidR="00657A57" w:rsidRPr="00DB1D7C" w:rsidRDefault="00657A57" w:rsidP="00247F58">
            <w:pPr>
              <w:rPr>
                <w:rFonts w:ascii="Calibri" w:hAnsi="Calibri"/>
                <w:sz w:val="24"/>
                <w:szCs w:val="24"/>
              </w:rPr>
            </w:pPr>
          </w:p>
        </w:tc>
        <w:tc>
          <w:tcPr>
            <w:tcW w:w="7101" w:type="dxa"/>
          </w:tcPr>
          <w:p w14:paraId="77DAAF25" w14:textId="77777777" w:rsidR="00657A57" w:rsidRPr="00DB1D7C" w:rsidRDefault="00657A57" w:rsidP="00247F58">
            <w:pPr>
              <w:rPr>
                <w:rFonts w:ascii="Calibri" w:hAnsi="Calibri"/>
                <w:sz w:val="24"/>
                <w:szCs w:val="24"/>
              </w:rPr>
            </w:pPr>
            <w:r w:rsidRPr="00DB1D7C">
              <w:rPr>
                <w:rFonts w:ascii="Calibri" w:hAnsi="Calibri"/>
                <w:sz w:val="24"/>
                <w:szCs w:val="24"/>
              </w:rPr>
              <w:t>Standard deviation</w:t>
            </w:r>
          </w:p>
        </w:tc>
      </w:tr>
      <w:tr w:rsidR="00657A57" w:rsidRPr="00DB1D7C" w14:paraId="43D26B53" w14:textId="77777777" w:rsidTr="00A36A1B">
        <w:tc>
          <w:tcPr>
            <w:tcW w:w="1679" w:type="dxa"/>
          </w:tcPr>
          <w:p w14:paraId="50C38DC1" w14:textId="77777777" w:rsidR="00657A57" w:rsidRPr="00DB1D7C" w:rsidRDefault="00657A57" w:rsidP="00247F58">
            <w:pPr>
              <w:rPr>
                <w:rFonts w:ascii="Calibri" w:hAnsi="Calibri"/>
                <w:sz w:val="24"/>
                <w:szCs w:val="24"/>
              </w:rPr>
            </w:pPr>
            <w:r w:rsidRPr="00DB1D7C">
              <w:rPr>
                <w:rFonts w:ascii="Calibri" w:hAnsi="Calibri"/>
                <w:sz w:val="24"/>
                <w:szCs w:val="24"/>
              </w:rPr>
              <w:t>SIGN</w:t>
            </w:r>
          </w:p>
        </w:tc>
        <w:tc>
          <w:tcPr>
            <w:tcW w:w="236" w:type="dxa"/>
          </w:tcPr>
          <w:p w14:paraId="7921FFC6" w14:textId="77777777" w:rsidR="00657A57" w:rsidRPr="00DB1D7C" w:rsidRDefault="00657A57" w:rsidP="00247F58">
            <w:pPr>
              <w:rPr>
                <w:rFonts w:ascii="Calibri" w:hAnsi="Calibri"/>
                <w:sz w:val="24"/>
                <w:szCs w:val="24"/>
              </w:rPr>
            </w:pPr>
          </w:p>
        </w:tc>
        <w:tc>
          <w:tcPr>
            <w:tcW w:w="7101" w:type="dxa"/>
          </w:tcPr>
          <w:p w14:paraId="285E46E4" w14:textId="77777777" w:rsidR="00657A57" w:rsidRPr="00DB1D7C" w:rsidRDefault="00657A57" w:rsidP="00247F58">
            <w:pPr>
              <w:rPr>
                <w:rFonts w:ascii="Calibri" w:hAnsi="Calibri"/>
                <w:sz w:val="24"/>
                <w:szCs w:val="24"/>
              </w:rPr>
            </w:pPr>
            <w:r w:rsidRPr="00DB1D7C">
              <w:rPr>
                <w:rFonts w:ascii="Calibri" w:hAnsi="Calibri"/>
                <w:sz w:val="24"/>
                <w:szCs w:val="24"/>
              </w:rPr>
              <w:t>Scottish Intercollegiate Guidelines Network</w:t>
            </w:r>
          </w:p>
        </w:tc>
      </w:tr>
      <w:tr w:rsidR="00657A57" w:rsidRPr="00DB1D7C" w14:paraId="54972703" w14:textId="77777777" w:rsidTr="00A36A1B">
        <w:tc>
          <w:tcPr>
            <w:tcW w:w="1679" w:type="dxa"/>
          </w:tcPr>
          <w:p w14:paraId="7A6C2877" w14:textId="77777777" w:rsidR="00657A57" w:rsidRPr="00DB1D7C" w:rsidRDefault="00657A57" w:rsidP="0006534F">
            <w:pPr>
              <w:rPr>
                <w:rFonts w:ascii="Calibri" w:hAnsi="Calibri"/>
                <w:sz w:val="24"/>
                <w:szCs w:val="24"/>
              </w:rPr>
            </w:pPr>
            <w:r w:rsidRPr="00DB1D7C">
              <w:rPr>
                <w:rFonts w:ascii="Calibri" w:hAnsi="Calibri"/>
                <w:sz w:val="24"/>
                <w:szCs w:val="24"/>
              </w:rPr>
              <w:t>SIOMMMS</w:t>
            </w:r>
          </w:p>
        </w:tc>
        <w:tc>
          <w:tcPr>
            <w:tcW w:w="236" w:type="dxa"/>
          </w:tcPr>
          <w:p w14:paraId="22594ADA" w14:textId="77777777" w:rsidR="00657A57" w:rsidRPr="00DB1D7C" w:rsidRDefault="00657A57" w:rsidP="0006534F">
            <w:pPr>
              <w:rPr>
                <w:rFonts w:ascii="Calibri" w:hAnsi="Calibri"/>
                <w:sz w:val="24"/>
                <w:szCs w:val="24"/>
              </w:rPr>
            </w:pPr>
          </w:p>
        </w:tc>
        <w:tc>
          <w:tcPr>
            <w:tcW w:w="7101" w:type="dxa"/>
          </w:tcPr>
          <w:p w14:paraId="56995D25" w14:textId="77777777" w:rsidR="00657A57" w:rsidRPr="00DB1D7C" w:rsidRDefault="00657A57" w:rsidP="0006534F">
            <w:pPr>
              <w:rPr>
                <w:rFonts w:ascii="Calibri" w:hAnsi="Calibri"/>
                <w:sz w:val="24"/>
                <w:szCs w:val="24"/>
              </w:rPr>
            </w:pPr>
            <w:proofErr w:type="spellStart"/>
            <w:r w:rsidRPr="00DB1D7C">
              <w:rPr>
                <w:rFonts w:ascii="Calibri" w:hAnsi="Calibri"/>
                <w:sz w:val="24"/>
                <w:szCs w:val="24"/>
              </w:rPr>
              <w:t>Società</w:t>
            </w:r>
            <w:proofErr w:type="spellEnd"/>
            <w:r w:rsidRPr="00DB1D7C">
              <w:rPr>
                <w:rFonts w:ascii="Calibri" w:hAnsi="Calibri"/>
                <w:sz w:val="24"/>
                <w:szCs w:val="24"/>
              </w:rPr>
              <w:t xml:space="preserve"> </w:t>
            </w:r>
            <w:proofErr w:type="spellStart"/>
            <w:r w:rsidRPr="00DB1D7C">
              <w:rPr>
                <w:rFonts w:ascii="Calibri" w:hAnsi="Calibri"/>
                <w:sz w:val="24"/>
                <w:szCs w:val="24"/>
              </w:rPr>
              <w:t>Italiana</w:t>
            </w:r>
            <w:proofErr w:type="spellEnd"/>
            <w:r w:rsidRPr="00DB1D7C">
              <w:rPr>
                <w:rFonts w:ascii="Calibri" w:hAnsi="Calibri"/>
                <w:sz w:val="24"/>
                <w:szCs w:val="24"/>
              </w:rPr>
              <w:t xml:space="preserve"> </w:t>
            </w:r>
            <w:proofErr w:type="spellStart"/>
            <w:r w:rsidRPr="00DB1D7C">
              <w:rPr>
                <w:rFonts w:ascii="Calibri" w:hAnsi="Calibri"/>
                <w:sz w:val="24"/>
                <w:szCs w:val="24"/>
              </w:rPr>
              <w:t>dell'Osteoporosi</w:t>
            </w:r>
            <w:proofErr w:type="spellEnd"/>
            <w:r w:rsidRPr="00DB1D7C">
              <w:rPr>
                <w:rFonts w:ascii="Calibri" w:hAnsi="Calibri"/>
                <w:sz w:val="24"/>
                <w:szCs w:val="24"/>
              </w:rPr>
              <w:t xml:space="preserve">, del </w:t>
            </w:r>
            <w:proofErr w:type="spellStart"/>
            <w:r w:rsidRPr="00DB1D7C">
              <w:rPr>
                <w:rFonts w:ascii="Calibri" w:hAnsi="Calibri"/>
                <w:sz w:val="24"/>
                <w:szCs w:val="24"/>
              </w:rPr>
              <w:t>Metabolismo</w:t>
            </w:r>
            <w:proofErr w:type="spellEnd"/>
            <w:r w:rsidRPr="00DB1D7C">
              <w:rPr>
                <w:rFonts w:ascii="Calibri" w:hAnsi="Calibri"/>
                <w:sz w:val="24"/>
                <w:szCs w:val="24"/>
              </w:rPr>
              <w:t xml:space="preserve"> </w:t>
            </w:r>
            <w:proofErr w:type="spellStart"/>
            <w:r w:rsidRPr="00DB1D7C">
              <w:rPr>
                <w:rFonts w:ascii="Calibri" w:hAnsi="Calibri"/>
                <w:sz w:val="24"/>
                <w:szCs w:val="24"/>
              </w:rPr>
              <w:t>Minerale</w:t>
            </w:r>
            <w:proofErr w:type="spellEnd"/>
            <w:r w:rsidRPr="00DB1D7C">
              <w:rPr>
                <w:rFonts w:ascii="Calibri" w:hAnsi="Calibri"/>
                <w:sz w:val="24"/>
                <w:szCs w:val="24"/>
              </w:rPr>
              <w:t xml:space="preserve"> e </w:t>
            </w:r>
            <w:proofErr w:type="spellStart"/>
            <w:r w:rsidRPr="00DB1D7C">
              <w:rPr>
                <w:rFonts w:ascii="Calibri" w:hAnsi="Calibri"/>
                <w:sz w:val="24"/>
                <w:szCs w:val="24"/>
              </w:rPr>
              <w:t>delle</w:t>
            </w:r>
            <w:proofErr w:type="spellEnd"/>
            <w:r w:rsidRPr="00DB1D7C">
              <w:rPr>
                <w:rFonts w:ascii="Calibri" w:hAnsi="Calibri"/>
                <w:sz w:val="24"/>
                <w:szCs w:val="24"/>
              </w:rPr>
              <w:t xml:space="preserve"> </w:t>
            </w:r>
            <w:proofErr w:type="spellStart"/>
            <w:r w:rsidRPr="00DB1D7C">
              <w:rPr>
                <w:rFonts w:ascii="Calibri" w:hAnsi="Calibri"/>
                <w:sz w:val="24"/>
                <w:szCs w:val="24"/>
              </w:rPr>
              <w:t>Malattie</w:t>
            </w:r>
            <w:proofErr w:type="spellEnd"/>
            <w:r w:rsidRPr="00DB1D7C">
              <w:rPr>
                <w:rFonts w:ascii="Calibri" w:hAnsi="Calibri"/>
                <w:sz w:val="24"/>
                <w:szCs w:val="24"/>
              </w:rPr>
              <w:t xml:space="preserve"> </w:t>
            </w:r>
            <w:proofErr w:type="spellStart"/>
            <w:r w:rsidRPr="00DB1D7C">
              <w:rPr>
                <w:rFonts w:ascii="Calibri" w:hAnsi="Calibri"/>
                <w:sz w:val="24"/>
                <w:szCs w:val="24"/>
              </w:rPr>
              <w:t>dello</w:t>
            </w:r>
            <w:proofErr w:type="spellEnd"/>
            <w:r w:rsidRPr="00DB1D7C">
              <w:rPr>
                <w:rFonts w:ascii="Calibri" w:hAnsi="Calibri"/>
                <w:sz w:val="24"/>
                <w:szCs w:val="24"/>
              </w:rPr>
              <w:t xml:space="preserve"> </w:t>
            </w:r>
            <w:proofErr w:type="spellStart"/>
            <w:r w:rsidRPr="00DB1D7C">
              <w:rPr>
                <w:rFonts w:ascii="Calibri" w:hAnsi="Calibri"/>
                <w:sz w:val="24"/>
                <w:szCs w:val="24"/>
              </w:rPr>
              <w:t>Scheletro</w:t>
            </w:r>
            <w:proofErr w:type="spellEnd"/>
          </w:p>
        </w:tc>
      </w:tr>
      <w:tr w:rsidR="00657A57" w:rsidRPr="00DB1D7C" w14:paraId="2D6E74B0" w14:textId="77777777" w:rsidTr="00A36A1B">
        <w:tc>
          <w:tcPr>
            <w:tcW w:w="1679" w:type="dxa"/>
          </w:tcPr>
          <w:p w14:paraId="45C07E5F" w14:textId="77777777" w:rsidR="00657A57" w:rsidRPr="00DB1D7C" w:rsidRDefault="00657A57" w:rsidP="00247F58">
            <w:pPr>
              <w:rPr>
                <w:rFonts w:ascii="Calibri" w:hAnsi="Calibri"/>
                <w:sz w:val="24"/>
                <w:szCs w:val="24"/>
              </w:rPr>
            </w:pPr>
            <w:r w:rsidRPr="00DB1D7C">
              <w:rPr>
                <w:rFonts w:ascii="Calibri" w:hAnsi="Calibri"/>
                <w:sz w:val="24"/>
                <w:szCs w:val="24"/>
              </w:rPr>
              <w:t>TBS</w:t>
            </w:r>
          </w:p>
        </w:tc>
        <w:tc>
          <w:tcPr>
            <w:tcW w:w="236" w:type="dxa"/>
          </w:tcPr>
          <w:p w14:paraId="04BCEC04" w14:textId="77777777" w:rsidR="00657A57" w:rsidRPr="00DB1D7C" w:rsidRDefault="00657A57" w:rsidP="00247F58">
            <w:pPr>
              <w:rPr>
                <w:rFonts w:ascii="Calibri" w:hAnsi="Calibri"/>
                <w:sz w:val="24"/>
                <w:szCs w:val="24"/>
              </w:rPr>
            </w:pPr>
          </w:p>
        </w:tc>
        <w:tc>
          <w:tcPr>
            <w:tcW w:w="7101" w:type="dxa"/>
          </w:tcPr>
          <w:p w14:paraId="5EB6FF56" w14:textId="77777777" w:rsidR="00657A57" w:rsidRPr="00DB1D7C" w:rsidRDefault="00657A57" w:rsidP="00B547DD">
            <w:pPr>
              <w:rPr>
                <w:rFonts w:ascii="Calibri" w:hAnsi="Calibri"/>
                <w:sz w:val="24"/>
                <w:szCs w:val="24"/>
              </w:rPr>
            </w:pPr>
            <w:r w:rsidRPr="00DB1D7C">
              <w:rPr>
                <w:rFonts w:ascii="Calibri" w:hAnsi="Calibri"/>
                <w:sz w:val="24"/>
                <w:szCs w:val="24"/>
              </w:rPr>
              <w:t>Trabecular bone score</w:t>
            </w:r>
          </w:p>
        </w:tc>
      </w:tr>
      <w:tr w:rsidR="00657A57" w:rsidRPr="00DB1D7C" w14:paraId="440098D1" w14:textId="77777777" w:rsidTr="00A36A1B">
        <w:tc>
          <w:tcPr>
            <w:tcW w:w="1679" w:type="dxa"/>
          </w:tcPr>
          <w:p w14:paraId="017F53BE" w14:textId="77777777" w:rsidR="00657A57" w:rsidRPr="00DB1D7C" w:rsidRDefault="00657A57" w:rsidP="00247F58">
            <w:pPr>
              <w:rPr>
                <w:rFonts w:ascii="Calibri" w:hAnsi="Calibri"/>
                <w:sz w:val="24"/>
                <w:szCs w:val="24"/>
              </w:rPr>
            </w:pPr>
            <w:r w:rsidRPr="00DB1D7C">
              <w:rPr>
                <w:rFonts w:ascii="Calibri" w:hAnsi="Calibri"/>
                <w:sz w:val="24"/>
                <w:szCs w:val="24"/>
              </w:rPr>
              <w:t>THIN</w:t>
            </w:r>
          </w:p>
        </w:tc>
        <w:tc>
          <w:tcPr>
            <w:tcW w:w="236" w:type="dxa"/>
          </w:tcPr>
          <w:p w14:paraId="0CBC3E4C" w14:textId="77777777" w:rsidR="00657A57" w:rsidRPr="00DB1D7C" w:rsidRDefault="00657A57" w:rsidP="00247F58">
            <w:pPr>
              <w:rPr>
                <w:rFonts w:ascii="Calibri" w:hAnsi="Calibri"/>
                <w:sz w:val="24"/>
                <w:szCs w:val="24"/>
              </w:rPr>
            </w:pPr>
          </w:p>
        </w:tc>
        <w:tc>
          <w:tcPr>
            <w:tcW w:w="7101" w:type="dxa"/>
          </w:tcPr>
          <w:p w14:paraId="2CAEABC6" w14:textId="77777777" w:rsidR="00657A57" w:rsidRPr="00DB1D7C" w:rsidRDefault="00657A57" w:rsidP="00247F58">
            <w:pPr>
              <w:rPr>
                <w:rFonts w:ascii="Calibri" w:hAnsi="Calibri"/>
                <w:sz w:val="24"/>
                <w:szCs w:val="24"/>
              </w:rPr>
            </w:pPr>
            <w:r w:rsidRPr="00DB1D7C">
              <w:rPr>
                <w:rFonts w:ascii="Calibri" w:hAnsi="Calibri"/>
                <w:sz w:val="24"/>
                <w:szCs w:val="24"/>
              </w:rPr>
              <w:t>The Health Improvement Network</w:t>
            </w:r>
          </w:p>
        </w:tc>
      </w:tr>
      <w:tr w:rsidR="00657A57" w:rsidRPr="00DB1D7C" w14:paraId="70331C1E" w14:textId="77777777" w:rsidTr="00A36A1B">
        <w:tc>
          <w:tcPr>
            <w:tcW w:w="1679" w:type="dxa"/>
          </w:tcPr>
          <w:p w14:paraId="65F36FDD" w14:textId="77777777" w:rsidR="00657A57" w:rsidRPr="00DB1D7C" w:rsidRDefault="00657A57" w:rsidP="00247F58">
            <w:pPr>
              <w:rPr>
                <w:rFonts w:ascii="Calibri" w:hAnsi="Calibri"/>
                <w:sz w:val="24"/>
                <w:szCs w:val="24"/>
              </w:rPr>
            </w:pPr>
            <w:r w:rsidRPr="00DB1D7C">
              <w:rPr>
                <w:rFonts w:ascii="Calibri" w:hAnsi="Calibri"/>
                <w:sz w:val="24"/>
                <w:szCs w:val="24"/>
              </w:rPr>
              <w:t>T-score</w:t>
            </w:r>
          </w:p>
        </w:tc>
        <w:tc>
          <w:tcPr>
            <w:tcW w:w="236" w:type="dxa"/>
          </w:tcPr>
          <w:p w14:paraId="47176307" w14:textId="77777777" w:rsidR="00657A57" w:rsidRPr="00DB1D7C" w:rsidRDefault="00657A57" w:rsidP="00247F58">
            <w:pPr>
              <w:rPr>
                <w:rFonts w:ascii="Calibri" w:hAnsi="Calibri"/>
                <w:sz w:val="24"/>
                <w:szCs w:val="24"/>
              </w:rPr>
            </w:pPr>
          </w:p>
        </w:tc>
        <w:tc>
          <w:tcPr>
            <w:tcW w:w="7101" w:type="dxa"/>
          </w:tcPr>
          <w:p w14:paraId="673ED30A" w14:textId="77777777" w:rsidR="00657A57" w:rsidRPr="00DB1D7C" w:rsidRDefault="00657A57" w:rsidP="00247F58">
            <w:pPr>
              <w:rPr>
                <w:rFonts w:ascii="Calibri" w:hAnsi="Calibri"/>
                <w:sz w:val="24"/>
                <w:szCs w:val="24"/>
              </w:rPr>
            </w:pPr>
            <w:r w:rsidRPr="00DB1D7C">
              <w:rPr>
                <w:rFonts w:ascii="Calibri" w:hAnsi="Calibri"/>
                <w:sz w:val="24"/>
                <w:szCs w:val="24"/>
              </w:rPr>
              <w:t xml:space="preserve">The number of SD units that BMD differs from the young healthy </w:t>
            </w:r>
            <w:r w:rsidRPr="00DB1D7C">
              <w:rPr>
                <w:rFonts w:ascii="Calibri" w:hAnsi="Calibri"/>
                <w:sz w:val="24"/>
                <w:szCs w:val="24"/>
              </w:rPr>
              <w:lastRenderedPageBreak/>
              <w:t xml:space="preserve">reference population </w:t>
            </w:r>
          </w:p>
        </w:tc>
      </w:tr>
      <w:tr w:rsidR="00657A57" w:rsidRPr="00DB1D7C" w14:paraId="5EE81967" w14:textId="77777777" w:rsidTr="00A36A1B">
        <w:tc>
          <w:tcPr>
            <w:tcW w:w="1679" w:type="dxa"/>
          </w:tcPr>
          <w:p w14:paraId="73CAA3E8" w14:textId="77777777" w:rsidR="00657A57" w:rsidRPr="00DB1D7C" w:rsidRDefault="00657A57" w:rsidP="00247F58">
            <w:pPr>
              <w:rPr>
                <w:rFonts w:ascii="Calibri" w:hAnsi="Calibri"/>
                <w:sz w:val="24"/>
                <w:szCs w:val="24"/>
              </w:rPr>
            </w:pPr>
            <w:r w:rsidRPr="00DB1D7C">
              <w:rPr>
                <w:rFonts w:ascii="Calibri" w:hAnsi="Calibri"/>
                <w:sz w:val="24"/>
                <w:szCs w:val="24"/>
              </w:rPr>
              <w:lastRenderedPageBreak/>
              <w:t>WHO</w:t>
            </w:r>
          </w:p>
        </w:tc>
        <w:tc>
          <w:tcPr>
            <w:tcW w:w="236" w:type="dxa"/>
          </w:tcPr>
          <w:p w14:paraId="3FFEE29C" w14:textId="77777777" w:rsidR="00657A57" w:rsidRPr="00DB1D7C" w:rsidRDefault="00657A57" w:rsidP="00247F58">
            <w:pPr>
              <w:rPr>
                <w:rFonts w:ascii="Calibri" w:hAnsi="Calibri"/>
                <w:sz w:val="24"/>
                <w:szCs w:val="24"/>
              </w:rPr>
            </w:pPr>
          </w:p>
        </w:tc>
        <w:tc>
          <w:tcPr>
            <w:tcW w:w="7101" w:type="dxa"/>
          </w:tcPr>
          <w:p w14:paraId="304840BB" w14:textId="77777777" w:rsidR="00657A57" w:rsidRPr="00DB1D7C" w:rsidRDefault="00657A57" w:rsidP="00247F58">
            <w:pPr>
              <w:rPr>
                <w:rFonts w:ascii="Calibri" w:hAnsi="Calibri"/>
                <w:sz w:val="24"/>
                <w:szCs w:val="24"/>
              </w:rPr>
            </w:pPr>
            <w:r w:rsidRPr="00DB1D7C">
              <w:rPr>
                <w:rFonts w:ascii="Calibri" w:hAnsi="Calibri"/>
                <w:sz w:val="24"/>
                <w:szCs w:val="24"/>
              </w:rPr>
              <w:t>World Health Organization</w:t>
            </w:r>
          </w:p>
        </w:tc>
      </w:tr>
      <w:tr w:rsidR="00657A57" w:rsidRPr="00DB1D7C" w14:paraId="38F766FB" w14:textId="77777777" w:rsidTr="00A36A1B">
        <w:tc>
          <w:tcPr>
            <w:tcW w:w="1679" w:type="dxa"/>
          </w:tcPr>
          <w:p w14:paraId="09236B99" w14:textId="77777777" w:rsidR="00657A57" w:rsidRPr="00DB1D7C" w:rsidRDefault="00657A57" w:rsidP="00247F58">
            <w:pPr>
              <w:rPr>
                <w:rFonts w:ascii="Calibri" w:hAnsi="Calibri"/>
                <w:sz w:val="24"/>
                <w:szCs w:val="24"/>
              </w:rPr>
            </w:pPr>
            <w:r w:rsidRPr="00DB1D7C">
              <w:rPr>
                <w:rFonts w:ascii="Calibri" w:hAnsi="Calibri"/>
                <w:sz w:val="24"/>
                <w:szCs w:val="24"/>
              </w:rPr>
              <w:t>YAM</w:t>
            </w:r>
          </w:p>
        </w:tc>
        <w:tc>
          <w:tcPr>
            <w:tcW w:w="236" w:type="dxa"/>
          </w:tcPr>
          <w:p w14:paraId="2EE384A1" w14:textId="77777777" w:rsidR="00657A57" w:rsidRPr="00DB1D7C" w:rsidRDefault="00657A57" w:rsidP="00247F58">
            <w:pPr>
              <w:rPr>
                <w:rFonts w:ascii="Calibri" w:hAnsi="Calibri"/>
                <w:sz w:val="24"/>
                <w:szCs w:val="24"/>
              </w:rPr>
            </w:pPr>
          </w:p>
        </w:tc>
        <w:tc>
          <w:tcPr>
            <w:tcW w:w="7101" w:type="dxa"/>
          </w:tcPr>
          <w:p w14:paraId="6963E93B" w14:textId="77777777" w:rsidR="00657A57" w:rsidRPr="00DB1D7C" w:rsidRDefault="00657A57" w:rsidP="00247F58">
            <w:pPr>
              <w:rPr>
                <w:rFonts w:ascii="Calibri" w:hAnsi="Calibri"/>
                <w:sz w:val="24"/>
                <w:szCs w:val="24"/>
              </w:rPr>
            </w:pPr>
            <w:r w:rsidRPr="00DB1D7C">
              <w:rPr>
                <w:rFonts w:ascii="Calibri" w:hAnsi="Calibri"/>
                <w:sz w:val="24"/>
                <w:szCs w:val="24"/>
              </w:rPr>
              <w:t>Young adult mean values for BMD</w:t>
            </w:r>
          </w:p>
        </w:tc>
      </w:tr>
    </w:tbl>
    <w:p w14:paraId="448F1CB7" w14:textId="77777777" w:rsidR="00494BFD" w:rsidRPr="00DB1D7C" w:rsidRDefault="00494BFD" w:rsidP="00494BFD">
      <w:pPr>
        <w:rPr>
          <w:rFonts w:ascii="Calibri" w:hAnsi="Calibri"/>
          <w:b/>
          <w:sz w:val="24"/>
          <w:szCs w:val="24"/>
        </w:rPr>
      </w:pPr>
    </w:p>
    <w:p w14:paraId="414D625C" w14:textId="77777777" w:rsidR="00494BFD" w:rsidRPr="00DB1D7C" w:rsidRDefault="00494BFD" w:rsidP="00494BFD">
      <w:pPr>
        <w:rPr>
          <w:rFonts w:ascii="Calibri" w:hAnsi="Calibri"/>
          <w:b/>
          <w:sz w:val="24"/>
          <w:szCs w:val="24"/>
        </w:rPr>
      </w:pPr>
      <w:r w:rsidRPr="00DB1D7C">
        <w:rPr>
          <w:rFonts w:ascii="Calibri" w:hAnsi="Calibri"/>
          <w:b/>
          <w:sz w:val="24"/>
          <w:szCs w:val="24"/>
        </w:rPr>
        <w:t>Glossary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84"/>
        <w:gridCol w:w="5760"/>
      </w:tblGrid>
      <w:tr w:rsidR="00657A57" w:rsidRPr="00DB1D7C" w14:paraId="615ABCA6" w14:textId="77777777" w:rsidTr="00A36A1B">
        <w:tc>
          <w:tcPr>
            <w:tcW w:w="2972" w:type="dxa"/>
          </w:tcPr>
          <w:p w14:paraId="1221F89B" w14:textId="77777777" w:rsidR="00657A57" w:rsidRPr="00DB1D7C" w:rsidRDefault="00657A57" w:rsidP="00657A57">
            <w:pPr>
              <w:spacing w:line="276" w:lineRule="auto"/>
              <w:rPr>
                <w:rFonts w:ascii="Calibri" w:hAnsi="Calibri"/>
                <w:sz w:val="24"/>
                <w:szCs w:val="24"/>
              </w:rPr>
            </w:pPr>
            <w:r w:rsidRPr="00DB1D7C">
              <w:rPr>
                <w:rFonts w:ascii="Calibri" w:hAnsi="Calibri"/>
                <w:sz w:val="24"/>
                <w:szCs w:val="24"/>
              </w:rPr>
              <w:t>Age-dependent threshold</w:t>
            </w:r>
          </w:p>
        </w:tc>
        <w:tc>
          <w:tcPr>
            <w:tcW w:w="284" w:type="dxa"/>
          </w:tcPr>
          <w:p w14:paraId="3C4B1226" w14:textId="77777777" w:rsidR="00657A57" w:rsidRPr="00DB1D7C" w:rsidRDefault="00657A57" w:rsidP="00657A57">
            <w:pPr>
              <w:spacing w:line="276" w:lineRule="auto"/>
              <w:rPr>
                <w:rFonts w:ascii="Calibri" w:hAnsi="Calibri"/>
                <w:sz w:val="24"/>
                <w:szCs w:val="24"/>
              </w:rPr>
            </w:pPr>
          </w:p>
        </w:tc>
        <w:tc>
          <w:tcPr>
            <w:tcW w:w="5760" w:type="dxa"/>
          </w:tcPr>
          <w:p w14:paraId="27040C5B" w14:textId="5B5D632D" w:rsidR="00657A57" w:rsidRPr="00DB1D7C" w:rsidRDefault="00657A57" w:rsidP="00657A57">
            <w:pPr>
              <w:spacing w:line="276" w:lineRule="auto"/>
              <w:rPr>
                <w:rFonts w:ascii="Calibri" w:hAnsi="Calibri"/>
                <w:sz w:val="24"/>
                <w:szCs w:val="24"/>
              </w:rPr>
            </w:pPr>
            <w:r w:rsidRPr="00DB1D7C">
              <w:rPr>
                <w:rFonts w:ascii="Calibri" w:hAnsi="Calibri"/>
                <w:sz w:val="24"/>
                <w:szCs w:val="24"/>
              </w:rPr>
              <w:t>Intervention or assessment threshold of fracture  probability that varies with age</w:t>
            </w:r>
          </w:p>
        </w:tc>
      </w:tr>
      <w:tr w:rsidR="00CC3103" w:rsidRPr="00DB1D7C" w14:paraId="5C362BBF" w14:textId="77777777" w:rsidTr="00A36A1B">
        <w:tc>
          <w:tcPr>
            <w:tcW w:w="2972" w:type="dxa"/>
          </w:tcPr>
          <w:p w14:paraId="4D4199A6" w14:textId="71F0FD7C" w:rsidR="00CC3103" w:rsidRPr="00DB1D7C" w:rsidRDefault="00CC3103" w:rsidP="00657A57">
            <w:pPr>
              <w:spacing w:line="276" w:lineRule="auto"/>
              <w:rPr>
                <w:rFonts w:ascii="Calibri" w:hAnsi="Calibri"/>
                <w:sz w:val="24"/>
                <w:szCs w:val="24"/>
              </w:rPr>
            </w:pPr>
            <w:r w:rsidRPr="00DB1D7C">
              <w:rPr>
                <w:rFonts w:ascii="Calibri" w:hAnsi="Calibri"/>
                <w:sz w:val="24"/>
                <w:szCs w:val="24"/>
              </w:rPr>
              <w:t>Assessment threshold</w:t>
            </w:r>
          </w:p>
        </w:tc>
        <w:tc>
          <w:tcPr>
            <w:tcW w:w="284" w:type="dxa"/>
          </w:tcPr>
          <w:p w14:paraId="68B063D2" w14:textId="77777777" w:rsidR="00CC3103" w:rsidRPr="00DB1D7C" w:rsidRDefault="00CC3103" w:rsidP="00657A57">
            <w:pPr>
              <w:spacing w:line="276" w:lineRule="auto"/>
              <w:rPr>
                <w:rFonts w:ascii="Calibri" w:hAnsi="Calibri"/>
                <w:sz w:val="24"/>
                <w:szCs w:val="24"/>
              </w:rPr>
            </w:pPr>
          </w:p>
        </w:tc>
        <w:tc>
          <w:tcPr>
            <w:tcW w:w="5760" w:type="dxa"/>
          </w:tcPr>
          <w:p w14:paraId="51F26C6B" w14:textId="1CA500C0" w:rsidR="00CC3103" w:rsidRPr="00DB1D7C" w:rsidRDefault="00CC3103" w:rsidP="00657A57">
            <w:pPr>
              <w:spacing w:line="276" w:lineRule="auto"/>
              <w:rPr>
                <w:rFonts w:ascii="Calibri" w:hAnsi="Calibri"/>
                <w:sz w:val="24"/>
                <w:szCs w:val="24"/>
              </w:rPr>
            </w:pPr>
            <w:r w:rsidRPr="00DB1D7C">
              <w:rPr>
                <w:rFonts w:ascii="Calibri" w:hAnsi="Calibri"/>
                <w:sz w:val="24"/>
                <w:szCs w:val="24"/>
              </w:rPr>
              <w:t>The fracture probability at which further assessment id recommended (usually BMD)</w:t>
            </w:r>
          </w:p>
        </w:tc>
      </w:tr>
      <w:tr w:rsidR="00657A57" w:rsidRPr="00DB1D7C" w14:paraId="05A6C25D" w14:textId="77777777" w:rsidTr="00A36A1B">
        <w:tc>
          <w:tcPr>
            <w:tcW w:w="2972" w:type="dxa"/>
          </w:tcPr>
          <w:p w14:paraId="710411FB" w14:textId="77777777" w:rsidR="00657A57" w:rsidRPr="00DB1D7C" w:rsidRDefault="00657A57" w:rsidP="00657A57">
            <w:pPr>
              <w:spacing w:line="276" w:lineRule="auto"/>
              <w:rPr>
                <w:rFonts w:ascii="Calibri" w:hAnsi="Calibri"/>
                <w:sz w:val="24"/>
                <w:szCs w:val="24"/>
              </w:rPr>
            </w:pPr>
            <w:r w:rsidRPr="00DB1D7C">
              <w:rPr>
                <w:rFonts w:ascii="Calibri" w:hAnsi="Calibri"/>
                <w:sz w:val="24"/>
                <w:szCs w:val="24"/>
              </w:rPr>
              <w:t>Fixed threshold</w:t>
            </w:r>
          </w:p>
        </w:tc>
        <w:tc>
          <w:tcPr>
            <w:tcW w:w="284" w:type="dxa"/>
          </w:tcPr>
          <w:p w14:paraId="4432B6AE" w14:textId="77777777" w:rsidR="00657A57" w:rsidRPr="00DB1D7C" w:rsidRDefault="00657A57" w:rsidP="00657A57">
            <w:pPr>
              <w:spacing w:line="276" w:lineRule="auto"/>
              <w:rPr>
                <w:rFonts w:ascii="Calibri" w:hAnsi="Calibri"/>
                <w:sz w:val="24"/>
                <w:szCs w:val="24"/>
              </w:rPr>
            </w:pPr>
          </w:p>
        </w:tc>
        <w:tc>
          <w:tcPr>
            <w:tcW w:w="5760" w:type="dxa"/>
          </w:tcPr>
          <w:p w14:paraId="68970BA6" w14:textId="48FF915F" w:rsidR="00657A57" w:rsidRPr="00DB1D7C" w:rsidRDefault="00657A57" w:rsidP="00657A57">
            <w:pPr>
              <w:spacing w:line="276" w:lineRule="auto"/>
              <w:rPr>
                <w:rFonts w:ascii="Calibri" w:hAnsi="Calibri"/>
                <w:sz w:val="24"/>
                <w:szCs w:val="24"/>
              </w:rPr>
            </w:pPr>
            <w:r w:rsidRPr="00DB1D7C">
              <w:rPr>
                <w:rFonts w:ascii="Calibri" w:hAnsi="Calibri"/>
                <w:sz w:val="24"/>
                <w:szCs w:val="24"/>
              </w:rPr>
              <w:t>Intervention or assessment threshold of fracture  probability that is fixed over all ages</w:t>
            </w:r>
          </w:p>
        </w:tc>
      </w:tr>
      <w:tr w:rsidR="00657A57" w:rsidRPr="00DB1D7C" w14:paraId="3056D34B" w14:textId="77777777" w:rsidTr="00A36A1B">
        <w:tc>
          <w:tcPr>
            <w:tcW w:w="2972" w:type="dxa"/>
          </w:tcPr>
          <w:p w14:paraId="697B2234" w14:textId="77777777" w:rsidR="00657A57" w:rsidRPr="00DB1D7C" w:rsidRDefault="00657A57" w:rsidP="00657A57">
            <w:pPr>
              <w:spacing w:line="276" w:lineRule="auto"/>
              <w:rPr>
                <w:rFonts w:ascii="Calibri" w:hAnsi="Calibri"/>
                <w:sz w:val="24"/>
                <w:szCs w:val="24"/>
              </w:rPr>
            </w:pPr>
            <w:r w:rsidRPr="00DB1D7C">
              <w:rPr>
                <w:rFonts w:ascii="Calibri" w:hAnsi="Calibri"/>
                <w:sz w:val="24"/>
                <w:szCs w:val="24"/>
              </w:rPr>
              <w:t>Fracture threshold</w:t>
            </w:r>
          </w:p>
        </w:tc>
        <w:tc>
          <w:tcPr>
            <w:tcW w:w="284" w:type="dxa"/>
          </w:tcPr>
          <w:p w14:paraId="33DC1C7A" w14:textId="77777777" w:rsidR="00657A57" w:rsidRPr="00DB1D7C" w:rsidRDefault="00657A57" w:rsidP="00657A57">
            <w:pPr>
              <w:spacing w:line="276" w:lineRule="auto"/>
              <w:rPr>
                <w:rFonts w:ascii="Calibri" w:hAnsi="Calibri"/>
                <w:sz w:val="24"/>
                <w:szCs w:val="24"/>
              </w:rPr>
            </w:pPr>
          </w:p>
        </w:tc>
        <w:tc>
          <w:tcPr>
            <w:tcW w:w="5760" w:type="dxa"/>
          </w:tcPr>
          <w:p w14:paraId="1E3D4A44" w14:textId="31921565" w:rsidR="00657A57" w:rsidRPr="00DB1D7C" w:rsidRDefault="00657A57" w:rsidP="00657A57">
            <w:pPr>
              <w:spacing w:line="276" w:lineRule="auto"/>
              <w:rPr>
                <w:rFonts w:ascii="Calibri" w:hAnsi="Calibri"/>
                <w:sz w:val="24"/>
                <w:szCs w:val="24"/>
              </w:rPr>
            </w:pPr>
            <w:r w:rsidRPr="00DB1D7C">
              <w:rPr>
                <w:rFonts w:ascii="Calibri" w:hAnsi="Calibri"/>
                <w:sz w:val="24"/>
                <w:szCs w:val="24"/>
              </w:rPr>
              <w:t>The average probability of fracture for a specific age</w:t>
            </w:r>
          </w:p>
        </w:tc>
      </w:tr>
      <w:tr w:rsidR="00657A57" w:rsidRPr="00DB1D7C" w14:paraId="359BD5E7" w14:textId="77777777" w:rsidTr="00A36A1B">
        <w:tc>
          <w:tcPr>
            <w:tcW w:w="2972" w:type="dxa"/>
          </w:tcPr>
          <w:p w14:paraId="0DF4ADC1" w14:textId="77777777" w:rsidR="00657A57" w:rsidRPr="00DB1D7C" w:rsidRDefault="00657A57" w:rsidP="00657A57">
            <w:pPr>
              <w:spacing w:line="276" w:lineRule="auto"/>
              <w:rPr>
                <w:rFonts w:ascii="Calibri" w:hAnsi="Calibri"/>
                <w:sz w:val="24"/>
                <w:szCs w:val="24"/>
              </w:rPr>
            </w:pPr>
            <w:r w:rsidRPr="00DB1D7C">
              <w:rPr>
                <w:rFonts w:ascii="Calibri" w:hAnsi="Calibri"/>
                <w:sz w:val="24"/>
                <w:szCs w:val="24"/>
              </w:rPr>
              <w:t>Hybrid threshold</w:t>
            </w:r>
          </w:p>
        </w:tc>
        <w:tc>
          <w:tcPr>
            <w:tcW w:w="284" w:type="dxa"/>
          </w:tcPr>
          <w:p w14:paraId="7EBA7FDB" w14:textId="77777777" w:rsidR="00657A57" w:rsidRPr="00DB1D7C" w:rsidRDefault="00657A57" w:rsidP="00657A57">
            <w:pPr>
              <w:spacing w:line="276" w:lineRule="auto"/>
              <w:rPr>
                <w:rFonts w:ascii="Calibri" w:hAnsi="Calibri"/>
                <w:sz w:val="24"/>
                <w:szCs w:val="24"/>
              </w:rPr>
            </w:pPr>
          </w:p>
        </w:tc>
        <w:tc>
          <w:tcPr>
            <w:tcW w:w="5760" w:type="dxa"/>
          </w:tcPr>
          <w:p w14:paraId="53C7DDFB" w14:textId="6B2CFE95" w:rsidR="00657A57" w:rsidRPr="00DB1D7C" w:rsidRDefault="00657A57" w:rsidP="00657A57">
            <w:pPr>
              <w:spacing w:line="276" w:lineRule="auto"/>
              <w:rPr>
                <w:rFonts w:ascii="Calibri" w:hAnsi="Calibri"/>
                <w:sz w:val="24"/>
                <w:szCs w:val="24"/>
              </w:rPr>
            </w:pPr>
            <w:r w:rsidRPr="00DB1D7C">
              <w:rPr>
                <w:rFonts w:ascii="Calibri" w:hAnsi="Calibri"/>
                <w:sz w:val="24"/>
                <w:szCs w:val="24"/>
              </w:rPr>
              <w:t>Intervention or assessment threshold of fracture  probability that partly varies with age and is partly fixed</w:t>
            </w:r>
          </w:p>
        </w:tc>
      </w:tr>
      <w:tr w:rsidR="00657A57" w:rsidRPr="00DB1D7C" w14:paraId="31F42558" w14:textId="77777777" w:rsidTr="00A36A1B">
        <w:tc>
          <w:tcPr>
            <w:tcW w:w="2972" w:type="dxa"/>
          </w:tcPr>
          <w:p w14:paraId="3669D217" w14:textId="77777777" w:rsidR="00657A57" w:rsidRPr="00DB1D7C" w:rsidRDefault="00657A57" w:rsidP="00657A57">
            <w:pPr>
              <w:spacing w:line="276" w:lineRule="auto"/>
              <w:rPr>
                <w:rFonts w:ascii="Calibri" w:hAnsi="Calibri"/>
                <w:sz w:val="24"/>
                <w:szCs w:val="24"/>
              </w:rPr>
            </w:pPr>
            <w:r w:rsidRPr="00DB1D7C">
              <w:rPr>
                <w:rFonts w:ascii="Calibri" w:hAnsi="Calibri"/>
                <w:sz w:val="24"/>
                <w:szCs w:val="24"/>
              </w:rPr>
              <w:t>Intervention threshold</w:t>
            </w:r>
          </w:p>
        </w:tc>
        <w:tc>
          <w:tcPr>
            <w:tcW w:w="284" w:type="dxa"/>
          </w:tcPr>
          <w:p w14:paraId="14AD87A9" w14:textId="77777777" w:rsidR="00657A57" w:rsidRPr="00DB1D7C" w:rsidRDefault="00657A57" w:rsidP="00657A57">
            <w:pPr>
              <w:spacing w:line="276" w:lineRule="auto"/>
              <w:rPr>
                <w:rFonts w:ascii="Calibri" w:hAnsi="Calibri"/>
                <w:sz w:val="24"/>
                <w:szCs w:val="24"/>
              </w:rPr>
            </w:pPr>
          </w:p>
        </w:tc>
        <w:tc>
          <w:tcPr>
            <w:tcW w:w="5760" w:type="dxa"/>
          </w:tcPr>
          <w:p w14:paraId="603A26EC" w14:textId="77777777" w:rsidR="00657A57" w:rsidRPr="00DB1D7C" w:rsidRDefault="00657A57" w:rsidP="00657A57">
            <w:pPr>
              <w:spacing w:line="276" w:lineRule="auto"/>
              <w:rPr>
                <w:rFonts w:ascii="Calibri" w:hAnsi="Calibri"/>
                <w:sz w:val="24"/>
                <w:szCs w:val="24"/>
              </w:rPr>
            </w:pPr>
            <w:r w:rsidRPr="00DB1D7C">
              <w:rPr>
                <w:rFonts w:ascii="Calibri" w:hAnsi="Calibri"/>
                <w:sz w:val="24"/>
                <w:szCs w:val="24"/>
              </w:rPr>
              <w:t>For this report, the fracture probability at which treatment is recommended</w:t>
            </w:r>
          </w:p>
        </w:tc>
      </w:tr>
      <w:tr w:rsidR="00657A57" w:rsidRPr="00DB1D7C" w14:paraId="55129509" w14:textId="77777777" w:rsidTr="00A36A1B">
        <w:tc>
          <w:tcPr>
            <w:tcW w:w="2972" w:type="dxa"/>
          </w:tcPr>
          <w:p w14:paraId="7E49733D" w14:textId="77777777" w:rsidR="00657A57" w:rsidRPr="00DB1D7C" w:rsidRDefault="00657A57" w:rsidP="00657A57">
            <w:pPr>
              <w:spacing w:line="276" w:lineRule="auto"/>
              <w:rPr>
                <w:rFonts w:ascii="Calibri" w:hAnsi="Calibri"/>
                <w:sz w:val="24"/>
                <w:szCs w:val="24"/>
              </w:rPr>
            </w:pPr>
            <w:r w:rsidRPr="00DB1D7C">
              <w:rPr>
                <w:rFonts w:ascii="Calibri" w:hAnsi="Calibri"/>
                <w:sz w:val="24"/>
                <w:szCs w:val="24"/>
              </w:rPr>
              <w:t>Major osteoporotic fracture</w:t>
            </w:r>
          </w:p>
        </w:tc>
        <w:tc>
          <w:tcPr>
            <w:tcW w:w="284" w:type="dxa"/>
          </w:tcPr>
          <w:p w14:paraId="62D6D5EE" w14:textId="77777777" w:rsidR="00657A57" w:rsidRPr="00DB1D7C" w:rsidRDefault="00657A57" w:rsidP="00657A57">
            <w:pPr>
              <w:spacing w:line="276" w:lineRule="auto"/>
              <w:rPr>
                <w:rFonts w:ascii="Calibri" w:hAnsi="Calibri"/>
                <w:sz w:val="24"/>
                <w:szCs w:val="24"/>
              </w:rPr>
            </w:pPr>
          </w:p>
        </w:tc>
        <w:tc>
          <w:tcPr>
            <w:tcW w:w="5760" w:type="dxa"/>
          </w:tcPr>
          <w:p w14:paraId="66DA0584" w14:textId="77777777" w:rsidR="00657A57" w:rsidRPr="00DB1D7C" w:rsidRDefault="00657A57" w:rsidP="00657A57">
            <w:pPr>
              <w:spacing w:line="276" w:lineRule="auto"/>
              <w:rPr>
                <w:rFonts w:ascii="Calibri" w:hAnsi="Calibri"/>
                <w:sz w:val="24"/>
                <w:szCs w:val="24"/>
              </w:rPr>
            </w:pPr>
            <w:r w:rsidRPr="00DB1D7C">
              <w:rPr>
                <w:rFonts w:ascii="Calibri" w:hAnsi="Calibri"/>
                <w:sz w:val="24"/>
                <w:szCs w:val="24"/>
              </w:rPr>
              <w:t>Fracture of hip, spine (clinical), distal forearm or humerus.</w:t>
            </w:r>
          </w:p>
        </w:tc>
      </w:tr>
      <w:tr w:rsidR="00657A57" w:rsidRPr="00DB1D7C" w14:paraId="1C942B10" w14:textId="77777777" w:rsidTr="00A36A1B">
        <w:tc>
          <w:tcPr>
            <w:tcW w:w="2972" w:type="dxa"/>
          </w:tcPr>
          <w:p w14:paraId="44EC4C51" w14:textId="77777777" w:rsidR="00657A57" w:rsidRPr="00DB1D7C" w:rsidRDefault="00657A57" w:rsidP="00657A57">
            <w:pPr>
              <w:spacing w:line="276" w:lineRule="auto"/>
              <w:rPr>
                <w:rFonts w:ascii="Calibri" w:hAnsi="Calibri"/>
                <w:sz w:val="24"/>
                <w:szCs w:val="24"/>
              </w:rPr>
            </w:pPr>
            <w:r w:rsidRPr="00DB1D7C">
              <w:rPr>
                <w:rFonts w:ascii="Calibri" w:hAnsi="Calibri"/>
                <w:sz w:val="24"/>
                <w:szCs w:val="24"/>
              </w:rPr>
              <w:t>NOGG strategy</w:t>
            </w:r>
          </w:p>
        </w:tc>
        <w:tc>
          <w:tcPr>
            <w:tcW w:w="284" w:type="dxa"/>
          </w:tcPr>
          <w:p w14:paraId="3838954B" w14:textId="77777777" w:rsidR="00657A57" w:rsidRPr="00DB1D7C" w:rsidRDefault="00657A57" w:rsidP="00657A57">
            <w:pPr>
              <w:spacing w:line="276" w:lineRule="auto"/>
              <w:rPr>
                <w:rFonts w:ascii="Calibri" w:hAnsi="Calibri"/>
                <w:sz w:val="24"/>
                <w:szCs w:val="24"/>
              </w:rPr>
            </w:pPr>
          </w:p>
        </w:tc>
        <w:tc>
          <w:tcPr>
            <w:tcW w:w="5760" w:type="dxa"/>
          </w:tcPr>
          <w:p w14:paraId="6DC43E3A" w14:textId="37D2B012" w:rsidR="00657A57" w:rsidRPr="00DB1D7C" w:rsidRDefault="00CC3103" w:rsidP="00CC3103">
            <w:pPr>
              <w:spacing w:line="276" w:lineRule="auto"/>
              <w:rPr>
                <w:rFonts w:ascii="Calibri" w:hAnsi="Calibri"/>
                <w:sz w:val="24"/>
                <w:szCs w:val="24"/>
              </w:rPr>
            </w:pPr>
            <w:r w:rsidRPr="00DB1D7C">
              <w:rPr>
                <w:rFonts w:ascii="Calibri" w:hAnsi="Calibri"/>
                <w:sz w:val="24"/>
                <w:szCs w:val="24"/>
              </w:rPr>
              <w:t>The strategy that describes intervention or assessment threshold of fracture  probability that varies with age</w:t>
            </w:r>
          </w:p>
        </w:tc>
      </w:tr>
      <w:tr w:rsidR="00657A57" w:rsidRPr="00DB1D7C" w14:paraId="7AEF3770" w14:textId="77777777" w:rsidTr="00A36A1B">
        <w:tc>
          <w:tcPr>
            <w:tcW w:w="2972" w:type="dxa"/>
          </w:tcPr>
          <w:p w14:paraId="7B44BF2E" w14:textId="77777777" w:rsidR="00657A57" w:rsidRPr="00DB1D7C" w:rsidRDefault="00657A57" w:rsidP="00657A57">
            <w:pPr>
              <w:spacing w:line="276" w:lineRule="auto"/>
              <w:rPr>
                <w:rFonts w:ascii="Calibri" w:hAnsi="Calibri"/>
                <w:sz w:val="24"/>
                <w:szCs w:val="24"/>
              </w:rPr>
            </w:pPr>
            <w:r w:rsidRPr="00DB1D7C">
              <w:rPr>
                <w:rFonts w:ascii="Calibri" w:hAnsi="Calibri"/>
                <w:sz w:val="24"/>
                <w:szCs w:val="24"/>
              </w:rPr>
              <w:t>Osteopenia</w:t>
            </w:r>
          </w:p>
        </w:tc>
        <w:tc>
          <w:tcPr>
            <w:tcW w:w="284" w:type="dxa"/>
          </w:tcPr>
          <w:p w14:paraId="176734A9" w14:textId="77777777" w:rsidR="00657A57" w:rsidRPr="00DB1D7C" w:rsidRDefault="00657A57" w:rsidP="00657A57">
            <w:pPr>
              <w:spacing w:line="276" w:lineRule="auto"/>
              <w:rPr>
                <w:rFonts w:ascii="Calibri" w:hAnsi="Calibri"/>
                <w:sz w:val="24"/>
                <w:szCs w:val="24"/>
              </w:rPr>
            </w:pPr>
          </w:p>
        </w:tc>
        <w:tc>
          <w:tcPr>
            <w:tcW w:w="5760" w:type="dxa"/>
          </w:tcPr>
          <w:p w14:paraId="6D5BEF10" w14:textId="698B1B0B" w:rsidR="00657A57" w:rsidRPr="00DB1D7C" w:rsidRDefault="00CC3103" w:rsidP="00552C49">
            <w:pPr>
              <w:spacing w:line="276" w:lineRule="auto"/>
              <w:rPr>
                <w:rFonts w:ascii="Calibri" w:hAnsi="Calibri"/>
                <w:sz w:val="24"/>
                <w:szCs w:val="24"/>
              </w:rPr>
            </w:pPr>
            <w:r w:rsidRPr="00DB1D7C">
              <w:rPr>
                <w:rFonts w:ascii="Calibri" w:hAnsi="Calibri"/>
                <w:sz w:val="24"/>
                <w:szCs w:val="24"/>
              </w:rPr>
              <w:t xml:space="preserve">In this report, BMD defined </w:t>
            </w:r>
            <w:r w:rsidR="00552C49">
              <w:rPr>
                <w:rFonts w:ascii="Calibri" w:hAnsi="Calibri"/>
                <w:sz w:val="24"/>
                <w:szCs w:val="24"/>
              </w:rPr>
              <w:t>:</w:t>
            </w:r>
            <w:r w:rsidRPr="00DB1D7C">
              <w:rPr>
                <w:rFonts w:ascii="Calibri" w:hAnsi="Calibri"/>
                <w:sz w:val="24"/>
                <w:szCs w:val="24"/>
              </w:rPr>
              <w:t xml:space="preserve"> a T-score of between -1 and -2.5</w:t>
            </w:r>
          </w:p>
        </w:tc>
      </w:tr>
      <w:tr w:rsidR="00657A57" w:rsidRPr="00DB1D7C" w14:paraId="29BFD683" w14:textId="77777777" w:rsidTr="00A36A1B">
        <w:tc>
          <w:tcPr>
            <w:tcW w:w="2972" w:type="dxa"/>
          </w:tcPr>
          <w:p w14:paraId="462EC2FE" w14:textId="77777777" w:rsidR="00657A57" w:rsidRPr="00DB1D7C" w:rsidRDefault="00657A57" w:rsidP="00657A57">
            <w:pPr>
              <w:spacing w:line="276" w:lineRule="auto"/>
              <w:rPr>
                <w:rFonts w:ascii="Calibri" w:hAnsi="Calibri"/>
                <w:sz w:val="24"/>
                <w:szCs w:val="24"/>
              </w:rPr>
            </w:pPr>
            <w:r w:rsidRPr="00DB1D7C">
              <w:rPr>
                <w:rFonts w:ascii="Calibri" w:hAnsi="Calibri"/>
                <w:sz w:val="24"/>
                <w:szCs w:val="24"/>
              </w:rPr>
              <w:t>Osteoporosis</w:t>
            </w:r>
          </w:p>
        </w:tc>
        <w:tc>
          <w:tcPr>
            <w:tcW w:w="284" w:type="dxa"/>
          </w:tcPr>
          <w:p w14:paraId="0AFB5521" w14:textId="77777777" w:rsidR="00657A57" w:rsidRPr="00DB1D7C" w:rsidRDefault="00657A57" w:rsidP="00657A57">
            <w:pPr>
              <w:spacing w:line="276" w:lineRule="auto"/>
              <w:rPr>
                <w:rFonts w:ascii="Calibri" w:hAnsi="Calibri"/>
                <w:sz w:val="24"/>
                <w:szCs w:val="24"/>
              </w:rPr>
            </w:pPr>
          </w:p>
        </w:tc>
        <w:tc>
          <w:tcPr>
            <w:tcW w:w="5760" w:type="dxa"/>
          </w:tcPr>
          <w:p w14:paraId="66FD9812" w14:textId="15AD6CEB" w:rsidR="00657A57" w:rsidRPr="00DB1D7C" w:rsidRDefault="00657A57" w:rsidP="00552C49">
            <w:pPr>
              <w:spacing w:line="276" w:lineRule="auto"/>
              <w:rPr>
                <w:rFonts w:ascii="Calibri" w:hAnsi="Calibri"/>
                <w:sz w:val="24"/>
                <w:szCs w:val="24"/>
              </w:rPr>
            </w:pPr>
            <w:r w:rsidRPr="00DB1D7C">
              <w:rPr>
                <w:rFonts w:ascii="Calibri" w:hAnsi="Calibri"/>
                <w:sz w:val="24"/>
                <w:szCs w:val="24"/>
              </w:rPr>
              <w:t xml:space="preserve">In this report, BMD defined </w:t>
            </w:r>
            <w:r w:rsidR="00552C49">
              <w:rPr>
                <w:rFonts w:ascii="Calibri" w:hAnsi="Calibri"/>
                <w:sz w:val="24"/>
                <w:szCs w:val="24"/>
              </w:rPr>
              <w:t>:</w:t>
            </w:r>
            <w:r w:rsidRPr="00DB1D7C">
              <w:rPr>
                <w:rFonts w:ascii="Calibri" w:hAnsi="Calibri"/>
                <w:sz w:val="24"/>
                <w:szCs w:val="24"/>
              </w:rPr>
              <w:t xml:space="preserve"> a T-score of </w:t>
            </w:r>
            <w:r w:rsidRPr="00DB1D7C">
              <w:rPr>
                <w:rFonts w:ascii="Calibri" w:hAnsi="Calibri"/>
                <w:sz w:val="24"/>
                <w:szCs w:val="24"/>
                <w:u w:val="single"/>
              </w:rPr>
              <w:t>&lt;</w:t>
            </w:r>
            <w:r w:rsidRPr="00DB1D7C">
              <w:rPr>
                <w:rFonts w:ascii="Calibri" w:hAnsi="Calibri"/>
                <w:sz w:val="24"/>
                <w:szCs w:val="24"/>
              </w:rPr>
              <w:t xml:space="preserve"> -2.5</w:t>
            </w:r>
          </w:p>
        </w:tc>
      </w:tr>
    </w:tbl>
    <w:p w14:paraId="1537184D" w14:textId="5F456692" w:rsidR="00496DB1" w:rsidRPr="00DB1D7C" w:rsidRDefault="00496DB1" w:rsidP="007F36B6">
      <w:pPr>
        <w:spacing w:line="276" w:lineRule="auto"/>
        <w:rPr>
          <w:rFonts w:eastAsia="Times New Roman" w:cs="Times New Roman"/>
          <w:color w:val="000000"/>
          <w:sz w:val="20"/>
          <w:szCs w:val="20"/>
          <w:lang w:eastAsia="en-GB"/>
        </w:rPr>
      </w:pPr>
    </w:p>
    <w:p w14:paraId="559F5E7E" w14:textId="77777777" w:rsidR="00775DAF" w:rsidRDefault="00775DAF" w:rsidP="007F36B6">
      <w:pPr>
        <w:spacing w:line="276" w:lineRule="auto"/>
        <w:rPr>
          <w:sz w:val="20"/>
          <w:szCs w:val="20"/>
        </w:rPr>
      </w:pPr>
    </w:p>
    <w:p w14:paraId="6A28AF98" w14:textId="77777777" w:rsidR="008C6E68" w:rsidRDefault="008C6E68" w:rsidP="007F36B6">
      <w:pPr>
        <w:spacing w:line="276" w:lineRule="auto"/>
        <w:rPr>
          <w:b/>
          <w:sz w:val="24"/>
          <w:szCs w:val="24"/>
        </w:rPr>
      </w:pPr>
    </w:p>
    <w:p w14:paraId="20A769E6" w14:textId="77777777" w:rsidR="008107BE" w:rsidRDefault="00510C70" w:rsidP="007F36B6">
      <w:pPr>
        <w:spacing w:line="276" w:lineRule="auto"/>
        <w:rPr>
          <w:sz w:val="24"/>
          <w:szCs w:val="24"/>
        </w:rPr>
      </w:pPr>
      <w:r w:rsidRPr="008107BE">
        <w:rPr>
          <w:b/>
          <w:sz w:val="28"/>
          <w:szCs w:val="28"/>
        </w:rPr>
        <w:t>Appendix</w:t>
      </w:r>
      <w:r w:rsidR="008107BE">
        <w:rPr>
          <w:b/>
          <w:sz w:val="24"/>
          <w:szCs w:val="24"/>
        </w:rPr>
        <w:t xml:space="preserve"> </w:t>
      </w:r>
      <w:r w:rsidR="00DD632B" w:rsidRPr="00DD632B">
        <w:rPr>
          <w:sz w:val="24"/>
          <w:szCs w:val="24"/>
        </w:rPr>
        <w:t>Redundant references from systematic search</w:t>
      </w:r>
      <w:r w:rsidR="001155ED">
        <w:rPr>
          <w:sz w:val="24"/>
          <w:szCs w:val="24"/>
        </w:rPr>
        <w:t xml:space="preserve">. </w:t>
      </w:r>
    </w:p>
    <w:p w14:paraId="5AAEEF2E" w14:textId="06CBAD50" w:rsidR="00510C70" w:rsidRPr="00DD632B" w:rsidRDefault="001155ED" w:rsidP="007F36B6">
      <w:pPr>
        <w:spacing w:line="276" w:lineRule="auto"/>
        <w:rPr>
          <w:sz w:val="24"/>
          <w:szCs w:val="24"/>
        </w:rPr>
      </w:pPr>
      <w:r>
        <w:rPr>
          <w:sz w:val="24"/>
          <w:szCs w:val="24"/>
        </w:rPr>
        <w:t xml:space="preserve"> </w:t>
      </w:r>
    </w:p>
    <w:p w14:paraId="697B9B42" w14:textId="77777777" w:rsidR="008F544A" w:rsidRPr="0020477C" w:rsidRDefault="008F544A" w:rsidP="00DD632B">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Adami S, </w:t>
      </w:r>
      <w:proofErr w:type="spellStart"/>
      <w:r w:rsidRPr="0020477C">
        <w:rPr>
          <w:rFonts w:eastAsia="Times New Roman" w:cs="Times New Roman"/>
          <w:color w:val="000000"/>
          <w:sz w:val="20"/>
          <w:szCs w:val="20"/>
          <w:lang w:eastAsia="en-GB"/>
        </w:rPr>
        <w:t>Bertoldo</w:t>
      </w:r>
      <w:proofErr w:type="spellEnd"/>
      <w:r w:rsidRPr="0020477C">
        <w:rPr>
          <w:rFonts w:eastAsia="Times New Roman" w:cs="Times New Roman"/>
          <w:color w:val="000000"/>
          <w:sz w:val="20"/>
          <w:szCs w:val="20"/>
          <w:lang w:eastAsia="en-GB"/>
        </w:rPr>
        <w:t xml:space="preserve"> F, </w:t>
      </w:r>
      <w:proofErr w:type="spellStart"/>
      <w:r w:rsidRPr="0020477C">
        <w:rPr>
          <w:rFonts w:eastAsia="Times New Roman" w:cs="Times New Roman"/>
          <w:color w:val="000000"/>
          <w:sz w:val="20"/>
          <w:szCs w:val="20"/>
          <w:lang w:eastAsia="en-GB"/>
        </w:rPr>
        <w:t>Gatti</w:t>
      </w:r>
      <w:proofErr w:type="spellEnd"/>
      <w:r w:rsidRPr="0020477C">
        <w:rPr>
          <w:rFonts w:eastAsia="Times New Roman" w:cs="Times New Roman"/>
          <w:color w:val="000000"/>
          <w:sz w:val="20"/>
          <w:szCs w:val="20"/>
          <w:lang w:eastAsia="en-GB"/>
        </w:rPr>
        <w:t xml:space="preserve"> D, et al (2013) Treatment thresholds for osteoporosis and </w:t>
      </w:r>
      <w:proofErr w:type="spellStart"/>
      <w:r w:rsidRPr="0020477C">
        <w:rPr>
          <w:rFonts w:eastAsia="Times New Roman" w:cs="Times New Roman"/>
          <w:color w:val="000000"/>
          <w:sz w:val="20"/>
          <w:szCs w:val="20"/>
          <w:lang w:eastAsia="en-GB"/>
        </w:rPr>
        <w:t>reimbursability</w:t>
      </w:r>
      <w:proofErr w:type="spellEnd"/>
      <w:r w:rsidRPr="0020477C">
        <w:rPr>
          <w:rFonts w:eastAsia="Times New Roman" w:cs="Times New Roman"/>
          <w:color w:val="000000"/>
          <w:sz w:val="20"/>
          <w:szCs w:val="20"/>
          <w:lang w:eastAsia="en-GB"/>
        </w:rPr>
        <w:t xml:space="preserve"> criteria: Perspectives associated with fracture risk-assessment tools. </w:t>
      </w:r>
      <w:proofErr w:type="spellStart"/>
      <w:r w:rsidRPr="0020477C">
        <w:rPr>
          <w:rFonts w:eastAsia="Times New Roman" w:cs="Times New Roman"/>
          <w:color w:val="000000"/>
          <w:sz w:val="20"/>
          <w:szCs w:val="20"/>
          <w:lang w:eastAsia="en-GB"/>
        </w:rPr>
        <w:t>Calcif</w:t>
      </w:r>
      <w:proofErr w:type="spellEnd"/>
      <w:r w:rsidRPr="0020477C">
        <w:rPr>
          <w:rFonts w:eastAsia="Times New Roman" w:cs="Times New Roman"/>
          <w:color w:val="000000"/>
          <w:sz w:val="20"/>
          <w:szCs w:val="20"/>
          <w:lang w:eastAsia="en-GB"/>
        </w:rPr>
        <w:t xml:space="preserve"> Tissue </w:t>
      </w:r>
      <w:proofErr w:type="spellStart"/>
      <w:r w:rsidRPr="0020477C">
        <w:rPr>
          <w:rFonts w:eastAsia="Times New Roman" w:cs="Times New Roman"/>
          <w:color w:val="000000"/>
          <w:sz w:val="20"/>
          <w:szCs w:val="20"/>
          <w:lang w:eastAsia="en-GB"/>
        </w:rPr>
        <w:t>Int</w:t>
      </w:r>
      <w:proofErr w:type="spellEnd"/>
      <w:r w:rsidRPr="0020477C">
        <w:rPr>
          <w:rFonts w:eastAsia="Times New Roman" w:cs="Times New Roman"/>
          <w:color w:val="000000"/>
          <w:sz w:val="20"/>
          <w:szCs w:val="20"/>
          <w:lang w:eastAsia="en-GB"/>
        </w:rPr>
        <w:t xml:space="preserve"> 93:  195-200.</w:t>
      </w:r>
    </w:p>
    <w:p w14:paraId="46002175" w14:textId="77777777" w:rsidR="008F544A" w:rsidRPr="00257A16" w:rsidRDefault="008F544A" w:rsidP="00DD632B">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Aker MB, Abu </w:t>
      </w:r>
      <w:proofErr w:type="spellStart"/>
      <w:r w:rsidRPr="0020477C">
        <w:rPr>
          <w:rFonts w:eastAsia="Times New Roman" w:cs="Times New Roman"/>
          <w:color w:val="000000"/>
          <w:sz w:val="20"/>
          <w:szCs w:val="20"/>
          <w:lang w:eastAsia="en-GB"/>
        </w:rPr>
        <w:t>Taha</w:t>
      </w:r>
      <w:proofErr w:type="spellEnd"/>
      <w:r w:rsidRPr="0020477C">
        <w:rPr>
          <w:rFonts w:eastAsia="Times New Roman" w:cs="Times New Roman"/>
          <w:color w:val="000000"/>
          <w:sz w:val="20"/>
          <w:szCs w:val="20"/>
          <w:lang w:eastAsia="en-GB"/>
        </w:rPr>
        <w:t xml:space="preserve"> AS, </w:t>
      </w:r>
      <w:proofErr w:type="spellStart"/>
      <w:r w:rsidRPr="0020477C">
        <w:rPr>
          <w:rFonts w:eastAsia="Times New Roman" w:cs="Times New Roman"/>
          <w:color w:val="000000"/>
          <w:sz w:val="20"/>
          <w:szCs w:val="20"/>
          <w:lang w:eastAsia="en-GB"/>
        </w:rPr>
        <w:t>Zyoud</w:t>
      </w:r>
      <w:proofErr w:type="spellEnd"/>
      <w:r w:rsidRPr="0020477C">
        <w:rPr>
          <w:rFonts w:eastAsia="Times New Roman" w:cs="Times New Roman"/>
          <w:color w:val="000000"/>
          <w:sz w:val="20"/>
          <w:szCs w:val="20"/>
          <w:lang w:eastAsia="en-GB"/>
        </w:rPr>
        <w:t xml:space="preserve"> SH, </w:t>
      </w:r>
      <w:proofErr w:type="spellStart"/>
      <w:r w:rsidRPr="0020477C">
        <w:rPr>
          <w:rFonts w:eastAsia="Times New Roman" w:cs="Times New Roman"/>
          <w:color w:val="000000"/>
          <w:sz w:val="20"/>
          <w:szCs w:val="20"/>
          <w:lang w:eastAsia="en-GB"/>
        </w:rPr>
        <w:t>Sawalha</w:t>
      </w:r>
      <w:proofErr w:type="spellEnd"/>
      <w:r w:rsidRPr="0020477C">
        <w:rPr>
          <w:rFonts w:eastAsia="Times New Roman" w:cs="Times New Roman"/>
          <w:color w:val="000000"/>
          <w:sz w:val="20"/>
          <w:szCs w:val="20"/>
          <w:lang w:eastAsia="en-GB"/>
        </w:rPr>
        <w:t xml:space="preserve"> AF, Al-</w:t>
      </w:r>
      <w:proofErr w:type="spellStart"/>
      <w:r w:rsidRPr="0020477C">
        <w:rPr>
          <w:rFonts w:eastAsia="Times New Roman" w:cs="Times New Roman"/>
          <w:color w:val="000000"/>
          <w:sz w:val="20"/>
          <w:szCs w:val="20"/>
          <w:lang w:eastAsia="en-GB"/>
        </w:rPr>
        <w:t>Jabi</w:t>
      </w:r>
      <w:proofErr w:type="spellEnd"/>
      <w:r w:rsidRPr="0020477C">
        <w:rPr>
          <w:rFonts w:eastAsia="Times New Roman" w:cs="Times New Roman"/>
          <w:color w:val="000000"/>
          <w:sz w:val="20"/>
          <w:szCs w:val="20"/>
          <w:lang w:eastAsia="en-GB"/>
        </w:rPr>
        <w:t xml:space="preserve"> SW, </w:t>
      </w:r>
      <w:proofErr w:type="spellStart"/>
      <w:r w:rsidRPr="0020477C">
        <w:rPr>
          <w:rFonts w:eastAsia="Times New Roman" w:cs="Times New Roman"/>
          <w:color w:val="000000"/>
          <w:sz w:val="20"/>
          <w:szCs w:val="20"/>
          <w:lang w:eastAsia="en-GB"/>
        </w:rPr>
        <w:t>Sweileh</w:t>
      </w:r>
      <w:proofErr w:type="spellEnd"/>
      <w:r w:rsidRPr="0020477C">
        <w:rPr>
          <w:rFonts w:eastAsia="Times New Roman" w:cs="Times New Roman"/>
          <w:color w:val="000000"/>
          <w:sz w:val="20"/>
          <w:szCs w:val="20"/>
          <w:lang w:eastAsia="en-GB"/>
        </w:rPr>
        <w:t xml:space="preserve"> WM (2013) Estimation of 10-year probability bone fracture in a selected sample of Palestinian people using fracture risk assessment tool. </w:t>
      </w:r>
      <w:proofErr w:type="spellStart"/>
      <w:r w:rsidRPr="00257A16">
        <w:rPr>
          <w:rFonts w:eastAsia="Times New Roman" w:cs="Times New Roman"/>
          <w:color w:val="000000"/>
          <w:sz w:val="20"/>
          <w:szCs w:val="20"/>
          <w:lang w:eastAsia="en-GB"/>
        </w:rPr>
        <w:t>Bmc</w:t>
      </w:r>
      <w:proofErr w:type="spellEnd"/>
      <w:r w:rsidRPr="00257A16">
        <w:rPr>
          <w:rFonts w:eastAsia="Times New Roman" w:cs="Times New Roman"/>
          <w:color w:val="000000"/>
          <w:sz w:val="20"/>
          <w:szCs w:val="20"/>
          <w:lang w:eastAsia="en-GB"/>
        </w:rPr>
        <w:t xml:space="preserve"> Musculoskeletal Disorders 2013; 14.</w:t>
      </w:r>
    </w:p>
    <w:p w14:paraId="0E106C02" w14:textId="77777777" w:rsidR="008F544A" w:rsidRPr="0020477C" w:rsidRDefault="008F544A" w:rsidP="001155ED">
      <w:pPr>
        <w:spacing w:line="240" w:lineRule="auto"/>
        <w:rPr>
          <w:rFonts w:eastAsia="Times New Roman" w:cs="Times New Roman"/>
          <w:color w:val="000000"/>
          <w:sz w:val="20"/>
          <w:szCs w:val="20"/>
          <w:lang w:eastAsia="en-GB"/>
        </w:rPr>
      </w:pPr>
      <w:proofErr w:type="spellStart"/>
      <w:r w:rsidRPr="0020477C">
        <w:rPr>
          <w:rFonts w:eastAsia="Times New Roman" w:cs="Times New Roman"/>
          <w:color w:val="000000"/>
          <w:sz w:val="20"/>
          <w:szCs w:val="20"/>
          <w:lang w:eastAsia="en-GB"/>
        </w:rPr>
        <w:t>Atik</w:t>
      </w:r>
      <w:proofErr w:type="spellEnd"/>
      <w:r w:rsidRPr="0020477C">
        <w:rPr>
          <w:rFonts w:eastAsia="Times New Roman" w:cs="Times New Roman"/>
          <w:color w:val="000000"/>
          <w:sz w:val="20"/>
          <w:szCs w:val="20"/>
          <w:lang w:eastAsia="en-GB"/>
        </w:rPr>
        <w:t xml:space="preserve"> OS (2013) How valid FRAX is in different countries? </w:t>
      </w:r>
      <w:proofErr w:type="spellStart"/>
      <w:r w:rsidRPr="0020477C">
        <w:rPr>
          <w:rFonts w:eastAsia="Times New Roman" w:cs="Times New Roman"/>
          <w:color w:val="000000"/>
          <w:sz w:val="20"/>
          <w:szCs w:val="20"/>
          <w:lang w:eastAsia="en-GB"/>
        </w:rPr>
        <w:t>Eklem</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Hastaliklari</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Ve</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Cerrahisi</w:t>
      </w:r>
      <w:proofErr w:type="spellEnd"/>
      <w:r w:rsidRPr="0020477C">
        <w:rPr>
          <w:rFonts w:eastAsia="Times New Roman" w:cs="Times New Roman"/>
          <w:color w:val="000000"/>
          <w:sz w:val="20"/>
          <w:szCs w:val="20"/>
          <w:lang w:eastAsia="en-GB"/>
        </w:rPr>
        <w:t>-Joint Diseases and Related Surgery 24: 63.</w:t>
      </w:r>
    </w:p>
    <w:p w14:paraId="270C4EC9" w14:textId="77777777" w:rsidR="008F544A" w:rsidRPr="0020477C" w:rsidRDefault="008F544A" w:rsidP="001155ED">
      <w:pPr>
        <w:spacing w:line="240" w:lineRule="auto"/>
        <w:rPr>
          <w:rFonts w:eastAsia="Times New Roman" w:cs="Times New Roman"/>
          <w:color w:val="000000"/>
          <w:sz w:val="20"/>
          <w:szCs w:val="20"/>
          <w:lang w:eastAsia="en-GB"/>
        </w:rPr>
      </w:pPr>
      <w:proofErr w:type="spellStart"/>
      <w:r w:rsidRPr="0020477C">
        <w:rPr>
          <w:rFonts w:eastAsia="Times New Roman" w:cs="Times New Roman"/>
          <w:color w:val="000000"/>
          <w:sz w:val="20"/>
          <w:szCs w:val="20"/>
          <w:lang w:eastAsia="en-GB"/>
        </w:rPr>
        <w:t>Aubry-Rozier</w:t>
      </w:r>
      <w:proofErr w:type="spellEnd"/>
      <w:r w:rsidRPr="0020477C">
        <w:rPr>
          <w:rFonts w:eastAsia="Times New Roman" w:cs="Times New Roman"/>
          <w:color w:val="000000"/>
          <w:sz w:val="20"/>
          <w:szCs w:val="20"/>
          <w:lang w:eastAsia="en-GB"/>
        </w:rPr>
        <w:t xml:space="preserve"> B, Stoll D, Krieg M-A, </w:t>
      </w:r>
      <w:proofErr w:type="spellStart"/>
      <w:r w:rsidRPr="0020477C">
        <w:rPr>
          <w:rFonts w:eastAsia="Times New Roman" w:cs="Times New Roman"/>
          <w:color w:val="000000"/>
          <w:sz w:val="20"/>
          <w:szCs w:val="20"/>
          <w:lang w:eastAsia="en-GB"/>
        </w:rPr>
        <w:t>Lamy</w:t>
      </w:r>
      <w:proofErr w:type="spellEnd"/>
      <w:r w:rsidRPr="0020477C">
        <w:rPr>
          <w:rFonts w:eastAsia="Times New Roman" w:cs="Times New Roman"/>
          <w:color w:val="000000"/>
          <w:sz w:val="20"/>
          <w:szCs w:val="20"/>
          <w:lang w:eastAsia="en-GB"/>
        </w:rPr>
        <w:t xml:space="preserve"> O, Hans D (2013) What was your fracture risk evaluated by FRAX® the day before your osteoporotic fracture? </w:t>
      </w:r>
      <w:proofErr w:type="spellStart"/>
      <w:r w:rsidRPr="0020477C">
        <w:rPr>
          <w:rFonts w:eastAsia="Times New Roman" w:cs="Times New Roman"/>
          <w:color w:val="000000"/>
          <w:sz w:val="20"/>
          <w:szCs w:val="20"/>
          <w:lang w:eastAsia="en-GB"/>
        </w:rPr>
        <w:t>Clin</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Rheumatol</w:t>
      </w:r>
      <w:proofErr w:type="spellEnd"/>
      <w:r w:rsidRPr="0020477C">
        <w:rPr>
          <w:rFonts w:eastAsia="Times New Roman" w:cs="Times New Roman"/>
          <w:color w:val="000000"/>
          <w:sz w:val="20"/>
          <w:szCs w:val="20"/>
          <w:lang w:eastAsia="en-GB"/>
        </w:rPr>
        <w:t xml:space="preserve">  32: 219-23.</w:t>
      </w:r>
    </w:p>
    <w:p w14:paraId="1E37487E" w14:textId="77777777" w:rsidR="008F544A" w:rsidRPr="0020477C" w:rsidRDefault="008F544A" w:rsidP="001155ED">
      <w:pPr>
        <w:spacing w:line="240" w:lineRule="auto"/>
        <w:rPr>
          <w:rFonts w:eastAsia="Times New Roman" w:cs="Times New Roman"/>
          <w:color w:val="000000"/>
          <w:sz w:val="20"/>
          <w:szCs w:val="20"/>
          <w:lang w:eastAsia="en-GB"/>
        </w:rPr>
      </w:pPr>
      <w:proofErr w:type="spellStart"/>
      <w:r w:rsidRPr="0020477C">
        <w:rPr>
          <w:rFonts w:eastAsia="Times New Roman" w:cs="Times New Roman"/>
          <w:color w:val="000000"/>
          <w:sz w:val="20"/>
          <w:szCs w:val="20"/>
          <w:lang w:eastAsia="en-GB"/>
        </w:rPr>
        <w:t>Becorpi</w:t>
      </w:r>
      <w:proofErr w:type="spellEnd"/>
      <w:r w:rsidRPr="0020477C">
        <w:rPr>
          <w:rFonts w:eastAsia="Times New Roman" w:cs="Times New Roman"/>
          <w:color w:val="000000"/>
          <w:sz w:val="20"/>
          <w:szCs w:val="20"/>
          <w:lang w:eastAsia="en-GB"/>
        </w:rPr>
        <w:t xml:space="preserve"> A, </w:t>
      </w:r>
      <w:proofErr w:type="spellStart"/>
      <w:r w:rsidRPr="0020477C">
        <w:rPr>
          <w:rFonts w:eastAsia="Times New Roman" w:cs="Times New Roman"/>
          <w:color w:val="000000"/>
          <w:sz w:val="20"/>
          <w:szCs w:val="20"/>
          <w:lang w:eastAsia="en-GB"/>
        </w:rPr>
        <w:t>Sisti</w:t>
      </w:r>
      <w:proofErr w:type="spellEnd"/>
      <w:r w:rsidRPr="0020477C">
        <w:rPr>
          <w:rFonts w:eastAsia="Times New Roman" w:cs="Times New Roman"/>
          <w:color w:val="000000"/>
          <w:sz w:val="20"/>
          <w:szCs w:val="20"/>
          <w:lang w:eastAsia="en-GB"/>
        </w:rPr>
        <w:t xml:space="preserve"> G, </w:t>
      </w:r>
      <w:proofErr w:type="spellStart"/>
      <w:r w:rsidRPr="0020477C">
        <w:rPr>
          <w:rFonts w:eastAsia="Times New Roman" w:cs="Times New Roman"/>
          <w:color w:val="000000"/>
          <w:sz w:val="20"/>
          <w:szCs w:val="20"/>
          <w:lang w:eastAsia="en-GB"/>
        </w:rPr>
        <w:t>Sorbi</w:t>
      </w:r>
      <w:proofErr w:type="spellEnd"/>
      <w:r w:rsidRPr="0020477C">
        <w:rPr>
          <w:rFonts w:eastAsia="Times New Roman" w:cs="Times New Roman"/>
          <w:color w:val="000000"/>
          <w:sz w:val="20"/>
          <w:szCs w:val="20"/>
          <w:lang w:eastAsia="en-GB"/>
        </w:rPr>
        <w:t xml:space="preserve"> F, </w:t>
      </w:r>
      <w:proofErr w:type="spellStart"/>
      <w:r w:rsidRPr="0020477C">
        <w:rPr>
          <w:rFonts w:eastAsia="Times New Roman" w:cs="Times New Roman"/>
          <w:color w:val="000000"/>
          <w:sz w:val="20"/>
          <w:szCs w:val="20"/>
          <w:lang w:eastAsia="en-GB"/>
        </w:rPr>
        <w:t>Malosso</w:t>
      </w:r>
      <w:proofErr w:type="spellEnd"/>
      <w:r w:rsidRPr="0020477C">
        <w:rPr>
          <w:rFonts w:eastAsia="Times New Roman" w:cs="Times New Roman"/>
          <w:color w:val="000000"/>
          <w:sz w:val="20"/>
          <w:szCs w:val="20"/>
          <w:lang w:eastAsia="en-GB"/>
        </w:rPr>
        <w:t xml:space="preserve"> ERM, </w:t>
      </w:r>
      <w:proofErr w:type="spellStart"/>
      <w:r w:rsidRPr="0020477C">
        <w:rPr>
          <w:rFonts w:eastAsia="Times New Roman" w:cs="Times New Roman"/>
          <w:color w:val="000000"/>
          <w:sz w:val="20"/>
          <w:szCs w:val="20"/>
          <w:lang w:eastAsia="en-GB"/>
        </w:rPr>
        <w:t>Guaschino</w:t>
      </w:r>
      <w:proofErr w:type="spellEnd"/>
      <w:r w:rsidRPr="0020477C">
        <w:rPr>
          <w:rFonts w:eastAsia="Times New Roman" w:cs="Times New Roman"/>
          <w:color w:val="000000"/>
          <w:sz w:val="20"/>
          <w:szCs w:val="20"/>
          <w:lang w:eastAsia="en-GB"/>
        </w:rPr>
        <w:t xml:space="preserve"> S (2014) Management options of breast cancer related osteoporosis. Clinical cases in mineral and bone metabolism: the official journal of the Italian Society of Osteoporosis, Mineral Metabolism, and Skeletal Diseases 11: 110-3.</w:t>
      </w:r>
    </w:p>
    <w:p w14:paraId="49E4CA96" w14:textId="77777777" w:rsidR="008F544A" w:rsidRPr="0020477C" w:rsidRDefault="008F544A" w:rsidP="001155ED">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lastRenderedPageBreak/>
        <w:t>Blake GM, Fogelman I (2010) An Update on Dual-Energy X-Ray Absorptiometry. Seminars in Nuclear Medicine 40: 62-73.</w:t>
      </w:r>
    </w:p>
    <w:p w14:paraId="693CBAE6" w14:textId="77777777" w:rsidR="008F544A" w:rsidRPr="0020477C" w:rsidRDefault="008F544A" w:rsidP="008C6E68">
      <w:pPr>
        <w:spacing w:line="240" w:lineRule="auto"/>
        <w:rPr>
          <w:rFonts w:eastAsia="Times New Roman" w:cs="Times New Roman"/>
          <w:color w:val="000000"/>
          <w:sz w:val="20"/>
          <w:szCs w:val="20"/>
          <w:lang w:eastAsia="en-GB"/>
        </w:rPr>
      </w:pPr>
      <w:proofErr w:type="spellStart"/>
      <w:r w:rsidRPr="0020477C">
        <w:rPr>
          <w:rFonts w:eastAsia="Times New Roman" w:cs="Times New Roman"/>
          <w:color w:val="000000"/>
          <w:sz w:val="20"/>
          <w:szCs w:val="20"/>
          <w:lang w:eastAsia="en-GB"/>
        </w:rPr>
        <w:t>Bolland</w:t>
      </w:r>
      <w:proofErr w:type="spellEnd"/>
      <w:r w:rsidRPr="0020477C">
        <w:rPr>
          <w:rFonts w:eastAsia="Times New Roman" w:cs="Times New Roman"/>
          <w:color w:val="000000"/>
          <w:sz w:val="20"/>
          <w:szCs w:val="20"/>
          <w:lang w:eastAsia="en-GB"/>
        </w:rPr>
        <w:t xml:space="preserve"> MJ, Jackson R, Gamble GD, Grey A (2013) Discrepancies in predicted fracture risk in elderly people. BMJ 346:e8669. </w:t>
      </w:r>
    </w:p>
    <w:p w14:paraId="59DB04A9" w14:textId="77777777" w:rsidR="008F544A" w:rsidRPr="0020477C" w:rsidRDefault="008F544A" w:rsidP="006D55A3">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Brennan SL, Leslie WD, Lix LM (2014) Is lower income associated with an increased likelihood of qualification for treatment for osteoporosis in Canadian women? Osteoporos </w:t>
      </w:r>
      <w:proofErr w:type="spellStart"/>
      <w:r w:rsidRPr="0020477C">
        <w:rPr>
          <w:rFonts w:eastAsia="Times New Roman" w:cs="Times New Roman"/>
          <w:color w:val="000000"/>
          <w:sz w:val="20"/>
          <w:szCs w:val="20"/>
          <w:lang w:eastAsia="en-GB"/>
        </w:rPr>
        <w:t>Int</w:t>
      </w:r>
      <w:proofErr w:type="spellEnd"/>
      <w:r w:rsidRPr="0020477C">
        <w:rPr>
          <w:rFonts w:eastAsia="Times New Roman" w:cs="Times New Roman"/>
          <w:color w:val="000000"/>
          <w:sz w:val="20"/>
          <w:szCs w:val="20"/>
          <w:lang w:eastAsia="en-GB"/>
        </w:rPr>
        <w:t xml:space="preserve"> 25:  273-9.</w:t>
      </w:r>
    </w:p>
    <w:p w14:paraId="424EB1F1" w14:textId="77777777" w:rsidR="008F544A" w:rsidRPr="0020477C" w:rsidRDefault="008F544A" w:rsidP="00212D40">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Brewer L, Mellon L, Duggan J 92013) Ability of fracture risk assessment tool and National Osteoporosis Guideline Group Guidance to stratify people appropriately before fracture. J Am </w:t>
      </w:r>
      <w:proofErr w:type="spellStart"/>
      <w:r w:rsidRPr="0020477C">
        <w:rPr>
          <w:rFonts w:eastAsia="Times New Roman" w:cs="Times New Roman"/>
          <w:color w:val="000000"/>
          <w:sz w:val="20"/>
          <w:szCs w:val="20"/>
          <w:lang w:eastAsia="en-GB"/>
        </w:rPr>
        <w:t>Geriatr</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Soc</w:t>
      </w:r>
      <w:proofErr w:type="spellEnd"/>
      <w:r w:rsidRPr="0020477C">
        <w:rPr>
          <w:rFonts w:eastAsia="Times New Roman" w:cs="Times New Roman"/>
          <w:color w:val="000000"/>
          <w:sz w:val="20"/>
          <w:szCs w:val="20"/>
          <w:lang w:eastAsia="en-GB"/>
        </w:rPr>
        <w:t xml:space="preserve">  61: 1633-4.</w:t>
      </w:r>
    </w:p>
    <w:p w14:paraId="600D4FA1" w14:textId="77777777" w:rsidR="008F544A" w:rsidRPr="0020477C" w:rsidRDefault="008F544A" w:rsidP="00212D40">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Bridges M, Ruddick S (2012) Modifying FRAX/NOGG guidelines in rheumatology patients receiving corticosteroids: does it make any difference? </w:t>
      </w:r>
      <w:proofErr w:type="spellStart"/>
      <w:r w:rsidRPr="0020477C">
        <w:rPr>
          <w:rFonts w:eastAsia="Times New Roman" w:cs="Times New Roman"/>
          <w:color w:val="000000"/>
          <w:sz w:val="20"/>
          <w:szCs w:val="20"/>
          <w:lang w:eastAsia="en-GB"/>
        </w:rPr>
        <w:t>Rheumatol</w:t>
      </w:r>
      <w:proofErr w:type="spellEnd"/>
      <w:r w:rsidRPr="0020477C">
        <w:rPr>
          <w:rFonts w:eastAsia="Times New Roman" w:cs="Times New Roman"/>
          <w:color w:val="000000"/>
          <w:sz w:val="20"/>
          <w:szCs w:val="20"/>
          <w:lang w:eastAsia="en-GB"/>
        </w:rPr>
        <w:t xml:space="preserve">  51: 106-7.</w:t>
      </w:r>
    </w:p>
    <w:p w14:paraId="79B4AE99" w14:textId="77777777" w:rsidR="008F544A" w:rsidRPr="0020477C" w:rsidRDefault="008F544A" w:rsidP="00212D40">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Bridges MJ, Ruddick S (2010) Ability of FRAX/NOGG guidelines to identify patients sustaining low trauma fractures. </w:t>
      </w:r>
      <w:proofErr w:type="spellStart"/>
      <w:r w:rsidRPr="0020477C">
        <w:rPr>
          <w:rFonts w:eastAsia="Times New Roman" w:cs="Times New Roman"/>
          <w:color w:val="000000"/>
          <w:sz w:val="20"/>
          <w:szCs w:val="20"/>
          <w:lang w:eastAsia="en-GB"/>
        </w:rPr>
        <w:t>Rheumatol</w:t>
      </w:r>
      <w:proofErr w:type="spellEnd"/>
      <w:r w:rsidRPr="0020477C">
        <w:rPr>
          <w:rFonts w:eastAsia="Times New Roman" w:cs="Times New Roman"/>
          <w:color w:val="000000"/>
          <w:sz w:val="20"/>
          <w:szCs w:val="20"/>
          <w:lang w:eastAsia="en-GB"/>
        </w:rPr>
        <w:t xml:space="preserve"> 49:  391-2.</w:t>
      </w:r>
    </w:p>
    <w:p w14:paraId="239B1EFE" w14:textId="77777777" w:rsidR="008F544A" w:rsidRPr="0020477C" w:rsidRDefault="008F544A" w:rsidP="00212D40">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Bridges MJ, Ruddick SA (2012) Do FRAX/NOGG guidelines predict fractures in post - menopausal women with type 2 diabetes? Diabetic Med 2012; 29: 555-6.</w:t>
      </w:r>
    </w:p>
    <w:p w14:paraId="1100B00C" w14:textId="77777777" w:rsidR="008F544A" w:rsidRPr="0020477C" w:rsidRDefault="008F544A" w:rsidP="00212D40">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Bruyère O, Nicolet D, </w:t>
      </w:r>
      <w:proofErr w:type="spellStart"/>
      <w:r w:rsidRPr="0020477C">
        <w:rPr>
          <w:rFonts w:eastAsia="Times New Roman" w:cs="Times New Roman"/>
          <w:color w:val="000000"/>
          <w:sz w:val="20"/>
          <w:szCs w:val="20"/>
          <w:lang w:eastAsia="en-GB"/>
        </w:rPr>
        <w:t>Compère</w:t>
      </w:r>
      <w:proofErr w:type="spellEnd"/>
      <w:r w:rsidRPr="0020477C">
        <w:rPr>
          <w:rFonts w:eastAsia="Times New Roman" w:cs="Times New Roman"/>
          <w:color w:val="000000"/>
          <w:sz w:val="20"/>
          <w:szCs w:val="20"/>
          <w:lang w:eastAsia="en-GB"/>
        </w:rPr>
        <w:t xml:space="preserve"> S et al (2013) Perception, knowledge, and use by general practitioners of Belgium of a new WHO tool (FRAX) to assess the 10-year probability of fracture. </w:t>
      </w:r>
      <w:proofErr w:type="spellStart"/>
      <w:r w:rsidRPr="0020477C">
        <w:rPr>
          <w:rFonts w:eastAsia="Times New Roman" w:cs="Times New Roman"/>
          <w:color w:val="000000"/>
          <w:sz w:val="20"/>
          <w:szCs w:val="20"/>
          <w:lang w:eastAsia="en-GB"/>
        </w:rPr>
        <w:t>Rheumatol</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Int</w:t>
      </w:r>
      <w:proofErr w:type="spellEnd"/>
      <w:r w:rsidRPr="0020477C">
        <w:rPr>
          <w:rFonts w:eastAsia="Times New Roman" w:cs="Times New Roman"/>
          <w:color w:val="000000"/>
          <w:sz w:val="20"/>
          <w:szCs w:val="20"/>
          <w:lang w:eastAsia="en-GB"/>
        </w:rPr>
        <w:t xml:space="preserve"> 33: 979-83. </w:t>
      </w:r>
    </w:p>
    <w:p w14:paraId="626E718F" w14:textId="77777777" w:rsidR="008F544A" w:rsidRPr="0020477C" w:rsidRDefault="008F544A" w:rsidP="00212D40">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Canavan JB, Trivedi PJ, Bailey AN, et al (209) Fracture risk assessment using DXA and FRAX in patients with celiac disease. </w:t>
      </w:r>
      <w:proofErr w:type="spellStart"/>
      <w:r w:rsidRPr="0020477C">
        <w:rPr>
          <w:rFonts w:eastAsia="Times New Roman" w:cs="Times New Roman"/>
          <w:color w:val="000000"/>
          <w:sz w:val="20"/>
          <w:szCs w:val="20"/>
          <w:lang w:eastAsia="en-GB"/>
        </w:rPr>
        <w:t>Gastroenterol</w:t>
      </w:r>
      <w:proofErr w:type="spellEnd"/>
      <w:r w:rsidRPr="0020477C">
        <w:rPr>
          <w:rFonts w:eastAsia="Times New Roman" w:cs="Times New Roman"/>
          <w:color w:val="000000"/>
          <w:sz w:val="20"/>
          <w:szCs w:val="20"/>
          <w:lang w:eastAsia="en-GB"/>
        </w:rPr>
        <w:t xml:space="preserve">  136: A474-A.</w:t>
      </w:r>
    </w:p>
    <w:p w14:paraId="42075371" w14:textId="77777777" w:rsidR="008F544A" w:rsidRPr="0020477C" w:rsidRDefault="008F544A" w:rsidP="00212D40">
      <w:pPr>
        <w:spacing w:line="240" w:lineRule="auto"/>
        <w:rPr>
          <w:rFonts w:eastAsia="Times New Roman" w:cs="Times New Roman"/>
          <w:color w:val="000000"/>
          <w:sz w:val="20"/>
          <w:szCs w:val="20"/>
          <w:lang w:eastAsia="en-GB"/>
        </w:rPr>
      </w:pPr>
      <w:r w:rsidRPr="0020477C">
        <w:rPr>
          <w:rFonts w:eastAsia="Times New Roman" w:cs="Times New Roman"/>
          <w:sz w:val="20"/>
          <w:szCs w:val="20"/>
          <w:lang w:eastAsia="en-GB"/>
        </w:rPr>
        <w:t>Carlos F, Clark P, Gal</w:t>
      </w:r>
      <w:r w:rsidRPr="0020477C">
        <w:rPr>
          <w:rFonts w:eastAsia="Times New Roman" w:cs="Times New Roman"/>
          <w:color w:val="000000"/>
          <w:sz w:val="20"/>
          <w:szCs w:val="20"/>
          <w:lang w:eastAsia="en-GB"/>
        </w:rPr>
        <w:t>indo-Suarez RM, Chico-Barba LG (2013) Health care costs of osteopenia, osteoporosis, and fragility fractures in Mexico. Arch Osteoporos  8: 125.</w:t>
      </w:r>
    </w:p>
    <w:p w14:paraId="2E18DD62" w14:textId="77777777" w:rsidR="008F544A" w:rsidRPr="0020477C" w:rsidRDefault="008F544A" w:rsidP="00313B34">
      <w:pPr>
        <w:spacing w:line="240" w:lineRule="auto"/>
        <w:rPr>
          <w:rFonts w:eastAsia="Times New Roman" w:cs="Times New Roman"/>
          <w:color w:val="000000"/>
          <w:sz w:val="20"/>
          <w:szCs w:val="20"/>
          <w:lang w:eastAsia="en-GB"/>
        </w:rPr>
      </w:pPr>
      <w:proofErr w:type="spellStart"/>
      <w:r w:rsidRPr="0020477C">
        <w:rPr>
          <w:rFonts w:eastAsia="Times New Roman" w:cs="Times New Roman"/>
          <w:color w:val="000000"/>
          <w:sz w:val="20"/>
          <w:szCs w:val="20"/>
          <w:lang w:eastAsia="en-GB"/>
        </w:rPr>
        <w:t>Chakhtoura</w:t>
      </w:r>
      <w:proofErr w:type="spellEnd"/>
      <w:r w:rsidRPr="0020477C">
        <w:rPr>
          <w:rFonts w:eastAsia="Times New Roman" w:cs="Times New Roman"/>
          <w:color w:val="000000"/>
          <w:sz w:val="20"/>
          <w:szCs w:val="20"/>
          <w:lang w:eastAsia="en-GB"/>
        </w:rPr>
        <w:t xml:space="preserve"> M, Cheung AM, Kanis JA, et al (2014) FRAX based guidelines : is a universal model appropriate ? Osteoporos </w:t>
      </w:r>
      <w:proofErr w:type="spellStart"/>
      <w:r w:rsidRPr="0020477C">
        <w:rPr>
          <w:rFonts w:eastAsia="Times New Roman" w:cs="Times New Roman"/>
          <w:color w:val="000000"/>
          <w:sz w:val="20"/>
          <w:szCs w:val="20"/>
          <w:lang w:eastAsia="en-GB"/>
        </w:rPr>
        <w:t>Int</w:t>
      </w:r>
      <w:proofErr w:type="spellEnd"/>
      <w:r w:rsidRPr="0020477C">
        <w:rPr>
          <w:rFonts w:eastAsia="Times New Roman" w:cs="Times New Roman"/>
          <w:color w:val="000000"/>
          <w:sz w:val="20"/>
          <w:szCs w:val="20"/>
          <w:lang w:eastAsia="en-GB"/>
        </w:rPr>
        <w:t xml:space="preserve">  25: S121-S2.</w:t>
      </w:r>
    </w:p>
    <w:p w14:paraId="0AF1CF72" w14:textId="77777777" w:rsidR="008F544A" w:rsidRPr="0020477C" w:rsidRDefault="008F544A" w:rsidP="00313B34">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Chapurlat R (2012) [Osteoporosis without fracture: when do we treat?]. La Revue du </w:t>
      </w:r>
      <w:proofErr w:type="spellStart"/>
      <w:r w:rsidRPr="0020477C">
        <w:rPr>
          <w:rFonts w:eastAsia="Times New Roman" w:cs="Times New Roman"/>
          <w:color w:val="000000"/>
          <w:sz w:val="20"/>
          <w:szCs w:val="20"/>
          <w:lang w:eastAsia="en-GB"/>
        </w:rPr>
        <w:t>Praticien</w:t>
      </w:r>
      <w:proofErr w:type="spellEnd"/>
      <w:r w:rsidRPr="0020477C">
        <w:rPr>
          <w:rFonts w:eastAsia="Times New Roman" w:cs="Times New Roman"/>
          <w:color w:val="000000"/>
          <w:sz w:val="20"/>
          <w:szCs w:val="20"/>
          <w:lang w:eastAsia="en-GB"/>
        </w:rPr>
        <w:t xml:space="preserve">  62: 199-201.</w:t>
      </w:r>
    </w:p>
    <w:p w14:paraId="79B00FE4" w14:textId="77777777" w:rsidR="008F544A" w:rsidRPr="0020477C" w:rsidRDefault="008F544A" w:rsidP="00313B34">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Chinese Medical Association of osteoporosis and bone mineral disease branch (2011) Primary osteoporosis treatment guidelines. Chinese J Osteoporos Bone Miner Res 4 : 2-18.</w:t>
      </w:r>
    </w:p>
    <w:p w14:paraId="725EA8F8" w14:textId="77777777" w:rsidR="008F544A" w:rsidRPr="0020477C" w:rsidRDefault="008F544A" w:rsidP="00313B34">
      <w:pPr>
        <w:spacing w:line="240" w:lineRule="auto"/>
        <w:rPr>
          <w:rFonts w:eastAsia="Times New Roman" w:cs="Times New Roman"/>
          <w:color w:val="000000"/>
          <w:sz w:val="20"/>
          <w:szCs w:val="20"/>
          <w:lang w:eastAsia="en-GB"/>
        </w:rPr>
      </w:pPr>
      <w:proofErr w:type="spellStart"/>
      <w:r w:rsidRPr="0020477C">
        <w:rPr>
          <w:rFonts w:eastAsia="Times New Roman" w:cs="Times New Roman"/>
          <w:color w:val="000000"/>
          <w:sz w:val="20"/>
          <w:szCs w:val="20"/>
          <w:lang w:eastAsia="en-GB"/>
        </w:rPr>
        <w:t>Cianferotti</w:t>
      </w:r>
      <w:proofErr w:type="spellEnd"/>
      <w:r w:rsidRPr="0020477C">
        <w:rPr>
          <w:rFonts w:eastAsia="Times New Roman" w:cs="Times New Roman"/>
          <w:color w:val="000000"/>
          <w:sz w:val="20"/>
          <w:szCs w:val="20"/>
          <w:lang w:eastAsia="en-GB"/>
        </w:rPr>
        <w:t xml:space="preserve"> L, Brandi ML (2012) Guidance for the diagnosis, prevention and therapy of osteoporosis in Italy. </w:t>
      </w:r>
      <w:proofErr w:type="spellStart"/>
      <w:r w:rsidRPr="0020477C">
        <w:rPr>
          <w:rFonts w:eastAsia="Times New Roman" w:cs="Times New Roman"/>
          <w:color w:val="000000"/>
          <w:sz w:val="20"/>
          <w:szCs w:val="20"/>
          <w:lang w:eastAsia="en-GB"/>
        </w:rPr>
        <w:t>Clin</w:t>
      </w:r>
      <w:proofErr w:type="spellEnd"/>
      <w:r w:rsidRPr="0020477C">
        <w:rPr>
          <w:rFonts w:eastAsia="Times New Roman" w:cs="Times New Roman"/>
          <w:color w:val="000000"/>
          <w:sz w:val="20"/>
          <w:szCs w:val="20"/>
          <w:lang w:eastAsia="en-GB"/>
        </w:rPr>
        <w:t xml:space="preserve"> Cases Miner Bone </w:t>
      </w:r>
      <w:proofErr w:type="spellStart"/>
      <w:r w:rsidRPr="0020477C">
        <w:rPr>
          <w:rFonts w:eastAsia="Times New Roman" w:cs="Times New Roman"/>
          <w:color w:val="000000"/>
          <w:sz w:val="20"/>
          <w:szCs w:val="20"/>
          <w:lang w:eastAsia="en-GB"/>
        </w:rPr>
        <w:t>Metab</w:t>
      </w:r>
      <w:proofErr w:type="spellEnd"/>
      <w:r w:rsidRPr="0020477C">
        <w:rPr>
          <w:rFonts w:eastAsia="Times New Roman" w:cs="Times New Roman"/>
          <w:color w:val="000000"/>
          <w:sz w:val="20"/>
          <w:szCs w:val="20"/>
          <w:lang w:eastAsia="en-GB"/>
        </w:rPr>
        <w:t xml:space="preserve"> 9: 170-8. </w:t>
      </w:r>
    </w:p>
    <w:p w14:paraId="348517C6" w14:textId="77777777" w:rsidR="008F544A" w:rsidRPr="0020477C" w:rsidRDefault="008F544A" w:rsidP="00313B34">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Committee of Japanese Guidelines for the Prevention and Treatment of Osteoporosis (2012) The Japanese guidelines for the prevention and treatment of osteoporosis (2011 edition). Life Science Publishing, Tokyo. [ Japanese].</w:t>
      </w:r>
    </w:p>
    <w:p w14:paraId="70EDCD23" w14:textId="77777777" w:rsidR="008F544A" w:rsidRPr="0020477C" w:rsidRDefault="008F544A" w:rsidP="00313B34">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Compston J (2009) Guidelines for prevention and treatment of glucocorticoid-induced osteoporosis. Bone  45: S128-S9.</w:t>
      </w:r>
    </w:p>
    <w:p w14:paraId="6DE3991F" w14:textId="77777777" w:rsidR="008F544A" w:rsidRPr="0020477C" w:rsidRDefault="008F544A" w:rsidP="00BF1FF4">
      <w:pPr>
        <w:spacing w:line="240" w:lineRule="auto"/>
        <w:rPr>
          <w:rFonts w:eastAsia="Times New Roman" w:cs="Times New Roman"/>
          <w:color w:val="000000"/>
          <w:sz w:val="20"/>
          <w:szCs w:val="20"/>
          <w:lang w:eastAsia="en-GB"/>
        </w:rPr>
      </w:pPr>
      <w:proofErr w:type="spellStart"/>
      <w:r w:rsidRPr="0020477C">
        <w:rPr>
          <w:rFonts w:eastAsia="Times New Roman" w:cs="Times New Roman"/>
          <w:color w:val="000000"/>
          <w:sz w:val="20"/>
          <w:szCs w:val="20"/>
          <w:lang w:eastAsia="en-GB"/>
        </w:rPr>
        <w:t>Czerwiński</w:t>
      </w:r>
      <w:proofErr w:type="spellEnd"/>
      <w:r w:rsidRPr="0020477C">
        <w:rPr>
          <w:rFonts w:eastAsia="Times New Roman" w:cs="Times New Roman"/>
          <w:color w:val="000000"/>
          <w:sz w:val="20"/>
          <w:szCs w:val="20"/>
          <w:lang w:eastAsia="en-GB"/>
        </w:rPr>
        <w:t xml:space="preserve"> E,  Kanis JA, </w:t>
      </w:r>
      <w:proofErr w:type="spellStart"/>
      <w:r w:rsidRPr="0020477C">
        <w:rPr>
          <w:rFonts w:eastAsia="Times New Roman" w:cs="Times New Roman"/>
          <w:color w:val="000000"/>
          <w:sz w:val="20"/>
          <w:szCs w:val="20"/>
          <w:lang w:eastAsia="en-GB"/>
        </w:rPr>
        <w:t>Osieleniec</w:t>
      </w:r>
      <w:proofErr w:type="spellEnd"/>
      <w:r w:rsidRPr="0020477C">
        <w:rPr>
          <w:rFonts w:eastAsia="Times New Roman" w:cs="Times New Roman"/>
          <w:color w:val="000000"/>
          <w:sz w:val="20"/>
          <w:szCs w:val="20"/>
          <w:lang w:eastAsia="en-GB"/>
        </w:rPr>
        <w:t xml:space="preserve"> J et al (2011) Evaluation of FRAX to characterize fracture risk in Poland. Osteoporos </w:t>
      </w:r>
      <w:proofErr w:type="spellStart"/>
      <w:r w:rsidRPr="0020477C">
        <w:rPr>
          <w:rFonts w:eastAsia="Times New Roman" w:cs="Times New Roman"/>
          <w:color w:val="000000"/>
          <w:sz w:val="20"/>
          <w:szCs w:val="20"/>
          <w:lang w:eastAsia="en-GB"/>
        </w:rPr>
        <w:t>Int</w:t>
      </w:r>
      <w:proofErr w:type="spellEnd"/>
      <w:r w:rsidRPr="0020477C">
        <w:rPr>
          <w:rFonts w:eastAsia="Times New Roman" w:cs="Times New Roman"/>
          <w:color w:val="000000"/>
          <w:sz w:val="20"/>
          <w:szCs w:val="20"/>
          <w:lang w:eastAsia="en-GB"/>
        </w:rPr>
        <w:t xml:space="preserve"> 22 : 2507-2512 </w:t>
      </w:r>
    </w:p>
    <w:p w14:paraId="4F761932" w14:textId="77777777" w:rsidR="008F544A" w:rsidRPr="0020477C" w:rsidRDefault="008F544A" w:rsidP="00DD632B">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Czerwinski E, Kanis JA, </w:t>
      </w:r>
      <w:proofErr w:type="spellStart"/>
      <w:r w:rsidRPr="0020477C">
        <w:rPr>
          <w:rFonts w:eastAsia="Times New Roman" w:cs="Times New Roman"/>
          <w:color w:val="000000"/>
          <w:sz w:val="20"/>
          <w:szCs w:val="20"/>
          <w:lang w:eastAsia="en-GB"/>
        </w:rPr>
        <w:t>Trybulec</w:t>
      </w:r>
      <w:proofErr w:type="spellEnd"/>
      <w:r w:rsidRPr="0020477C">
        <w:rPr>
          <w:rFonts w:eastAsia="Times New Roman" w:cs="Times New Roman"/>
          <w:color w:val="000000"/>
          <w:sz w:val="20"/>
          <w:szCs w:val="20"/>
          <w:lang w:eastAsia="en-GB"/>
        </w:rPr>
        <w:t xml:space="preserve"> B, Johansson H, </w:t>
      </w:r>
      <w:proofErr w:type="spellStart"/>
      <w:r w:rsidRPr="0020477C">
        <w:rPr>
          <w:rFonts w:eastAsia="Times New Roman" w:cs="Times New Roman"/>
          <w:color w:val="000000"/>
          <w:sz w:val="20"/>
          <w:szCs w:val="20"/>
          <w:lang w:eastAsia="en-GB"/>
        </w:rPr>
        <w:t>Borowy</w:t>
      </w:r>
      <w:proofErr w:type="spellEnd"/>
      <w:r w:rsidRPr="0020477C">
        <w:rPr>
          <w:rFonts w:eastAsia="Times New Roman" w:cs="Times New Roman"/>
          <w:color w:val="000000"/>
          <w:sz w:val="20"/>
          <w:szCs w:val="20"/>
          <w:lang w:eastAsia="en-GB"/>
        </w:rPr>
        <w:t xml:space="preserve"> P </w:t>
      </w:r>
      <w:proofErr w:type="spellStart"/>
      <w:r w:rsidRPr="0020477C">
        <w:rPr>
          <w:rFonts w:eastAsia="Times New Roman" w:cs="Times New Roman"/>
          <w:color w:val="000000"/>
          <w:sz w:val="20"/>
          <w:szCs w:val="20"/>
          <w:lang w:eastAsia="en-GB"/>
        </w:rPr>
        <w:t>Osieleniec</w:t>
      </w:r>
      <w:proofErr w:type="spellEnd"/>
      <w:r w:rsidRPr="0020477C">
        <w:rPr>
          <w:rFonts w:eastAsia="Times New Roman" w:cs="Times New Roman"/>
          <w:color w:val="000000"/>
          <w:sz w:val="20"/>
          <w:szCs w:val="20"/>
          <w:lang w:eastAsia="en-GB"/>
        </w:rPr>
        <w:t xml:space="preserve"> J (2009) The incidence and risk of hip fracture in Poland. Osteoporos </w:t>
      </w:r>
      <w:proofErr w:type="spellStart"/>
      <w:r w:rsidRPr="0020477C">
        <w:rPr>
          <w:rFonts w:eastAsia="Times New Roman" w:cs="Times New Roman"/>
          <w:color w:val="000000"/>
          <w:sz w:val="20"/>
          <w:szCs w:val="20"/>
          <w:lang w:eastAsia="en-GB"/>
        </w:rPr>
        <w:t>Int</w:t>
      </w:r>
      <w:proofErr w:type="spellEnd"/>
      <w:r w:rsidRPr="0020477C">
        <w:rPr>
          <w:rFonts w:eastAsia="Times New Roman" w:cs="Times New Roman"/>
          <w:color w:val="000000"/>
          <w:sz w:val="20"/>
          <w:szCs w:val="20"/>
          <w:lang w:eastAsia="en-GB"/>
        </w:rPr>
        <w:t xml:space="preserve"> 20; 1363-1368</w:t>
      </w:r>
    </w:p>
    <w:p w14:paraId="00B17267" w14:textId="77777777" w:rsidR="008F544A" w:rsidRPr="0020477C" w:rsidRDefault="008F544A" w:rsidP="00BF1FF4">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Dawson-Hughes B, </w:t>
      </w:r>
      <w:proofErr w:type="spellStart"/>
      <w:r w:rsidRPr="0020477C">
        <w:rPr>
          <w:rFonts w:eastAsia="Times New Roman" w:cs="Times New Roman"/>
          <w:color w:val="000000"/>
          <w:sz w:val="20"/>
          <w:szCs w:val="20"/>
          <w:lang w:eastAsia="en-GB"/>
        </w:rPr>
        <w:t>Tosteson</w:t>
      </w:r>
      <w:proofErr w:type="spellEnd"/>
      <w:r w:rsidRPr="0020477C">
        <w:rPr>
          <w:rFonts w:eastAsia="Times New Roman" w:cs="Times New Roman"/>
          <w:color w:val="000000"/>
          <w:sz w:val="20"/>
          <w:szCs w:val="20"/>
          <w:lang w:eastAsia="en-GB"/>
        </w:rPr>
        <w:t xml:space="preserve"> AN, Melton LJ, III et al. (2008) Implications of absolute fracture risk assessment for osteoporosis practice guidelines in the USA. Osteoporos Int. 19: 449-458.</w:t>
      </w:r>
    </w:p>
    <w:p w14:paraId="327E87BA" w14:textId="77777777" w:rsidR="008F544A" w:rsidRPr="0020477C" w:rsidRDefault="008F544A" w:rsidP="00DD632B">
      <w:pPr>
        <w:spacing w:line="240" w:lineRule="auto"/>
        <w:rPr>
          <w:rFonts w:eastAsia="Times New Roman" w:cs="Times New Roman"/>
          <w:color w:val="000000"/>
          <w:sz w:val="20"/>
          <w:szCs w:val="20"/>
          <w:lang w:eastAsia="en-GB"/>
        </w:rPr>
      </w:pPr>
      <w:proofErr w:type="spellStart"/>
      <w:r w:rsidRPr="0020477C">
        <w:rPr>
          <w:rFonts w:eastAsia="Times New Roman" w:cs="Times New Roman"/>
          <w:color w:val="000000"/>
          <w:sz w:val="20"/>
          <w:szCs w:val="20"/>
          <w:lang w:eastAsia="en-GB"/>
        </w:rPr>
        <w:t>Dimic</w:t>
      </w:r>
      <w:proofErr w:type="spellEnd"/>
      <w:r w:rsidRPr="0020477C">
        <w:rPr>
          <w:rFonts w:eastAsia="Times New Roman" w:cs="Times New Roman"/>
          <w:color w:val="000000"/>
          <w:sz w:val="20"/>
          <w:szCs w:val="20"/>
          <w:lang w:eastAsia="en-GB"/>
        </w:rPr>
        <w:t xml:space="preserve"> A, Sonja </w:t>
      </w:r>
      <w:proofErr w:type="spellStart"/>
      <w:r w:rsidRPr="0020477C">
        <w:rPr>
          <w:rFonts w:eastAsia="Times New Roman" w:cs="Times New Roman"/>
          <w:color w:val="000000"/>
          <w:sz w:val="20"/>
          <w:szCs w:val="20"/>
          <w:lang w:eastAsia="en-GB"/>
        </w:rPr>
        <w:t>SJovan</w:t>
      </w:r>
      <w:proofErr w:type="spellEnd"/>
      <w:r w:rsidRPr="0020477C">
        <w:rPr>
          <w:rFonts w:eastAsia="Times New Roman" w:cs="Times New Roman"/>
          <w:color w:val="000000"/>
          <w:sz w:val="20"/>
          <w:szCs w:val="20"/>
          <w:lang w:eastAsia="en-GB"/>
        </w:rPr>
        <w:t xml:space="preserve"> N et al (2011) Potential role of FRAX analysis in postmenopausal women with osteopenia. Cent </w:t>
      </w:r>
      <w:proofErr w:type="spellStart"/>
      <w:r w:rsidRPr="0020477C">
        <w:rPr>
          <w:rFonts w:eastAsia="Times New Roman" w:cs="Times New Roman"/>
          <w:color w:val="000000"/>
          <w:sz w:val="20"/>
          <w:szCs w:val="20"/>
          <w:lang w:eastAsia="en-GB"/>
        </w:rPr>
        <w:t>Eur</w:t>
      </w:r>
      <w:proofErr w:type="spellEnd"/>
      <w:r w:rsidRPr="0020477C">
        <w:rPr>
          <w:rFonts w:eastAsia="Times New Roman" w:cs="Times New Roman"/>
          <w:color w:val="000000"/>
          <w:sz w:val="20"/>
          <w:szCs w:val="20"/>
          <w:lang w:eastAsia="en-GB"/>
        </w:rPr>
        <w:t xml:space="preserve"> J Med 6: 185-189</w:t>
      </w:r>
    </w:p>
    <w:p w14:paraId="3B29A7CA" w14:textId="77777777" w:rsidR="008F544A" w:rsidRPr="0020477C" w:rsidRDefault="008F544A" w:rsidP="00BF1FF4">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Douglas F, Petrie KJ, Cundy T, Horne A, Gamble G, Grey A (2012) Differing perceptions of intervention thresholds for fracture risk: a survey of patients and doctors. Osteoporos </w:t>
      </w:r>
      <w:proofErr w:type="spellStart"/>
      <w:r w:rsidRPr="0020477C">
        <w:rPr>
          <w:rFonts w:eastAsia="Times New Roman" w:cs="Times New Roman"/>
          <w:color w:val="000000"/>
          <w:sz w:val="20"/>
          <w:szCs w:val="20"/>
          <w:lang w:eastAsia="en-GB"/>
        </w:rPr>
        <w:t>Int</w:t>
      </w:r>
      <w:proofErr w:type="spellEnd"/>
      <w:r w:rsidRPr="0020477C">
        <w:rPr>
          <w:rFonts w:eastAsia="Times New Roman" w:cs="Times New Roman"/>
          <w:color w:val="000000"/>
          <w:sz w:val="20"/>
          <w:szCs w:val="20"/>
          <w:lang w:eastAsia="en-GB"/>
        </w:rPr>
        <w:t xml:space="preserve">  23: 2135-40.</w:t>
      </w:r>
    </w:p>
    <w:p w14:paraId="4816BEB8" w14:textId="77777777" w:rsidR="008F544A" w:rsidRPr="0020477C" w:rsidRDefault="008F544A" w:rsidP="00BF1FF4">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lastRenderedPageBreak/>
        <w:t xml:space="preserve">Edwards FD, Grover ML, Cook CB, Chang Y-HH (2014) Use of FRAX as a determinant for risk-based osteoporosis screening may decrease unnecessary testing while improving the odds of identifying treatment candidates. </w:t>
      </w:r>
      <w:proofErr w:type="spellStart"/>
      <w:r w:rsidRPr="0020477C">
        <w:rPr>
          <w:rFonts w:eastAsia="Times New Roman" w:cs="Times New Roman"/>
          <w:color w:val="000000"/>
          <w:sz w:val="20"/>
          <w:szCs w:val="20"/>
          <w:lang w:eastAsia="en-GB"/>
        </w:rPr>
        <w:t>Womens</w:t>
      </w:r>
      <w:proofErr w:type="spellEnd"/>
      <w:r w:rsidRPr="0020477C">
        <w:rPr>
          <w:rFonts w:eastAsia="Times New Roman" w:cs="Times New Roman"/>
          <w:color w:val="000000"/>
          <w:sz w:val="20"/>
          <w:szCs w:val="20"/>
          <w:lang w:eastAsia="en-GB"/>
        </w:rPr>
        <w:t xml:space="preserve"> Health Issues  24: 629-34.</w:t>
      </w:r>
    </w:p>
    <w:p w14:paraId="2B9F8232" w14:textId="77777777" w:rsidR="008F544A" w:rsidRPr="0020477C" w:rsidRDefault="008F544A" w:rsidP="00BF1FF4">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El-Hajj Fuleihan G (2012) 4th Annual meeting of the Lebanese Society of Osteoporosis and Metabolic Bone Disorders, December 2012 </w:t>
      </w:r>
    </w:p>
    <w:p w14:paraId="21527A7A" w14:textId="77777777" w:rsidR="008F544A" w:rsidRPr="0020477C" w:rsidRDefault="008F544A" w:rsidP="00BF1FF4">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El-Hajj </w:t>
      </w:r>
      <w:proofErr w:type="spellStart"/>
      <w:r w:rsidRPr="0020477C">
        <w:rPr>
          <w:rFonts w:eastAsia="Times New Roman" w:cs="Times New Roman"/>
          <w:color w:val="000000"/>
          <w:sz w:val="20"/>
          <w:szCs w:val="20"/>
          <w:lang w:eastAsia="en-GB"/>
        </w:rPr>
        <w:t>Fuleihan</w:t>
      </w:r>
      <w:proofErr w:type="spellEnd"/>
      <w:r w:rsidRPr="0020477C">
        <w:rPr>
          <w:rFonts w:eastAsia="Times New Roman" w:cs="Times New Roman"/>
          <w:color w:val="000000"/>
          <w:sz w:val="20"/>
          <w:szCs w:val="20"/>
          <w:lang w:eastAsia="en-GB"/>
        </w:rPr>
        <w:t xml:space="preserve"> G, </w:t>
      </w:r>
      <w:proofErr w:type="spellStart"/>
      <w:r w:rsidRPr="0020477C">
        <w:rPr>
          <w:rFonts w:eastAsia="Times New Roman" w:cs="Times New Roman"/>
          <w:color w:val="000000"/>
          <w:sz w:val="20"/>
          <w:szCs w:val="20"/>
          <w:lang w:eastAsia="en-GB"/>
        </w:rPr>
        <w:t>Chakhtoura</w:t>
      </w:r>
      <w:proofErr w:type="spellEnd"/>
      <w:r w:rsidRPr="0020477C">
        <w:rPr>
          <w:rFonts w:eastAsia="Times New Roman" w:cs="Times New Roman"/>
          <w:color w:val="000000"/>
          <w:sz w:val="20"/>
          <w:szCs w:val="20"/>
          <w:lang w:eastAsia="en-GB"/>
        </w:rPr>
        <w:t xml:space="preserve">, M, </w:t>
      </w:r>
      <w:proofErr w:type="spellStart"/>
      <w:r w:rsidRPr="0020477C">
        <w:rPr>
          <w:rFonts w:eastAsia="Times New Roman" w:cs="Times New Roman"/>
          <w:color w:val="000000"/>
          <w:sz w:val="20"/>
          <w:szCs w:val="20"/>
          <w:lang w:eastAsia="en-GB"/>
        </w:rPr>
        <w:t>Baddoura</w:t>
      </w:r>
      <w:proofErr w:type="spellEnd"/>
      <w:r w:rsidRPr="0020477C">
        <w:rPr>
          <w:rFonts w:eastAsia="Times New Roman" w:cs="Times New Roman"/>
          <w:color w:val="000000"/>
          <w:sz w:val="20"/>
          <w:szCs w:val="20"/>
          <w:lang w:eastAsia="en-GB"/>
        </w:rPr>
        <w:t xml:space="preserve"> R (2013) Executive Summary-FRAX–Lebanese FRAX based guidelines 2013. </w:t>
      </w:r>
    </w:p>
    <w:p w14:paraId="74316AA4" w14:textId="77777777" w:rsidR="008F544A" w:rsidRPr="0020477C" w:rsidRDefault="008F544A" w:rsidP="00BF1FF4">
      <w:pPr>
        <w:spacing w:line="240" w:lineRule="auto"/>
        <w:rPr>
          <w:rFonts w:eastAsia="Times New Roman" w:cs="Times New Roman"/>
          <w:color w:val="000000"/>
          <w:sz w:val="20"/>
          <w:szCs w:val="20"/>
          <w:lang w:eastAsia="en-GB"/>
        </w:rPr>
      </w:pPr>
      <w:proofErr w:type="spellStart"/>
      <w:r w:rsidRPr="0020477C">
        <w:rPr>
          <w:rFonts w:eastAsia="Times New Roman" w:cs="Times New Roman"/>
          <w:color w:val="000000"/>
          <w:sz w:val="20"/>
          <w:szCs w:val="20"/>
          <w:lang w:eastAsia="en-GB"/>
        </w:rPr>
        <w:t>Elvey</w:t>
      </w:r>
      <w:proofErr w:type="spellEnd"/>
      <w:r w:rsidRPr="0020477C">
        <w:rPr>
          <w:rFonts w:eastAsia="Times New Roman" w:cs="Times New Roman"/>
          <w:color w:val="000000"/>
          <w:sz w:val="20"/>
          <w:szCs w:val="20"/>
          <w:lang w:eastAsia="en-GB"/>
        </w:rPr>
        <w:t xml:space="preserve"> MH, Pugh H, Schaller G, </w:t>
      </w:r>
      <w:proofErr w:type="spellStart"/>
      <w:r w:rsidRPr="0020477C">
        <w:rPr>
          <w:rFonts w:eastAsia="Times New Roman" w:cs="Times New Roman"/>
          <w:color w:val="000000"/>
          <w:sz w:val="20"/>
          <w:szCs w:val="20"/>
          <w:lang w:eastAsia="en-GB"/>
        </w:rPr>
        <w:t>Dhotar</w:t>
      </w:r>
      <w:proofErr w:type="spellEnd"/>
      <w:r w:rsidRPr="0020477C">
        <w:rPr>
          <w:rFonts w:eastAsia="Times New Roman" w:cs="Times New Roman"/>
          <w:color w:val="000000"/>
          <w:sz w:val="20"/>
          <w:szCs w:val="20"/>
          <w:lang w:eastAsia="en-GB"/>
        </w:rPr>
        <w:t xml:space="preserve"> G, Patel B, </w:t>
      </w:r>
      <w:proofErr w:type="spellStart"/>
      <w:r w:rsidRPr="0020477C">
        <w:rPr>
          <w:rFonts w:eastAsia="Times New Roman" w:cs="Times New Roman"/>
          <w:color w:val="000000"/>
          <w:sz w:val="20"/>
          <w:szCs w:val="20"/>
          <w:lang w:eastAsia="en-GB"/>
        </w:rPr>
        <w:t>Oddy</w:t>
      </w:r>
      <w:proofErr w:type="spellEnd"/>
      <w:r w:rsidRPr="0020477C">
        <w:rPr>
          <w:rFonts w:eastAsia="Times New Roman" w:cs="Times New Roman"/>
          <w:color w:val="000000"/>
          <w:sz w:val="20"/>
          <w:szCs w:val="20"/>
          <w:lang w:eastAsia="en-GB"/>
        </w:rPr>
        <w:t xml:space="preserve"> MJ (2014) Failure in the application of fragility fracture prevention guidelines. Ann Roy </w:t>
      </w:r>
      <w:proofErr w:type="spellStart"/>
      <w:r w:rsidRPr="0020477C">
        <w:rPr>
          <w:rFonts w:eastAsia="Times New Roman" w:cs="Times New Roman"/>
          <w:color w:val="000000"/>
          <w:sz w:val="20"/>
          <w:szCs w:val="20"/>
          <w:lang w:eastAsia="en-GB"/>
        </w:rPr>
        <w:t>Coll</w:t>
      </w:r>
      <w:proofErr w:type="spellEnd"/>
      <w:r w:rsidRPr="0020477C">
        <w:rPr>
          <w:rFonts w:eastAsia="Times New Roman" w:cs="Times New Roman"/>
          <w:color w:val="000000"/>
          <w:sz w:val="20"/>
          <w:szCs w:val="20"/>
          <w:lang w:eastAsia="en-GB"/>
        </w:rPr>
        <w:t xml:space="preserve"> f </w:t>
      </w:r>
      <w:proofErr w:type="spellStart"/>
      <w:r w:rsidRPr="0020477C">
        <w:rPr>
          <w:rFonts w:eastAsia="Times New Roman" w:cs="Times New Roman"/>
          <w:color w:val="000000"/>
          <w:sz w:val="20"/>
          <w:szCs w:val="20"/>
          <w:lang w:eastAsia="en-GB"/>
        </w:rPr>
        <w:t>Surg</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Engl</w:t>
      </w:r>
      <w:proofErr w:type="spellEnd"/>
      <w:r w:rsidRPr="0020477C">
        <w:rPr>
          <w:rFonts w:eastAsia="Times New Roman" w:cs="Times New Roman"/>
          <w:color w:val="000000"/>
          <w:sz w:val="20"/>
          <w:szCs w:val="20"/>
          <w:lang w:eastAsia="en-GB"/>
        </w:rPr>
        <w:t xml:space="preserve">  96: 381-5.</w:t>
      </w:r>
    </w:p>
    <w:p w14:paraId="23F62D3B" w14:textId="77777777" w:rsidR="00A304C6" w:rsidRDefault="008F544A" w:rsidP="00BF1FF4">
      <w:pPr>
        <w:spacing w:line="240" w:lineRule="auto"/>
        <w:rPr>
          <w:rFonts w:eastAsia="Times New Roman" w:cs="Times New Roman"/>
          <w:color w:val="000000"/>
          <w:sz w:val="20"/>
          <w:szCs w:val="20"/>
          <w:lang w:eastAsia="en-GB"/>
        </w:rPr>
      </w:pPr>
      <w:proofErr w:type="spellStart"/>
      <w:r w:rsidRPr="0020477C">
        <w:rPr>
          <w:rFonts w:eastAsia="Times New Roman" w:cs="Times New Roman"/>
          <w:color w:val="000000"/>
          <w:sz w:val="20"/>
          <w:szCs w:val="20"/>
          <w:lang w:eastAsia="en-GB"/>
        </w:rPr>
        <w:t>Gadam</w:t>
      </w:r>
      <w:proofErr w:type="spellEnd"/>
      <w:r w:rsidRPr="0020477C">
        <w:rPr>
          <w:rFonts w:eastAsia="Times New Roman" w:cs="Times New Roman"/>
          <w:color w:val="000000"/>
          <w:sz w:val="20"/>
          <w:szCs w:val="20"/>
          <w:lang w:eastAsia="en-GB"/>
        </w:rPr>
        <w:t xml:space="preserve"> RK, </w:t>
      </w:r>
      <w:proofErr w:type="spellStart"/>
      <w:r w:rsidRPr="0020477C">
        <w:rPr>
          <w:rFonts w:eastAsia="Times New Roman" w:cs="Times New Roman"/>
          <w:color w:val="000000"/>
          <w:sz w:val="20"/>
          <w:szCs w:val="20"/>
          <w:lang w:eastAsia="en-GB"/>
        </w:rPr>
        <w:t>Schlauch</w:t>
      </w:r>
      <w:proofErr w:type="spellEnd"/>
      <w:r w:rsidRPr="0020477C">
        <w:rPr>
          <w:rFonts w:eastAsia="Times New Roman" w:cs="Times New Roman"/>
          <w:color w:val="000000"/>
          <w:sz w:val="20"/>
          <w:szCs w:val="20"/>
          <w:lang w:eastAsia="en-GB"/>
        </w:rPr>
        <w:t xml:space="preserve"> K, </w:t>
      </w:r>
      <w:proofErr w:type="spellStart"/>
      <w:r w:rsidRPr="0020477C">
        <w:rPr>
          <w:rFonts w:eastAsia="Times New Roman" w:cs="Times New Roman"/>
          <w:color w:val="000000"/>
          <w:sz w:val="20"/>
          <w:szCs w:val="20"/>
          <w:lang w:eastAsia="en-GB"/>
        </w:rPr>
        <w:t>Izuora</w:t>
      </w:r>
      <w:proofErr w:type="spellEnd"/>
      <w:r w:rsidRPr="0020477C">
        <w:rPr>
          <w:rFonts w:eastAsia="Times New Roman" w:cs="Times New Roman"/>
          <w:color w:val="000000"/>
          <w:sz w:val="20"/>
          <w:szCs w:val="20"/>
          <w:lang w:eastAsia="en-GB"/>
        </w:rPr>
        <w:t xml:space="preserve"> KE (2013) FRAX prediction without BMD for assessment of osteoporosis fracture risk. Endocrine Practice 19: 780-4</w:t>
      </w:r>
    </w:p>
    <w:p w14:paraId="26D50AFE" w14:textId="6FC9E07B" w:rsidR="008F544A" w:rsidRPr="0020477C" w:rsidRDefault="00A304C6" w:rsidP="00BF1FF4">
      <w:pPr>
        <w:spacing w:line="240" w:lineRule="auto"/>
        <w:rPr>
          <w:rFonts w:eastAsia="Times New Roman" w:cs="Times New Roman"/>
          <w:color w:val="000000"/>
          <w:sz w:val="20"/>
          <w:szCs w:val="20"/>
          <w:lang w:eastAsia="en-GB"/>
        </w:rPr>
      </w:pPr>
      <w:proofErr w:type="spellStart"/>
      <w:r w:rsidRPr="00A304C6">
        <w:rPr>
          <w:rFonts w:eastAsia="Times New Roman" w:cs="Times New Roman"/>
          <w:color w:val="000000"/>
          <w:sz w:val="20"/>
          <w:szCs w:val="20"/>
          <w:lang w:eastAsia="en-GB"/>
        </w:rPr>
        <w:t>Gobierno</w:t>
      </w:r>
      <w:proofErr w:type="spellEnd"/>
      <w:r w:rsidRPr="00A304C6">
        <w:rPr>
          <w:rFonts w:eastAsia="Times New Roman" w:cs="Times New Roman"/>
          <w:color w:val="000000"/>
          <w:sz w:val="20"/>
          <w:szCs w:val="20"/>
          <w:lang w:eastAsia="en-GB"/>
        </w:rPr>
        <w:t xml:space="preserve"> Federal (2013) </w:t>
      </w:r>
      <w:proofErr w:type="spellStart"/>
      <w:r w:rsidRPr="00A304C6">
        <w:rPr>
          <w:rFonts w:eastAsia="Times New Roman" w:cs="Times New Roman"/>
          <w:color w:val="000000"/>
          <w:sz w:val="20"/>
          <w:szCs w:val="20"/>
          <w:lang w:eastAsia="en-GB"/>
        </w:rPr>
        <w:t>Diagnostico</w:t>
      </w:r>
      <w:proofErr w:type="spellEnd"/>
      <w:r w:rsidRPr="00A304C6">
        <w:rPr>
          <w:rFonts w:eastAsia="Times New Roman" w:cs="Times New Roman"/>
          <w:color w:val="000000"/>
          <w:sz w:val="20"/>
          <w:szCs w:val="20"/>
          <w:lang w:eastAsia="en-GB"/>
        </w:rPr>
        <w:t xml:space="preserve"> y </w:t>
      </w:r>
      <w:proofErr w:type="spellStart"/>
      <w:r w:rsidRPr="00A304C6">
        <w:rPr>
          <w:rFonts w:eastAsia="Times New Roman" w:cs="Times New Roman"/>
          <w:color w:val="000000"/>
          <w:sz w:val="20"/>
          <w:szCs w:val="20"/>
          <w:lang w:eastAsia="en-GB"/>
        </w:rPr>
        <w:t>tratamiento</w:t>
      </w:r>
      <w:proofErr w:type="spellEnd"/>
      <w:r w:rsidRPr="00A304C6">
        <w:rPr>
          <w:rFonts w:eastAsia="Times New Roman" w:cs="Times New Roman"/>
          <w:color w:val="000000"/>
          <w:sz w:val="20"/>
          <w:szCs w:val="20"/>
          <w:lang w:eastAsia="en-GB"/>
        </w:rPr>
        <w:t xml:space="preserve"> de osteoporosis </w:t>
      </w:r>
      <w:proofErr w:type="spellStart"/>
      <w:r w:rsidRPr="00A304C6">
        <w:rPr>
          <w:rFonts w:eastAsia="Times New Roman" w:cs="Times New Roman"/>
          <w:color w:val="000000"/>
          <w:sz w:val="20"/>
          <w:szCs w:val="20"/>
          <w:lang w:eastAsia="en-GB"/>
        </w:rPr>
        <w:t>en</w:t>
      </w:r>
      <w:proofErr w:type="spellEnd"/>
      <w:r w:rsidRPr="00A304C6">
        <w:rPr>
          <w:rFonts w:eastAsia="Times New Roman" w:cs="Times New Roman"/>
          <w:color w:val="000000"/>
          <w:sz w:val="20"/>
          <w:szCs w:val="20"/>
          <w:lang w:eastAsia="en-GB"/>
        </w:rPr>
        <w:t xml:space="preserve"> </w:t>
      </w:r>
      <w:proofErr w:type="spellStart"/>
      <w:r w:rsidRPr="00A304C6">
        <w:rPr>
          <w:rFonts w:eastAsia="Times New Roman" w:cs="Times New Roman"/>
          <w:color w:val="000000"/>
          <w:sz w:val="20"/>
          <w:szCs w:val="20"/>
          <w:lang w:eastAsia="en-GB"/>
        </w:rPr>
        <w:t>mujeres</w:t>
      </w:r>
      <w:proofErr w:type="spellEnd"/>
      <w:r w:rsidRPr="00A304C6">
        <w:rPr>
          <w:rFonts w:eastAsia="Times New Roman" w:cs="Times New Roman"/>
          <w:color w:val="000000"/>
          <w:sz w:val="20"/>
          <w:szCs w:val="20"/>
          <w:lang w:eastAsia="en-GB"/>
        </w:rPr>
        <w:t xml:space="preserve"> </w:t>
      </w:r>
      <w:proofErr w:type="spellStart"/>
      <w:r w:rsidRPr="00A304C6">
        <w:rPr>
          <w:rFonts w:eastAsia="Times New Roman" w:cs="Times New Roman"/>
          <w:color w:val="000000"/>
          <w:sz w:val="20"/>
          <w:szCs w:val="20"/>
          <w:lang w:eastAsia="en-GB"/>
        </w:rPr>
        <w:t>postmenopauicas</w:t>
      </w:r>
      <w:proofErr w:type="spellEnd"/>
      <w:r w:rsidRPr="00A304C6">
        <w:rPr>
          <w:rFonts w:eastAsia="Times New Roman" w:cs="Times New Roman"/>
          <w:color w:val="000000"/>
          <w:sz w:val="20"/>
          <w:szCs w:val="20"/>
          <w:lang w:eastAsia="en-GB"/>
        </w:rPr>
        <w:t xml:space="preserve">. Guideline IMSS-673-13. Secretary of Health.  Accessed 17 October 2015. </w:t>
      </w:r>
      <w:hyperlink r:id="rId71" w:history="1">
        <w:r w:rsidRPr="00A304C6">
          <w:rPr>
            <w:rStyle w:val="Hyperlink"/>
            <w:rFonts w:eastAsia="Times New Roman" w:cs="Times New Roman"/>
            <w:sz w:val="20"/>
            <w:szCs w:val="20"/>
            <w:lang w:eastAsia="en-GB"/>
          </w:rPr>
          <w:t>www.cenetec.salud.gob.mx/interior/gpc.html</w:t>
        </w:r>
      </w:hyperlink>
      <w:r w:rsidR="008F544A" w:rsidRPr="0020477C">
        <w:rPr>
          <w:rFonts w:eastAsia="Times New Roman" w:cs="Times New Roman"/>
          <w:color w:val="000000"/>
          <w:sz w:val="20"/>
          <w:szCs w:val="20"/>
          <w:lang w:eastAsia="en-GB"/>
        </w:rPr>
        <w:t>.</w:t>
      </w:r>
    </w:p>
    <w:p w14:paraId="56137E06" w14:textId="77777777" w:rsidR="008F544A" w:rsidRPr="0020477C" w:rsidRDefault="008F544A" w:rsidP="00BA362A">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González-</w:t>
      </w:r>
      <w:proofErr w:type="spellStart"/>
      <w:r w:rsidRPr="0020477C">
        <w:rPr>
          <w:rFonts w:eastAsia="Times New Roman" w:cs="Times New Roman"/>
          <w:color w:val="000000"/>
          <w:sz w:val="20"/>
          <w:szCs w:val="20"/>
          <w:lang w:eastAsia="en-GB"/>
        </w:rPr>
        <w:t>Macías</w:t>
      </w:r>
      <w:proofErr w:type="spellEnd"/>
      <w:r w:rsidRPr="0020477C">
        <w:rPr>
          <w:rFonts w:eastAsia="Times New Roman" w:cs="Times New Roman"/>
          <w:color w:val="000000"/>
          <w:sz w:val="20"/>
          <w:szCs w:val="20"/>
          <w:lang w:eastAsia="en-GB"/>
        </w:rPr>
        <w:t xml:space="preserve"> J, Del </w:t>
      </w:r>
      <w:proofErr w:type="spellStart"/>
      <w:r w:rsidRPr="0020477C">
        <w:rPr>
          <w:rFonts w:eastAsia="Times New Roman" w:cs="Times New Roman"/>
          <w:color w:val="000000"/>
          <w:sz w:val="20"/>
          <w:szCs w:val="20"/>
          <w:lang w:eastAsia="en-GB"/>
        </w:rPr>
        <w:t>Pino</w:t>
      </w:r>
      <w:proofErr w:type="spellEnd"/>
      <w:r w:rsidRPr="0020477C">
        <w:rPr>
          <w:rFonts w:eastAsia="Times New Roman" w:cs="Times New Roman"/>
          <w:color w:val="000000"/>
          <w:sz w:val="20"/>
          <w:szCs w:val="20"/>
          <w:lang w:eastAsia="en-GB"/>
        </w:rPr>
        <w:t xml:space="preserve">-Montes J, Olmos JM, </w:t>
      </w:r>
      <w:proofErr w:type="spellStart"/>
      <w:r w:rsidRPr="0020477C">
        <w:rPr>
          <w:rFonts w:eastAsia="Times New Roman" w:cs="Times New Roman"/>
          <w:color w:val="000000"/>
          <w:sz w:val="20"/>
          <w:szCs w:val="20"/>
          <w:lang w:eastAsia="en-GB"/>
        </w:rPr>
        <w:t>Nogués</w:t>
      </w:r>
      <w:proofErr w:type="spellEnd"/>
      <w:r w:rsidRPr="0020477C">
        <w:rPr>
          <w:rFonts w:eastAsia="Times New Roman" w:cs="Times New Roman"/>
          <w:color w:val="000000"/>
          <w:sz w:val="20"/>
          <w:szCs w:val="20"/>
          <w:lang w:eastAsia="en-GB"/>
        </w:rPr>
        <w:t xml:space="preserve"> X; </w:t>
      </w:r>
      <w:proofErr w:type="spellStart"/>
      <w:r w:rsidRPr="0020477C">
        <w:rPr>
          <w:rFonts w:eastAsia="Times New Roman" w:cs="Times New Roman"/>
          <w:color w:val="000000"/>
          <w:sz w:val="20"/>
          <w:szCs w:val="20"/>
          <w:lang w:eastAsia="en-GB"/>
        </w:rPr>
        <w:t>en</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nombre</w:t>
      </w:r>
      <w:proofErr w:type="spellEnd"/>
      <w:r w:rsidRPr="0020477C">
        <w:rPr>
          <w:rFonts w:eastAsia="Times New Roman" w:cs="Times New Roman"/>
          <w:color w:val="000000"/>
          <w:sz w:val="20"/>
          <w:szCs w:val="20"/>
          <w:lang w:eastAsia="en-GB"/>
        </w:rPr>
        <w:t xml:space="preserve"> de la </w:t>
      </w:r>
      <w:proofErr w:type="spellStart"/>
      <w:r w:rsidRPr="0020477C">
        <w:rPr>
          <w:rFonts w:eastAsia="Times New Roman" w:cs="Times New Roman"/>
          <w:color w:val="000000"/>
          <w:sz w:val="20"/>
          <w:szCs w:val="20"/>
          <w:lang w:eastAsia="en-GB"/>
        </w:rPr>
        <w:t>Comisión</w:t>
      </w:r>
      <w:proofErr w:type="spellEnd"/>
      <w:r w:rsidRPr="0020477C">
        <w:rPr>
          <w:rFonts w:eastAsia="Times New Roman" w:cs="Times New Roman"/>
          <w:color w:val="000000"/>
          <w:sz w:val="20"/>
          <w:szCs w:val="20"/>
          <w:lang w:eastAsia="en-GB"/>
        </w:rPr>
        <w:t xml:space="preserve"> de </w:t>
      </w:r>
      <w:proofErr w:type="spellStart"/>
      <w:r w:rsidRPr="0020477C">
        <w:rPr>
          <w:rFonts w:eastAsia="Times New Roman" w:cs="Times New Roman"/>
          <w:color w:val="000000"/>
          <w:sz w:val="20"/>
          <w:szCs w:val="20"/>
          <w:lang w:eastAsia="en-GB"/>
        </w:rPr>
        <w:t>Redacción</w:t>
      </w:r>
      <w:proofErr w:type="spellEnd"/>
      <w:r w:rsidRPr="0020477C">
        <w:rPr>
          <w:rFonts w:eastAsia="Times New Roman" w:cs="Times New Roman"/>
          <w:color w:val="000000"/>
          <w:sz w:val="20"/>
          <w:szCs w:val="20"/>
          <w:lang w:eastAsia="en-GB"/>
        </w:rPr>
        <w:t xml:space="preserve"> de las </w:t>
      </w:r>
      <w:proofErr w:type="spellStart"/>
      <w:r w:rsidRPr="0020477C">
        <w:rPr>
          <w:rFonts w:eastAsia="Times New Roman" w:cs="Times New Roman"/>
          <w:color w:val="000000"/>
          <w:sz w:val="20"/>
          <w:szCs w:val="20"/>
          <w:lang w:eastAsia="en-GB"/>
        </w:rPr>
        <w:t>Guías</w:t>
      </w:r>
      <w:proofErr w:type="spellEnd"/>
      <w:r w:rsidRPr="0020477C">
        <w:rPr>
          <w:rFonts w:eastAsia="Times New Roman" w:cs="Times New Roman"/>
          <w:color w:val="000000"/>
          <w:sz w:val="20"/>
          <w:szCs w:val="20"/>
          <w:lang w:eastAsia="en-GB"/>
        </w:rPr>
        <w:t xml:space="preserve"> de Osteoporosis de la SEIOMM (2015) Clinical practice guidelines for postmenopausal, glucocorticoid-induced and male osteoporosis. Spanish Society for Research on Bone and Mineral Metabolism (3</w:t>
      </w:r>
      <w:r w:rsidRPr="0020477C">
        <w:rPr>
          <w:rFonts w:eastAsia="Times New Roman" w:cs="Times New Roman"/>
          <w:color w:val="000000"/>
          <w:sz w:val="20"/>
          <w:szCs w:val="20"/>
          <w:vertAlign w:val="superscript"/>
          <w:lang w:eastAsia="en-GB"/>
        </w:rPr>
        <w:t>rd</w:t>
      </w:r>
      <w:r w:rsidRPr="0020477C">
        <w:rPr>
          <w:rFonts w:eastAsia="Times New Roman" w:cs="Times New Roman"/>
          <w:color w:val="000000"/>
          <w:sz w:val="20"/>
          <w:szCs w:val="20"/>
          <w:lang w:eastAsia="en-GB"/>
        </w:rPr>
        <w:t xml:space="preserve"> updated version 2014). Rev </w:t>
      </w:r>
      <w:proofErr w:type="spellStart"/>
      <w:r w:rsidRPr="0020477C">
        <w:rPr>
          <w:rFonts w:eastAsia="Times New Roman" w:cs="Times New Roman"/>
          <w:color w:val="000000"/>
          <w:sz w:val="20"/>
          <w:szCs w:val="20"/>
          <w:lang w:eastAsia="en-GB"/>
        </w:rPr>
        <w:t>Clin</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Esp</w:t>
      </w:r>
      <w:proofErr w:type="spellEnd"/>
      <w:r w:rsidRPr="0020477C">
        <w:rPr>
          <w:rFonts w:eastAsia="Times New Roman" w:cs="Times New Roman"/>
          <w:color w:val="000000"/>
          <w:sz w:val="20"/>
          <w:szCs w:val="20"/>
          <w:lang w:eastAsia="en-GB"/>
        </w:rPr>
        <w:t xml:space="preserve"> 215: 515-526</w:t>
      </w:r>
    </w:p>
    <w:p w14:paraId="44D69E85" w14:textId="77777777" w:rsidR="008F544A" w:rsidRPr="0020477C" w:rsidRDefault="008F544A" w:rsidP="00BA362A">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Greenspan SL, </w:t>
      </w:r>
      <w:proofErr w:type="spellStart"/>
      <w:r w:rsidRPr="0020477C">
        <w:rPr>
          <w:rFonts w:eastAsia="Times New Roman" w:cs="Times New Roman"/>
          <w:color w:val="000000"/>
          <w:sz w:val="20"/>
          <w:szCs w:val="20"/>
          <w:lang w:eastAsia="en-GB"/>
        </w:rPr>
        <w:t>Bilezikian</w:t>
      </w:r>
      <w:proofErr w:type="spellEnd"/>
      <w:r w:rsidRPr="0020477C">
        <w:rPr>
          <w:rFonts w:eastAsia="Times New Roman" w:cs="Times New Roman"/>
          <w:color w:val="000000"/>
          <w:sz w:val="20"/>
          <w:szCs w:val="20"/>
          <w:lang w:eastAsia="en-GB"/>
        </w:rPr>
        <w:t xml:space="preserve"> JP, Watts NB, et al (2013) A clinician performance initiative to improve quality of care for patients with osteoporosis. Jo Women’s Health 22: 853-61.</w:t>
      </w:r>
    </w:p>
    <w:p w14:paraId="788C3532" w14:textId="77777777" w:rsidR="008F544A" w:rsidRPr="0020477C" w:rsidRDefault="008F544A" w:rsidP="00BA362A">
      <w:pPr>
        <w:spacing w:line="240" w:lineRule="auto"/>
        <w:rPr>
          <w:rFonts w:eastAsia="Times New Roman" w:cs="Times New Roman"/>
          <w:color w:val="000000"/>
          <w:sz w:val="20"/>
          <w:szCs w:val="20"/>
          <w:lang w:eastAsia="en-GB"/>
        </w:rPr>
      </w:pPr>
      <w:proofErr w:type="spellStart"/>
      <w:r w:rsidRPr="0020477C">
        <w:rPr>
          <w:rFonts w:eastAsia="Times New Roman" w:cs="Times New Roman"/>
          <w:color w:val="000000"/>
          <w:sz w:val="20"/>
          <w:szCs w:val="20"/>
          <w:lang w:eastAsia="en-GB"/>
        </w:rPr>
        <w:t>Halldorsson</w:t>
      </w:r>
      <w:proofErr w:type="spellEnd"/>
      <w:r w:rsidRPr="0020477C">
        <w:rPr>
          <w:rFonts w:eastAsia="Times New Roman" w:cs="Times New Roman"/>
          <w:color w:val="000000"/>
          <w:sz w:val="20"/>
          <w:szCs w:val="20"/>
          <w:lang w:eastAsia="en-GB"/>
        </w:rPr>
        <w:t xml:space="preserve"> BV, </w:t>
      </w:r>
      <w:proofErr w:type="spellStart"/>
      <w:r w:rsidRPr="0020477C">
        <w:rPr>
          <w:rFonts w:eastAsia="Times New Roman" w:cs="Times New Roman"/>
          <w:color w:val="000000"/>
          <w:sz w:val="20"/>
          <w:szCs w:val="20"/>
          <w:lang w:eastAsia="en-GB"/>
        </w:rPr>
        <w:t>Bjornsson</w:t>
      </w:r>
      <w:proofErr w:type="spellEnd"/>
      <w:r w:rsidRPr="0020477C">
        <w:rPr>
          <w:rFonts w:eastAsia="Times New Roman" w:cs="Times New Roman"/>
          <w:color w:val="000000"/>
          <w:sz w:val="20"/>
          <w:szCs w:val="20"/>
          <w:lang w:eastAsia="en-GB"/>
        </w:rPr>
        <w:t xml:space="preserve"> AH, </w:t>
      </w:r>
      <w:proofErr w:type="spellStart"/>
      <w:r w:rsidRPr="0020477C">
        <w:rPr>
          <w:rFonts w:eastAsia="Times New Roman" w:cs="Times New Roman"/>
          <w:color w:val="000000"/>
          <w:sz w:val="20"/>
          <w:szCs w:val="20"/>
          <w:lang w:eastAsia="en-GB"/>
        </w:rPr>
        <w:t>Gudmundsson</w:t>
      </w:r>
      <w:proofErr w:type="spellEnd"/>
      <w:r w:rsidRPr="0020477C">
        <w:rPr>
          <w:rFonts w:eastAsia="Times New Roman" w:cs="Times New Roman"/>
          <w:color w:val="000000"/>
          <w:sz w:val="20"/>
          <w:szCs w:val="20"/>
          <w:lang w:eastAsia="en-GB"/>
        </w:rPr>
        <w:t xml:space="preserve"> HT, </w:t>
      </w:r>
      <w:proofErr w:type="spellStart"/>
      <w:r w:rsidRPr="0020477C">
        <w:rPr>
          <w:rFonts w:eastAsia="Times New Roman" w:cs="Times New Roman"/>
          <w:color w:val="000000"/>
          <w:sz w:val="20"/>
          <w:szCs w:val="20"/>
          <w:lang w:eastAsia="en-GB"/>
        </w:rPr>
        <w:t>Birgisson</w:t>
      </w:r>
      <w:proofErr w:type="spellEnd"/>
      <w:r w:rsidRPr="0020477C">
        <w:rPr>
          <w:rFonts w:eastAsia="Times New Roman" w:cs="Times New Roman"/>
          <w:color w:val="000000"/>
          <w:sz w:val="20"/>
          <w:szCs w:val="20"/>
          <w:lang w:eastAsia="en-GB"/>
        </w:rPr>
        <w:t xml:space="preserve"> EO, </w:t>
      </w:r>
      <w:proofErr w:type="spellStart"/>
      <w:r w:rsidRPr="0020477C">
        <w:rPr>
          <w:rFonts w:eastAsia="Times New Roman" w:cs="Times New Roman"/>
          <w:color w:val="000000"/>
          <w:sz w:val="20"/>
          <w:szCs w:val="20"/>
          <w:lang w:eastAsia="en-GB"/>
        </w:rPr>
        <w:t>Ludviksson</w:t>
      </w:r>
      <w:proofErr w:type="spellEnd"/>
      <w:r w:rsidRPr="0020477C">
        <w:rPr>
          <w:rFonts w:eastAsia="Times New Roman" w:cs="Times New Roman"/>
          <w:color w:val="000000"/>
          <w:sz w:val="20"/>
          <w:szCs w:val="20"/>
          <w:lang w:eastAsia="en-GB"/>
        </w:rPr>
        <w:t xml:space="preserve"> BR, </w:t>
      </w:r>
      <w:proofErr w:type="spellStart"/>
      <w:r w:rsidRPr="0020477C">
        <w:rPr>
          <w:rFonts w:eastAsia="Times New Roman" w:cs="Times New Roman"/>
          <w:color w:val="000000"/>
          <w:sz w:val="20"/>
          <w:szCs w:val="20"/>
          <w:lang w:eastAsia="en-GB"/>
        </w:rPr>
        <w:t>Gudbjornsson</w:t>
      </w:r>
      <w:proofErr w:type="spellEnd"/>
      <w:r w:rsidRPr="0020477C">
        <w:rPr>
          <w:rFonts w:eastAsia="Times New Roman" w:cs="Times New Roman"/>
          <w:color w:val="000000"/>
          <w:sz w:val="20"/>
          <w:szCs w:val="20"/>
          <w:lang w:eastAsia="en-GB"/>
        </w:rPr>
        <w:t xml:space="preserve"> B (2015) A clinical decision support system for the diagnosis, fracture risks and treatment of osteoporosis. </w:t>
      </w:r>
      <w:proofErr w:type="spellStart"/>
      <w:r w:rsidRPr="0020477C">
        <w:rPr>
          <w:rFonts w:eastAsia="Times New Roman" w:cs="Times New Roman"/>
          <w:color w:val="000000"/>
          <w:sz w:val="20"/>
          <w:szCs w:val="20"/>
          <w:lang w:eastAsia="en-GB"/>
        </w:rPr>
        <w:t>Comput</w:t>
      </w:r>
      <w:proofErr w:type="spellEnd"/>
      <w:r w:rsidRPr="0020477C">
        <w:rPr>
          <w:rFonts w:eastAsia="Times New Roman" w:cs="Times New Roman"/>
          <w:color w:val="000000"/>
          <w:sz w:val="20"/>
          <w:szCs w:val="20"/>
          <w:lang w:eastAsia="en-GB"/>
        </w:rPr>
        <w:t xml:space="preserve"> Math Methods Med 189769. </w:t>
      </w:r>
      <w:proofErr w:type="spellStart"/>
      <w:r w:rsidRPr="0020477C">
        <w:rPr>
          <w:rFonts w:eastAsia="Times New Roman" w:cs="Times New Roman"/>
          <w:color w:val="000000"/>
          <w:sz w:val="20"/>
          <w:szCs w:val="20"/>
          <w:lang w:eastAsia="en-GB"/>
        </w:rPr>
        <w:t>doi</w:t>
      </w:r>
      <w:proofErr w:type="spellEnd"/>
      <w:r w:rsidRPr="0020477C">
        <w:rPr>
          <w:rFonts w:eastAsia="Times New Roman" w:cs="Times New Roman"/>
          <w:color w:val="000000"/>
          <w:sz w:val="20"/>
          <w:szCs w:val="20"/>
          <w:lang w:eastAsia="en-GB"/>
        </w:rPr>
        <w:t>: 10.1155/2015/189769</w:t>
      </w:r>
    </w:p>
    <w:p w14:paraId="35E1BA0C" w14:textId="77777777" w:rsidR="008F544A" w:rsidRPr="0020477C" w:rsidRDefault="008F544A" w:rsidP="00BA362A">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Hosoi T (2012) Clinical application of FRAX in Japan. </w:t>
      </w:r>
      <w:proofErr w:type="spellStart"/>
      <w:r w:rsidRPr="0020477C">
        <w:rPr>
          <w:rFonts w:eastAsia="Times New Roman" w:cs="Times New Roman"/>
          <w:color w:val="000000"/>
          <w:sz w:val="20"/>
          <w:szCs w:val="20"/>
          <w:lang w:eastAsia="en-GB"/>
        </w:rPr>
        <w:t>Clin</w:t>
      </w:r>
      <w:proofErr w:type="spellEnd"/>
      <w:r w:rsidRPr="0020477C">
        <w:rPr>
          <w:rFonts w:eastAsia="Times New Roman" w:cs="Times New Roman"/>
          <w:color w:val="000000"/>
          <w:sz w:val="20"/>
          <w:szCs w:val="20"/>
          <w:lang w:eastAsia="en-GB"/>
        </w:rPr>
        <w:t xml:space="preserve"> Calcium 2012; 22: 857-63.</w:t>
      </w:r>
    </w:p>
    <w:p w14:paraId="2FAB3401" w14:textId="77777777" w:rsidR="008F544A" w:rsidRPr="0020477C" w:rsidRDefault="008F544A" w:rsidP="00BA362A">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Hosoi T (2015) [2015 Guidelines for Prevention and Treatment of Osteoporosis. Diagnostic criteria of primary osteoporosis and the criteria for pharmacological treatment]. </w:t>
      </w:r>
      <w:proofErr w:type="spellStart"/>
      <w:r w:rsidRPr="0020477C">
        <w:rPr>
          <w:rFonts w:eastAsia="Times New Roman" w:cs="Times New Roman"/>
          <w:color w:val="000000"/>
          <w:sz w:val="20"/>
          <w:szCs w:val="20"/>
          <w:lang w:eastAsia="en-GB"/>
        </w:rPr>
        <w:t>Clin</w:t>
      </w:r>
      <w:proofErr w:type="spellEnd"/>
      <w:r w:rsidRPr="0020477C">
        <w:rPr>
          <w:rFonts w:eastAsia="Times New Roman" w:cs="Times New Roman"/>
          <w:color w:val="000000"/>
          <w:sz w:val="20"/>
          <w:szCs w:val="20"/>
          <w:lang w:eastAsia="en-GB"/>
        </w:rPr>
        <w:t xml:space="preserve"> Calcium   25: 1279-83.</w:t>
      </w:r>
    </w:p>
    <w:p w14:paraId="55F6D571" w14:textId="77777777" w:rsidR="008F544A" w:rsidRPr="0020477C" w:rsidRDefault="008F544A" w:rsidP="001129CA">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Hungarian Society for Osteoporosis and </w:t>
      </w:r>
      <w:proofErr w:type="spellStart"/>
      <w:r w:rsidRPr="0020477C">
        <w:rPr>
          <w:rFonts w:eastAsia="Times New Roman" w:cs="Times New Roman"/>
          <w:color w:val="000000"/>
          <w:sz w:val="20"/>
          <w:szCs w:val="20"/>
          <w:lang w:eastAsia="en-GB"/>
        </w:rPr>
        <w:t>Osteoarthrology</w:t>
      </w:r>
      <w:proofErr w:type="spellEnd"/>
      <w:r w:rsidRPr="0020477C">
        <w:rPr>
          <w:rFonts w:eastAsia="Times New Roman" w:cs="Times New Roman"/>
          <w:color w:val="000000"/>
          <w:sz w:val="20"/>
          <w:szCs w:val="20"/>
          <w:lang w:eastAsia="en-GB"/>
        </w:rPr>
        <w:t xml:space="preserve"> (HSOO) (2006) National Guidelines. Calcium Bone 8: 116-155</w:t>
      </w:r>
    </w:p>
    <w:p w14:paraId="79672A09" w14:textId="77777777" w:rsidR="008F544A" w:rsidRPr="0020477C" w:rsidRDefault="008F544A" w:rsidP="001129CA">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Hwang J-S, Chan D-C, Chen J-F, et al (2014) Clinical practice guidelines for the prevention and treatment of osteoporosis in Taiwan: summary. J Bone Miner </w:t>
      </w:r>
      <w:proofErr w:type="spellStart"/>
      <w:r w:rsidRPr="0020477C">
        <w:rPr>
          <w:rFonts w:eastAsia="Times New Roman" w:cs="Times New Roman"/>
          <w:color w:val="000000"/>
          <w:sz w:val="20"/>
          <w:szCs w:val="20"/>
          <w:lang w:eastAsia="en-GB"/>
        </w:rPr>
        <w:t>Metab</w:t>
      </w:r>
      <w:proofErr w:type="spellEnd"/>
      <w:r w:rsidRPr="0020477C">
        <w:rPr>
          <w:rFonts w:eastAsia="Times New Roman" w:cs="Times New Roman"/>
          <w:color w:val="000000"/>
          <w:sz w:val="20"/>
          <w:szCs w:val="20"/>
          <w:lang w:eastAsia="en-GB"/>
        </w:rPr>
        <w:t xml:space="preserve"> 32: 10-6.</w:t>
      </w:r>
    </w:p>
    <w:p w14:paraId="05C4A13F" w14:textId="77777777" w:rsidR="008F544A" w:rsidRPr="0020477C" w:rsidRDefault="008F544A" w:rsidP="001129CA">
      <w:pPr>
        <w:spacing w:line="240" w:lineRule="auto"/>
        <w:rPr>
          <w:rFonts w:eastAsia="Times New Roman" w:cs="Times New Roman"/>
          <w:color w:val="000000"/>
          <w:sz w:val="20"/>
          <w:szCs w:val="20"/>
          <w:lang w:eastAsia="en-GB"/>
        </w:rPr>
      </w:pPr>
      <w:proofErr w:type="spellStart"/>
      <w:r w:rsidRPr="0020477C">
        <w:rPr>
          <w:rFonts w:eastAsia="Times New Roman" w:cs="Times New Roman"/>
          <w:color w:val="000000"/>
          <w:sz w:val="20"/>
          <w:szCs w:val="20"/>
          <w:lang w:eastAsia="en-GB"/>
        </w:rPr>
        <w:t>Ip</w:t>
      </w:r>
      <w:proofErr w:type="spellEnd"/>
      <w:r w:rsidRPr="0020477C">
        <w:rPr>
          <w:rFonts w:eastAsia="Times New Roman" w:cs="Times New Roman"/>
          <w:color w:val="000000"/>
          <w:sz w:val="20"/>
          <w:szCs w:val="20"/>
          <w:lang w:eastAsia="en-GB"/>
        </w:rPr>
        <w:t xml:space="preserve"> TP, Cheung SK, Cheung TC et al (2013) OSHK Guideline for clinical management of postmenopausal osteoporosis in Hong Kong. Hong Kong Med J. 19 </w:t>
      </w:r>
      <w:proofErr w:type="spellStart"/>
      <w:r w:rsidRPr="0020477C">
        <w:rPr>
          <w:rFonts w:eastAsia="Times New Roman" w:cs="Times New Roman"/>
          <w:color w:val="000000"/>
          <w:sz w:val="20"/>
          <w:szCs w:val="20"/>
          <w:lang w:eastAsia="en-GB"/>
        </w:rPr>
        <w:t>Suppl</w:t>
      </w:r>
      <w:proofErr w:type="spellEnd"/>
      <w:r w:rsidRPr="0020477C">
        <w:rPr>
          <w:rFonts w:eastAsia="Times New Roman" w:cs="Times New Roman"/>
          <w:color w:val="000000"/>
          <w:sz w:val="20"/>
          <w:szCs w:val="20"/>
          <w:lang w:eastAsia="en-GB"/>
        </w:rPr>
        <w:t xml:space="preserve"> 2:1-40. </w:t>
      </w:r>
      <w:hyperlink r:id="rId72" w:history="1">
        <w:r w:rsidRPr="0020477C">
          <w:rPr>
            <w:rStyle w:val="Hyperlink"/>
            <w:rFonts w:eastAsia="Times New Roman" w:cs="Times New Roman"/>
            <w:sz w:val="20"/>
            <w:szCs w:val="20"/>
            <w:lang w:eastAsia="en-GB"/>
          </w:rPr>
          <w:t>http://www.hkmj.org/supplements/article_pdfs/hkm1304sp2p6.pdf</w:t>
        </w:r>
      </w:hyperlink>
      <w:r w:rsidRPr="0020477C">
        <w:rPr>
          <w:rFonts w:eastAsia="Times New Roman" w:cs="Times New Roman"/>
          <w:color w:val="000000"/>
          <w:sz w:val="20"/>
          <w:szCs w:val="20"/>
          <w:lang w:eastAsia="en-GB"/>
        </w:rPr>
        <w:t xml:space="preserve"> Accessed 24 October 2015</w:t>
      </w:r>
    </w:p>
    <w:p w14:paraId="636A98AB" w14:textId="77777777" w:rsidR="008F544A" w:rsidRPr="0020477C" w:rsidRDefault="008F544A" w:rsidP="001129CA">
      <w:pPr>
        <w:spacing w:line="240" w:lineRule="auto"/>
        <w:rPr>
          <w:rFonts w:eastAsia="Times New Roman" w:cs="Times New Roman"/>
          <w:color w:val="000000"/>
          <w:sz w:val="20"/>
          <w:szCs w:val="20"/>
          <w:lang w:eastAsia="en-GB"/>
        </w:rPr>
      </w:pPr>
      <w:proofErr w:type="spellStart"/>
      <w:r w:rsidRPr="0020477C">
        <w:rPr>
          <w:rFonts w:eastAsia="Times New Roman" w:cs="Times New Roman"/>
          <w:color w:val="000000"/>
          <w:sz w:val="20"/>
          <w:szCs w:val="20"/>
          <w:lang w:eastAsia="en-GB"/>
        </w:rPr>
        <w:t>Juozaitytė</w:t>
      </w:r>
      <w:proofErr w:type="spellEnd"/>
      <w:r w:rsidRPr="0020477C">
        <w:rPr>
          <w:rFonts w:eastAsia="Times New Roman" w:cs="Times New Roman"/>
          <w:color w:val="000000"/>
          <w:sz w:val="20"/>
          <w:szCs w:val="20"/>
          <w:lang w:eastAsia="en-GB"/>
        </w:rPr>
        <w:t xml:space="preserve"> E, </w:t>
      </w:r>
      <w:proofErr w:type="spellStart"/>
      <w:r w:rsidRPr="0020477C">
        <w:rPr>
          <w:rFonts w:eastAsia="Times New Roman" w:cs="Times New Roman"/>
          <w:color w:val="000000"/>
          <w:sz w:val="20"/>
          <w:szCs w:val="20"/>
          <w:lang w:eastAsia="en-GB"/>
        </w:rPr>
        <w:t>Aleknavičius</w:t>
      </w:r>
      <w:proofErr w:type="spellEnd"/>
      <w:r w:rsidRPr="0020477C">
        <w:rPr>
          <w:rFonts w:eastAsia="Times New Roman" w:cs="Times New Roman"/>
          <w:color w:val="000000"/>
          <w:sz w:val="20"/>
          <w:szCs w:val="20"/>
          <w:lang w:eastAsia="en-GB"/>
        </w:rPr>
        <w:t xml:space="preserve"> E, </w:t>
      </w:r>
      <w:proofErr w:type="spellStart"/>
      <w:r w:rsidRPr="0020477C">
        <w:rPr>
          <w:rFonts w:eastAsia="Times New Roman" w:cs="Times New Roman"/>
          <w:color w:val="000000"/>
          <w:sz w:val="20"/>
          <w:szCs w:val="20"/>
          <w:lang w:eastAsia="en-GB"/>
        </w:rPr>
        <w:t>Jančiauskienė</w:t>
      </w:r>
      <w:proofErr w:type="spellEnd"/>
      <w:r w:rsidRPr="0020477C">
        <w:rPr>
          <w:rFonts w:eastAsia="Times New Roman" w:cs="Times New Roman"/>
          <w:color w:val="000000"/>
          <w:sz w:val="20"/>
          <w:szCs w:val="20"/>
          <w:lang w:eastAsia="en-GB"/>
        </w:rPr>
        <w:t xml:space="preserve"> R et al (2014) Guidelines for diagnostics and treatment of aromatase inhibitor-induced bone loss in women with breast cancer: a consensus of Lithuanian medical oncologists, radiation oncologists, endocrinologists, and family medicine physicians. </w:t>
      </w:r>
      <w:proofErr w:type="spellStart"/>
      <w:r w:rsidRPr="0020477C">
        <w:rPr>
          <w:rFonts w:eastAsia="Times New Roman" w:cs="Times New Roman"/>
          <w:color w:val="000000"/>
          <w:sz w:val="20"/>
          <w:szCs w:val="20"/>
          <w:lang w:eastAsia="en-GB"/>
        </w:rPr>
        <w:t>Medicina</w:t>
      </w:r>
      <w:proofErr w:type="spellEnd"/>
      <w:r w:rsidRPr="0020477C">
        <w:rPr>
          <w:rFonts w:eastAsia="Times New Roman" w:cs="Times New Roman"/>
          <w:color w:val="000000"/>
          <w:sz w:val="20"/>
          <w:szCs w:val="20"/>
          <w:lang w:eastAsia="en-GB"/>
        </w:rPr>
        <w:t xml:space="preserve"> (Kaunas 50: 197-203. </w:t>
      </w:r>
    </w:p>
    <w:p w14:paraId="0B6FCD76" w14:textId="77777777" w:rsidR="008F544A" w:rsidRPr="0020477C" w:rsidRDefault="008F544A" w:rsidP="001129CA">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Kanis JA, Burlet N, Cooper C et al on behalf of the European Society for Clinical and Economic Aspects of Osteoporosis and Osteoarthritis (ESCEO) (2008e) European guidance for the diagnosis and management of osteoporosis in postmenopausal women. Osteoporos </w:t>
      </w:r>
      <w:proofErr w:type="spellStart"/>
      <w:r w:rsidRPr="0020477C">
        <w:rPr>
          <w:rFonts w:eastAsia="Times New Roman" w:cs="Times New Roman"/>
          <w:color w:val="000000"/>
          <w:sz w:val="20"/>
          <w:szCs w:val="20"/>
          <w:lang w:eastAsia="en-GB"/>
        </w:rPr>
        <w:t>Int</w:t>
      </w:r>
      <w:proofErr w:type="spellEnd"/>
      <w:r w:rsidRPr="0020477C">
        <w:rPr>
          <w:rFonts w:eastAsia="Times New Roman" w:cs="Times New Roman"/>
          <w:color w:val="000000"/>
          <w:sz w:val="20"/>
          <w:szCs w:val="20"/>
          <w:lang w:eastAsia="en-GB"/>
        </w:rPr>
        <w:t xml:space="preserve"> 19: 399-428. </w:t>
      </w:r>
    </w:p>
    <w:p w14:paraId="5B29EC93" w14:textId="77777777" w:rsidR="008F544A" w:rsidRPr="0020477C" w:rsidRDefault="008F544A" w:rsidP="001129CA">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Kanis JA, Johansson H, Oden A, McCloskey EV (2009) Bazedoxifene reduces vertebral and clinical fractures in postmenopausal women at high risk assessed with FRAX (R). Bone  44: 1049-54.</w:t>
      </w:r>
    </w:p>
    <w:p w14:paraId="7265B2E5" w14:textId="77777777" w:rsidR="008F544A" w:rsidRPr="0020477C" w:rsidRDefault="008F544A" w:rsidP="001129CA">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Kanis JA, McCloskey EV, Johansson H, Strom O, Borgstrom F, Oden A (2009) How to decide who to treat. Best Practice &amp; Research in Clinical Rheumatology 23: 711-26.</w:t>
      </w:r>
    </w:p>
    <w:p w14:paraId="428CDFD2" w14:textId="77777777" w:rsidR="008F544A" w:rsidRPr="0020477C" w:rsidRDefault="008F544A" w:rsidP="00F30531">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Kanis JA, Odén A, McCloskey EV, Johansson H, Wahl D, Cyrus Cooper C  on behalf of the IOF Working Group on Epidemiology and Quality of Life (2012e) A systematic review of hip fracture incidence and probability of fracture worldwide. Osteoporos </w:t>
      </w:r>
      <w:proofErr w:type="spellStart"/>
      <w:r w:rsidRPr="0020477C">
        <w:rPr>
          <w:rFonts w:eastAsia="Times New Roman" w:cs="Times New Roman"/>
          <w:color w:val="000000"/>
          <w:sz w:val="20"/>
          <w:szCs w:val="20"/>
          <w:lang w:eastAsia="en-GB"/>
        </w:rPr>
        <w:t>Int</w:t>
      </w:r>
      <w:proofErr w:type="spellEnd"/>
      <w:r w:rsidRPr="0020477C">
        <w:rPr>
          <w:rFonts w:eastAsia="Times New Roman" w:cs="Times New Roman"/>
          <w:color w:val="000000"/>
          <w:sz w:val="20"/>
          <w:szCs w:val="20"/>
          <w:lang w:eastAsia="en-GB"/>
        </w:rPr>
        <w:t xml:space="preserve"> 23: 2239-2256.</w:t>
      </w:r>
    </w:p>
    <w:p w14:paraId="31735308" w14:textId="77777777" w:rsidR="008F544A" w:rsidRPr="0020477C" w:rsidRDefault="008F544A" w:rsidP="001129CA">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lastRenderedPageBreak/>
        <w:t xml:space="preserve">Khan SN, Craig L, Wild R (2013) Osteoporosis: therapeutic guidelines. Guidelines for practice management of osteoporosis. </w:t>
      </w:r>
      <w:proofErr w:type="spellStart"/>
      <w:r w:rsidRPr="0020477C">
        <w:rPr>
          <w:rFonts w:eastAsia="Times New Roman" w:cs="Times New Roman"/>
          <w:color w:val="000000"/>
          <w:sz w:val="20"/>
          <w:szCs w:val="20"/>
          <w:lang w:eastAsia="en-GB"/>
        </w:rPr>
        <w:t>Clin</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Obstet</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Gynecol</w:t>
      </w:r>
      <w:proofErr w:type="spellEnd"/>
      <w:r w:rsidRPr="0020477C">
        <w:rPr>
          <w:rFonts w:eastAsia="Times New Roman" w:cs="Times New Roman"/>
          <w:color w:val="000000"/>
          <w:sz w:val="20"/>
          <w:szCs w:val="20"/>
          <w:lang w:eastAsia="en-GB"/>
        </w:rPr>
        <w:t xml:space="preserve"> 56: 694-702. </w:t>
      </w:r>
    </w:p>
    <w:p w14:paraId="30452848" w14:textId="77777777" w:rsidR="008F544A" w:rsidRPr="0020477C" w:rsidRDefault="008F544A" w:rsidP="006742AB">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Kraenzlin ME (2013) Swiss guidance for the diagnosis and management of osteoporosis. Rev </w:t>
      </w:r>
      <w:proofErr w:type="spellStart"/>
      <w:r w:rsidRPr="0020477C">
        <w:rPr>
          <w:rFonts w:eastAsia="Times New Roman" w:cs="Times New Roman"/>
          <w:color w:val="000000"/>
          <w:sz w:val="20"/>
          <w:szCs w:val="20"/>
          <w:lang w:eastAsia="en-GB"/>
        </w:rPr>
        <w:t>Medicale</w:t>
      </w:r>
      <w:proofErr w:type="spellEnd"/>
      <w:r w:rsidRPr="0020477C">
        <w:rPr>
          <w:rFonts w:eastAsia="Times New Roman" w:cs="Times New Roman"/>
          <w:color w:val="000000"/>
          <w:sz w:val="20"/>
          <w:szCs w:val="20"/>
          <w:lang w:eastAsia="en-GB"/>
        </w:rPr>
        <w:t xml:space="preserve"> Suisse 9: 1274-8.</w:t>
      </w:r>
    </w:p>
    <w:p w14:paraId="68272BD8" w14:textId="77777777" w:rsidR="008F544A" w:rsidRPr="0020477C" w:rsidRDefault="008F544A" w:rsidP="006742AB">
      <w:pPr>
        <w:spacing w:line="240" w:lineRule="auto"/>
        <w:rPr>
          <w:rFonts w:eastAsia="Times New Roman" w:cs="Times New Roman"/>
          <w:color w:val="000000"/>
          <w:sz w:val="20"/>
          <w:szCs w:val="20"/>
          <w:lang w:eastAsia="en-GB"/>
        </w:rPr>
      </w:pPr>
      <w:proofErr w:type="spellStart"/>
      <w:r w:rsidRPr="0020477C">
        <w:rPr>
          <w:rFonts w:eastAsia="Times New Roman" w:cs="Times New Roman"/>
          <w:color w:val="000000"/>
          <w:sz w:val="20"/>
          <w:szCs w:val="20"/>
          <w:lang w:eastAsia="en-GB"/>
        </w:rPr>
        <w:t>Lakatos</w:t>
      </w:r>
      <w:proofErr w:type="spellEnd"/>
      <w:r w:rsidRPr="0020477C">
        <w:rPr>
          <w:rFonts w:eastAsia="Times New Roman" w:cs="Times New Roman"/>
          <w:color w:val="000000"/>
          <w:sz w:val="20"/>
          <w:szCs w:val="20"/>
          <w:lang w:eastAsia="en-GB"/>
        </w:rPr>
        <w:t xml:space="preserve"> P, </w:t>
      </w:r>
      <w:proofErr w:type="spellStart"/>
      <w:r w:rsidRPr="0020477C">
        <w:rPr>
          <w:rFonts w:eastAsia="Times New Roman" w:cs="Times New Roman"/>
          <w:color w:val="000000"/>
          <w:sz w:val="20"/>
          <w:szCs w:val="20"/>
          <w:lang w:eastAsia="en-GB"/>
        </w:rPr>
        <w:t>Balogh</w:t>
      </w:r>
      <w:proofErr w:type="spellEnd"/>
      <w:r w:rsidRPr="0020477C">
        <w:rPr>
          <w:rFonts w:eastAsia="Times New Roman" w:cs="Times New Roman"/>
          <w:color w:val="000000"/>
          <w:sz w:val="20"/>
          <w:szCs w:val="20"/>
          <w:lang w:eastAsia="en-GB"/>
        </w:rPr>
        <w:t xml:space="preserve"> A, Czerwinski E, et al (2011) New considerations on the management of osteoporosis in Central and Eastern Europe (CEE): summary of the "3rd Summit on Osteoporosis-CEE", November 2009, Budapest, Hungary. Arch Osteoporos 6: 1-12.</w:t>
      </w:r>
    </w:p>
    <w:p w14:paraId="41C9E791" w14:textId="77777777" w:rsidR="008F544A" w:rsidRPr="0020477C" w:rsidRDefault="008F544A" w:rsidP="006742AB">
      <w:pPr>
        <w:spacing w:line="240" w:lineRule="auto"/>
        <w:rPr>
          <w:rFonts w:eastAsia="Times New Roman" w:cs="Times New Roman"/>
          <w:color w:val="000000"/>
          <w:sz w:val="20"/>
          <w:szCs w:val="20"/>
          <w:lang w:eastAsia="en-GB"/>
        </w:rPr>
      </w:pPr>
      <w:proofErr w:type="spellStart"/>
      <w:r w:rsidRPr="0020477C">
        <w:rPr>
          <w:rFonts w:eastAsia="Times New Roman" w:cs="Times New Roman"/>
          <w:color w:val="000000"/>
          <w:sz w:val="20"/>
          <w:szCs w:val="20"/>
          <w:lang w:eastAsia="en-GB"/>
        </w:rPr>
        <w:t>Lakatos</w:t>
      </w:r>
      <w:proofErr w:type="spellEnd"/>
      <w:r w:rsidRPr="0020477C">
        <w:rPr>
          <w:rFonts w:eastAsia="Times New Roman" w:cs="Times New Roman"/>
          <w:color w:val="000000"/>
          <w:sz w:val="20"/>
          <w:szCs w:val="20"/>
          <w:lang w:eastAsia="en-GB"/>
        </w:rPr>
        <w:t xml:space="preserve"> P, </w:t>
      </w:r>
      <w:proofErr w:type="spellStart"/>
      <w:r w:rsidRPr="0020477C">
        <w:rPr>
          <w:rFonts w:eastAsia="Times New Roman" w:cs="Times New Roman"/>
          <w:color w:val="000000"/>
          <w:sz w:val="20"/>
          <w:szCs w:val="20"/>
          <w:lang w:eastAsia="en-GB"/>
        </w:rPr>
        <w:t>Takács</w:t>
      </w:r>
      <w:proofErr w:type="spellEnd"/>
      <w:r w:rsidRPr="0020477C">
        <w:rPr>
          <w:rFonts w:eastAsia="Times New Roman" w:cs="Times New Roman"/>
          <w:color w:val="000000"/>
          <w:sz w:val="20"/>
          <w:szCs w:val="20"/>
          <w:lang w:eastAsia="en-GB"/>
        </w:rPr>
        <w:t xml:space="preserve"> I, </w:t>
      </w:r>
      <w:proofErr w:type="spellStart"/>
      <w:r w:rsidRPr="0020477C">
        <w:rPr>
          <w:rFonts w:eastAsia="Times New Roman" w:cs="Times New Roman"/>
          <w:color w:val="000000"/>
          <w:sz w:val="20"/>
          <w:szCs w:val="20"/>
          <w:lang w:eastAsia="en-GB"/>
        </w:rPr>
        <w:t>Szekeres</w:t>
      </w:r>
      <w:proofErr w:type="spellEnd"/>
      <w:r w:rsidRPr="0020477C">
        <w:rPr>
          <w:rFonts w:eastAsia="Times New Roman" w:cs="Times New Roman"/>
          <w:color w:val="000000"/>
          <w:sz w:val="20"/>
          <w:szCs w:val="20"/>
          <w:lang w:eastAsia="en-GB"/>
        </w:rPr>
        <w:t xml:space="preserve"> L, et al (2010] </w:t>
      </w:r>
      <w:proofErr w:type="spellStart"/>
      <w:r w:rsidRPr="0020477C">
        <w:rPr>
          <w:rFonts w:eastAsia="Times New Roman" w:cs="Times New Roman"/>
          <w:color w:val="000000"/>
          <w:sz w:val="20"/>
          <w:szCs w:val="20"/>
          <w:lang w:eastAsia="en-GB"/>
        </w:rPr>
        <w:t>Reumatológiai</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és</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Fizioterápiás</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Szakmai</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Kollégium</w:t>
      </w:r>
      <w:proofErr w:type="spellEnd"/>
      <w:r w:rsidRPr="0020477C">
        <w:rPr>
          <w:rFonts w:eastAsia="Times New Roman" w:cs="Times New Roman"/>
          <w:color w:val="000000"/>
          <w:sz w:val="20"/>
          <w:szCs w:val="20"/>
          <w:lang w:eastAsia="en-GB"/>
        </w:rPr>
        <w:t xml:space="preserve">: A </w:t>
      </w:r>
      <w:proofErr w:type="spellStart"/>
      <w:r w:rsidRPr="0020477C">
        <w:rPr>
          <w:rFonts w:eastAsia="Times New Roman" w:cs="Times New Roman"/>
          <w:color w:val="000000"/>
          <w:sz w:val="20"/>
          <w:szCs w:val="20"/>
          <w:lang w:eastAsia="en-GB"/>
        </w:rPr>
        <w:t>korral</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járó</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és</w:t>
      </w:r>
      <w:proofErr w:type="spellEnd"/>
      <w:r w:rsidRPr="0020477C">
        <w:rPr>
          <w:rFonts w:eastAsia="Times New Roman" w:cs="Times New Roman"/>
          <w:color w:val="000000"/>
          <w:sz w:val="20"/>
          <w:szCs w:val="20"/>
          <w:lang w:eastAsia="en-GB"/>
        </w:rPr>
        <w:t xml:space="preserve"> a </w:t>
      </w:r>
      <w:proofErr w:type="spellStart"/>
      <w:r w:rsidRPr="0020477C">
        <w:rPr>
          <w:rFonts w:eastAsia="Times New Roman" w:cs="Times New Roman"/>
          <w:color w:val="000000"/>
          <w:sz w:val="20"/>
          <w:szCs w:val="20"/>
          <w:lang w:eastAsia="en-GB"/>
        </w:rPr>
        <w:t>kortikoszteroidok</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indukálta</w:t>
      </w:r>
      <w:proofErr w:type="spellEnd"/>
      <w:r w:rsidRPr="0020477C">
        <w:rPr>
          <w:rFonts w:eastAsia="Times New Roman" w:cs="Times New Roman"/>
          <w:color w:val="000000"/>
          <w:sz w:val="20"/>
          <w:szCs w:val="20"/>
          <w:lang w:eastAsia="en-GB"/>
        </w:rPr>
        <w:t xml:space="preserve"> osteoporosis </w:t>
      </w:r>
      <w:proofErr w:type="spellStart"/>
      <w:r w:rsidRPr="0020477C">
        <w:rPr>
          <w:rFonts w:eastAsia="Times New Roman" w:cs="Times New Roman"/>
          <w:color w:val="000000"/>
          <w:sz w:val="20"/>
          <w:szCs w:val="20"/>
          <w:lang w:eastAsia="en-GB"/>
        </w:rPr>
        <w:t>diagnosztikus</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és</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terápiás</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protokollja</w:t>
      </w:r>
      <w:proofErr w:type="spellEnd"/>
      <w:r w:rsidRPr="0020477C">
        <w:rPr>
          <w:rFonts w:eastAsia="Times New Roman" w:cs="Times New Roman"/>
          <w:color w:val="000000"/>
          <w:sz w:val="20"/>
          <w:szCs w:val="20"/>
          <w:lang w:eastAsia="en-GB"/>
        </w:rPr>
        <w:t xml:space="preserve"> – 2011. </w:t>
      </w:r>
      <w:proofErr w:type="spellStart"/>
      <w:r w:rsidRPr="0020477C">
        <w:rPr>
          <w:rFonts w:eastAsia="Times New Roman" w:cs="Times New Roman"/>
          <w:color w:val="000000"/>
          <w:sz w:val="20"/>
          <w:szCs w:val="20"/>
          <w:lang w:eastAsia="en-GB"/>
        </w:rPr>
        <w:t>Háziorvosi</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Útmutató</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Klinikai</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Irányelvek</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Kézikönyve</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Medition</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Kiadó</w:t>
      </w:r>
      <w:proofErr w:type="spellEnd"/>
      <w:r w:rsidRPr="0020477C">
        <w:rPr>
          <w:rFonts w:eastAsia="Times New Roman" w:cs="Times New Roman"/>
          <w:color w:val="000000"/>
          <w:sz w:val="20"/>
          <w:szCs w:val="20"/>
          <w:lang w:eastAsia="en-GB"/>
        </w:rPr>
        <w:t>, Budapest, 3: 215-224 Hungarian].</w:t>
      </w:r>
    </w:p>
    <w:p w14:paraId="79C5874E" w14:textId="77777777" w:rsidR="008F544A" w:rsidRPr="0020477C" w:rsidRDefault="008F544A" w:rsidP="00DD632B">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Leslie WD, </w:t>
      </w:r>
      <w:proofErr w:type="spellStart"/>
      <w:r w:rsidRPr="0020477C">
        <w:rPr>
          <w:rFonts w:eastAsia="Times New Roman" w:cs="Times New Roman"/>
          <w:color w:val="000000"/>
          <w:sz w:val="20"/>
          <w:szCs w:val="20"/>
          <w:lang w:eastAsia="en-GB"/>
        </w:rPr>
        <w:t>Schousboe</w:t>
      </w:r>
      <w:proofErr w:type="spellEnd"/>
      <w:r w:rsidRPr="0020477C">
        <w:rPr>
          <w:rFonts w:eastAsia="Times New Roman" w:cs="Times New Roman"/>
          <w:color w:val="000000"/>
          <w:sz w:val="20"/>
          <w:szCs w:val="20"/>
          <w:lang w:eastAsia="en-GB"/>
        </w:rPr>
        <w:t xml:space="preserve"> JT (2011) A review of osteoporosis diagnosis and treatment options in new and recently updated guidelines on case finding around the world. </w:t>
      </w:r>
      <w:proofErr w:type="spellStart"/>
      <w:r w:rsidRPr="0020477C">
        <w:rPr>
          <w:rFonts w:eastAsia="Times New Roman" w:cs="Times New Roman"/>
          <w:color w:val="000000"/>
          <w:sz w:val="20"/>
          <w:szCs w:val="20"/>
          <w:lang w:eastAsia="en-GB"/>
        </w:rPr>
        <w:t>Curr</w:t>
      </w:r>
      <w:proofErr w:type="spellEnd"/>
      <w:r w:rsidRPr="0020477C">
        <w:rPr>
          <w:rFonts w:eastAsia="Times New Roman" w:cs="Times New Roman"/>
          <w:color w:val="000000"/>
          <w:sz w:val="20"/>
          <w:szCs w:val="20"/>
          <w:lang w:eastAsia="en-GB"/>
        </w:rPr>
        <w:t xml:space="preserve"> Osteoporos Rep 9:129–140</w:t>
      </w:r>
    </w:p>
    <w:p w14:paraId="29E4AF2D" w14:textId="77777777" w:rsidR="008F544A" w:rsidRPr="0020477C" w:rsidRDefault="008F544A" w:rsidP="006742AB">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Lewiecki EM, Watts NB (2009) New guidelines for the prevention and treatment of osteoporosis. Southern Med J 102: 175-9.</w:t>
      </w:r>
    </w:p>
    <w:p w14:paraId="4521244B" w14:textId="77777777" w:rsidR="008F544A" w:rsidRPr="0020477C" w:rsidRDefault="008F544A" w:rsidP="00DD632B">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Lin X, </w:t>
      </w:r>
      <w:proofErr w:type="spellStart"/>
      <w:r w:rsidRPr="0020477C">
        <w:rPr>
          <w:rFonts w:eastAsia="Times New Roman" w:cs="Times New Roman"/>
          <w:color w:val="000000"/>
          <w:sz w:val="20"/>
          <w:szCs w:val="20"/>
          <w:lang w:eastAsia="en-GB"/>
        </w:rPr>
        <w:t>Xiong</w:t>
      </w:r>
      <w:proofErr w:type="spellEnd"/>
      <w:r w:rsidRPr="0020477C">
        <w:rPr>
          <w:rFonts w:eastAsia="Times New Roman" w:cs="Times New Roman"/>
          <w:color w:val="000000"/>
          <w:sz w:val="20"/>
          <w:szCs w:val="20"/>
          <w:lang w:eastAsia="en-GB"/>
        </w:rPr>
        <w:t xml:space="preserve"> D, Peng Y-Q et al (2015) Epidemiology and management of osteoporosis in the People’s Republic of China: current perspectives. </w:t>
      </w:r>
      <w:proofErr w:type="spellStart"/>
      <w:r w:rsidRPr="0020477C">
        <w:rPr>
          <w:rFonts w:eastAsia="Times New Roman" w:cs="Times New Roman"/>
          <w:color w:val="000000"/>
          <w:sz w:val="20"/>
          <w:szCs w:val="20"/>
          <w:lang w:eastAsia="en-GB"/>
        </w:rPr>
        <w:t>Clin</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Interv</w:t>
      </w:r>
      <w:proofErr w:type="spellEnd"/>
      <w:r w:rsidRPr="0020477C">
        <w:rPr>
          <w:rFonts w:eastAsia="Times New Roman" w:cs="Times New Roman"/>
          <w:color w:val="000000"/>
          <w:sz w:val="20"/>
          <w:szCs w:val="20"/>
          <w:lang w:eastAsia="en-GB"/>
        </w:rPr>
        <w:t xml:space="preserve"> Aging 10: 1017–1033.</w:t>
      </w:r>
    </w:p>
    <w:p w14:paraId="237A2E02" w14:textId="77777777" w:rsidR="008F544A" w:rsidRPr="0020477C" w:rsidRDefault="008F544A" w:rsidP="00F30531">
      <w:pPr>
        <w:spacing w:line="240" w:lineRule="auto"/>
        <w:rPr>
          <w:rFonts w:eastAsia="Times New Roman" w:cs="Times New Roman"/>
          <w:color w:val="000000"/>
          <w:sz w:val="20"/>
          <w:szCs w:val="20"/>
          <w:lang w:eastAsia="en-GB"/>
        </w:rPr>
      </w:pPr>
      <w:proofErr w:type="spellStart"/>
      <w:r w:rsidRPr="0020477C">
        <w:rPr>
          <w:rFonts w:eastAsia="Times New Roman" w:cs="Times New Roman"/>
          <w:color w:val="000000"/>
          <w:sz w:val="20"/>
          <w:szCs w:val="20"/>
          <w:lang w:eastAsia="en-GB"/>
        </w:rPr>
        <w:t>Lippuner</w:t>
      </w:r>
      <w:proofErr w:type="spellEnd"/>
      <w:r w:rsidRPr="0020477C">
        <w:rPr>
          <w:rFonts w:eastAsia="Times New Roman" w:cs="Times New Roman"/>
          <w:color w:val="000000"/>
          <w:sz w:val="20"/>
          <w:szCs w:val="20"/>
          <w:lang w:eastAsia="en-GB"/>
        </w:rPr>
        <w:t xml:space="preserve"> K (2012b) Osteoporosis—whom to treat? The importance of FRAX® in Switzerland. </w:t>
      </w:r>
      <w:proofErr w:type="spellStart"/>
      <w:r w:rsidRPr="0020477C">
        <w:rPr>
          <w:rFonts w:eastAsia="Times New Roman" w:cs="Times New Roman"/>
          <w:color w:val="000000"/>
          <w:sz w:val="20"/>
          <w:szCs w:val="20"/>
          <w:lang w:eastAsia="en-GB"/>
        </w:rPr>
        <w:t>Ther</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Umsch</w:t>
      </w:r>
      <w:proofErr w:type="spellEnd"/>
      <w:r w:rsidRPr="0020477C">
        <w:rPr>
          <w:rFonts w:eastAsia="Times New Roman" w:cs="Times New Roman"/>
          <w:color w:val="000000"/>
          <w:sz w:val="20"/>
          <w:szCs w:val="20"/>
          <w:lang w:eastAsia="en-GB"/>
        </w:rPr>
        <w:t xml:space="preserve"> 69:207–213</w:t>
      </w:r>
    </w:p>
    <w:p w14:paraId="2143D79F" w14:textId="77777777" w:rsidR="008F544A" w:rsidRPr="0020477C" w:rsidRDefault="008F544A" w:rsidP="006742AB">
      <w:pPr>
        <w:spacing w:line="240" w:lineRule="auto"/>
        <w:rPr>
          <w:rFonts w:eastAsia="Times New Roman" w:cs="Times New Roman"/>
          <w:color w:val="000000"/>
          <w:sz w:val="20"/>
          <w:szCs w:val="20"/>
          <w:lang w:eastAsia="en-GB"/>
        </w:rPr>
      </w:pPr>
      <w:proofErr w:type="spellStart"/>
      <w:r w:rsidRPr="0020477C">
        <w:rPr>
          <w:rFonts w:eastAsia="Times New Roman" w:cs="Times New Roman"/>
          <w:color w:val="000000"/>
          <w:sz w:val="20"/>
          <w:szCs w:val="20"/>
          <w:lang w:eastAsia="en-GB"/>
        </w:rPr>
        <w:t>Lippuner</w:t>
      </w:r>
      <w:proofErr w:type="spellEnd"/>
      <w:r w:rsidRPr="0020477C">
        <w:rPr>
          <w:rFonts w:eastAsia="Times New Roman" w:cs="Times New Roman"/>
          <w:color w:val="000000"/>
          <w:sz w:val="20"/>
          <w:szCs w:val="20"/>
          <w:lang w:eastAsia="en-GB"/>
        </w:rPr>
        <w:t xml:space="preserve"> K, Johansson H, Kanis JA, Rizzoli R (2010) FRAX® assessment of osteoporotic fracture probability in Switzerland. Osteoporos </w:t>
      </w:r>
      <w:proofErr w:type="spellStart"/>
      <w:r w:rsidRPr="0020477C">
        <w:rPr>
          <w:rFonts w:eastAsia="Times New Roman" w:cs="Times New Roman"/>
          <w:color w:val="000000"/>
          <w:sz w:val="20"/>
          <w:szCs w:val="20"/>
          <w:lang w:eastAsia="en-GB"/>
        </w:rPr>
        <w:t>Int</w:t>
      </w:r>
      <w:proofErr w:type="spellEnd"/>
      <w:r w:rsidRPr="0020477C">
        <w:rPr>
          <w:rFonts w:eastAsia="Times New Roman" w:cs="Times New Roman"/>
          <w:color w:val="000000"/>
          <w:sz w:val="20"/>
          <w:szCs w:val="20"/>
          <w:lang w:eastAsia="en-GB"/>
        </w:rPr>
        <w:t xml:space="preserve"> 21: 381-390</w:t>
      </w:r>
    </w:p>
    <w:p w14:paraId="42B3C0E2" w14:textId="77777777" w:rsidR="008F544A" w:rsidRPr="0020477C" w:rsidRDefault="008F544A" w:rsidP="00F30531">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Mendoza N, Sánchez-Borrego R, </w:t>
      </w:r>
      <w:proofErr w:type="spellStart"/>
      <w:r w:rsidRPr="0020477C">
        <w:rPr>
          <w:rFonts w:eastAsia="Times New Roman" w:cs="Times New Roman"/>
          <w:color w:val="000000"/>
          <w:sz w:val="20"/>
          <w:szCs w:val="20"/>
          <w:lang w:eastAsia="en-GB"/>
        </w:rPr>
        <w:t>Villero</w:t>
      </w:r>
      <w:proofErr w:type="spellEnd"/>
      <w:r w:rsidRPr="0020477C">
        <w:rPr>
          <w:rFonts w:eastAsia="Times New Roman" w:cs="Times New Roman"/>
          <w:color w:val="000000"/>
          <w:sz w:val="20"/>
          <w:szCs w:val="20"/>
          <w:lang w:eastAsia="en-GB"/>
        </w:rPr>
        <w:t xml:space="preserve"> J et al (2013) Up-date of the consensus statement of the Spanish Menopause Society on postmenopausal osteoporosis. </w:t>
      </w:r>
      <w:proofErr w:type="spellStart"/>
      <w:r w:rsidRPr="0020477C">
        <w:rPr>
          <w:rFonts w:eastAsia="Times New Roman" w:cs="Times New Roman"/>
          <w:color w:val="000000"/>
          <w:sz w:val="20"/>
          <w:szCs w:val="20"/>
          <w:lang w:eastAsia="en-GB"/>
        </w:rPr>
        <w:t>Maturitas</w:t>
      </w:r>
      <w:proofErr w:type="spellEnd"/>
      <w:r w:rsidRPr="0020477C">
        <w:rPr>
          <w:rFonts w:eastAsia="Times New Roman" w:cs="Times New Roman"/>
          <w:color w:val="000000"/>
          <w:sz w:val="20"/>
          <w:szCs w:val="20"/>
          <w:lang w:eastAsia="en-GB"/>
        </w:rPr>
        <w:t xml:space="preserve"> 76: 99-107.</w:t>
      </w:r>
    </w:p>
    <w:p w14:paraId="04FB7AF1" w14:textId="77777777" w:rsidR="008F544A" w:rsidRPr="0020477C" w:rsidRDefault="008F544A" w:rsidP="00F30531">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Muncie HL Jr (2014) Guidelines for osteoporosis care for fragility fractures. J Am </w:t>
      </w:r>
      <w:proofErr w:type="spellStart"/>
      <w:r w:rsidRPr="0020477C">
        <w:rPr>
          <w:rFonts w:eastAsia="Times New Roman" w:cs="Times New Roman"/>
          <w:color w:val="000000"/>
          <w:sz w:val="20"/>
          <w:szCs w:val="20"/>
          <w:lang w:eastAsia="en-GB"/>
        </w:rPr>
        <w:t>Geriatr</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Soc</w:t>
      </w:r>
      <w:proofErr w:type="spellEnd"/>
      <w:r w:rsidRPr="0020477C">
        <w:rPr>
          <w:rFonts w:eastAsia="Times New Roman" w:cs="Times New Roman"/>
          <w:color w:val="000000"/>
          <w:sz w:val="20"/>
          <w:szCs w:val="20"/>
          <w:lang w:eastAsia="en-GB"/>
        </w:rPr>
        <w:t xml:space="preserve"> 62: 997-8. </w:t>
      </w:r>
    </w:p>
    <w:p w14:paraId="3EA8250D" w14:textId="77777777" w:rsidR="008F544A" w:rsidRPr="0020477C" w:rsidRDefault="008F544A" w:rsidP="0032147A">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Naranjo A, Ojeda-Bruno S, Francisco-Hernandez F, </w:t>
      </w:r>
      <w:proofErr w:type="spellStart"/>
      <w:r w:rsidRPr="0020477C">
        <w:rPr>
          <w:rFonts w:eastAsia="Times New Roman" w:cs="Times New Roman"/>
          <w:color w:val="000000"/>
          <w:sz w:val="20"/>
          <w:szCs w:val="20"/>
          <w:lang w:eastAsia="en-GB"/>
        </w:rPr>
        <w:t>Erausquin</w:t>
      </w:r>
      <w:proofErr w:type="spellEnd"/>
      <w:r w:rsidRPr="0020477C">
        <w:rPr>
          <w:rFonts w:eastAsia="Times New Roman" w:cs="Times New Roman"/>
          <w:color w:val="000000"/>
          <w:sz w:val="20"/>
          <w:szCs w:val="20"/>
          <w:lang w:eastAsia="en-GB"/>
        </w:rPr>
        <w:t xml:space="preserve"> C, </w:t>
      </w:r>
      <w:proofErr w:type="spellStart"/>
      <w:r w:rsidRPr="0020477C">
        <w:rPr>
          <w:rFonts w:eastAsia="Times New Roman" w:cs="Times New Roman"/>
          <w:color w:val="000000"/>
          <w:sz w:val="20"/>
          <w:szCs w:val="20"/>
          <w:lang w:eastAsia="en-GB"/>
        </w:rPr>
        <w:t>Rua</w:t>
      </w:r>
      <w:proofErr w:type="spellEnd"/>
      <w:r w:rsidRPr="0020477C">
        <w:rPr>
          <w:rFonts w:eastAsia="Times New Roman" w:cs="Times New Roman"/>
          <w:color w:val="000000"/>
          <w:sz w:val="20"/>
          <w:szCs w:val="20"/>
          <w:lang w:eastAsia="en-GB"/>
        </w:rPr>
        <w:t xml:space="preserve">-Figueroa I, Rodriguez-Lozano C (2011) Application of guidelines for secondary prevention of fracture and the FRAX index in patients with fragility fracture. </w:t>
      </w:r>
      <w:proofErr w:type="spellStart"/>
      <w:r w:rsidRPr="0020477C">
        <w:rPr>
          <w:rFonts w:eastAsia="Times New Roman" w:cs="Times New Roman"/>
          <w:color w:val="000000"/>
          <w:sz w:val="20"/>
          <w:szCs w:val="20"/>
          <w:lang w:eastAsia="en-GB"/>
        </w:rPr>
        <w:t>Medicina</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Clinica</w:t>
      </w:r>
      <w:proofErr w:type="spellEnd"/>
      <w:r w:rsidRPr="0020477C">
        <w:rPr>
          <w:rFonts w:eastAsia="Times New Roman" w:cs="Times New Roman"/>
          <w:color w:val="000000"/>
          <w:sz w:val="20"/>
          <w:szCs w:val="20"/>
          <w:lang w:eastAsia="en-GB"/>
        </w:rPr>
        <w:t xml:space="preserve"> 136: 290-2.</w:t>
      </w:r>
    </w:p>
    <w:p w14:paraId="53A231B9" w14:textId="77777777" w:rsidR="008F544A" w:rsidRPr="0020477C" w:rsidRDefault="008F544A" w:rsidP="00F30531">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New Zealand Guidelines Group (NZGG) (2003) Prevention of hip fracture amongst people aged 65 years and over. New Zealand Guidelines Group (NZGG), </w:t>
      </w:r>
      <w:proofErr w:type="spellStart"/>
      <w:r w:rsidRPr="0020477C">
        <w:rPr>
          <w:rFonts w:eastAsia="Times New Roman" w:cs="Times New Roman"/>
          <w:color w:val="000000"/>
          <w:sz w:val="20"/>
          <w:szCs w:val="20"/>
          <w:lang w:eastAsia="en-GB"/>
        </w:rPr>
        <w:t>Wellington,NZ</w:t>
      </w:r>
      <w:proofErr w:type="spellEnd"/>
      <w:r w:rsidRPr="0020477C">
        <w:rPr>
          <w:rFonts w:eastAsia="Times New Roman" w:cs="Times New Roman"/>
          <w:color w:val="000000"/>
          <w:sz w:val="20"/>
          <w:szCs w:val="20"/>
          <w:lang w:eastAsia="en-GB"/>
        </w:rPr>
        <w:t xml:space="preserve">. </w:t>
      </w:r>
      <w:hyperlink r:id="rId73" w:history="1">
        <w:r w:rsidRPr="0020477C">
          <w:rPr>
            <w:rStyle w:val="Hyperlink"/>
            <w:rFonts w:eastAsia="Times New Roman" w:cs="Times New Roman"/>
            <w:sz w:val="20"/>
            <w:szCs w:val="20"/>
            <w:lang w:eastAsia="en-GB"/>
          </w:rPr>
          <w:t>http://www.moh.govt.nz/NoteBook/nbbooks.nsf/0/9A1DDBCD2ABB9D31CC256DCE006F7073/$file/Hip_Fracture_Prevention_Fulltext.pdf</w:t>
        </w:r>
      </w:hyperlink>
      <w:r w:rsidRPr="0020477C">
        <w:rPr>
          <w:rFonts w:eastAsia="Times New Roman" w:cs="Times New Roman"/>
          <w:color w:val="000000"/>
          <w:sz w:val="20"/>
          <w:szCs w:val="20"/>
          <w:lang w:eastAsia="en-GB"/>
        </w:rPr>
        <w:t xml:space="preserve"> Accessed 14 November 2015  </w:t>
      </w:r>
    </w:p>
    <w:p w14:paraId="105A636C" w14:textId="77777777" w:rsidR="008F544A" w:rsidRDefault="008F544A" w:rsidP="00F30531">
      <w:pPr>
        <w:spacing w:line="240" w:lineRule="auto"/>
        <w:rPr>
          <w:rFonts w:eastAsia="Times New Roman" w:cs="Times New Roman"/>
          <w:color w:val="000000"/>
          <w:sz w:val="20"/>
          <w:szCs w:val="20"/>
          <w:lang w:eastAsia="en-GB"/>
        </w:rPr>
      </w:pPr>
      <w:proofErr w:type="spellStart"/>
      <w:r w:rsidRPr="0020477C">
        <w:rPr>
          <w:rFonts w:eastAsia="Times New Roman" w:cs="Times New Roman"/>
          <w:color w:val="000000"/>
          <w:sz w:val="20"/>
          <w:szCs w:val="20"/>
          <w:lang w:eastAsia="en-GB"/>
        </w:rPr>
        <w:t>Orimo</w:t>
      </w:r>
      <w:proofErr w:type="spellEnd"/>
      <w:r w:rsidRPr="0020477C">
        <w:rPr>
          <w:rFonts w:eastAsia="Times New Roman" w:cs="Times New Roman"/>
          <w:color w:val="000000"/>
          <w:sz w:val="20"/>
          <w:szCs w:val="20"/>
          <w:lang w:eastAsia="en-GB"/>
        </w:rPr>
        <w:t xml:space="preserve"> H (2011) [Bone and calcium update; diagnosis and therapy of metabolic bone disease update. Guideline for prevention and treatment of osteoporosis update]. </w:t>
      </w:r>
      <w:proofErr w:type="spellStart"/>
      <w:r w:rsidRPr="0020477C">
        <w:rPr>
          <w:rFonts w:eastAsia="Times New Roman" w:cs="Times New Roman"/>
          <w:color w:val="000000"/>
          <w:sz w:val="20"/>
          <w:szCs w:val="20"/>
          <w:lang w:eastAsia="en-GB"/>
        </w:rPr>
        <w:t>Clin</w:t>
      </w:r>
      <w:proofErr w:type="spellEnd"/>
      <w:r w:rsidRPr="0020477C">
        <w:rPr>
          <w:rFonts w:eastAsia="Times New Roman" w:cs="Times New Roman"/>
          <w:color w:val="000000"/>
          <w:sz w:val="20"/>
          <w:szCs w:val="20"/>
          <w:lang w:eastAsia="en-GB"/>
        </w:rPr>
        <w:t xml:space="preserve"> Calcium 21: 123-43</w:t>
      </w:r>
    </w:p>
    <w:p w14:paraId="54D699A2" w14:textId="2DA38B21" w:rsidR="001D0A8F" w:rsidRPr="001D0A8F" w:rsidRDefault="001D0A8F" w:rsidP="001D0A8F">
      <w:pPr>
        <w:rPr>
          <w:rFonts w:eastAsia="Times New Roman" w:cs="Times New Roman"/>
          <w:color w:val="000000"/>
          <w:sz w:val="20"/>
          <w:szCs w:val="20"/>
          <w:lang w:eastAsia="en-GB"/>
        </w:rPr>
      </w:pPr>
      <w:r>
        <w:rPr>
          <w:rFonts w:eastAsia="Times New Roman" w:cs="Times New Roman"/>
          <w:bCs/>
          <w:color w:val="000000"/>
          <w:sz w:val="20"/>
          <w:szCs w:val="20"/>
          <w:lang w:val="fr-FR" w:eastAsia="en-GB"/>
        </w:rPr>
        <w:t>*</w:t>
      </w:r>
      <w:r w:rsidRPr="001D0A8F">
        <w:rPr>
          <w:rFonts w:eastAsia="Times New Roman" w:cs="Times New Roman"/>
          <w:bCs/>
          <w:color w:val="000000"/>
          <w:sz w:val="20"/>
          <w:szCs w:val="20"/>
          <w:lang w:val="fr-FR" w:eastAsia="en-GB"/>
        </w:rPr>
        <w:t xml:space="preserve">Ortega MM, Cárdenas VMM, Alanis AV et al (2016) </w:t>
      </w:r>
      <w:proofErr w:type="spellStart"/>
      <w:r w:rsidRPr="001D0A8F">
        <w:rPr>
          <w:rFonts w:eastAsia="Times New Roman" w:cs="Times New Roman"/>
          <w:bCs/>
          <w:color w:val="000000"/>
          <w:sz w:val="20"/>
          <w:szCs w:val="20"/>
          <w:lang w:val="fr-FR" w:eastAsia="en-GB"/>
        </w:rPr>
        <w:t>Guia</w:t>
      </w:r>
      <w:proofErr w:type="spellEnd"/>
      <w:r w:rsidRPr="001D0A8F">
        <w:rPr>
          <w:rFonts w:eastAsia="Times New Roman" w:cs="Times New Roman"/>
          <w:bCs/>
          <w:color w:val="000000"/>
          <w:sz w:val="20"/>
          <w:szCs w:val="20"/>
          <w:lang w:val="fr-FR" w:eastAsia="en-GB"/>
        </w:rPr>
        <w:t xml:space="preserve"> de </w:t>
      </w:r>
      <w:proofErr w:type="spellStart"/>
      <w:r w:rsidRPr="001D0A8F">
        <w:rPr>
          <w:rFonts w:eastAsia="Times New Roman" w:cs="Times New Roman"/>
          <w:bCs/>
          <w:color w:val="000000"/>
          <w:sz w:val="20"/>
          <w:szCs w:val="20"/>
          <w:lang w:val="fr-FR" w:eastAsia="en-GB"/>
        </w:rPr>
        <w:t>practica</w:t>
      </w:r>
      <w:proofErr w:type="spellEnd"/>
      <w:r w:rsidRPr="001D0A8F">
        <w:rPr>
          <w:rFonts w:eastAsia="Times New Roman" w:cs="Times New Roman"/>
          <w:bCs/>
          <w:color w:val="000000"/>
          <w:sz w:val="20"/>
          <w:szCs w:val="20"/>
          <w:lang w:val="fr-FR" w:eastAsia="en-GB"/>
        </w:rPr>
        <w:t xml:space="preserve"> </w:t>
      </w:r>
      <w:proofErr w:type="spellStart"/>
      <w:r w:rsidRPr="001D0A8F">
        <w:rPr>
          <w:rFonts w:eastAsia="Times New Roman" w:cs="Times New Roman"/>
          <w:bCs/>
          <w:color w:val="000000"/>
          <w:sz w:val="20"/>
          <w:szCs w:val="20"/>
          <w:lang w:val="fr-FR" w:eastAsia="en-GB"/>
        </w:rPr>
        <w:t>clinica</w:t>
      </w:r>
      <w:proofErr w:type="spellEnd"/>
      <w:r w:rsidRPr="001D0A8F">
        <w:rPr>
          <w:rFonts w:eastAsia="Times New Roman" w:cs="Times New Roman"/>
          <w:bCs/>
          <w:color w:val="000000"/>
          <w:sz w:val="20"/>
          <w:szCs w:val="20"/>
          <w:lang w:val="fr-FR" w:eastAsia="en-GB"/>
        </w:rPr>
        <w:t xml:space="preserve"> sobre el </w:t>
      </w:r>
      <w:proofErr w:type="spellStart"/>
      <w:r w:rsidRPr="001D0A8F">
        <w:rPr>
          <w:rFonts w:eastAsia="Times New Roman" w:cs="Times New Roman"/>
          <w:bCs/>
          <w:color w:val="000000"/>
          <w:sz w:val="20"/>
          <w:szCs w:val="20"/>
          <w:lang w:val="fr-FR" w:eastAsia="en-GB"/>
        </w:rPr>
        <w:t>diagnostico</w:t>
      </w:r>
      <w:proofErr w:type="spellEnd"/>
      <w:r w:rsidRPr="001D0A8F">
        <w:rPr>
          <w:rFonts w:eastAsia="Times New Roman" w:cs="Times New Roman"/>
          <w:bCs/>
          <w:color w:val="000000"/>
          <w:sz w:val="20"/>
          <w:szCs w:val="20"/>
          <w:lang w:val="fr-FR" w:eastAsia="en-GB"/>
        </w:rPr>
        <w:t xml:space="preserve"> y </w:t>
      </w:r>
      <w:proofErr w:type="spellStart"/>
      <w:r w:rsidRPr="001D0A8F">
        <w:rPr>
          <w:rFonts w:eastAsia="Times New Roman" w:cs="Times New Roman"/>
          <w:bCs/>
          <w:color w:val="000000"/>
          <w:sz w:val="20"/>
          <w:szCs w:val="20"/>
          <w:lang w:val="fr-FR" w:eastAsia="en-GB"/>
        </w:rPr>
        <w:t>tratamiento</w:t>
      </w:r>
      <w:proofErr w:type="spellEnd"/>
      <w:r w:rsidRPr="001D0A8F">
        <w:rPr>
          <w:rFonts w:eastAsia="Times New Roman" w:cs="Times New Roman"/>
          <w:bCs/>
          <w:color w:val="000000"/>
          <w:sz w:val="20"/>
          <w:szCs w:val="20"/>
          <w:lang w:val="fr-FR" w:eastAsia="en-GB"/>
        </w:rPr>
        <w:t xml:space="preserve"> de la </w:t>
      </w:r>
      <w:proofErr w:type="spellStart"/>
      <w:r w:rsidRPr="001D0A8F">
        <w:rPr>
          <w:rFonts w:eastAsia="Times New Roman" w:cs="Times New Roman"/>
          <w:bCs/>
          <w:color w:val="000000"/>
          <w:sz w:val="20"/>
          <w:szCs w:val="20"/>
          <w:lang w:val="fr-FR" w:eastAsia="en-GB"/>
        </w:rPr>
        <w:t>osteoporosis</w:t>
      </w:r>
      <w:proofErr w:type="spellEnd"/>
      <w:r w:rsidRPr="001D0A8F">
        <w:rPr>
          <w:rFonts w:eastAsia="Times New Roman" w:cs="Times New Roman"/>
          <w:bCs/>
          <w:color w:val="000000"/>
          <w:sz w:val="20"/>
          <w:szCs w:val="20"/>
          <w:lang w:val="fr-FR" w:eastAsia="en-GB"/>
        </w:rPr>
        <w:t xml:space="preserve"> en la </w:t>
      </w:r>
      <w:proofErr w:type="spellStart"/>
      <w:r w:rsidRPr="001D0A8F">
        <w:rPr>
          <w:rFonts w:eastAsia="Times New Roman" w:cs="Times New Roman"/>
          <w:bCs/>
          <w:color w:val="000000"/>
          <w:sz w:val="20"/>
          <w:szCs w:val="20"/>
          <w:lang w:val="fr-FR" w:eastAsia="en-GB"/>
        </w:rPr>
        <w:t>mujer</w:t>
      </w:r>
      <w:proofErr w:type="spellEnd"/>
      <w:r w:rsidRPr="001D0A8F">
        <w:rPr>
          <w:rFonts w:eastAsia="Times New Roman" w:cs="Times New Roman"/>
          <w:bCs/>
          <w:color w:val="000000"/>
          <w:sz w:val="20"/>
          <w:szCs w:val="20"/>
          <w:lang w:val="fr-FR" w:eastAsia="en-GB"/>
        </w:rPr>
        <w:t xml:space="preserve"> </w:t>
      </w:r>
      <w:proofErr w:type="spellStart"/>
      <w:r w:rsidRPr="001D0A8F">
        <w:rPr>
          <w:rFonts w:eastAsia="Times New Roman" w:cs="Times New Roman"/>
          <w:bCs/>
          <w:color w:val="000000"/>
          <w:sz w:val="20"/>
          <w:szCs w:val="20"/>
          <w:lang w:val="fr-FR" w:eastAsia="en-GB"/>
        </w:rPr>
        <w:t>postmenopausica</w:t>
      </w:r>
      <w:proofErr w:type="spellEnd"/>
      <w:r w:rsidRPr="001D0A8F">
        <w:rPr>
          <w:rFonts w:eastAsia="Times New Roman" w:cs="Times New Roman"/>
          <w:bCs/>
          <w:color w:val="000000"/>
          <w:sz w:val="20"/>
          <w:szCs w:val="20"/>
          <w:lang w:val="fr-FR" w:eastAsia="en-GB"/>
        </w:rPr>
        <w:t xml:space="preserve"> </w:t>
      </w:r>
      <w:proofErr w:type="spellStart"/>
      <w:r w:rsidRPr="001D0A8F">
        <w:rPr>
          <w:rFonts w:eastAsia="Times New Roman" w:cs="Times New Roman"/>
          <w:bCs/>
          <w:color w:val="000000"/>
          <w:sz w:val="20"/>
          <w:szCs w:val="20"/>
          <w:lang w:val="fr-FR" w:eastAsia="en-GB"/>
        </w:rPr>
        <w:t>Mexicana</w:t>
      </w:r>
      <w:proofErr w:type="spellEnd"/>
      <w:r w:rsidRPr="001D0A8F">
        <w:rPr>
          <w:rFonts w:eastAsia="Times New Roman" w:cs="Times New Roman"/>
          <w:bCs/>
          <w:color w:val="000000"/>
          <w:sz w:val="20"/>
          <w:szCs w:val="20"/>
          <w:lang w:val="fr-FR" w:eastAsia="en-GB"/>
        </w:rPr>
        <w:t xml:space="preserve">. </w:t>
      </w:r>
      <w:proofErr w:type="spellStart"/>
      <w:r w:rsidRPr="001D0A8F">
        <w:rPr>
          <w:rFonts w:eastAsia="Times New Roman" w:cs="Times New Roman"/>
          <w:bCs/>
          <w:color w:val="000000"/>
          <w:sz w:val="20"/>
          <w:szCs w:val="20"/>
          <w:lang w:eastAsia="en-GB"/>
        </w:rPr>
        <w:t>Asociacion</w:t>
      </w:r>
      <w:proofErr w:type="spellEnd"/>
      <w:r w:rsidRPr="001D0A8F">
        <w:rPr>
          <w:rFonts w:eastAsia="Times New Roman" w:cs="Times New Roman"/>
          <w:bCs/>
          <w:color w:val="000000"/>
          <w:sz w:val="20"/>
          <w:szCs w:val="20"/>
          <w:lang w:eastAsia="en-GB"/>
        </w:rPr>
        <w:t xml:space="preserve"> Mexicana del </w:t>
      </w:r>
      <w:proofErr w:type="spellStart"/>
      <w:r w:rsidRPr="001D0A8F">
        <w:rPr>
          <w:rFonts w:eastAsia="Times New Roman" w:cs="Times New Roman"/>
          <w:bCs/>
          <w:color w:val="000000"/>
          <w:sz w:val="20"/>
          <w:szCs w:val="20"/>
          <w:lang w:eastAsia="en-GB"/>
        </w:rPr>
        <w:t>Metabolismo</w:t>
      </w:r>
      <w:proofErr w:type="spellEnd"/>
      <w:r w:rsidRPr="001D0A8F">
        <w:rPr>
          <w:rFonts w:eastAsia="Times New Roman" w:cs="Times New Roman"/>
          <w:bCs/>
          <w:color w:val="000000"/>
          <w:sz w:val="20"/>
          <w:szCs w:val="20"/>
          <w:lang w:eastAsia="en-GB"/>
        </w:rPr>
        <w:t xml:space="preserve"> y Mineral (AMMOM) </w:t>
      </w:r>
      <w:hyperlink r:id="rId74" w:tgtFrame="_blank" w:history="1">
        <w:r w:rsidRPr="001D0A8F">
          <w:rPr>
            <w:rStyle w:val="Hyperlink"/>
            <w:rFonts w:eastAsia="Times New Roman" w:cs="Times New Roman"/>
            <w:bCs/>
            <w:sz w:val="20"/>
            <w:szCs w:val="20"/>
            <w:lang w:eastAsia="en-GB"/>
          </w:rPr>
          <w:t>https://www.ammom.mx</w:t>
        </w:r>
      </w:hyperlink>
    </w:p>
    <w:p w14:paraId="76A4D835" w14:textId="77777777" w:rsidR="008F544A" w:rsidRPr="0020477C" w:rsidRDefault="008F544A" w:rsidP="008C6E68">
      <w:pPr>
        <w:spacing w:line="240" w:lineRule="auto"/>
        <w:rPr>
          <w:rFonts w:eastAsia="Times New Roman" w:cs="Times New Roman"/>
          <w:color w:val="000000"/>
          <w:sz w:val="20"/>
          <w:szCs w:val="20"/>
          <w:lang w:eastAsia="en-GB"/>
        </w:rPr>
      </w:pPr>
      <w:proofErr w:type="spellStart"/>
      <w:r w:rsidRPr="0020477C">
        <w:rPr>
          <w:rFonts w:eastAsia="Times New Roman" w:cs="Times New Roman"/>
          <w:color w:val="000000"/>
          <w:sz w:val="20"/>
          <w:szCs w:val="20"/>
          <w:lang w:eastAsia="en-GB"/>
        </w:rPr>
        <w:t>Orthopedic</w:t>
      </w:r>
      <w:proofErr w:type="spellEnd"/>
      <w:r w:rsidRPr="0020477C">
        <w:rPr>
          <w:rFonts w:eastAsia="Times New Roman" w:cs="Times New Roman"/>
          <w:color w:val="000000"/>
          <w:sz w:val="20"/>
          <w:szCs w:val="20"/>
          <w:lang w:eastAsia="en-GB"/>
        </w:rPr>
        <w:t xml:space="preserve"> Society of Chinese Medical Association (2008) Guidelines for osteoporosis fracture management, Chinese Medical Association. Chin J </w:t>
      </w:r>
      <w:proofErr w:type="spellStart"/>
      <w:r w:rsidRPr="0020477C">
        <w:rPr>
          <w:rFonts w:eastAsia="Times New Roman" w:cs="Times New Roman"/>
          <w:color w:val="000000"/>
          <w:sz w:val="20"/>
          <w:szCs w:val="20"/>
          <w:lang w:eastAsia="en-GB"/>
        </w:rPr>
        <w:t>Orthop</w:t>
      </w:r>
      <w:proofErr w:type="spellEnd"/>
      <w:r w:rsidRPr="0020477C">
        <w:rPr>
          <w:rFonts w:eastAsia="Times New Roman" w:cs="Times New Roman"/>
          <w:color w:val="000000"/>
          <w:sz w:val="20"/>
          <w:szCs w:val="20"/>
          <w:lang w:eastAsia="en-GB"/>
        </w:rPr>
        <w:t xml:space="preserve">  28: 875-878</w:t>
      </w:r>
    </w:p>
    <w:p w14:paraId="2D076F61" w14:textId="77777777" w:rsidR="008F544A" w:rsidRPr="0020477C" w:rsidRDefault="008F544A" w:rsidP="00F30531">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Overman RA, Toliver JC, </w:t>
      </w:r>
      <w:proofErr w:type="spellStart"/>
      <w:r w:rsidRPr="0020477C">
        <w:rPr>
          <w:rFonts w:eastAsia="Times New Roman" w:cs="Times New Roman"/>
          <w:color w:val="000000"/>
          <w:sz w:val="20"/>
          <w:szCs w:val="20"/>
          <w:lang w:eastAsia="en-GB"/>
        </w:rPr>
        <w:t>Yeh</w:t>
      </w:r>
      <w:proofErr w:type="spellEnd"/>
      <w:r w:rsidRPr="0020477C">
        <w:rPr>
          <w:rFonts w:eastAsia="Times New Roman" w:cs="Times New Roman"/>
          <w:color w:val="000000"/>
          <w:sz w:val="20"/>
          <w:szCs w:val="20"/>
          <w:lang w:eastAsia="en-GB"/>
        </w:rPr>
        <w:t xml:space="preserve"> J-Y, </w:t>
      </w:r>
      <w:proofErr w:type="spellStart"/>
      <w:r w:rsidRPr="0020477C">
        <w:rPr>
          <w:rFonts w:eastAsia="Times New Roman" w:cs="Times New Roman"/>
          <w:color w:val="000000"/>
          <w:sz w:val="20"/>
          <w:szCs w:val="20"/>
          <w:lang w:eastAsia="en-GB"/>
        </w:rPr>
        <w:t>Gourlay</w:t>
      </w:r>
      <w:proofErr w:type="spellEnd"/>
      <w:r w:rsidRPr="0020477C">
        <w:rPr>
          <w:rFonts w:eastAsia="Times New Roman" w:cs="Times New Roman"/>
          <w:color w:val="000000"/>
          <w:sz w:val="20"/>
          <w:szCs w:val="20"/>
          <w:lang w:eastAsia="en-GB"/>
        </w:rPr>
        <w:t xml:space="preserve"> ML, Deal CL (2013)  Proportion of US older adults meeting Inclusion criteria for 2010 ACR recommendations on glucocorticoid-induced osteoporosis. Arthritis Rheum 65: S41.</w:t>
      </w:r>
    </w:p>
    <w:p w14:paraId="1148951D" w14:textId="77777777" w:rsidR="008F544A" w:rsidRPr="0020477C" w:rsidRDefault="008F544A" w:rsidP="00F30531">
      <w:pPr>
        <w:spacing w:line="240" w:lineRule="auto"/>
        <w:rPr>
          <w:rFonts w:eastAsia="Times New Roman" w:cs="Times New Roman"/>
          <w:color w:val="000000"/>
          <w:sz w:val="20"/>
          <w:szCs w:val="20"/>
          <w:lang w:eastAsia="en-GB"/>
        </w:rPr>
      </w:pPr>
      <w:proofErr w:type="spellStart"/>
      <w:r w:rsidRPr="0020477C">
        <w:rPr>
          <w:rFonts w:eastAsia="Times New Roman" w:cs="Times New Roman"/>
          <w:color w:val="000000"/>
          <w:sz w:val="20"/>
          <w:szCs w:val="20"/>
          <w:lang w:eastAsia="en-GB"/>
        </w:rPr>
        <w:t>Pavon</w:t>
      </w:r>
      <w:proofErr w:type="spellEnd"/>
      <w:r w:rsidRPr="0020477C">
        <w:rPr>
          <w:rFonts w:eastAsia="Times New Roman" w:cs="Times New Roman"/>
          <w:color w:val="000000"/>
          <w:sz w:val="20"/>
          <w:szCs w:val="20"/>
          <w:lang w:eastAsia="en-GB"/>
        </w:rPr>
        <w:t xml:space="preserve"> JM, Sanders LL, Sloane R, Colón-</w:t>
      </w:r>
      <w:proofErr w:type="spellStart"/>
      <w:r w:rsidRPr="0020477C">
        <w:rPr>
          <w:rFonts w:eastAsia="Times New Roman" w:cs="Times New Roman"/>
          <w:color w:val="000000"/>
          <w:sz w:val="20"/>
          <w:szCs w:val="20"/>
          <w:lang w:eastAsia="en-GB"/>
        </w:rPr>
        <w:t>Emeric</w:t>
      </w:r>
      <w:proofErr w:type="spellEnd"/>
      <w:r w:rsidRPr="0020477C">
        <w:rPr>
          <w:rFonts w:eastAsia="Times New Roman" w:cs="Times New Roman"/>
          <w:color w:val="000000"/>
          <w:sz w:val="20"/>
          <w:szCs w:val="20"/>
          <w:lang w:eastAsia="en-GB"/>
        </w:rPr>
        <w:t xml:space="preserve"> C (2014) Sensitivity of osteoporosis screening guidelines for eventual hip fracture in older male veterans. </w:t>
      </w:r>
      <w:proofErr w:type="spellStart"/>
      <w:r w:rsidRPr="0020477C">
        <w:rPr>
          <w:rFonts w:eastAsia="Times New Roman" w:cs="Times New Roman"/>
          <w:color w:val="000000"/>
          <w:sz w:val="20"/>
          <w:szCs w:val="20"/>
          <w:lang w:eastAsia="en-GB"/>
        </w:rPr>
        <w:t>Bonekey</w:t>
      </w:r>
      <w:proofErr w:type="spellEnd"/>
      <w:r w:rsidRPr="0020477C">
        <w:rPr>
          <w:rFonts w:eastAsia="Times New Roman" w:cs="Times New Roman"/>
          <w:color w:val="000000"/>
          <w:sz w:val="20"/>
          <w:szCs w:val="20"/>
          <w:lang w:eastAsia="en-GB"/>
        </w:rPr>
        <w:t xml:space="preserve"> Rep 7: 530. </w:t>
      </w:r>
    </w:p>
    <w:p w14:paraId="288D27D8" w14:textId="77777777" w:rsidR="008F544A" w:rsidRPr="0020477C" w:rsidRDefault="008F544A" w:rsidP="0032147A">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Rizzoli R, Adachi JD, Cooper C, et al (2012) Management of glucocorticoid-Induced osteoporosis. </w:t>
      </w:r>
      <w:proofErr w:type="spellStart"/>
      <w:r w:rsidRPr="0020477C">
        <w:rPr>
          <w:rFonts w:eastAsia="Times New Roman" w:cs="Times New Roman"/>
          <w:color w:val="000000"/>
          <w:sz w:val="20"/>
          <w:szCs w:val="20"/>
          <w:lang w:eastAsia="en-GB"/>
        </w:rPr>
        <w:t>Calcif</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Tiss</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Int</w:t>
      </w:r>
      <w:proofErr w:type="spellEnd"/>
      <w:r w:rsidRPr="0020477C">
        <w:rPr>
          <w:rFonts w:eastAsia="Times New Roman" w:cs="Times New Roman"/>
          <w:color w:val="000000"/>
          <w:sz w:val="20"/>
          <w:szCs w:val="20"/>
          <w:lang w:eastAsia="en-GB"/>
        </w:rPr>
        <w:t xml:space="preserve">  91: 225-43.</w:t>
      </w:r>
    </w:p>
    <w:p w14:paraId="4A3E46AF" w14:textId="77777777" w:rsidR="008F544A" w:rsidRPr="0020477C" w:rsidRDefault="008F544A" w:rsidP="00DD632B">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lastRenderedPageBreak/>
        <w:t xml:space="preserve">Royal Australian College o0f General Practitioners (2010) Clinical guideline for the prevention and treatment of osteoporosis in postmenopausal women and older men The Royal Australian College of General Practitioners, 1 Palmerston Crescent, South Melbourne, Vic 3205 Australia ACN 000 223 807, ABN 34 000 223 807, February 2010 </w:t>
      </w:r>
    </w:p>
    <w:p w14:paraId="522A90C6" w14:textId="77777777" w:rsidR="008F544A" w:rsidRPr="0020477C" w:rsidRDefault="008F544A" w:rsidP="0032147A">
      <w:pPr>
        <w:spacing w:line="240" w:lineRule="auto"/>
        <w:rPr>
          <w:rFonts w:eastAsia="Times New Roman" w:cs="Times New Roman"/>
          <w:color w:val="000000"/>
          <w:sz w:val="20"/>
          <w:szCs w:val="20"/>
          <w:lang w:eastAsia="en-GB"/>
        </w:rPr>
      </w:pPr>
      <w:proofErr w:type="spellStart"/>
      <w:r w:rsidRPr="0020477C">
        <w:rPr>
          <w:rFonts w:eastAsia="Times New Roman" w:cs="Times New Roman"/>
          <w:color w:val="000000"/>
          <w:sz w:val="20"/>
          <w:szCs w:val="20"/>
          <w:lang w:eastAsia="en-GB"/>
        </w:rPr>
        <w:t>Sanfelix-Genoves</w:t>
      </w:r>
      <w:proofErr w:type="spellEnd"/>
      <w:r w:rsidRPr="0020477C">
        <w:rPr>
          <w:rFonts w:eastAsia="Times New Roman" w:cs="Times New Roman"/>
          <w:color w:val="000000"/>
          <w:sz w:val="20"/>
          <w:szCs w:val="20"/>
          <w:lang w:eastAsia="en-GB"/>
        </w:rPr>
        <w:t xml:space="preserve"> J, </w:t>
      </w:r>
      <w:proofErr w:type="spellStart"/>
      <w:r w:rsidRPr="0020477C">
        <w:rPr>
          <w:rFonts w:eastAsia="Times New Roman" w:cs="Times New Roman"/>
          <w:color w:val="000000"/>
          <w:sz w:val="20"/>
          <w:szCs w:val="20"/>
          <w:lang w:eastAsia="en-GB"/>
        </w:rPr>
        <w:t>Catala</w:t>
      </w:r>
      <w:proofErr w:type="spellEnd"/>
      <w:r w:rsidRPr="0020477C">
        <w:rPr>
          <w:rFonts w:eastAsia="Times New Roman" w:cs="Times New Roman"/>
          <w:color w:val="000000"/>
          <w:sz w:val="20"/>
          <w:szCs w:val="20"/>
          <w:lang w:eastAsia="en-GB"/>
        </w:rPr>
        <w:t xml:space="preserve">-Lopez F, </w:t>
      </w:r>
      <w:proofErr w:type="spellStart"/>
      <w:r w:rsidRPr="0020477C">
        <w:rPr>
          <w:rFonts w:eastAsia="Times New Roman" w:cs="Times New Roman"/>
          <w:color w:val="000000"/>
          <w:sz w:val="20"/>
          <w:szCs w:val="20"/>
          <w:lang w:eastAsia="en-GB"/>
        </w:rPr>
        <w:t>Sanfelix-Gimeno</w:t>
      </w:r>
      <w:proofErr w:type="spellEnd"/>
      <w:r w:rsidRPr="0020477C">
        <w:rPr>
          <w:rFonts w:eastAsia="Times New Roman" w:cs="Times New Roman"/>
          <w:color w:val="000000"/>
          <w:sz w:val="20"/>
          <w:szCs w:val="20"/>
          <w:lang w:eastAsia="en-GB"/>
        </w:rPr>
        <w:t xml:space="preserve"> G, Hurtado I, </w:t>
      </w:r>
      <w:proofErr w:type="spellStart"/>
      <w:r w:rsidRPr="0020477C">
        <w:rPr>
          <w:rFonts w:eastAsia="Times New Roman" w:cs="Times New Roman"/>
          <w:color w:val="000000"/>
          <w:sz w:val="20"/>
          <w:szCs w:val="20"/>
          <w:lang w:eastAsia="en-GB"/>
        </w:rPr>
        <w:t>Baixauli</w:t>
      </w:r>
      <w:proofErr w:type="spellEnd"/>
      <w:r w:rsidRPr="0020477C">
        <w:rPr>
          <w:rFonts w:eastAsia="Times New Roman" w:cs="Times New Roman"/>
          <w:color w:val="000000"/>
          <w:sz w:val="20"/>
          <w:szCs w:val="20"/>
          <w:lang w:eastAsia="en-GB"/>
        </w:rPr>
        <w:t xml:space="preserve"> C, </w:t>
      </w:r>
      <w:proofErr w:type="spellStart"/>
      <w:r w:rsidRPr="0020477C">
        <w:rPr>
          <w:rFonts w:eastAsia="Times New Roman" w:cs="Times New Roman"/>
          <w:color w:val="000000"/>
          <w:sz w:val="20"/>
          <w:szCs w:val="20"/>
          <w:lang w:eastAsia="en-GB"/>
        </w:rPr>
        <w:t>Peiro</w:t>
      </w:r>
      <w:proofErr w:type="spellEnd"/>
      <w:r w:rsidRPr="0020477C">
        <w:rPr>
          <w:rFonts w:eastAsia="Times New Roman" w:cs="Times New Roman"/>
          <w:color w:val="000000"/>
          <w:sz w:val="20"/>
          <w:szCs w:val="20"/>
          <w:lang w:eastAsia="en-GB"/>
        </w:rPr>
        <w:t xml:space="preserve"> S (2014) Variability in the recommendations for the clinical management of osteoporosis. </w:t>
      </w:r>
      <w:proofErr w:type="spellStart"/>
      <w:r w:rsidRPr="0020477C">
        <w:rPr>
          <w:rFonts w:eastAsia="Times New Roman" w:cs="Times New Roman"/>
          <w:color w:val="000000"/>
          <w:sz w:val="20"/>
          <w:szCs w:val="20"/>
          <w:lang w:eastAsia="en-GB"/>
        </w:rPr>
        <w:t>Medicina</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Clinica</w:t>
      </w:r>
      <w:proofErr w:type="spellEnd"/>
      <w:r w:rsidRPr="0020477C">
        <w:rPr>
          <w:rFonts w:eastAsia="Times New Roman" w:cs="Times New Roman"/>
          <w:color w:val="000000"/>
          <w:sz w:val="20"/>
          <w:szCs w:val="20"/>
          <w:lang w:eastAsia="en-GB"/>
        </w:rPr>
        <w:t xml:space="preserve"> 142: 15-22.</w:t>
      </w:r>
    </w:p>
    <w:p w14:paraId="4600D6AB" w14:textId="77777777" w:rsidR="008F544A" w:rsidRPr="0020477C" w:rsidRDefault="008F544A" w:rsidP="00091352">
      <w:pPr>
        <w:spacing w:line="240" w:lineRule="auto"/>
        <w:rPr>
          <w:rFonts w:eastAsia="Times New Roman" w:cs="Times New Roman"/>
          <w:color w:val="000000"/>
          <w:sz w:val="20"/>
          <w:szCs w:val="20"/>
          <w:lang w:eastAsia="en-GB"/>
        </w:rPr>
      </w:pPr>
      <w:proofErr w:type="spellStart"/>
      <w:r w:rsidRPr="0020477C">
        <w:rPr>
          <w:rFonts w:eastAsia="Times New Roman" w:cs="Times New Roman"/>
          <w:color w:val="000000"/>
          <w:sz w:val="20"/>
          <w:szCs w:val="20"/>
          <w:lang w:eastAsia="en-GB"/>
        </w:rPr>
        <w:t>Schweizerische</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Vereinigung</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gegen</w:t>
      </w:r>
      <w:proofErr w:type="spellEnd"/>
      <w:r w:rsidRPr="0020477C">
        <w:rPr>
          <w:rFonts w:eastAsia="Times New Roman" w:cs="Times New Roman"/>
          <w:color w:val="000000"/>
          <w:sz w:val="20"/>
          <w:szCs w:val="20"/>
          <w:lang w:eastAsia="en-GB"/>
        </w:rPr>
        <w:t xml:space="preserve"> die </w:t>
      </w:r>
      <w:proofErr w:type="spellStart"/>
      <w:r w:rsidRPr="0020477C">
        <w:rPr>
          <w:rFonts w:eastAsia="Times New Roman" w:cs="Times New Roman"/>
          <w:color w:val="000000"/>
          <w:sz w:val="20"/>
          <w:szCs w:val="20"/>
          <w:lang w:eastAsia="en-GB"/>
        </w:rPr>
        <w:t>Osteoporose</w:t>
      </w:r>
      <w:proofErr w:type="spellEnd"/>
      <w:r w:rsidRPr="0020477C">
        <w:rPr>
          <w:rFonts w:eastAsia="Times New Roman" w:cs="Times New Roman"/>
          <w:color w:val="000000"/>
          <w:sz w:val="20"/>
          <w:szCs w:val="20"/>
          <w:lang w:eastAsia="en-GB"/>
        </w:rPr>
        <w:t xml:space="preserve"> Switzerland SVGO (2015) Osteoporosis guidelines 2012</w:t>
      </w:r>
      <w:r w:rsidRPr="0020477C">
        <w:rPr>
          <w:sz w:val="20"/>
          <w:szCs w:val="20"/>
        </w:rPr>
        <w:t xml:space="preserve"> </w:t>
      </w:r>
      <w:hyperlink r:id="rId75" w:history="1">
        <w:r w:rsidRPr="0020477C">
          <w:rPr>
            <w:rStyle w:val="Hyperlink"/>
            <w:rFonts w:eastAsia="Times New Roman" w:cs="Times New Roman"/>
            <w:sz w:val="20"/>
            <w:szCs w:val="20"/>
            <w:lang w:eastAsia="en-GB"/>
          </w:rPr>
          <w:t>http://www.svgo.ch/content/documents/2015/SVGO%20Empfehlungen%202015.pdf</w:t>
        </w:r>
      </w:hyperlink>
      <w:r w:rsidRPr="0020477C">
        <w:rPr>
          <w:rFonts w:eastAsia="Times New Roman" w:cs="Times New Roman"/>
          <w:color w:val="000000"/>
          <w:sz w:val="20"/>
          <w:szCs w:val="20"/>
          <w:lang w:eastAsia="en-GB"/>
        </w:rPr>
        <w:t xml:space="preserve"> Accessed 2 December 2015</w:t>
      </w:r>
    </w:p>
    <w:p w14:paraId="293836B0" w14:textId="77777777" w:rsidR="008F544A" w:rsidRPr="0020477C" w:rsidRDefault="008F544A" w:rsidP="0032147A">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Shah TT, Stone M, </w:t>
      </w:r>
      <w:proofErr w:type="spellStart"/>
      <w:r w:rsidRPr="0020477C">
        <w:rPr>
          <w:rFonts w:eastAsia="Times New Roman" w:cs="Times New Roman"/>
          <w:color w:val="000000"/>
          <w:sz w:val="20"/>
          <w:szCs w:val="20"/>
          <w:lang w:eastAsia="en-GB"/>
        </w:rPr>
        <w:t>Kynaston</w:t>
      </w:r>
      <w:proofErr w:type="spellEnd"/>
      <w:r w:rsidRPr="0020477C">
        <w:rPr>
          <w:rFonts w:eastAsia="Times New Roman" w:cs="Times New Roman"/>
          <w:color w:val="000000"/>
          <w:sz w:val="20"/>
          <w:szCs w:val="20"/>
          <w:lang w:eastAsia="en-GB"/>
        </w:rPr>
        <w:t xml:space="preserve"> H (2013) Assessing the applicability of the WHO FRAX osteoporotic fracture risk scoring system and national osteoporosis group guidance (NOGG) in patients with prostate cancer on androgen deprivation therapy (ADT). </w:t>
      </w:r>
      <w:proofErr w:type="spellStart"/>
      <w:r w:rsidRPr="0020477C">
        <w:rPr>
          <w:rFonts w:eastAsia="Times New Roman" w:cs="Times New Roman"/>
          <w:color w:val="000000"/>
          <w:sz w:val="20"/>
          <w:szCs w:val="20"/>
          <w:lang w:eastAsia="en-GB"/>
        </w:rPr>
        <w:t>Bju</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Int</w:t>
      </w:r>
      <w:proofErr w:type="spellEnd"/>
      <w:r w:rsidRPr="0020477C">
        <w:rPr>
          <w:rFonts w:eastAsia="Times New Roman" w:cs="Times New Roman"/>
          <w:color w:val="000000"/>
          <w:sz w:val="20"/>
          <w:szCs w:val="20"/>
          <w:lang w:eastAsia="en-GB"/>
        </w:rPr>
        <w:t xml:space="preserve"> 111: 44.</w:t>
      </w:r>
    </w:p>
    <w:p w14:paraId="6C96CC3C" w14:textId="77777777" w:rsidR="008F544A" w:rsidRPr="0020477C" w:rsidRDefault="008F544A" w:rsidP="00DD632B">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Siris ES, Adler R, </w:t>
      </w:r>
      <w:proofErr w:type="spellStart"/>
      <w:r w:rsidRPr="0020477C">
        <w:rPr>
          <w:rFonts w:eastAsia="Times New Roman" w:cs="Times New Roman"/>
          <w:color w:val="000000"/>
          <w:sz w:val="20"/>
          <w:szCs w:val="20"/>
          <w:lang w:eastAsia="en-GB"/>
        </w:rPr>
        <w:t>Bilezikian</w:t>
      </w:r>
      <w:proofErr w:type="spellEnd"/>
      <w:r w:rsidRPr="0020477C">
        <w:rPr>
          <w:rFonts w:eastAsia="Times New Roman" w:cs="Times New Roman"/>
          <w:color w:val="000000"/>
          <w:sz w:val="20"/>
          <w:szCs w:val="20"/>
          <w:lang w:eastAsia="en-GB"/>
        </w:rPr>
        <w:t xml:space="preserve"> J et al (2014) The clinical diagnosis of osteoporosis: a position statement from the National Bone Health Alliance Working Group. Osteoporos </w:t>
      </w:r>
      <w:proofErr w:type="spellStart"/>
      <w:r w:rsidRPr="0020477C">
        <w:rPr>
          <w:rFonts w:eastAsia="Times New Roman" w:cs="Times New Roman"/>
          <w:color w:val="000000"/>
          <w:sz w:val="20"/>
          <w:szCs w:val="20"/>
          <w:lang w:eastAsia="en-GB"/>
        </w:rPr>
        <w:t>Int</w:t>
      </w:r>
      <w:proofErr w:type="spellEnd"/>
      <w:r w:rsidRPr="0020477C">
        <w:rPr>
          <w:rFonts w:eastAsia="Times New Roman" w:cs="Times New Roman"/>
          <w:color w:val="000000"/>
          <w:sz w:val="20"/>
          <w:szCs w:val="20"/>
          <w:lang w:eastAsia="en-GB"/>
        </w:rPr>
        <w:t xml:space="preserve"> 25: 1439-43</w:t>
      </w:r>
    </w:p>
    <w:p w14:paraId="702612E1" w14:textId="77777777" w:rsidR="008F544A" w:rsidRPr="0020477C" w:rsidRDefault="008F544A" w:rsidP="00091352">
      <w:pPr>
        <w:spacing w:line="240" w:lineRule="auto"/>
        <w:rPr>
          <w:rFonts w:eastAsia="Times New Roman" w:cs="Times New Roman"/>
          <w:color w:val="000000"/>
          <w:sz w:val="20"/>
          <w:szCs w:val="20"/>
          <w:lang w:eastAsia="en-GB"/>
        </w:rPr>
      </w:pPr>
      <w:proofErr w:type="spellStart"/>
      <w:r w:rsidRPr="0020477C">
        <w:rPr>
          <w:rFonts w:eastAsia="Times New Roman" w:cs="Times New Roman"/>
          <w:color w:val="000000"/>
          <w:sz w:val="20"/>
          <w:szCs w:val="20"/>
          <w:lang w:eastAsia="en-GB"/>
        </w:rPr>
        <w:t>Società</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Italiana</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dell'Osteoporosi</w:t>
      </w:r>
      <w:proofErr w:type="spellEnd"/>
      <w:r w:rsidRPr="0020477C">
        <w:rPr>
          <w:rFonts w:eastAsia="Times New Roman" w:cs="Times New Roman"/>
          <w:color w:val="000000"/>
          <w:sz w:val="20"/>
          <w:szCs w:val="20"/>
          <w:lang w:eastAsia="en-GB"/>
        </w:rPr>
        <w:t xml:space="preserve">, del </w:t>
      </w:r>
      <w:proofErr w:type="spellStart"/>
      <w:r w:rsidRPr="0020477C">
        <w:rPr>
          <w:rFonts w:eastAsia="Times New Roman" w:cs="Times New Roman"/>
          <w:color w:val="000000"/>
          <w:sz w:val="20"/>
          <w:szCs w:val="20"/>
          <w:lang w:eastAsia="en-GB"/>
        </w:rPr>
        <w:t>Metabolismo</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Minerale</w:t>
      </w:r>
      <w:proofErr w:type="spellEnd"/>
      <w:r w:rsidRPr="0020477C">
        <w:rPr>
          <w:rFonts w:eastAsia="Times New Roman" w:cs="Times New Roman"/>
          <w:color w:val="000000"/>
          <w:sz w:val="20"/>
          <w:szCs w:val="20"/>
          <w:lang w:eastAsia="en-GB"/>
        </w:rPr>
        <w:t xml:space="preserve"> e </w:t>
      </w:r>
      <w:proofErr w:type="spellStart"/>
      <w:r w:rsidRPr="0020477C">
        <w:rPr>
          <w:rFonts w:eastAsia="Times New Roman" w:cs="Times New Roman"/>
          <w:color w:val="000000"/>
          <w:sz w:val="20"/>
          <w:szCs w:val="20"/>
          <w:lang w:eastAsia="en-GB"/>
        </w:rPr>
        <w:t>delle</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Malattie</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dello</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Scheletro</w:t>
      </w:r>
      <w:proofErr w:type="spellEnd"/>
      <w:r w:rsidRPr="0020477C">
        <w:rPr>
          <w:rFonts w:eastAsia="Times New Roman" w:cs="Times New Roman"/>
          <w:color w:val="000000"/>
          <w:sz w:val="20"/>
          <w:szCs w:val="20"/>
          <w:lang w:eastAsia="en-GB"/>
        </w:rPr>
        <w:t xml:space="preserve"> (2013) [Guidelines for the diagnosis, prevention and treatment of osteoporosis. Italian Osteoporosis, Mineral Metabolism, and Skeletal Diseases Society]. Minerva </w:t>
      </w:r>
      <w:proofErr w:type="spellStart"/>
      <w:r w:rsidRPr="0020477C">
        <w:rPr>
          <w:rFonts w:eastAsia="Times New Roman" w:cs="Times New Roman"/>
          <w:color w:val="000000"/>
          <w:sz w:val="20"/>
          <w:szCs w:val="20"/>
          <w:lang w:eastAsia="en-GB"/>
        </w:rPr>
        <w:t>Endocrinol</w:t>
      </w:r>
      <w:proofErr w:type="spellEnd"/>
      <w:r w:rsidRPr="0020477C">
        <w:rPr>
          <w:rFonts w:eastAsia="Times New Roman" w:cs="Times New Roman"/>
          <w:color w:val="000000"/>
          <w:sz w:val="20"/>
          <w:szCs w:val="20"/>
          <w:lang w:eastAsia="en-GB"/>
        </w:rPr>
        <w:t xml:space="preserve"> 38(1 </w:t>
      </w:r>
      <w:proofErr w:type="spellStart"/>
      <w:r w:rsidRPr="0020477C">
        <w:rPr>
          <w:rFonts w:eastAsia="Times New Roman" w:cs="Times New Roman"/>
          <w:color w:val="000000"/>
          <w:sz w:val="20"/>
          <w:szCs w:val="20"/>
          <w:lang w:eastAsia="en-GB"/>
        </w:rPr>
        <w:t>Suppl</w:t>
      </w:r>
      <w:proofErr w:type="spellEnd"/>
      <w:r w:rsidRPr="0020477C">
        <w:rPr>
          <w:rFonts w:eastAsia="Times New Roman" w:cs="Times New Roman"/>
          <w:color w:val="000000"/>
          <w:sz w:val="20"/>
          <w:szCs w:val="20"/>
          <w:lang w:eastAsia="en-GB"/>
        </w:rPr>
        <w:t xml:space="preserve"> 1):1-30. Italian.</w:t>
      </w:r>
    </w:p>
    <w:p w14:paraId="7FAF2FF4" w14:textId="77777777" w:rsidR="008F544A" w:rsidRPr="0020477C" w:rsidRDefault="008F544A" w:rsidP="00192F81">
      <w:pPr>
        <w:spacing w:line="240" w:lineRule="auto"/>
        <w:rPr>
          <w:rFonts w:eastAsia="Times New Roman" w:cs="Times New Roman"/>
          <w:color w:val="000000"/>
          <w:sz w:val="20"/>
          <w:szCs w:val="20"/>
          <w:lang w:val="fr-FR" w:eastAsia="en-GB"/>
        </w:rPr>
      </w:pPr>
      <w:r w:rsidRPr="0020477C">
        <w:rPr>
          <w:rFonts w:eastAsia="Times New Roman" w:cs="Times New Roman"/>
          <w:color w:val="000000"/>
          <w:sz w:val="20"/>
          <w:szCs w:val="20"/>
          <w:lang w:eastAsia="en-GB"/>
        </w:rPr>
        <w:t xml:space="preserve">Torre I, Perez C, </w:t>
      </w:r>
      <w:proofErr w:type="spellStart"/>
      <w:r w:rsidRPr="0020477C">
        <w:rPr>
          <w:rFonts w:eastAsia="Times New Roman" w:cs="Times New Roman"/>
          <w:color w:val="000000"/>
          <w:sz w:val="20"/>
          <w:szCs w:val="20"/>
          <w:lang w:eastAsia="en-GB"/>
        </w:rPr>
        <w:t>Estopinan</w:t>
      </w:r>
      <w:proofErr w:type="spellEnd"/>
      <w:r w:rsidRPr="0020477C">
        <w:rPr>
          <w:rFonts w:eastAsia="Times New Roman" w:cs="Times New Roman"/>
          <w:color w:val="000000"/>
          <w:sz w:val="20"/>
          <w:szCs w:val="20"/>
          <w:lang w:eastAsia="en-GB"/>
        </w:rPr>
        <w:t xml:space="preserve"> L, et al (2013) Utility of the treatment thresholds in FRAX proposed by the NOF and the NOGG in patients with breast cancer in adjuvant treatment with aromatase inhibitors. </w:t>
      </w:r>
      <w:r w:rsidRPr="0020477C">
        <w:rPr>
          <w:rFonts w:eastAsia="Times New Roman" w:cs="Times New Roman"/>
          <w:color w:val="000000"/>
          <w:sz w:val="20"/>
          <w:szCs w:val="20"/>
          <w:lang w:val="fr-FR" w:eastAsia="en-GB"/>
        </w:rPr>
        <w:t xml:space="preserve">Ann </w:t>
      </w:r>
      <w:proofErr w:type="spellStart"/>
      <w:r w:rsidRPr="0020477C">
        <w:rPr>
          <w:rFonts w:eastAsia="Times New Roman" w:cs="Times New Roman"/>
          <w:color w:val="000000"/>
          <w:sz w:val="20"/>
          <w:szCs w:val="20"/>
          <w:lang w:val="fr-FR" w:eastAsia="en-GB"/>
        </w:rPr>
        <w:t>Rheum</w:t>
      </w:r>
      <w:proofErr w:type="spellEnd"/>
      <w:r w:rsidRPr="0020477C">
        <w:rPr>
          <w:rFonts w:eastAsia="Times New Roman" w:cs="Times New Roman"/>
          <w:color w:val="000000"/>
          <w:sz w:val="20"/>
          <w:szCs w:val="20"/>
          <w:lang w:val="fr-FR" w:eastAsia="en-GB"/>
        </w:rPr>
        <w:t xml:space="preserve"> Dis  72: 295.</w:t>
      </w:r>
    </w:p>
    <w:p w14:paraId="7ECFAB55" w14:textId="77777777" w:rsidR="008F544A" w:rsidRPr="0020477C" w:rsidRDefault="008F544A" w:rsidP="00192F81">
      <w:pPr>
        <w:spacing w:line="240" w:lineRule="auto"/>
        <w:rPr>
          <w:rFonts w:eastAsia="Times New Roman" w:cs="Times New Roman"/>
          <w:color w:val="000000"/>
          <w:sz w:val="20"/>
          <w:szCs w:val="20"/>
          <w:lang w:eastAsia="en-GB"/>
        </w:rPr>
      </w:pPr>
      <w:proofErr w:type="spellStart"/>
      <w:r w:rsidRPr="0020477C">
        <w:rPr>
          <w:rFonts w:eastAsia="Times New Roman" w:cs="Times New Roman"/>
          <w:color w:val="000000"/>
          <w:sz w:val="20"/>
          <w:szCs w:val="20"/>
          <w:lang w:val="fr-FR" w:eastAsia="en-GB"/>
        </w:rPr>
        <w:t>Triantafyllopoulos</w:t>
      </w:r>
      <w:proofErr w:type="spellEnd"/>
      <w:r w:rsidRPr="0020477C">
        <w:rPr>
          <w:rFonts w:eastAsia="Times New Roman" w:cs="Times New Roman"/>
          <w:color w:val="000000"/>
          <w:sz w:val="20"/>
          <w:szCs w:val="20"/>
          <w:lang w:val="fr-FR" w:eastAsia="en-GB"/>
        </w:rPr>
        <w:t xml:space="preserve"> IK, </w:t>
      </w:r>
      <w:proofErr w:type="spellStart"/>
      <w:r w:rsidRPr="0020477C">
        <w:rPr>
          <w:rFonts w:eastAsia="Times New Roman" w:cs="Times New Roman"/>
          <w:color w:val="000000"/>
          <w:sz w:val="20"/>
          <w:szCs w:val="20"/>
          <w:lang w:val="fr-FR" w:eastAsia="en-GB"/>
        </w:rPr>
        <w:t>Lambropoulou-Adamidou</w:t>
      </w:r>
      <w:proofErr w:type="spellEnd"/>
      <w:r w:rsidRPr="0020477C">
        <w:rPr>
          <w:rFonts w:eastAsia="Times New Roman" w:cs="Times New Roman"/>
          <w:color w:val="000000"/>
          <w:sz w:val="20"/>
          <w:szCs w:val="20"/>
          <w:lang w:val="fr-FR" w:eastAsia="en-GB"/>
        </w:rPr>
        <w:t xml:space="preserve"> K, </w:t>
      </w:r>
      <w:proofErr w:type="spellStart"/>
      <w:r w:rsidRPr="0020477C">
        <w:rPr>
          <w:rFonts w:eastAsia="Times New Roman" w:cs="Times New Roman"/>
          <w:color w:val="000000"/>
          <w:sz w:val="20"/>
          <w:szCs w:val="20"/>
          <w:lang w:val="fr-FR" w:eastAsia="en-GB"/>
        </w:rPr>
        <w:t>Nacopoulos</w:t>
      </w:r>
      <w:proofErr w:type="spellEnd"/>
      <w:r w:rsidRPr="0020477C">
        <w:rPr>
          <w:rFonts w:eastAsia="Times New Roman" w:cs="Times New Roman"/>
          <w:color w:val="000000"/>
          <w:sz w:val="20"/>
          <w:szCs w:val="20"/>
          <w:lang w:val="fr-FR" w:eastAsia="en-GB"/>
        </w:rPr>
        <w:t xml:space="preserve"> CC et al (2014) </w:t>
      </w:r>
      <w:proofErr w:type="spellStart"/>
      <w:r w:rsidRPr="0020477C">
        <w:rPr>
          <w:rFonts w:eastAsia="Times New Roman" w:cs="Times New Roman"/>
          <w:color w:val="000000"/>
          <w:sz w:val="20"/>
          <w:szCs w:val="20"/>
          <w:lang w:val="fr-FR" w:eastAsia="en-GB"/>
        </w:rPr>
        <w:t>European</w:t>
      </w:r>
      <w:proofErr w:type="spellEnd"/>
      <w:r w:rsidRPr="0020477C">
        <w:rPr>
          <w:rFonts w:eastAsia="Times New Roman" w:cs="Times New Roman"/>
          <w:color w:val="000000"/>
          <w:sz w:val="20"/>
          <w:szCs w:val="20"/>
          <w:lang w:val="fr-FR" w:eastAsia="en-GB"/>
        </w:rPr>
        <w:t xml:space="preserve"> </w:t>
      </w:r>
      <w:proofErr w:type="spellStart"/>
      <w:r w:rsidRPr="0020477C">
        <w:rPr>
          <w:rFonts w:eastAsia="Times New Roman" w:cs="Times New Roman"/>
          <w:color w:val="000000"/>
          <w:sz w:val="20"/>
          <w:szCs w:val="20"/>
          <w:lang w:val="fr-FR" w:eastAsia="en-GB"/>
        </w:rPr>
        <w:t>Menopause</w:t>
      </w:r>
      <w:proofErr w:type="spellEnd"/>
      <w:r w:rsidRPr="0020477C">
        <w:rPr>
          <w:rFonts w:eastAsia="Times New Roman" w:cs="Times New Roman"/>
          <w:color w:val="000000"/>
          <w:sz w:val="20"/>
          <w:szCs w:val="20"/>
          <w:lang w:val="fr-FR" w:eastAsia="en-GB"/>
        </w:rPr>
        <w:t xml:space="preserve"> and Andropause Society. </w:t>
      </w:r>
      <w:r w:rsidRPr="0020477C">
        <w:rPr>
          <w:rFonts w:eastAsia="Times New Roman" w:cs="Times New Roman"/>
          <w:color w:val="000000"/>
          <w:sz w:val="20"/>
          <w:szCs w:val="20"/>
          <w:lang w:eastAsia="en-GB"/>
        </w:rPr>
        <w:t xml:space="preserve">EMAS position statement: The management of postmenopausal women with vertebral osteoporotic fracture. </w:t>
      </w:r>
      <w:proofErr w:type="spellStart"/>
      <w:r w:rsidRPr="0020477C">
        <w:rPr>
          <w:rFonts w:eastAsia="Times New Roman" w:cs="Times New Roman"/>
          <w:color w:val="000000"/>
          <w:sz w:val="20"/>
          <w:szCs w:val="20"/>
          <w:lang w:eastAsia="en-GB"/>
        </w:rPr>
        <w:t>Maturitas</w:t>
      </w:r>
      <w:proofErr w:type="spellEnd"/>
      <w:r w:rsidRPr="0020477C">
        <w:rPr>
          <w:rFonts w:eastAsia="Times New Roman" w:cs="Times New Roman"/>
          <w:color w:val="000000"/>
          <w:sz w:val="20"/>
          <w:szCs w:val="20"/>
          <w:lang w:eastAsia="en-GB"/>
        </w:rPr>
        <w:t xml:space="preserve"> 78: 131-7. </w:t>
      </w:r>
    </w:p>
    <w:p w14:paraId="7FECDA48" w14:textId="77777777" w:rsidR="008F544A" w:rsidRPr="0020477C" w:rsidRDefault="008F544A" w:rsidP="00DD632B">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Tsang SWY, Kung AWC, Kanis JA, Johansson H, Oden A (2009) Ten-year fracture probability in Hong Kong Southern Chinese according to age and BMD femoral neck T-scores. Osteoporos </w:t>
      </w:r>
      <w:proofErr w:type="spellStart"/>
      <w:r w:rsidRPr="0020477C">
        <w:rPr>
          <w:rFonts w:eastAsia="Times New Roman" w:cs="Times New Roman"/>
          <w:color w:val="000000"/>
          <w:sz w:val="20"/>
          <w:szCs w:val="20"/>
          <w:lang w:eastAsia="en-GB"/>
        </w:rPr>
        <w:t>Int</w:t>
      </w:r>
      <w:proofErr w:type="spellEnd"/>
      <w:r w:rsidRPr="0020477C">
        <w:rPr>
          <w:rFonts w:eastAsia="Times New Roman" w:cs="Times New Roman"/>
          <w:color w:val="000000"/>
          <w:sz w:val="20"/>
          <w:szCs w:val="20"/>
          <w:lang w:eastAsia="en-GB"/>
        </w:rPr>
        <w:t xml:space="preserve"> 20:1939–1945</w:t>
      </w:r>
    </w:p>
    <w:p w14:paraId="3C7EE67B" w14:textId="77777777" w:rsidR="008F544A" w:rsidRPr="0020477C" w:rsidRDefault="008F544A" w:rsidP="00192F81">
      <w:pPr>
        <w:spacing w:line="240" w:lineRule="auto"/>
        <w:rPr>
          <w:rFonts w:eastAsia="Times New Roman" w:cs="Times New Roman"/>
          <w:color w:val="000000"/>
          <w:sz w:val="20"/>
          <w:szCs w:val="20"/>
          <w:lang w:eastAsia="en-GB"/>
        </w:rPr>
      </w:pPr>
      <w:proofErr w:type="spellStart"/>
      <w:r w:rsidRPr="0020477C">
        <w:rPr>
          <w:rFonts w:eastAsia="Times New Roman" w:cs="Times New Roman"/>
          <w:color w:val="000000"/>
          <w:sz w:val="20"/>
          <w:szCs w:val="20"/>
          <w:lang w:eastAsia="en-GB"/>
        </w:rPr>
        <w:t>Tuzun</w:t>
      </w:r>
      <w:proofErr w:type="spellEnd"/>
      <w:r w:rsidRPr="0020477C">
        <w:rPr>
          <w:rFonts w:eastAsia="Times New Roman" w:cs="Times New Roman"/>
          <w:color w:val="000000"/>
          <w:sz w:val="20"/>
          <w:szCs w:val="20"/>
          <w:lang w:eastAsia="en-GB"/>
        </w:rPr>
        <w:t xml:space="preserve"> S, </w:t>
      </w:r>
      <w:proofErr w:type="spellStart"/>
      <w:r w:rsidRPr="0020477C">
        <w:rPr>
          <w:rFonts w:eastAsia="Times New Roman" w:cs="Times New Roman"/>
          <w:color w:val="000000"/>
          <w:sz w:val="20"/>
          <w:szCs w:val="20"/>
          <w:lang w:eastAsia="en-GB"/>
        </w:rPr>
        <w:t>Eskiyurt</w:t>
      </w:r>
      <w:proofErr w:type="spellEnd"/>
      <w:r w:rsidRPr="0020477C">
        <w:rPr>
          <w:rFonts w:eastAsia="Times New Roman" w:cs="Times New Roman"/>
          <w:color w:val="000000"/>
          <w:sz w:val="20"/>
          <w:szCs w:val="20"/>
          <w:lang w:eastAsia="en-GB"/>
        </w:rPr>
        <w:t xml:space="preserve"> N, </w:t>
      </w:r>
      <w:proofErr w:type="spellStart"/>
      <w:r w:rsidRPr="0020477C">
        <w:rPr>
          <w:rFonts w:eastAsia="Times New Roman" w:cs="Times New Roman"/>
          <w:color w:val="000000"/>
          <w:sz w:val="20"/>
          <w:szCs w:val="20"/>
          <w:lang w:eastAsia="en-GB"/>
        </w:rPr>
        <w:t>Akarirmak</w:t>
      </w:r>
      <w:proofErr w:type="spellEnd"/>
      <w:r w:rsidRPr="0020477C">
        <w:rPr>
          <w:rFonts w:eastAsia="Times New Roman" w:cs="Times New Roman"/>
          <w:color w:val="000000"/>
          <w:sz w:val="20"/>
          <w:szCs w:val="20"/>
          <w:lang w:eastAsia="en-GB"/>
        </w:rPr>
        <w:t xml:space="preserve"> U, et al (2012) The impact of a FRAX-based intervention threshold in Turkey: the FRAX-TURK study. Arch Osteoporos 7: 229-35.</w:t>
      </w:r>
    </w:p>
    <w:p w14:paraId="6B5CCCEE" w14:textId="77777777" w:rsidR="008F544A" w:rsidRPr="0020477C" w:rsidRDefault="008F544A" w:rsidP="00192F81">
      <w:pPr>
        <w:spacing w:line="240" w:lineRule="auto"/>
        <w:rPr>
          <w:rFonts w:eastAsia="Times New Roman" w:cs="Times New Roman"/>
          <w:color w:val="000000"/>
          <w:sz w:val="20"/>
          <w:szCs w:val="20"/>
          <w:lang w:eastAsia="en-GB"/>
        </w:rPr>
      </w:pPr>
      <w:proofErr w:type="spellStart"/>
      <w:r w:rsidRPr="0020477C">
        <w:rPr>
          <w:rFonts w:eastAsia="Times New Roman" w:cs="Times New Roman"/>
          <w:color w:val="000000"/>
          <w:sz w:val="20"/>
          <w:szCs w:val="20"/>
          <w:lang w:eastAsia="en-GB"/>
        </w:rPr>
        <w:t>Vondracek</w:t>
      </w:r>
      <w:proofErr w:type="spellEnd"/>
      <w:r w:rsidRPr="0020477C">
        <w:rPr>
          <w:rFonts w:eastAsia="Times New Roman" w:cs="Times New Roman"/>
          <w:color w:val="000000"/>
          <w:sz w:val="20"/>
          <w:szCs w:val="20"/>
          <w:lang w:eastAsia="en-GB"/>
        </w:rPr>
        <w:t xml:space="preserve"> SF, </w:t>
      </w:r>
      <w:proofErr w:type="spellStart"/>
      <w:r w:rsidRPr="0020477C">
        <w:rPr>
          <w:rFonts w:eastAsia="Times New Roman" w:cs="Times New Roman"/>
          <w:color w:val="000000"/>
          <w:sz w:val="20"/>
          <w:szCs w:val="20"/>
          <w:lang w:eastAsia="en-GB"/>
        </w:rPr>
        <w:t>Linnebur</w:t>
      </w:r>
      <w:proofErr w:type="spellEnd"/>
      <w:r w:rsidRPr="0020477C">
        <w:rPr>
          <w:rFonts w:eastAsia="Times New Roman" w:cs="Times New Roman"/>
          <w:color w:val="000000"/>
          <w:sz w:val="20"/>
          <w:szCs w:val="20"/>
          <w:lang w:eastAsia="en-GB"/>
        </w:rPr>
        <w:t xml:space="preserve"> SA (2009) Diagnosis and management of osteoporosis in the older senior. </w:t>
      </w:r>
      <w:proofErr w:type="spellStart"/>
      <w:r w:rsidRPr="0020477C">
        <w:rPr>
          <w:rFonts w:eastAsia="Times New Roman" w:cs="Times New Roman"/>
          <w:color w:val="000000"/>
          <w:sz w:val="20"/>
          <w:szCs w:val="20"/>
          <w:lang w:eastAsia="en-GB"/>
        </w:rPr>
        <w:t>Clin</w:t>
      </w:r>
      <w:proofErr w:type="spellEnd"/>
      <w:r w:rsidRPr="0020477C">
        <w:rPr>
          <w:rFonts w:eastAsia="Times New Roman" w:cs="Times New Roman"/>
          <w:color w:val="000000"/>
          <w:sz w:val="20"/>
          <w:szCs w:val="20"/>
          <w:lang w:eastAsia="en-GB"/>
        </w:rPr>
        <w:t xml:space="preserve"> </w:t>
      </w:r>
      <w:proofErr w:type="spellStart"/>
      <w:r w:rsidRPr="0020477C">
        <w:rPr>
          <w:rFonts w:eastAsia="Times New Roman" w:cs="Times New Roman"/>
          <w:color w:val="000000"/>
          <w:sz w:val="20"/>
          <w:szCs w:val="20"/>
          <w:lang w:eastAsia="en-GB"/>
        </w:rPr>
        <w:t>Interv</w:t>
      </w:r>
      <w:proofErr w:type="spellEnd"/>
      <w:r w:rsidRPr="0020477C">
        <w:rPr>
          <w:rFonts w:eastAsia="Times New Roman" w:cs="Times New Roman"/>
          <w:color w:val="000000"/>
          <w:sz w:val="20"/>
          <w:szCs w:val="20"/>
          <w:lang w:eastAsia="en-GB"/>
        </w:rPr>
        <w:t xml:space="preserve"> Aging 4 121–136</w:t>
      </w:r>
    </w:p>
    <w:p w14:paraId="622EB4E7" w14:textId="77777777" w:rsidR="008F544A" w:rsidRPr="0020477C" w:rsidRDefault="008F544A" w:rsidP="008C6E68">
      <w:pPr>
        <w:spacing w:line="240" w:lineRule="auto"/>
        <w:rPr>
          <w:rFonts w:eastAsia="Times New Roman" w:cs="Times New Roman"/>
          <w:color w:val="000000"/>
          <w:sz w:val="20"/>
          <w:szCs w:val="20"/>
          <w:lang w:eastAsia="en-GB"/>
        </w:rPr>
      </w:pPr>
      <w:proofErr w:type="spellStart"/>
      <w:r w:rsidRPr="0020477C">
        <w:rPr>
          <w:rFonts w:eastAsia="Times New Roman" w:cs="Times New Roman"/>
          <w:color w:val="000000"/>
          <w:sz w:val="20"/>
          <w:szCs w:val="20"/>
          <w:lang w:eastAsia="en-GB"/>
        </w:rPr>
        <w:t>Warriner</w:t>
      </w:r>
      <w:proofErr w:type="spellEnd"/>
      <w:r w:rsidRPr="0020477C">
        <w:rPr>
          <w:rFonts w:eastAsia="Times New Roman" w:cs="Times New Roman"/>
          <w:color w:val="000000"/>
          <w:sz w:val="20"/>
          <w:szCs w:val="20"/>
          <w:lang w:eastAsia="en-GB"/>
        </w:rPr>
        <w:t xml:space="preserve"> AH, Outman RG, </w:t>
      </w:r>
      <w:proofErr w:type="spellStart"/>
      <w:r w:rsidRPr="0020477C">
        <w:rPr>
          <w:rFonts w:eastAsia="Times New Roman" w:cs="Times New Roman"/>
          <w:color w:val="000000"/>
          <w:sz w:val="20"/>
          <w:szCs w:val="20"/>
          <w:lang w:eastAsia="en-GB"/>
        </w:rPr>
        <w:t>Saag</w:t>
      </w:r>
      <w:proofErr w:type="spellEnd"/>
      <w:r w:rsidRPr="0020477C">
        <w:rPr>
          <w:rFonts w:eastAsia="Times New Roman" w:cs="Times New Roman"/>
          <w:color w:val="000000"/>
          <w:sz w:val="20"/>
          <w:szCs w:val="20"/>
          <w:lang w:eastAsia="en-GB"/>
        </w:rPr>
        <w:t xml:space="preserve"> KG et al (2009) The management of osteoporosis among home health and long term care patients with a prior fracture. South Med J  102:  397–404 </w:t>
      </w:r>
    </w:p>
    <w:p w14:paraId="34DEF83B" w14:textId="77777777" w:rsidR="008F544A" w:rsidRPr="0020477C" w:rsidRDefault="008F544A" w:rsidP="008C6E68">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Watts NB (2011) Fracture Risk Assessment Tool (FRAX®): Applications in clinical practice. J  </w:t>
      </w:r>
      <w:proofErr w:type="spellStart"/>
      <w:r w:rsidRPr="0020477C">
        <w:rPr>
          <w:rFonts w:eastAsia="Times New Roman" w:cs="Times New Roman"/>
          <w:color w:val="000000"/>
          <w:sz w:val="20"/>
          <w:szCs w:val="20"/>
          <w:lang w:eastAsia="en-GB"/>
        </w:rPr>
        <w:t>Womens</w:t>
      </w:r>
      <w:proofErr w:type="spellEnd"/>
      <w:r w:rsidRPr="0020477C">
        <w:rPr>
          <w:rFonts w:eastAsia="Times New Roman" w:cs="Times New Roman"/>
          <w:color w:val="000000"/>
          <w:sz w:val="20"/>
          <w:szCs w:val="20"/>
          <w:lang w:eastAsia="en-GB"/>
        </w:rPr>
        <w:t xml:space="preserve"> Health 20: 525-31.</w:t>
      </w:r>
    </w:p>
    <w:p w14:paraId="68E5C201" w14:textId="77777777" w:rsidR="008F544A" w:rsidRPr="0020477C" w:rsidRDefault="008F544A" w:rsidP="008C6E68">
      <w:pPr>
        <w:spacing w:line="240" w:lineRule="auto"/>
        <w:rPr>
          <w:rFonts w:eastAsia="Times New Roman" w:cs="Times New Roman"/>
          <w:color w:val="000000"/>
          <w:sz w:val="20"/>
          <w:szCs w:val="20"/>
          <w:lang w:eastAsia="en-GB"/>
        </w:rPr>
      </w:pPr>
      <w:r w:rsidRPr="0020477C">
        <w:rPr>
          <w:rFonts w:eastAsia="Times New Roman" w:cs="Times New Roman"/>
          <w:color w:val="000000"/>
          <w:sz w:val="20"/>
          <w:szCs w:val="20"/>
          <w:lang w:eastAsia="en-GB"/>
        </w:rPr>
        <w:t xml:space="preserve">World Health Organization (2015) WHO World Report on Ageing and Health (draft Sept 2015). </w:t>
      </w:r>
      <w:hyperlink r:id="rId76" w:history="1">
        <w:r w:rsidRPr="0020477C">
          <w:rPr>
            <w:rStyle w:val="Hyperlink"/>
            <w:rFonts w:eastAsia="Times New Roman" w:cs="Times New Roman"/>
            <w:sz w:val="20"/>
            <w:szCs w:val="20"/>
            <w:lang w:eastAsia="en-GB"/>
          </w:rPr>
          <w:t>http://who.int/ageing/ageing-global-strategy-draft1-en.pdf</w:t>
        </w:r>
      </w:hyperlink>
      <w:r w:rsidRPr="0020477C">
        <w:rPr>
          <w:rFonts w:eastAsia="Times New Roman" w:cs="Times New Roman"/>
          <w:color w:val="000000"/>
          <w:sz w:val="20"/>
          <w:szCs w:val="20"/>
          <w:lang w:eastAsia="en-GB"/>
        </w:rPr>
        <w:t xml:space="preserve"> Accessed 21 February 2016</w:t>
      </w:r>
    </w:p>
    <w:p w14:paraId="0A2B699A" w14:textId="2A7DB63F" w:rsidR="00FA0088" w:rsidRPr="00DB1D7C" w:rsidRDefault="001D0A8F" w:rsidP="007F36B6">
      <w:pPr>
        <w:spacing w:line="276" w:lineRule="auto"/>
        <w:rPr>
          <w:sz w:val="20"/>
          <w:szCs w:val="20"/>
        </w:rPr>
      </w:pPr>
      <w:r>
        <w:rPr>
          <w:sz w:val="20"/>
          <w:szCs w:val="20"/>
        </w:rPr>
        <w:t>*Published after the cut-off date.  Recommends an intervention threshold of 20% and 3% probability of major and hip fracture, respectively.</w:t>
      </w:r>
      <w:r w:rsidR="00EB1BDA" w:rsidRPr="00DB1D7C">
        <w:rPr>
          <w:sz w:val="20"/>
          <w:szCs w:val="20"/>
        </w:rPr>
        <w:t xml:space="preserve"> </w:t>
      </w:r>
      <w:r w:rsidR="00FA0088" w:rsidRPr="00DB1D7C">
        <w:rPr>
          <w:sz w:val="20"/>
          <w:szCs w:val="20"/>
        </w:rPr>
        <w:t xml:space="preserve"> </w:t>
      </w:r>
    </w:p>
    <w:p w14:paraId="0A2B699B" w14:textId="77777777" w:rsidR="008819A0" w:rsidRPr="00DB1D7C" w:rsidRDefault="008819A0" w:rsidP="007F36B6">
      <w:pPr>
        <w:spacing w:line="276" w:lineRule="auto"/>
        <w:rPr>
          <w:b/>
          <w:sz w:val="20"/>
          <w:szCs w:val="20"/>
        </w:rPr>
      </w:pPr>
    </w:p>
    <w:p w14:paraId="0A2B699C" w14:textId="77777777" w:rsidR="008819A0" w:rsidRPr="00DB1D7C" w:rsidRDefault="008819A0" w:rsidP="007F36B6">
      <w:pPr>
        <w:spacing w:line="276" w:lineRule="auto"/>
        <w:rPr>
          <w:b/>
          <w:sz w:val="20"/>
          <w:szCs w:val="20"/>
        </w:rPr>
      </w:pPr>
    </w:p>
    <w:sectPr w:rsidR="008819A0" w:rsidRPr="00DB1D7C">
      <w:footerReference w:type="default" r:id="rId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80C1C" w14:textId="77777777" w:rsidR="00E40456" w:rsidRDefault="00E40456" w:rsidP="00DF64F0">
      <w:pPr>
        <w:spacing w:after="0" w:line="240" w:lineRule="auto"/>
      </w:pPr>
      <w:r>
        <w:separator/>
      </w:r>
    </w:p>
  </w:endnote>
  <w:endnote w:type="continuationSeparator" w:id="0">
    <w:p w14:paraId="257F96CC" w14:textId="77777777" w:rsidR="00E40456" w:rsidRDefault="00E40456" w:rsidP="00DF6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MS Gothic"/>
    <w:panose1 w:val="00000000000000000000"/>
    <w:charset w:val="00"/>
    <w:family w:val="swiss"/>
    <w:notTrueType/>
    <w:pitch w:val="default"/>
    <w:sig w:usb0="00000001" w:usb1="08070000" w:usb2="00000010" w:usb3="00000000" w:csb0="0002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yriad Pro">
    <w:altName w:val="Corbel"/>
    <w:charset w:val="00"/>
    <w:family w:val="auto"/>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ZapfCalligrPL-Roman">
    <w:altName w:val="Times New Roman"/>
    <w:panose1 w:val="00000000000000000000"/>
    <w:charset w:val="EE"/>
    <w:family w:val="auto"/>
    <w:notTrueType/>
    <w:pitch w:val="default"/>
    <w:sig w:usb0="00000005" w:usb1="00000000" w:usb2="00000000" w:usb3="00000000" w:csb0="00000002" w:csb1="00000000"/>
  </w:font>
  <w:font w:name="AdvTT3713a231">
    <w:panose1 w:val="00000000000000000000"/>
    <w:charset w:val="00"/>
    <w:family w:val="roman"/>
    <w:notTrueType/>
    <w:pitch w:val="default"/>
    <w:sig w:usb0="00000003" w:usb1="00000000" w:usb2="00000000" w:usb3="00000000" w:csb0="00000001" w:csb1="00000000"/>
  </w:font>
  <w:font w:name="MyriadPro-Bold">
    <w:panose1 w:val="00000000000000000000"/>
    <w:charset w:val="00"/>
    <w:family w:val="swiss"/>
    <w:notTrueType/>
    <w:pitch w:val="default"/>
    <w:sig w:usb0="00000003" w:usb1="00000000" w:usb2="00000000" w:usb3="00000000" w:csb0="00000001" w:csb1="00000000"/>
  </w:font>
  <w:font w:name="AdvTT5235d5a9">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dvP9B22">
    <w:panose1 w:val="00000000000000000000"/>
    <w:charset w:val="00"/>
    <w:family w:val="roman"/>
    <w:notTrueType/>
    <w:pitch w:val="default"/>
    <w:sig w:usb0="00000003" w:usb1="00000000" w:usb2="00000000" w:usb3="00000000" w:csb0="00000001" w:csb1="00000000"/>
  </w:font>
  <w:font w:name="TimesNRMT">
    <w:panose1 w:val="00000000000000000000"/>
    <w:charset w:val="00"/>
    <w:family w:val="roman"/>
    <w:notTrueType/>
    <w:pitch w:val="default"/>
    <w:sig w:usb0="00000003" w:usb1="00000000" w:usb2="00000000" w:usb3="00000000" w:csb0="00000001" w:csb1="00000000"/>
  </w:font>
  <w:font w:name="HelveticaNeue-Roman">
    <w:altName w:val="Cambria"/>
    <w:panose1 w:val="00000000000000000000"/>
    <w:charset w:val="00"/>
    <w:family w:val="swiss"/>
    <w:notTrueType/>
    <w:pitch w:val="default"/>
    <w:sig w:usb0="00000003" w:usb1="00000000" w:usb2="00000000" w:usb3="00000000" w:csb0="00000001" w:csb1="00000000"/>
  </w:font>
  <w:font w:name="AdvGulliv-R">
    <w:panose1 w:val="00000000000000000000"/>
    <w:charset w:val="00"/>
    <w:family w:val="auto"/>
    <w:notTrueType/>
    <w:pitch w:val="default"/>
    <w:sig w:usb0="00000003" w:usb1="00000000" w:usb2="00000000" w:usb3="00000000" w:csb0="00000001" w:csb1="00000000"/>
  </w:font>
  <w:font w:name="AdvTT3713a231+20">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variable"/>
    <w:sig w:usb0="00000003" w:usb1="00000000" w:usb2="00000000" w:usb3="00000000" w:csb0="00000001" w:csb1="00000000"/>
  </w:font>
  <w:font w:name="AdvOTe510cf62.B">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268231"/>
      <w:docPartObj>
        <w:docPartGallery w:val="Page Numbers (Bottom of Page)"/>
        <w:docPartUnique/>
      </w:docPartObj>
    </w:sdtPr>
    <w:sdtEndPr>
      <w:rPr>
        <w:noProof/>
      </w:rPr>
    </w:sdtEndPr>
    <w:sdtContent>
      <w:p w14:paraId="095095AA" w14:textId="1B63EB6C" w:rsidR="002C1B7F" w:rsidRDefault="002C1B7F">
        <w:pPr>
          <w:pStyle w:val="Footer"/>
          <w:jc w:val="right"/>
        </w:pPr>
        <w:r>
          <w:fldChar w:fldCharType="begin"/>
        </w:r>
        <w:r>
          <w:instrText xml:space="preserve"> PAGE   \* MERGEFORMAT </w:instrText>
        </w:r>
        <w:r>
          <w:fldChar w:fldCharType="separate"/>
        </w:r>
        <w:r w:rsidR="00B6422F">
          <w:rPr>
            <w:noProof/>
          </w:rPr>
          <w:t>1</w:t>
        </w:r>
        <w:r>
          <w:rPr>
            <w:noProof/>
          </w:rPr>
          <w:fldChar w:fldCharType="end"/>
        </w:r>
      </w:p>
    </w:sdtContent>
  </w:sdt>
  <w:p w14:paraId="0175F451" w14:textId="77777777" w:rsidR="002C1B7F" w:rsidRDefault="002C1B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4C88E" w14:textId="77777777" w:rsidR="00E40456" w:rsidRDefault="00E40456" w:rsidP="00DF64F0">
      <w:pPr>
        <w:spacing w:after="0" w:line="240" w:lineRule="auto"/>
      </w:pPr>
      <w:r>
        <w:separator/>
      </w:r>
    </w:p>
  </w:footnote>
  <w:footnote w:type="continuationSeparator" w:id="0">
    <w:p w14:paraId="3CE097ED" w14:textId="77777777" w:rsidR="00E40456" w:rsidRDefault="00E40456" w:rsidP="00DF64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E1EC4"/>
    <w:multiLevelType w:val="hybridMultilevel"/>
    <w:tmpl w:val="97B0CBE4"/>
    <w:lvl w:ilvl="0" w:tplc="B78AAE42">
      <w:start w:val="3"/>
      <w:numFmt w:val="bullet"/>
      <w:lvlText w:val=""/>
      <w:lvlJc w:val="left"/>
      <w:pPr>
        <w:ind w:left="502" w:hanging="360"/>
      </w:pPr>
      <w:rPr>
        <w:rFonts w:ascii="Symbol" w:eastAsia="Calibri" w:hAnsi="Symbol"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nsid w:val="0C8F7318"/>
    <w:multiLevelType w:val="hybridMultilevel"/>
    <w:tmpl w:val="634028A2"/>
    <w:lvl w:ilvl="0" w:tplc="DCCAC1B2">
      <w:start w:val="9"/>
      <w:numFmt w:val="bullet"/>
      <w:lvlText w:val=""/>
      <w:lvlJc w:val="left"/>
      <w:pPr>
        <w:ind w:left="720" w:hanging="360"/>
      </w:pPr>
      <w:rPr>
        <w:rFonts w:ascii="Symbol" w:eastAsiaTheme="minorHAnsi" w:hAnsi="Symbol" w:cs="MyriadPro-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D4718C"/>
    <w:multiLevelType w:val="hybridMultilevel"/>
    <w:tmpl w:val="F384C164"/>
    <w:lvl w:ilvl="0" w:tplc="3148094C">
      <w:start w:val="9"/>
      <w:numFmt w:val="bullet"/>
      <w:lvlText w:val=""/>
      <w:lvlJc w:val="left"/>
      <w:pPr>
        <w:ind w:left="720" w:hanging="360"/>
      </w:pPr>
      <w:rPr>
        <w:rFonts w:ascii="Symbol" w:eastAsiaTheme="minorHAnsi" w:hAnsi="Symbol" w:cs="MyriadPro-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60712F"/>
    <w:multiLevelType w:val="hybridMultilevel"/>
    <w:tmpl w:val="06A41FFE"/>
    <w:lvl w:ilvl="0" w:tplc="503A469A">
      <w:start w:val="20"/>
      <w:numFmt w:val="bullet"/>
      <w:lvlText w:val="-"/>
      <w:lvlJc w:val="left"/>
      <w:pPr>
        <w:ind w:left="927" w:hanging="360"/>
      </w:pPr>
      <w:rPr>
        <w:rFonts w:ascii="Calibri" w:eastAsiaTheme="minorHAnsi" w:hAnsi="Calibri" w:cstheme="minorBid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nsid w:val="72BC725B"/>
    <w:multiLevelType w:val="hybridMultilevel"/>
    <w:tmpl w:val="3670B580"/>
    <w:lvl w:ilvl="0" w:tplc="64407C3A">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9A0"/>
    <w:rsid w:val="00000129"/>
    <w:rsid w:val="00000C7B"/>
    <w:rsid w:val="00002798"/>
    <w:rsid w:val="000040F5"/>
    <w:rsid w:val="000103CD"/>
    <w:rsid w:val="0001122F"/>
    <w:rsid w:val="00012D0A"/>
    <w:rsid w:val="00012D21"/>
    <w:rsid w:val="0001776C"/>
    <w:rsid w:val="00022069"/>
    <w:rsid w:val="0002271E"/>
    <w:rsid w:val="0002759E"/>
    <w:rsid w:val="000305D7"/>
    <w:rsid w:val="00032F29"/>
    <w:rsid w:val="00037DB4"/>
    <w:rsid w:val="00040540"/>
    <w:rsid w:val="000415CF"/>
    <w:rsid w:val="0004208C"/>
    <w:rsid w:val="00050173"/>
    <w:rsid w:val="00055292"/>
    <w:rsid w:val="00056580"/>
    <w:rsid w:val="000576DA"/>
    <w:rsid w:val="00061CD4"/>
    <w:rsid w:val="00062A94"/>
    <w:rsid w:val="0006534F"/>
    <w:rsid w:val="00066B85"/>
    <w:rsid w:val="00067BF0"/>
    <w:rsid w:val="000723AD"/>
    <w:rsid w:val="00072C83"/>
    <w:rsid w:val="00073BB7"/>
    <w:rsid w:val="0007526E"/>
    <w:rsid w:val="0007742C"/>
    <w:rsid w:val="00077458"/>
    <w:rsid w:val="00081114"/>
    <w:rsid w:val="00082321"/>
    <w:rsid w:val="000862F3"/>
    <w:rsid w:val="00091352"/>
    <w:rsid w:val="00091693"/>
    <w:rsid w:val="00092AE8"/>
    <w:rsid w:val="000930AA"/>
    <w:rsid w:val="00094F2A"/>
    <w:rsid w:val="00095766"/>
    <w:rsid w:val="000971B9"/>
    <w:rsid w:val="000A0A27"/>
    <w:rsid w:val="000A0AE1"/>
    <w:rsid w:val="000A11E4"/>
    <w:rsid w:val="000A243A"/>
    <w:rsid w:val="000A571E"/>
    <w:rsid w:val="000A68DC"/>
    <w:rsid w:val="000B3541"/>
    <w:rsid w:val="000C14F4"/>
    <w:rsid w:val="000C1538"/>
    <w:rsid w:val="000C4174"/>
    <w:rsid w:val="000C74A2"/>
    <w:rsid w:val="000D042C"/>
    <w:rsid w:val="000D1706"/>
    <w:rsid w:val="000D5F27"/>
    <w:rsid w:val="000E18D6"/>
    <w:rsid w:val="000E2019"/>
    <w:rsid w:val="000E213A"/>
    <w:rsid w:val="000E3CE9"/>
    <w:rsid w:val="000E3DA7"/>
    <w:rsid w:val="000E58A2"/>
    <w:rsid w:val="000E74CB"/>
    <w:rsid w:val="000F3E2A"/>
    <w:rsid w:val="000F3E4A"/>
    <w:rsid w:val="000F4247"/>
    <w:rsid w:val="000F441D"/>
    <w:rsid w:val="00101116"/>
    <w:rsid w:val="001014D9"/>
    <w:rsid w:val="00103C45"/>
    <w:rsid w:val="001078A2"/>
    <w:rsid w:val="0011029E"/>
    <w:rsid w:val="00111C94"/>
    <w:rsid w:val="001129CA"/>
    <w:rsid w:val="0011539E"/>
    <w:rsid w:val="001155ED"/>
    <w:rsid w:val="00117A39"/>
    <w:rsid w:val="001207C6"/>
    <w:rsid w:val="00120E42"/>
    <w:rsid w:val="0012230C"/>
    <w:rsid w:val="001237B0"/>
    <w:rsid w:val="0012383F"/>
    <w:rsid w:val="00124B2B"/>
    <w:rsid w:val="00124CEF"/>
    <w:rsid w:val="001373EF"/>
    <w:rsid w:val="00141E3F"/>
    <w:rsid w:val="001507B1"/>
    <w:rsid w:val="001511E8"/>
    <w:rsid w:val="00153EA2"/>
    <w:rsid w:val="00154F4E"/>
    <w:rsid w:val="00155563"/>
    <w:rsid w:val="00155721"/>
    <w:rsid w:val="00156B4E"/>
    <w:rsid w:val="00161066"/>
    <w:rsid w:val="00161185"/>
    <w:rsid w:val="00163E18"/>
    <w:rsid w:val="00166734"/>
    <w:rsid w:val="001716DD"/>
    <w:rsid w:val="001721CE"/>
    <w:rsid w:val="00173E41"/>
    <w:rsid w:val="00180A5E"/>
    <w:rsid w:val="00183907"/>
    <w:rsid w:val="00183C81"/>
    <w:rsid w:val="00184479"/>
    <w:rsid w:val="0018483F"/>
    <w:rsid w:val="00185C8C"/>
    <w:rsid w:val="001865B9"/>
    <w:rsid w:val="00187D44"/>
    <w:rsid w:val="00191128"/>
    <w:rsid w:val="00191A60"/>
    <w:rsid w:val="00192B00"/>
    <w:rsid w:val="00192F81"/>
    <w:rsid w:val="001943A2"/>
    <w:rsid w:val="001954A6"/>
    <w:rsid w:val="001958CF"/>
    <w:rsid w:val="00195EA2"/>
    <w:rsid w:val="00196A6D"/>
    <w:rsid w:val="001A155E"/>
    <w:rsid w:val="001A7BE8"/>
    <w:rsid w:val="001B10DA"/>
    <w:rsid w:val="001B5661"/>
    <w:rsid w:val="001B7285"/>
    <w:rsid w:val="001C20CB"/>
    <w:rsid w:val="001C2FCB"/>
    <w:rsid w:val="001D0A8F"/>
    <w:rsid w:val="001E2CBC"/>
    <w:rsid w:val="001E3372"/>
    <w:rsid w:val="001E4FDA"/>
    <w:rsid w:val="001E72FE"/>
    <w:rsid w:val="001F14D1"/>
    <w:rsid w:val="001F46C0"/>
    <w:rsid w:val="001F714B"/>
    <w:rsid w:val="00200E95"/>
    <w:rsid w:val="00201A24"/>
    <w:rsid w:val="00201CCF"/>
    <w:rsid w:val="00202380"/>
    <w:rsid w:val="002031CD"/>
    <w:rsid w:val="002032B3"/>
    <w:rsid w:val="00203E52"/>
    <w:rsid w:val="0020477C"/>
    <w:rsid w:val="00204BB7"/>
    <w:rsid w:val="002100AE"/>
    <w:rsid w:val="002117A8"/>
    <w:rsid w:val="00212D40"/>
    <w:rsid w:val="00212E4F"/>
    <w:rsid w:val="002130D0"/>
    <w:rsid w:val="00213E89"/>
    <w:rsid w:val="0022060C"/>
    <w:rsid w:val="002253C9"/>
    <w:rsid w:val="002271BE"/>
    <w:rsid w:val="00234E19"/>
    <w:rsid w:val="0023592E"/>
    <w:rsid w:val="002437F7"/>
    <w:rsid w:val="00245DF0"/>
    <w:rsid w:val="00247F58"/>
    <w:rsid w:val="00251565"/>
    <w:rsid w:val="002540CE"/>
    <w:rsid w:val="00255B16"/>
    <w:rsid w:val="00256A58"/>
    <w:rsid w:val="00257A16"/>
    <w:rsid w:val="00257B97"/>
    <w:rsid w:val="0026001C"/>
    <w:rsid w:val="00260029"/>
    <w:rsid w:val="00260C45"/>
    <w:rsid w:val="00262A44"/>
    <w:rsid w:val="00263209"/>
    <w:rsid w:val="00265D74"/>
    <w:rsid w:val="002663E6"/>
    <w:rsid w:val="002663F4"/>
    <w:rsid w:val="00267A0E"/>
    <w:rsid w:val="002706D0"/>
    <w:rsid w:val="0027553B"/>
    <w:rsid w:val="0027748E"/>
    <w:rsid w:val="00277B4D"/>
    <w:rsid w:val="00281488"/>
    <w:rsid w:val="00285A0A"/>
    <w:rsid w:val="00285B68"/>
    <w:rsid w:val="00290506"/>
    <w:rsid w:val="00290C37"/>
    <w:rsid w:val="00291E1B"/>
    <w:rsid w:val="002929F4"/>
    <w:rsid w:val="00295756"/>
    <w:rsid w:val="002A1E50"/>
    <w:rsid w:val="002A5422"/>
    <w:rsid w:val="002A54C6"/>
    <w:rsid w:val="002A557B"/>
    <w:rsid w:val="002A78F7"/>
    <w:rsid w:val="002B0FA6"/>
    <w:rsid w:val="002B7130"/>
    <w:rsid w:val="002B723A"/>
    <w:rsid w:val="002C08CA"/>
    <w:rsid w:val="002C1077"/>
    <w:rsid w:val="002C1B7F"/>
    <w:rsid w:val="002C235B"/>
    <w:rsid w:val="002C6E6A"/>
    <w:rsid w:val="002D1BCC"/>
    <w:rsid w:val="002D72B2"/>
    <w:rsid w:val="002D7BE2"/>
    <w:rsid w:val="002E0CBA"/>
    <w:rsid w:val="002E2C5C"/>
    <w:rsid w:val="002E68A8"/>
    <w:rsid w:val="002F1B3B"/>
    <w:rsid w:val="002F2CD8"/>
    <w:rsid w:val="002F3566"/>
    <w:rsid w:val="002F4196"/>
    <w:rsid w:val="002F6BD2"/>
    <w:rsid w:val="00301E85"/>
    <w:rsid w:val="00304656"/>
    <w:rsid w:val="00304EC1"/>
    <w:rsid w:val="00306CB3"/>
    <w:rsid w:val="0030753F"/>
    <w:rsid w:val="00307F4B"/>
    <w:rsid w:val="003105F3"/>
    <w:rsid w:val="00311B54"/>
    <w:rsid w:val="0031380E"/>
    <w:rsid w:val="00313B34"/>
    <w:rsid w:val="003153BA"/>
    <w:rsid w:val="00315447"/>
    <w:rsid w:val="00315672"/>
    <w:rsid w:val="00315AE5"/>
    <w:rsid w:val="00315D7E"/>
    <w:rsid w:val="00316577"/>
    <w:rsid w:val="003211E2"/>
    <w:rsid w:val="0032147A"/>
    <w:rsid w:val="003217CF"/>
    <w:rsid w:val="0032217D"/>
    <w:rsid w:val="003231A6"/>
    <w:rsid w:val="003276BA"/>
    <w:rsid w:val="0033022E"/>
    <w:rsid w:val="00331401"/>
    <w:rsid w:val="003319E1"/>
    <w:rsid w:val="00335280"/>
    <w:rsid w:val="00340213"/>
    <w:rsid w:val="00341424"/>
    <w:rsid w:val="00341816"/>
    <w:rsid w:val="0034445C"/>
    <w:rsid w:val="0034512F"/>
    <w:rsid w:val="0034757F"/>
    <w:rsid w:val="00347A17"/>
    <w:rsid w:val="00353AEE"/>
    <w:rsid w:val="003557C6"/>
    <w:rsid w:val="00355B8F"/>
    <w:rsid w:val="003626E0"/>
    <w:rsid w:val="00363506"/>
    <w:rsid w:val="003638DB"/>
    <w:rsid w:val="00365307"/>
    <w:rsid w:val="0036603A"/>
    <w:rsid w:val="00367B34"/>
    <w:rsid w:val="00372AFA"/>
    <w:rsid w:val="00373030"/>
    <w:rsid w:val="003766F2"/>
    <w:rsid w:val="00376742"/>
    <w:rsid w:val="00382779"/>
    <w:rsid w:val="00390D58"/>
    <w:rsid w:val="00390E54"/>
    <w:rsid w:val="00391C1C"/>
    <w:rsid w:val="003943E1"/>
    <w:rsid w:val="00394620"/>
    <w:rsid w:val="0039495D"/>
    <w:rsid w:val="0039535E"/>
    <w:rsid w:val="00396640"/>
    <w:rsid w:val="0039683F"/>
    <w:rsid w:val="003A0189"/>
    <w:rsid w:val="003A1CAD"/>
    <w:rsid w:val="003A37BB"/>
    <w:rsid w:val="003A55B4"/>
    <w:rsid w:val="003A589D"/>
    <w:rsid w:val="003A7F9B"/>
    <w:rsid w:val="003B0F19"/>
    <w:rsid w:val="003B20E8"/>
    <w:rsid w:val="003B5F85"/>
    <w:rsid w:val="003B6595"/>
    <w:rsid w:val="003B68DE"/>
    <w:rsid w:val="003B6EF0"/>
    <w:rsid w:val="003B7AB1"/>
    <w:rsid w:val="003C0071"/>
    <w:rsid w:val="003C17A2"/>
    <w:rsid w:val="003C2563"/>
    <w:rsid w:val="003C284D"/>
    <w:rsid w:val="003C2D48"/>
    <w:rsid w:val="003C3827"/>
    <w:rsid w:val="003D0E7B"/>
    <w:rsid w:val="003E0F28"/>
    <w:rsid w:val="003E244A"/>
    <w:rsid w:val="003E475D"/>
    <w:rsid w:val="003E6F34"/>
    <w:rsid w:val="003F059F"/>
    <w:rsid w:val="003F092B"/>
    <w:rsid w:val="003F1806"/>
    <w:rsid w:val="00402091"/>
    <w:rsid w:val="00412B81"/>
    <w:rsid w:val="00414F92"/>
    <w:rsid w:val="0041620D"/>
    <w:rsid w:val="00417B17"/>
    <w:rsid w:val="0042401B"/>
    <w:rsid w:val="004253AD"/>
    <w:rsid w:val="00425E25"/>
    <w:rsid w:val="00430B53"/>
    <w:rsid w:val="00432DD0"/>
    <w:rsid w:val="00435760"/>
    <w:rsid w:val="00437B6F"/>
    <w:rsid w:val="0044633D"/>
    <w:rsid w:val="004479AA"/>
    <w:rsid w:val="00453D85"/>
    <w:rsid w:val="00461094"/>
    <w:rsid w:val="00461133"/>
    <w:rsid w:val="00461586"/>
    <w:rsid w:val="00461F15"/>
    <w:rsid w:val="00462610"/>
    <w:rsid w:val="004629C6"/>
    <w:rsid w:val="0046305C"/>
    <w:rsid w:val="004635EE"/>
    <w:rsid w:val="004665D8"/>
    <w:rsid w:val="0047408A"/>
    <w:rsid w:val="004769A1"/>
    <w:rsid w:val="0047787B"/>
    <w:rsid w:val="00481FC1"/>
    <w:rsid w:val="00482286"/>
    <w:rsid w:val="00483914"/>
    <w:rsid w:val="00483FC4"/>
    <w:rsid w:val="00486785"/>
    <w:rsid w:val="00487B56"/>
    <w:rsid w:val="004906EC"/>
    <w:rsid w:val="00491E67"/>
    <w:rsid w:val="004921D5"/>
    <w:rsid w:val="00494BFD"/>
    <w:rsid w:val="00496DB1"/>
    <w:rsid w:val="00497633"/>
    <w:rsid w:val="00497D96"/>
    <w:rsid w:val="004A2D8B"/>
    <w:rsid w:val="004A67DA"/>
    <w:rsid w:val="004B2258"/>
    <w:rsid w:val="004B33AF"/>
    <w:rsid w:val="004B506B"/>
    <w:rsid w:val="004B5667"/>
    <w:rsid w:val="004B5E79"/>
    <w:rsid w:val="004B6109"/>
    <w:rsid w:val="004B782D"/>
    <w:rsid w:val="004C197F"/>
    <w:rsid w:val="004C2B38"/>
    <w:rsid w:val="004C2B7A"/>
    <w:rsid w:val="004D05BA"/>
    <w:rsid w:val="004D0DA5"/>
    <w:rsid w:val="004D53A2"/>
    <w:rsid w:val="004E223A"/>
    <w:rsid w:val="004E2F63"/>
    <w:rsid w:val="004E7329"/>
    <w:rsid w:val="004E7709"/>
    <w:rsid w:val="004F0A2C"/>
    <w:rsid w:val="004F2B39"/>
    <w:rsid w:val="004F5E04"/>
    <w:rsid w:val="00502789"/>
    <w:rsid w:val="00507D48"/>
    <w:rsid w:val="00510C70"/>
    <w:rsid w:val="0052078A"/>
    <w:rsid w:val="00520BC1"/>
    <w:rsid w:val="00521F5C"/>
    <w:rsid w:val="00522A8F"/>
    <w:rsid w:val="005256B1"/>
    <w:rsid w:val="00527367"/>
    <w:rsid w:val="005305AF"/>
    <w:rsid w:val="005305F5"/>
    <w:rsid w:val="005326EF"/>
    <w:rsid w:val="005331D5"/>
    <w:rsid w:val="005346BA"/>
    <w:rsid w:val="0053666B"/>
    <w:rsid w:val="00536B81"/>
    <w:rsid w:val="005407D9"/>
    <w:rsid w:val="00541BD6"/>
    <w:rsid w:val="00542016"/>
    <w:rsid w:val="00544DF5"/>
    <w:rsid w:val="005509DC"/>
    <w:rsid w:val="00552C49"/>
    <w:rsid w:val="0055306C"/>
    <w:rsid w:val="005558EB"/>
    <w:rsid w:val="005578EC"/>
    <w:rsid w:val="00557EF3"/>
    <w:rsid w:val="00564199"/>
    <w:rsid w:val="00565054"/>
    <w:rsid w:val="00570897"/>
    <w:rsid w:val="00571578"/>
    <w:rsid w:val="00573265"/>
    <w:rsid w:val="005743B0"/>
    <w:rsid w:val="00575B5F"/>
    <w:rsid w:val="005762C3"/>
    <w:rsid w:val="0057794A"/>
    <w:rsid w:val="00577FD2"/>
    <w:rsid w:val="0058395A"/>
    <w:rsid w:val="005842F0"/>
    <w:rsid w:val="005852AF"/>
    <w:rsid w:val="00586ECF"/>
    <w:rsid w:val="0059233D"/>
    <w:rsid w:val="00593193"/>
    <w:rsid w:val="00593FF2"/>
    <w:rsid w:val="00594ACE"/>
    <w:rsid w:val="005959FA"/>
    <w:rsid w:val="00597799"/>
    <w:rsid w:val="005A01EB"/>
    <w:rsid w:val="005A054C"/>
    <w:rsid w:val="005A2002"/>
    <w:rsid w:val="005A407D"/>
    <w:rsid w:val="005B1A0F"/>
    <w:rsid w:val="005B47F9"/>
    <w:rsid w:val="005B61AF"/>
    <w:rsid w:val="005C0121"/>
    <w:rsid w:val="005C2DAD"/>
    <w:rsid w:val="005C3050"/>
    <w:rsid w:val="005C4100"/>
    <w:rsid w:val="005C4567"/>
    <w:rsid w:val="005C5775"/>
    <w:rsid w:val="005D01CB"/>
    <w:rsid w:val="005D333E"/>
    <w:rsid w:val="005D3AF7"/>
    <w:rsid w:val="005D4352"/>
    <w:rsid w:val="005D4538"/>
    <w:rsid w:val="005D53DA"/>
    <w:rsid w:val="005D7C60"/>
    <w:rsid w:val="005E5E3D"/>
    <w:rsid w:val="005E75F1"/>
    <w:rsid w:val="005F0B55"/>
    <w:rsid w:val="005F0F32"/>
    <w:rsid w:val="005F1C25"/>
    <w:rsid w:val="005F6653"/>
    <w:rsid w:val="005F7E6D"/>
    <w:rsid w:val="006003BE"/>
    <w:rsid w:val="006008D7"/>
    <w:rsid w:val="00601230"/>
    <w:rsid w:val="006025C5"/>
    <w:rsid w:val="0060586D"/>
    <w:rsid w:val="00606B29"/>
    <w:rsid w:val="00607003"/>
    <w:rsid w:val="006136E7"/>
    <w:rsid w:val="00625E32"/>
    <w:rsid w:val="00630135"/>
    <w:rsid w:val="006308F0"/>
    <w:rsid w:val="00630E33"/>
    <w:rsid w:val="00631276"/>
    <w:rsid w:val="00636F68"/>
    <w:rsid w:val="00637EE1"/>
    <w:rsid w:val="006419D3"/>
    <w:rsid w:val="006424F0"/>
    <w:rsid w:val="006429F7"/>
    <w:rsid w:val="006431BD"/>
    <w:rsid w:val="0064414A"/>
    <w:rsid w:val="00645254"/>
    <w:rsid w:val="00645353"/>
    <w:rsid w:val="0065006F"/>
    <w:rsid w:val="00650DBF"/>
    <w:rsid w:val="00650E66"/>
    <w:rsid w:val="00655E55"/>
    <w:rsid w:val="00657A57"/>
    <w:rsid w:val="00660E48"/>
    <w:rsid w:val="00664290"/>
    <w:rsid w:val="006665FB"/>
    <w:rsid w:val="006700FB"/>
    <w:rsid w:val="006742AB"/>
    <w:rsid w:val="006800B2"/>
    <w:rsid w:val="006805BD"/>
    <w:rsid w:val="006849D4"/>
    <w:rsid w:val="00686D56"/>
    <w:rsid w:val="0068701F"/>
    <w:rsid w:val="00691086"/>
    <w:rsid w:val="0069196C"/>
    <w:rsid w:val="00691E52"/>
    <w:rsid w:val="006930F5"/>
    <w:rsid w:val="0069365E"/>
    <w:rsid w:val="006A24AD"/>
    <w:rsid w:val="006A28CD"/>
    <w:rsid w:val="006A31DF"/>
    <w:rsid w:val="006A51C9"/>
    <w:rsid w:val="006A7CC6"/>
    <w:rsid w:val="006B484B"/>
    <w:rsid w:val="006B655D"/>
    <w:rsid w:val="006C688F"/>
    <w:rsid w:val="006D0EDF"/>
    <w:rsid w:val="006D3417"/>
    <w:rsid w:val="006D55A3"/>
    <w:rsid w:val="006D5A6F"/>
    <w:rsid w:val="006D7B49"/>
    <w:rsid w:val="006E000D"/>
    <w:rsid w:val="006E38C3"/>
    <w:rsid w:val="006E740F"/>
    <w:rsid w:val="006F0FA5"/>
    <w:rsid w:val="006F25F0"/>
    <w:rsid w:val="006F406A"/>
    <w:rsid w:val="006F70CF"/>
    <w:rsid w:val="006F7C61"/>
    <w:rsid w:val="00711DCC"/>
    <w:rsid w:val="007154C8"/>
    <w:rsid w:val="00727840"/>
    <w:rsid w:val="007330A7"/>
    <w:rsid w:val="007333E7"/>
    <w:rsid w:val="00734318"/>
    <w:rsid w:val="00734DC4"/>
    <w:rsid w:val="00736F30"/>
    <w:rsid w:val="007405C8"/>
    <w:rsid w:val="00741ED4"/>
    <w:rsid w:val="00743137"/>
    <w:rsid w:val="00744D36"/>
    <w:rsid w:val="00745620"/>
    <w:rsid w:val="007465A5"/>
    <w:rsid w:val="0075298F"/>
    <w:rsid w:val="00754AF8"/>
    <w:rsid w:val="00755086"/>
    <w:rsid w:val="00755600"/>
    <w:rsid w:val="00760198"/>
    <w:rsid w:val="00760737"/>
    <w:rsid w:val="00762316"/>
    <w:rsid w:val="007640BF"/>
    <w:rsid w:val="00772FAA"/>
    <w:rsid w:val="00775DAF"/>
    <w:rsid w:val="007778AD"/>
    <w:rsid w:val="00782C12"/>
    <w:rsid w:val="00784301"/>
    <w:rsid w:val="00785DF0"/>
    <w:rsid w:val="007861BD"/>
    <w:rsid w:val="00786279"/>
    <w:rsid w:val="00790237"/>
    <w:rsid w:val="00791742"/>
    <w:rsid w:val="00792485"/>
    <w:rsid w:val="0079301E"/>
    <w:rsid w:val="007935FD"/>
    <w:rsid w:val="0079519F"/>
    <w:rsid w:val="00796FC3"/>
    <w:rsid w:val="007A0712"/>
    <w:rsid w:val="007A3B42"/>
    <w:rsid w:val="007A3DFE"/>
    <w:rsid w:val="007A6358"/>
    <w:rsid w:val="007B1BC1"/>
    <w:rsid w:val="007B3362"/>
    <w:rsid w:val="007B5886"/>
    <w:rsid w:val="007C0C02"/>
    <w:rsid w:val="007C1793"/>
    <w:rsid w:val="007C2B2A"/>
    <w:rsid w:val="007C43B8"/>
    <w:rsid w:val="007C6CEB"/>
    <w:rsid w:val="007D4AE3"/>
    <w:rsid w:val="007D5CFA"/>
    <w:rsid w:val="007E074E"/>
    <w:rsid w:val="007E256B"/>
    <w:rsid w:val="007E3944"/>
    <w:rsid w:val="007E5DEC"/>
    <w:rsid w:val="007E6506"/>
    <w:rsid w:val="007E77E0"/>
    <w:rsid w:val="007F1547"/>
    <w:rsid w:val="007F26AE"/>
    <w:rsid w:val="007F36B6"/>
    <w:rsid w:val="007F3789"/>
    <w:rsid w:val="007F7F3E"/>
    <w:rsid w:val="00800BDD"/>
    <w:rsid w:val="00804032"/>
    <w:rsid w:val="0080518B"/>
    <w:rsid w:val="00806725"/>
    <w:rsid w:val="008107BE"/>
    <w:rsid w:val="00810900"/>
    <w:rsid w:val="008148C2"/>
    <w:rsid w:val="00814C92"/>
    <w:rsid w:val="00817174"/>
    <w:rsid w:val="008205C1"/>
    <w:rsid w:val="008207B1"/>
    <w:rsid w:val="00823219"/>
    <w:rsid w:val="008270D1"/>
    <w:rsid w:val="00835263"/>
    <w:rsid w:val="0083658E"/>
    <w:rsid w:val="0083739E"/>
    <w:rsid w:val="00842A13"/>
    <w:rsid w:val="00842EA0"/>
    <w:rsid w:val="00850206"/>
    <w:rsid w:val="00852373"/>
    <w:rsid w:val="008546A7"/>
    <w:rsid w:val="00854EDC"/>
    <w:rsid w:val="0085518B"/>
    <w:rsid w:val="008560D1"/>
    <w:rsid w:val="0085783E"/>
    <w:rsid w:val="0086024B"/>
    <w:rsid w:val="00861A92"/>
    <w:rsid w:val="00863C9F"/>
    <w:rsid w:val="00867A03"/>
    <w:rsid w:val="00870891"/>
    <w:rsid w:val="00872F46"/>
    <w:rsid w:val="00873CA4"/>
    <w:rsid w:val="00873FA5"/>
    <w:rsid w:val="008748D1"/>
    <w:rsid w:val="00875DF8"/>
    <w:rsid w:val="00876196"/>
    <w:rsid w:val="008777D2"/>
    <w:rsid w:val="00877D36"/>
    <w:rsid w:val="0088143B"/>
    <w:rsid w:val="008819A0"/>
    <w:rsid w:val="008821DA"/>
    <w:rsid w:val="00882CCA"/>
    <w:rsid w:val="00883036"/>
    <w:rsid w:val="008832CB"/>
    <w:rsid w:val="00883B35"/>
    <w:rsid w:val="00887C06"/>
    <w:rsid w:val="00890234"/>
    <w:rsid w:val="00891738"/>
    <w:rsid w:val="0089365B"/>
    <w:rsid w:val="008937B8"/>
    <w:rsid w:val="00893BFF"/>
    <w:rsid w:val="008940A3"/>
    <w:rsid w:val="00894FE3"/>
    <w:rsid w:val="0089652E"/>
    <w:rsid w:val="008A0FA2"/>
    <w:rsid w:val="008A1468"/>
    <w:rsid w:val="008A342C"/>
    <w:rsid w:val="008A3B98"/>
    <w:rsid w:val="008A4F1A"/>
    <w:rsid w:val="008A70B5"/>
    <w:rsid w:val="008B165E"/>
    <w:rsid w:val="008B5E39"/>
    <w:rsid w:val="008C0317"/>
    <w:rsid w:val="008C056D"/>
    <w:rsid w:val="008C2F11"/>
    <w:rsid w:val="008C32F5"/>
    <w:rsid w:val="008C3F7C"/>
    <w:rsid w:val="008C5328"/>
    <w:rsid w:val="008C5485"/>
    <w:rsid w:val="008C6E68"/>
    <w:rsid w:val="008D3DD0"/>
    <w:rsid w:val="008D4678"/>
    <w:rsid w:val="008E1A65"/>
    <w:rsid w:val="008E3630"/>
    <w:rsid w:val="008E6097"/>
    <w:rsid w:val="008E6F3C"/>
    <w:rsid w:val="008E7575"/>
    <w:rsid w:val="008F050E"/>
    <w:rsid w:val="008F0858"/>
    <w:rsid w:val="008F1202"/>
    <w:rsid w:val="008F1233"/>
    <w:rsid w:val="008F181B"/>
    <w:rsid w:val="008F2340"/>
    <w:rsid w:val="008F504E"/>
    <w:rsid w:val="008F544A"/>
    <w:rsid w:val="008F6888"/>
    <w:rsid w:val="0090072A"/>
    <w:rsid w:val="00902FE2"/>
    <w:rsid w:val="00905448"/>
    <w:rsid w:val="00910E0D"/>
    <w:rsid w:val="00910F9B"/>
    <w:rsid w:val="0091230C"/>
    <w:rsid w:val="00915887"/>
    <w:rsid w:val="00921DBB"/>
    <w:rsid w:val="009223A4"/>
    <w:rsid w:val="009224AB"/>
    <w:rsid w:val="009251FF"/>
    <w:rsid w:val="009338DA"/>
    <w:rsid w:val="009340A4"/>
    <w:rsid w:val="0093590F"/>
    <w:rsid w:val="00935BD2"/>
    <w:rsid w:val="00937006"/>
    <w:rsid w:val="00940644"/>
    <w:rsid w:val="009429B7"/>
    <w:rsid w:val="00943ED0"/>
    <w:rsid w:val="0094412E"/>
    <w:rsid w:val="00944F07"/>
    <w:rsid w:val="009456CC"/>
    <w:rsid w:val="009465A2"/>
    <w:rsid w:val="0095107F"/>
    <w:rsid w:val="0095146A"/>
    <w:rsid w:val="00960309"/>
    <w:rsid w:val="00960A11"/>
    <w:rsid w:val="009633BB"/>
    <w:rsid w:val="00975AD8"/>
    <w:rsid w:val="00977DDA"/>
    <w:rsid w:val="00981152"/>
    <w:rsid w:val="009831DE"/>
    <w:rsid w:val="009853C8"/>
    <w:rsid w:val="009869D2"/>
    <w:rsid w:val="00990278"/>
    <w:rsid w:val="00990CE2"/>
    <w:rsid w:val="009930CC"/>
    <w:rsid w:val="0099362E"/>
    <w:rsid w:val="009942B6"/>
    <w:rsid w:val="00995F34"/>
    <w:rsid w:val="009A21E7"/>
    <w:rsid w:val="009B0E57"/>
    <w:rsid w:val="009B13A9"/>
    <w:rsid w:val="009B1A3D"/>
    <w:rsid w:val="009B2025"/>
    <w:rsid w:val="009B2D90"/>
    <w:rsid w:val="009B3231"/>
    <w:rsid w:val="009B42EE"/>
    <w:rsid w:val="009B5F39"/>
    <w:rsid w:val="009B65F6"/>
    <w:rsid w:val="009D64AF"/>
    <w:rsid w:val="009E3526"/>
    <w:rsid w:val="009E353B"/>
    <w:rsid w:val="009F17B7"/>
    <w:rsid w:val="009F2007"/>
    <w:rsid w:val="009F3CFF"/>
    <w:rsid w:val="009F785E"/>
    <w:rsid w:val="00A00CC1"/>
    <w:rsid w:val="00A00E7D"/>
    <w:rsid w:val="00A01DBE"/>
    <w:rsid w:val="00A0249E"/>
    <w:rsid w:val="00A026DA"/>
    <w:rsid w:val="00A04EBB"/>
    <w:rsid w:val="00A074D5"/>
    <w:rsid w:val="00A1161F"/>
    <w:rsid w:val="00A118CD"/>
    <w:rsid w:val="00A12585"/>
    <w:rsid w:val="00A13172"/>
    <w:rsid w:val="00A1503E"/>
    <w:rsid w:val="00A217B0"/>
    <w:rsid w:val="00A22BC3"/>
    <w:rsid w:val="00A26F53"/>
    <w:rsid w:val="00A304C6"/>
    <w:rsid w:val="00A33FC9"/>
    <w:rsid w:val="00A34B2B"/>
    <w:rsid w:val="00A35963"/>
    <w:rsid w:val="00A36A1B"/>
    <w:rsid w:val="00A3707D"/>
    <w:rsid w:val="00A40493"/>
    <w:rsid w:val="00A41F2B"/>
    <w:rsid w:val="00A42B72"/>
    <w:rsid w:val="00A45730"/>
    <w:rsid w:val="00A459EF"/>
    <w:rsid w:val="00A464E4"/>
    <w:rsid w:val="00A469E0"/>
    <w:rsid w:val="00A50424"/>
    <w:rsid w:val="00A5416F"/>
    <w:rsid w:val="00A54603"/>
    <w:rsid w:val="00A60284"/>
    <w:rsid w:val="00A62044"/>
    <w:rsid w:val="00A64269"/>
    <w:rsid w:val="00A67B9C"/>
    <w:rsid w:val="00A72438"/>
    <w:rsid w:val="00A77855"/>
    <w:rsid w:val="00A81C83"/>
    <w:rsid w:val="00A8217E"/>
    <w:rsid w:val="00A84694"/>
    <w:rsid w:val="00A860AD"/>
    <w:rsid w:val="00A91152"/>
    <w:rsid w:val="00A914F1"/>
    <w:rsid w:val="00A93276"/>
    <w:rsid w:val="00A94999"/>
    <w:rsid w:val="00A96BF8"/>
    <w:rsid w:val="00A97C10"/>
    <w:rsid w:val="00AA0A0F"/>
    <w:rsid w:val="00AA1209"/>
    <w:rsid w:val="00AA1681"/>
    <w:rsid w:val="00AA1D55"/>
    <w:rsid w:val="00AA28C4"/>
    <w:rsid w:val="00AA49D0"/>
    <w:rsid w:val="00AA74AB"/>
    <w:rsid w:val="00AB041E"/>
    <w:rsid w:val="00AB0EAE"/>
    <w:rsid w:val="00AB116B"/>
    <w:rsid w:val="00AC4FAC"/>
    <w:rsid w:val="00AC649E"/>
    <w:rsid w:val="00AD011A"/>
    <w:rsid w:val="00AD49A7"/>
    <w:rsid w:val="00AD617B"/>
    <w:rsid w:val="00AD654D"/>
    <w:rsid w:val="00AE3A66"/>
    <w:rsid w:val="00AE3AE1"/>
    <w:rsid w:val="00AE4364"/>
    <w:rsid w:val="00AE7923"/>
    <w:rsid w:val="00AF1DC8"/>
    <w:rsid w:val="00AF35EE"/>
    <w:rsid w:val="00AF4AAE"/>
    <w:rsid w:val="00AF4ECE"/>
    <w:rsid w:val="00AF51EC"/>
    <w:rsid w:val="00AF6C01"/>
    <w:rsid w:val="00B0183B"/>
    <w:rsid w:val="00B03445"/>
    <w:rsid w:val="00B10F3F"/>
    <w:rsid w:val="00B15005"/>
    <w:rsid w:val="00B15DF0"/>
    <w:rsid w:val="00B17333"/>
    <w:rsid w:val="00B2113E"/>
    <w:rsid w:val="00B21786"/>
    <w:rsid w:val="00B22A1E"/>
    <w:rsid w:val="00B2410D"/>
    <w:rsid w:val="00B245DB"/>
    <w:rsid w:val="00B262CB"/>
    <w:rsid w:val="00B4123C"/>
    <w:rsid w:val="00B46348"/>
    <w:rsid w:val="00B468D0"/>
    <w:rsid w:val="00B46E73"/>
    <w:rsid w:val="00B50A32"/>
    <w:rsid w:val="00B547DD"/>
    <w:rsid w:val="00B54DD1"/>
    <w:rsid w:val="00B54EC2"/>
    <w:rsid w:val="00B55362"/>
    <w:rsid w:val="00B562B3"/>
    <w:rsid w:val="00B57F79"/>
    <w:rsid w:val="00B602B7"/>
    <w:rsid w:val="00B6060D"/>
    <w:rsid w:val="00B60D7F"/>
    <w:rsid w:val="00B61156"/>
    <w:rsid w:val="00B61661"/>
    <w:rsid w:val="00B6422F"/>
    <w:rsid w:val="00B64699"/>
    <w:rsid w:val="00B6535D"/>
    <w:rsid w:val="00B669D0"/>
    <w:rsid w:val="00B66CD4"/>
    <w:rsid w:val="00B7334D"/>
    <w:rsid w:val="00B73A2D"/>
    <w:rsid w:val="00B75A73"/>
    <w:rsid w:val="00B80AA5"/>
    <w:rsid w:val="00B83E1B"/>
    <w:rsid w:val="00B8581C"/>
    <w:rsid w:val="00B87A94"/>
    <w:rsid w:val="00B87C42"/>
    <w:rsid w:val="00B91CDF"/>
    <w:rsid w:val="00B922D1"/>
    <w:rsid w:val="00B93611"/>
    <w:rsid w:val="00B93D5E"/>
    <w:rsid w:val="00BA0221"/>
    <w:rsid w:val="00BA2742"/>
    <w:rsid w:val="00BA362A"/>
    <w:rsid w:val="00BA4460"/>
    <w:rsid w:val="00BB0009"/>
    <w:rsid w:val="00BB364A"/>
    <w:rsid w:val="00BB3A77"/>
    <w:rsid w:val="00BB4522"/>
    <w:rsid w:val="00BB57D4"/>
    <w:rsid w:val="00BC03F1"/>
    <w:rsid w:val="00BC6A4F"/>
    <w:rsid w:val="00BD25EC"/>
    <w:rsid w:val="00BD647D"/>
    <w:rsid w:val="00BD6710"/>
    <w:rsid w:val="00BD6753"/>
    <w:rsid w:val="00BE12CE"/>
    <w:rsid w:val="00BE261E"/>
    <w:rsid w:val="00BE2E5A"/>
    <w:rsid w:val="00BE2FB0"/>
    <w:rsid w:val="00BE3917"/>
    <w:rsid w:val="00BE6864"/>
    <w:rsid w:val="00BE76AA"/>
    <w:rsid w:val="00BF1970"/>
    <w:rsid w:val="00BF1FF4"/>
    <w:rsid w:val="00BF2564"/>
    <w:rsid w:val="00BF2F0E"/>
    <w:rsid w:val="00BF520B"/>
    <w:rsid w:val="00BF5CE8"/>
    <w:rsid w:val="00C012FA"/>
    <w:rsid w:val="00C1314A"/>
    <w:rsid w:val="00C1488F"/>
    <w:rsid w:val="00C16783"/>
    <w:rsid w:val="00C168EA"/>
    <w:rsid w:val="00C17875"/>
    <w:rsid w:val="00C2079F"/>
    <w:rsid w:val="00C2148B"/>
    <w:rsid w:val="00C25AB4"/>
    <w:rsid w:val="00C25D41"/>
    <w:rsid w:val="00C26BE9"/>
    <w:rsid w:val="00C308A1"/>
    <w:rsid w:val="00C317F7"/>
    <w:rsid w:val="00C3207A"/>
    <w:rsid w:val="00C32BC5"/>
    <w:rsid w:val="00C33DBF"/>
    <w:rsid w:val="00C349D2"/>
    <w:rsid w:val="00C36148"/>
    <w:rsid w:val="00C37DAE"/>
    <w:rsid w:val="00C413B3"/>
    <w:rsid w:val="00C42331"/>
    <w:rsid w:val="00C42A80"/>
    <w:rsid w:val="00C436C7"/>
    <w:rsid w:val="00C44063"/>
    <w:rsid w:val="00C47106"/>
    <w:rsid w:val="00C47983"/>
    <w:rsid w:val="00C50BA9"/>
    <w:rsid w:val="00C547C5"/>
    <w:rsid w:val="00C55592"/>
    <w:rsid w:val="00C6183A"/>
    <w:rsid w:val="00C621B9"/>
    <w:rsid w:val="00C621EB"/>
    <w:rsid w:val="00C64CAF"/>
    <w:rsid w:val="00C67F17"/>
    <w:rsid w:val="00C71397"/>
    <w:rsid w:val="00C719AE"/>
    <w:rsid w:val="00C73ABB"/>
    <w:rsid w:val="00C76CF7"/>
    <w:rsid w:val="00C825FD"/>
    <w:rsid w:val="00C853DB"/>
    <w:rsid w:val="00C92889"/>
    <w:rsid w:val="00C933BC"/>
    <w:rsid w:val="00CA00CA"/>
    <w:rsid w:val="00CA076F"/>
    <w:rsid w:val="00CA2760"/>
    <w:rsid w:val="00CA2999"/>
    <w:rsid w:val="00CB2495"/>
    <w:rsid w:val="00CB3011"/>
    <w:rsid w:val="00CB4AE2"/>
    <w:rsid w:val="00CB5B36"/>
    <w:rsid w:val="00CC1591"/>
    <w:rsid w:val="00CC2A55"/>
    <w:rsid w:val="00CC3103"/>
    <w:rsid w:val="00CC4F64"/>
    <w:rsid w:val="00CC5635"/>
    <w:rsid w:val="00CC717D"/>
    <w:rsid w:val="00CC791C"/>
    <w:rsid w:val="00CD0367"/>
    <w:rsid w:val="00CD5C1E"/>
    <w:rsid w:val="00CE0D0F"/>
    <w:rsid w:val="00CE1953"/>
    <w:rsid w:val="00CE5522"/>
    <w:rsid w:val="00CE57FC"/>
    <w:rsid w:val="00CE6066"/>
    <w:rsid w:val="00CE6D4B"/>
    <w:rsid w:val="00CF325E"/>
    <w:rsid w:val="00D00018"/>
    <w:rsid w:val="00D0039A"/>
    <w:rsid w:val="00D031E6"/>
    <w:rsid w:val="00D04784"/>
    <w:rsid w:val="00D21807"/>
    <w:rsid w:val="00D2630B"/>
    <w:rsid w:val="00D268FD"/>
    <w:rsid w:val="00D35789"/>
    <w:rsid w:val="00D41877"/>
    <w:rsid w:val="00D50008"/>
    <w:rsid w:val="00D5542F"/>
    <w:rsid w:val="00D61278"/>
    <w:rsid w:val="00D618BA"/>
    <w:rsid w:val="00D621A2"/>
    <w:rsid w:val="00D6676F"/>
    <w:rsid w:val="00D701E2"/>
    <w:rsid w:val="00D70E13"/>
    <w:rsid w:val="00D71237"/>
    <w:rsid w:val="00D720BD"/>
    <w:rsid w:val="00D749DE"/>
    <w:rsid w:val="00D8050D"/>
    <w:rsid w:val="00D81948"/>
    <w:rsid w:val="00D81E56"/>
    <w:rsid w:val="00D84378"/>
    <w:rsid w:val="00D87350"/>
    <w:rsid w:val="00D878C9"/>
    <w:rsid w:val="00D909B5"/>
    <w:rsid w:val="00D917D4"/>
    <w:rsid w:val="00D91964"/>
    <w:rsid w:val="00D94F7C"/>
    <w:rsid w:val="00D96C43"/>
    <w:rsid w:val="00D97B48"/>
    <w:rsid w:val="00DA0C6C"/>
    <w:rsid w:val="00DA1C0D"/>
    <w:rsid w:val="00DA2E13"/>
    <w:rsid w:val="00DA3FD0"/>
    <w:rsid w:val="00DA4B0C"/>
    <w:rsid w:val="00DB0C16"/>
    <w:rsid w:val="00DB1D7C"/>
    <w:rsid w:val="00DB2D05"/>
    <w:rsid w:val="00DB2E46"/>
    <w:rsid w:val="00DB39F9"/>
    <w:rsid w:val="00DB6399"/>
    <w:rsid w:val="00DC119F"/>
    <w:rsid w:val="00DC20BE"/>
    <w:rsid w:val="00DC33A8"/>
    <w:rsid w:val="00DC414B"/>
    <w:rsid w:val="00DC5574"/>
    <w:rsid w:val="00DC5B0D"/>
    <w:rsid w:val="00DC5EEB"/>
    <w:rsid w:val="00DC6F5E"/>
    <w:rsid w:val="00DC7BED"/>
    <w:rsid w:val="00DD4EAE"/>
    <w:rsid w:val="00DD632B"/>
    <w:rsid w:val="00DD715D"/>
    <w:rsid w:val="00DE225E"/>
    <w:rsid w:val="00DE291A"/>
    <w:rsid w:val="00DF028E"/>
    <w:rsid w:val="00DF05BE"/>
    <w:rsid w:val="00DF29F5"/>
    <w:rsid w:val="00DF2A0E"/>
    <w:rsid w:val="00DF34C9"/>
    <w:rsid w:val="00DF3CAF"/>
    <w:rsid w:val="00DF64F0"/>
    <w:rsid w:val="00DF67A2"/>
    <w:rsid w:val="00DF78B7"/>
    <w:rsid w:val="00E00133"/>
    <w:rsid w:val="00E0096A"/>
    <w:rsid w:val="00E00B11"/>
    <w:rsid w:val="00E02B43"/>
    <w:rsid w:val="00E03EF2"/>
    <w:rsid w:val="00E0466E"/>
    <w:rsid w:val="00E065DB"/>
    <w:rsid w:val="00E07059"/>
    <w:rsid w:val="00E12485"/>
    <w:rsid w:val="00E13159"/>
    <w:rsid w:val="00E143A9"/>
    <w:rsid w:val="00E178C3"/>
    <w:rsid w:val="00E20155"/>
    <w:rsid w:val="00E20191"/>
    <w:rsid w:val="00E23FFF"/>
    <w:rsid w:val="00E244EE"/>
    <w:rsid w:val="00E2609B"/>
    <w:rsid w:val="00E27022"/>
    <w:rsid w:val="00E30717"/>
    <w:rsid w:val="00E314E3"/>
    <w:rsid w:val="00E3315B"/>
    <w:rsid w:val="00E3709F"/>
    <w:rsid w:val="00E37DBD"/>
    <w:rsid w:val="00E40456"/>
    <w:rsid w:val="00E42090"/>
    <w:rsid w:val="00E427F5"/>
    <w:rsid w:val="00E453B7"/>
    <w:rsid w:val="00E5184B"/>
    <w:rsid w:val="00E51C32"/>
    <w:rsid w:val="00E521C4"/>
    <w:rsid w:val="00E544D4"/>
    <w:rsid w:val="00E71124"/>
    <w:rsid w:val="00E730E2"/>
    <w:rsid w:val="00E75355"/>
    <w:rsid w:val="00E81AD0"/>
    <w:rsid w:val="00E83102"/>
    <w:rsid w:val="00E83DA8"/>
    <w:rsid w:val="00E83E85"/>
    <w:rsid w:val="00E841CB"/>
    <w:rsid w:val="00E8559E"/>
    <w:rsid w:val="00E8657B"/>
    <w:rsid w:val="00E92057"/>
    <w:rsid w:val="00E923B2"/>
    <w:rsid w:val="00E9577B"/>
    <w:rsid w:val="00E9582D"/>
    <w:rsid w:val="00EA2F87"/>
    <w:rsid w:val="00EA52A3"/>
    <w:rsid w:val="00EA5B7D"/>
    <w:rsid w:val="00EA6C1D"/>
    <w:rsid w:val="00EA74F6"/>
    <w:rsid w:val="00EB1BDA"/>
    <w:rsid w:val="00EB48F3"/>
    <w:rsid w:val="00EC1785"/>
    <w:rsid w:val="00EC1828"/>
    <w:rsid w:val="00EC1ED6"/>
    <w:rsid w:val="00EC5637"/>
    <w:rsid w:val="00ED0F27"/>
    <w:rsid w:val="00ED1F26"/>
    <w:rsid w:val="00ED427E"/>
    <w:rsid w:val="00ED6636"/>
    <w:rsid w:val="00ED7286"/>
    <w:rsid w:val="00ED7673"/>
    <w:rsid w:val="00EE126B"/>
    <w:rsid w:val="00EE1884"/>
    <w:rsid w:val="00EE7C46"/>
    <w:rsid w:val="00EE7C4E"/>
    <w:rsid w:val="00EF00D3"/>
    <w:rsid w:val="00EF129F"/>
    <w:rsid w:val="00EF214A"/>
    <w:rsid w:val="00EF26B2"/>
    <w:rsid w:val="00EF2B61"/>
    <w:rsid w:val="00EF361D"/>
    <w:rsid w:val="00EF5EFC"/>
    <w:rsid w:val="00EF7110"/>
    <w:rsid w:val="00EF7E96"/>
    <w:rsid w:val="00F02267"/>
    <w:rsid w:val="00F05009"/>
    <w:rsid w:val="00F06E31"/>
    <w:rsid w:val="00F11A2E"/>
    <w:rsid w:val="00F15048"/>
    <w:rsid w:val="00F15ACA"/>
    <w:rsid w:val="00F16BE3"/>
    <w:rsid w:val="00F16EDA"/>
    <w:rsid w:val="00F221FF"/>
    <w:rsid w:val="00F23F56"/>
    <w:rsid w:val="00F25F9E"/>
    <w:rsid w:val="00F25FA0"/>
    <w:rsid w:val="00F26082"/>
    <w:rsid w:val="00F3003A"/>
    <w:rsid w:val="00F30531"/>
    <w:rsid w:val="00F32971"/>
    <w:rsid w:val="00F32B35"/>
    <w:rsid w:val="00F33492"/>
    <w:rsid w:val="00F34886"/>
    <w:rsid w:val="00F34B4A"/>
    <w:rsid w:val="00F35170"/>
    <w:rsid w:val="00F35648"/>
    <w:rsid w:val="00F36717"/>
    <w:rsid w:val="00F40132"/>
    <w:rsid w:val="00F43368"/>
    <w:rsid w:val="00F47F90"/>
    <w:rsid w:val="00F501E1"/>
    <w:rsid w:val="00F503E2"/>
    <w:rsid w:val="00F50CA3"/>
    <w:rsid w:val="00F51D3E"/>
    <w:rsid w:val="00F62524"/>
    <w:rsid w:val="00F62C71"/>
    <w:rsid w:val="00F70C45"/>
    <w:rsid w:val="00F70C80"/>
    <w:rsid w:val="00F71248"/>
    <w:rsid w:val="00F74680"/>
    <w:rsid w:val="00F74805"/>
    <w:rsid w:val="00F750B0"/>
    <w:rsid w:val="00F773DE"/>
    <w:rsid w:val="00F80842"/>
    <w:rsid w:val="00F84734"/>
    <w:rsid w:val="00F85591"/>
    <w:rsid w:val="00F858B9"/>
    <w:rsid w:val="00F8611D"/>
    <w:rsid w:val="00F87048"/>
    <w:rsid w:val="00F910EE"/>
    <w:rsid w:val="00F91E53"/>
    <w:rsid w:val="00F91F35"/>
    <w:rsid w:val="00F921BC"/>
    <w:rsid w:val="00F92E5E"/>
    <w:rsid w:val="00F9475A"/>
    <w:rsid w:val="00F94DA2"/>
    <w:rsid w:val="00F95F1E"/>
    <w:rsid w:val="00FA0088"/>
    <w:rsid w:val="00FA0A83"/>
    <w:rsid w:val="00FA1DC5"/>
    <w:rsid w:val="00FA72C0"/>
    <w:rsid w:val="00FA7D0A"/>
    <w:rsid w:val="00FB0F7A"/>
    <w:rsid w:val="00FB2A9D"/>
    <w:rsid w:val="00FB4B42"/>
    <w:rsid w:val="00FB7217"/>
    <w:rsid w:val="00FB7C5B"/>
    <w:rsid w:val="00FC366E"/>
    <w:rsid w:val="00FC38F1"/>
    <w:rsid w:val="00FD0159"/>
    <w:rsid w:val="00FD347F"/>
    <w:rsid w:val="00FD4D8E"/>
    <w:rsid w:val="00FD5500"/>
    <w:rsid w:val="00FE2135"/>
    <w:rsid w:val="00FE5144"/>
    <w:rsid w:val="00FF309D"/>
    <w:rsid w:val="00FF3F7E"/>
    <w:rsid w:val="00FF503B"/>
    <w:rsid w:val="00FF5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14:docId w14:val="0A2B6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5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10EE"/>
    <w:pPr>
      <w:ind w:left="720"/>
      <w:contextualSpacing/>
    </w:pPr>
  </w:style>
  <w:style w:type="character" w:styleId="Hyperlink">
    <w:name w:val="Hyperlink"/>
    <w:basedOn w:val="DefaultParagraphFont"/>
    <w:uiPriority w:val="99"/>
    <w:unhideWhenUsed/>
    <w:rsid w:val="00EB1BDA"/>
    <w:rPr>
      <w:color w:val="0563C1" w:themeColor="hyperlink"/>
      <w:u w:val="single"/>
    </w:rPr>
  </w:style>
  <w:style w:type="character" w:styleId="CommentReference">
    <w:name w:val="annotation reference"/>
    <w:basedOn w:val="DefaultParagraphFont"/>
    <w:uiPriority w:val="99"/>
    <w:semiHidden/>
    <w:unhideWhenUsed/>
    <w:rsid w:val="00A12585"/>
    <w:rPr>
      <w:sz w:val="16"/>
      <w:szCs w:val="16"/>
    </w:rPr>
  </w:style>
  <w:style w:type="paragraph" w:styleId="CommentText">
    <w:name w:val="annotation text"/>
    <w:basedOn w:val="Normal"/>
    <w:link w:val="CommentTextChar"/>
    <w:uiPriority w:val="99"/>
    <w:unhideWhenUsed/>
    <w:rsid w:val="00A12585"/>
    <w:pPr>
      <w:spacing w:line="240" w:lineRule="auto"/>
    </w:pPr>
    <w:rPr>
      <w:sz w:val="20"/>
      <w:szCs w:val="20"/>
    </w:rPr>
  </w:style>
  <w:style w:type="character" w:customStyle="1" w:styleId="CommentTextChar">
    <w:name w:val="Comment Text Char"/>
    <w:basedOn w:val="DefaultParagraphFont"/>
    <w:link w:val="CommentText"/>
    <w:uiPriority w:val="99"/>
    <w:rsid w:val="00A12585"/>
    <w:rPr>
      <w:sz w:val="20"/>
      <w:szCs w:val="20"/>
    </w:rPr>
  </w:style>
  <w:style w:type="paragraph" w:styleId="CommentSubject">
    <w:name w:val="annotation subject"/>
    <w:basedOn w:val="CommentText"/>
    <w:next w:val="CommentText"/>
    <w:link w:val="CommentSubjectChar"/>
    <w:uiPriority w:val="99"/>
    <w:semiHidden/>
    <w:unhideWhenUsed/>
    <w:rsid w:val="00A12585"/>
    <w:rPr>
      <w:b/>
      <w:bCs/>
    </w:rPr>
  </w:style>
  <w:style w:type="character" w:customStyle="1" w:styleId="CommentSubjectChar">
    <w:name w:val="Comment Subject Char"/>
    <w:basedOn w:val="CommentTextChar"/>
    <w:link w:val="CommentSubject"/>
    <w:uiPriority w:val="99"/>
    <w:semiHidden/>
    <w:rsid w:val="00A12585"/>
    <w:rPr>
      <w:b/>
      <w:bCs/>
      <w:sz w:val="20"/>
      <w:szCs w:val="20"/>
    </w:rPr>
  </w:style>
  <w:style w:type="paragraph" w:styleId="BalloonText">
    <w:name w:val="Balloon Text"/>
    <w:basedOn w:val="Normal"/>
    <w:link w:val="BalloonTextChar"/>
    <w:uiPriority w:val="99"/>
    <w:semiHidden/>
    <w:unhideWhenUsed/>
    <w:rsid w:val="00A125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585"/>
    <w:rPr>
      <w:rFonts w:ascii="Segoe UI" w:hAnsi="Segoe UI" w:cs="Segoe UI"/>
      <w:sz w:val="18"/>
      <w:szCs w:val="18"/>
    </w:rPr>
  </w:style>
  <w:style w:type="character" w:styleId="FollowedHyperlink">
    <w:name w:val="FollowedHyperlink"/>
    <w:basedOn w:val="DefaultParagraphFont"/>
    <w:uiPriority w:val="99"/>
    <w:semiHidden/>
    <w:unhideWhenUsed/>
    <w:rsid w:val="00D618BA"/>
    <w:rPr>
      <w:color w:val="954F72" w:themeColor="followedHyperlink"/>
      <w:u w:val="single"/>
    </w:rPr>
  </w:style>
  <w:style w:type="table" w:customStyle="1" w:styleId="TableGrid1">
    <w:name w:val="Table Grid1"/>
    <w:basedOn w:val="TableNormal"/>
    <w:next w:val="TableGrid"/>
    <w:uiPriority w:val="39"/>
    <w:rsid w:val="00321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F64F0"/>
    <w:pPr>
      <w:tabs>
        <w:tab w:val="center" w:pos="4513"/>
        <w:tab w:val="right" w:pos="9026"/>
      </w:tabs>
      <w:spacing w:after="0" w:line="240" w:lineRule="auto"/>
    </w:pPr>
  </w:style>
  <w:style w:type="character" w:customStyle="1" w:styleId="HeaderChar">
    <w:name w:val="Header Char"/>
    <w:basedOn w:val="DefaultParagraphFont"/>
    <w:link w:val="Header"/>
    <w:rsid w:val="00DF64F0"/>
  </w:style>
  <w:style w:type="paragraph" w:styleId="Footer">
    <w:name w:val="footer"/>
    <w:basedOn w:val="Normal"/>
    <w:link w:val="FooterChar"/>
    <w:uiPriority w:val="99"/>
    <w:unhideWhenUsed/>
    <w:rsid w:val="00DF64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4F0"/>
  </w:style>
  <w:style w:type="table" w:customStyle="1" w:styleId="TableGrid2">
    <w:name w:val="Table Grid2"/>
    <w:basedOn w:val="TableNormal"/>
    <w:next w:val="TableGrid"/>
    <w:uiPriority w:val="39"/>
    <w:rsid w:val="00C25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853D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853DB"/>
    <w:rPr>
      <w:rFonts w:ascii="Consolas" w:hAnsi="Consolas" w:cs="Consolas"/>
      <w:sz w:val="21"/>
      <w:szCs w:val="21"/>
    </w:rPr>
  </w:style>
  <w:style w:type="numbering" w:customStyle="1" w:styleId="NoList1">
    <w:name w:val="No List1"/>
    <w:next w:val="NoList"/>
    <w:uiPriority w:val="99"/>
    <w:semiHidden/>
    <w:unhideWhenUsed/>
    <w:rsid w:val="00316577"/>
  </w:style>
  <w:style w:type="table" w:customStyle="1" w:styleId="TableGrid3">
    <w:name w:val="Table Grid3"/>
    <w:basedOn w:val="TableNormal"/>
    <w:next w:val="TableGrid"/>
    <w:uiPriority w:val="39"/>
    <w:rsid w:val="00316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313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5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10EE"/>
    <w:pPr>
      <w:ind w:left="720"/>
      <w:contextualSpacing/>
    </w:pPr>
  </w:style>
  <w:style w:type="character" w:styleId="Hyperlink">
    <w:name w:val="Hyperlink"/>
    <w:basedOn w:val="DefaultParagraphFont"/>
    <w:uiPriority w:val="99"/>
    <w:unhideWhenUsed/>
    <w:rsid w:val="00EB1BDA"/>
    <w:rPr>
      <w:color w:val="0563C1" w:themeColor="hyperlink"/>
      <w:u w:val="single"/>
    </w:rPr>
  </w:style>
  <w:style w:type="character" w:styleId="CommentReference">
    <w:name w:val="annotation reference"/>
    <w:basedOn w:val="DefaultParagraphFont"/>
    <w:uiPriority w:val="99"/>
    <w:semiHidden/>
    <w:unhideWhenUsed/>
    <w:rsid w:val="00A12585"/>
    <w:rPr>
      <w:sz w:val="16"/>
      <w:szCs w:val="16"/>
    </w:rPr>
  </w:style>
  <w:style w:type="paragraph" w:styleId="CommentText">
    <w:name w:val="annotation text"/>
    <w:basedOn w:val="Normal"/>
    <w:link w:val="CommentTextChar"/>
    <w:uiPriority w:val="99"/>
    <w:unhideWhenUsed/>
    <w:rsid w:val="00A12585"/>
    <w:pPr>
      <w:spacing w:line="240" w:lineRule="auto"/>
    </w:pPr>
    <w:rPr>
      <w:sz w:val="20"/>
      <w:szCs w:val="20"/>
    </w:rPr>
  </w:style>
  <w:style w:type="character" w:customStyle="1" w:styleId="CommentTextChar">
    <w:name w:val="Comment Text Char"/>
    <w:basedOn w:val="DefaultParagraphFont"/>
    <w:link w:val="CommentText"/>
    <w:uiPriority w:val="99"/>
    <w:rsid w:val="00A12585"/>
    <w:rPr>
      <w:sz w:val="20"/>
      <w:szCs w:val="20"/>
    </w:rPr>
  </w:style>
  <w:style w:type="paragraph" w:styleId="CommentSubject">
    <w:name w:val="annotation subject"/>
    <w:basedOn w:val="CommentText"/>
    <w:next w:val="CommentText"/>
    <w:link w:val="CommentSubjectChar"/>
    <w:uiPriority w:val="99"/>
    <w:semiHidden/>
    <w:unhideWhenUsed/>
    <w:rsid w:val="00A12585"/>
    <w:rPr>
      <w:b/>
      <w:bCs/>
    </w:rPr>
  </w:style>
  <w:style w:type="character" w:customStyle="1" w:styleId="CommentSubjectChar">
    <w:name w:val="Comment Subject Char"/>
    <w:basedOn w:val="CommentTextChar"/>
    <w:link w:val="CommentSubject"/>
    <w:uiPriority w:val="99"/>
    <w:semiHidden/>
    <w:rsid w:val="00A12585"/>
    <w:rPr>
      <w:b/>
      <w:bCs/>
      <w:sz w:val="20"/>
      <w:szCs w:val="20"/>
    </w:rPr>
  </w:style>
  <w:style w:type="paragraph" w:styleId="BalloonText">
    <w:name w:val="Balloon Text"/>
    <w:basedOn w:val="Normal"/>
    <w:link w:val="BalloonTextChar"/>
    <w:uiPriority w:val="99"/>
    <w:semiHidden/>
    <w:unhideWhenUsed/>
    <w:rsid w:val="00A125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585"/>
    <w:rPr>
      <w:rFonts w:ascii="Segoe UI" w:hAnsi="Segoe UI" w:cs="Segoe UI"/>
      <w:sz w:val="18"/>
      <w:szCs w:val="18"/>
    </w:rPr>
  </w:style>
  <w:style w:type="character" w:styleId="FollowedHyperlink">
    <w:name w:val="FollowedHyperlink"/>
    <w:basedOn w:val="DefaultParagraphFont"/>
    <w:uiPriority w:val="99"/>
    <w:semiHidden/>
    <w:unhideWhenUsed/>
    <w:rsid w:val="00D618BA"/>
    <w:rPr>
      <w:color w:val="954F72" w:themeColor="followedHyperlink"/>
      <w:u w:val="single"/>
    </w:rPr>
  </w:style>
  <w:style w:type="table" w:customStyle="1" w:styleId="TableGrid1">
    <w:name w:val="Table Grid1"/>
    <w:basedOn w:val="TableNormal"/>
    <w:next w:val="TableGrid"/>
    <w:uiPriority w:val="39"/>
    <w:rsid w:val="00321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F64F0"/>
    <w:pPr>
      <w:tabs>
        <w:tab w:val="center" w:pos="4513"/>
        <w:tab w:val="right" w:pos="9026"/>
      </w:tabs>
      <w:spacing w:after="0" w:line="240" w:lineRule="auto"/>
    </w:pPr>
  </w:style>
  <w:style w:type="character" w:customStyle="1" w:styleId="HeaderChar">
    <w:name w:val="Header Char"/>
    <w:basedOn w:val="DefaultParagraphFont"/>
    <w:link w:val="Header"/>
    <w:rsid w:val="00DF64F0"/>
  </w:style>
  <w:style w:type="paragraph" w:styleId="Footer">
    <w:name w:val="footer"/>
    <w:basedOn w:val="Normal"/>
    <w:link w:val="FooterChar"/>
    <w:uiPriority w:val="99"/>
    <w:unhideWhenUsed/>
    <w:rsid w:val="00DF64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4F0"/>
  </w:style>
  <w:style w:type="table" w:customStyle="1" w:styleId="TableGrid2">
    <w:name w:val="Table Grid2"/>
    <w:basedOn w:val="TableNormal"/>
    <w:next w:val="TableGrid"/>
    <w:uiPriority w:val="39"/>
    <w:rsid w:val="00C25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853D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853DB"/>
    <w:rPr>
      <w:rFonts w:ascii="Consolas" w:hAnsi="Consolas" w:cs="Consolas"/>
      <w:sz w:val="21"/>
      <w:szCs w:val="21"/>
    </w:rPr>
  </w:style>
  <w:style w:type="numbering" w:customStyle="1" w:styleId="NoList1">
    <w:name w:val="No List1"/>
    <w:next w:val="NoList"/>
    <w:uiPriority w:val="99"/>
    <w:semiHidden/>
    <w:unhideWhenUsed/>
    <w:rsid w:val="00316577"/>
  </w:style>
  <w:style w:type="table" w:customStyle="1" w:styleId="TableGrid3">
    <w:name w:val="Table Grid3"/>
    <w:basedOn w:val="TableNormal"/>
    <w:next w:val="TableGrid"/>
    <w:uiPriority w:val="39"/>
    <w:rsid w:val="00316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31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3846">
      <w:bodyDiv w:val="1"/>
      <w:marLeft w:val="0"/>
      <w:marRight w:val="0"/>
      <w:marTop w:val="0"/>
      <w:marBottom w:val="0"/>
      <w:divBdr>
        <w:top w:val="none" w:sz="0" w:space="0" w:color="auto"/>
        <w:left w:val="none" w:sz="0" w:space="0" w:color="auto"/>
        <w:bottom w:val="none" w:sz="0" w:space="0" w:color="auto"/>
        <w:right w:val="none" w:sz="0" w:space="0" w:color="auto"/>
      </w:divBdr>
    </w:div>
    <w:div w:id="355616582">
      <w:bodyDiv w:val="1"/>
      <w:marLeft w:val="0"/>
      <w:marRight w:val="0"/>
      <w:marTop w:val="0"/>
      <w:marBottom w:val="0"/>
      <w:divBdr>
        <w:top w:val="none" w:sz="0" w:space="0" w:color="auto"/>
        <w:left w:val="none" w:sz="0" w:space="0" w:color="auto"/>
        <w:bottom w:val="none" w:sz="0" w:space="0" w:color="auto"/>
        <w:right w:val="none" w:sz="0" w:space="0" w:color="auto"/>
      </w:divBdr>
    </w:div>
    <w:div w:id="391848489">
      <w:bodyDiv w:val="1"/>
      <w:marLeft w:val="0"/>
      <w:marRight w:val="0"/>
      <w:marTop w:val="0"/>
      <w:marBottom w:val="0"/>
      <w:divBdr>
        <w:top w:val="none" w:sz="0" w:space="0" w:color="auto"/>
        <w:left w:val="none" w:sz="0" w:space="0" w:color="auto"/>
        <w:bottom w:val="none" w:sz="0" w:space="0" w:color="auto"/>
        <w:right w:val="none" w:sz="0" w:space="0" w:color="auto"/>
      </w:divBdr>
    </w:div>
    <w:div w:id="609820158">
      <w:bodyDiv w:val="1"/>
      <w:marLeft w:val="0"/>
      <w:marRight w:val="0"/>
      <w:marTop w:val="0"/>
      <w:marBottom w:val="0"/>
      <w:divBdr>
        <w:top w:val="none" w:sz="0" w:space="0" w:color="auto"/>
        <w:left w:val="none" w:sz="0" w:space="0" w:color="auto"/>
        <w:bottom w:val="none" w:sz="0" w:space="0" w:color="auto"/>
        <w:right w:val="none" w:sz="0" w:space="0" w:color="auto"/>
      </w:divBdr>
    </w:div>
    <w:div w:id="703409918">
      <w:bodyDiv w:val="1"/>
      <w:marLeft w:val="0"/>
      <w:marRight w:val="0"/>
      <w:marTop w:val="0"/>
      <w:marBottom w:val="0"/>
      <w:divBdr>
        <w:top w:val="none" w:sz="0" w:space="0" w:color="auto"/>
        <w:left w:val="none" w:sz="0" w:space="0" w:color="auto"/>
        <w:bottom w:val="none" w:sz="0" w:space="0" w:color="auto"/>
        <w:right w:val="none" w:sz="0" w:space="0" w:color="auto"/>
      </w:divBdr>
    </w:div>
    <w:div w:id="712652621">
      <w:bodyDiv w:val="1"/>
      <w:marLeft w:val="0"/>
      <w:marRight w:val="0"/>
      <w:marTop w:val="0"/>
      <w:marBottom w:val="0"/>
      <w:divBdr>
        <w:top w:val="none" w:sz="0" w:space="0" w:color="auto"/>
        <w:left w:val="none" w:sz="0" w:space="0" w:color="auto"/>
        <w:bottom w:val="none" w:sz="0" w:space="0" w:color="auto"/>
        <w:right w:val="none" w:sz="0" w:space="0" w:color="auto"/>
      </w:divBdr>
    </w:div>
    <w:div w:id="802040838">
      <w:bodyDiv w:val="1"/>
      <w:marLeft w:val="0"/>
      <w:marRight w:val="0"/>
      <w:marTop w:val="0"/>
      <w:marBottom w:val="0"/>
      <w:divBdr>
        <w:top w:val="none" w:sz="0" w:space="0" w:color="auto"/>
        <w:left w:val="none" w:sz="0" w:space="0" w:color="auto"/>
        <w:bottom w:val="none" w:sz="0" w:space="0" w:color="auto"/>
        <w:right w:val="none" w:sz="0" w:space="0" w:color="auto"/>
      </w:divBdr>
    </w:div>
    <w:div w:id="812646868">
      <w:bodyDiv w:val="1"/>
      <w:marLeft w:val="0"/>
      <w:marRight w:val="0"/>
      <w:marTop w:val="0"/>
      <w:marBottom w:val="0"/>
      <w:divBdr>
        <w:top w:val="none" w:sz="0" w:space="0" w:color="auto"/>
        <w:left w:val="none" w:sz="0" w:space="0" w:color="auto"/>
        <w:bottom w:val="none" w:sz="0" w:space="0" w:color="auto"/>
        <w:right w:val="none" w:sz="0" w:space="0" w:color="auto"/>
      </w:divBdr>
    </w:div>
    <w:div w:id="915626308">
      <w:bodyDiv w:val="1"/>
      <w:marLeft w:val="0"/>
      <w:marRight w:val="0"/>
      <w:marTop w:val="0"/>
      <w:marBottom w:val="0"/>
      <w:divBdr>
        <w:top w:val="none" w:sz="0" w:space="0" w:color="auto"/>
        <w:left w:val="none" w:sz="0" w:space="0" w:color="auto"/>
        <w:bottom w:val="none" w:sz="0" w:space="0" w:color="auto"/>
        <w:right w:val="none" w:sz="0" w:space="0" w:color="auto"/>
      </w:divBdr>
    </w:div>
    <w:div w:id="922647871">
      <w:bodyDiv w:val="1"/>
      <w:marLeft w:val="0"/>
      <w:marRight w:val="0"/>
      <w:marTop w:val="0"/>
      <w:marBottom w:val="0"/>
      <w:divBdr>
        <w:top w:val="none" w:sz="0" w:space="0" w:color="auto"/>
        <w:left w:val="none" w:sz="0" w:space="0" w:color="auto"/>
        <w:bottom w:val="none" w:sz="0" w:space="0" w:color="auto"/>
        <w:right w:val="none" w:sz="0" w:space="0" w:color="auto"/>
      </w:divBdr>
    </w:div>
    <w:div w:id="954598142">
      <w:bodyDiv w:val="1"/>
      <w:marLeft w:val="0"/>
      <w:marRight w:val="0"/>
      <w:marTop w:val="0"/>
      <w:marBottom w:val="0"/>
      <w:divBdr>
        <w:top w:val="none" w:sz="0" w:space="0" w:color="auto"/>
        <w:left w:val="none" w:sz="0" w:space="0" w:color="auto"/>
        <w:bottom w:val="none" w:sz="0" w:space="0" w:color="auto"/>
        <w:right w:val="none" w:sz="0" w:space="0" w:color="auto"/>
      </w:divBdr>
    </w:div>
    <w:div w:id="959187003">
      <w:bodyDiv w:val="1"/>
      <w:marLeft w:val="0"/>
      <w:marRight w:val="0"/>
      <w:marTop w:val="0"/>
      <w:marBottom w:val="0"/>
      <w:divBdr>
        <w:top w:val="none" w:sz="0" w:space="0" w:color="auto"/>
        <w:left w:val="none" w:sz="0" w:space="0" w:color="auto"/>
        <w:bottom w:val="none" w:sz="0" w:space="0" w:color="auto"/>
        <w:right w:val="none" w:sz="0" w:space="0" w:color="auto"/>
      </w:divBdr>
    </w:div>
    <w:div w:id="977800617">
      <w:bodyDiv w:val="1"/>
      <w:marLeft w:val="0"/>
      <w:marRight w:val="0"/>
      <w:marTop w:val="0"/>
      <w:marBottom w:val="0"/>
      <w:divBdr>
        <w:top w:val="none" w:sz="0" w:space="0" w:color="auto"/>
        <w:left w:val="none" w:sz="0" w:space="0" w:color="auto"/>
        <w:bottom w:val="none" w:sz="0" w:space="0" w:color="auto"/>
        <w:right w:val="none" w:sz="0" w:space="0" w:color="auto"/>
      </w:divBdr>
    </w:div>
    <w:div w:id="1156651786">
      <w:bodyDiv w:val="1"/>
      <w:marLeft w:val="0"/>
      <w:marRight w:val="0"/>
      <w:marTop w:val="0"/>
      <w:marBottom w:val="0"/>
      <w:divBdr>
        <w:top w:val="none" w:sz="0" w:space="0" w:color="auto"/>
        <w:left w:val="none" w:sz="0" w:space="0" w:color="auto"/>
        <w:bottom w:val="none" w:sz="0" w:space="0" w:color="auto"/>
        <w:right w:val="none" w:sz="0" w:space="0" w:color="auto"/>
      </w:divBdr>
    </w:div>
    <w:div w:id="1300190596">
      <w:bodyDiv w:val="1"/>
      <w:marLeft w:val="0"/>
      <w:marRight w:val="0"/>
      <w:marTop w:val="0"/>
      <w:marBottom w:val="0"/>
      <w:divBdr>
        <w:top w:val="none" w:sz="0" w:space="0" w:color="auto"/>
        <w:left w:val="none" w:sz="0" w:space="0" w:color="auto"/>
        <w:bottom w:val="none" w:sz="0" w:space="0" w:color="auto"/>
        <w:right w:val="none" w:sz="0" w:space="0" w:color="auto"/>
      </w:divBdr>
    </w:div>
    <w:div w:id="1424258520">
      <w:bodyDiv w:val="1"/>
      <w:marLeft w:val="0"/>
      <w:marRight w:val="0"/>
      <w:marTop w:val="0"/>
      <w:marBottom w:val="0"/>
      <w:divBdr>
        <w:top w:val="none" w:sz="0" w:space="0" w:color="auto"/>
        <w:left w:val="none" w:sz="0" w:space="0" w:color="auto"/>
        <w:bottom w:val="none" w:sz="0" w:space="0" w:color="auto"/>
        <w:right w:val="none" w:sz="0" w:space="0" w:color="auto"/>
      </w:divBdr>
    </w:div>
    <w:div w:id="1445809593">
      <w:bodyDiv w:val="1"/>
      <w:marLeft w:val="0"/>
      <w:marRight w:val="0"/>
      <w:marTop w:val="0"/>
      <w:marBottom w:val="0"/>
      <w:divBdr>
        <w:top w:val="none" w:sz="0" w:space="0" w:color="auto"/>
        <w:left w:val="none" w:sz="0" w:space="0" w:color="auto"/>
        <w:bottom w:val="none" w:sz="0" w:space="0" w:color="auto"/>
        <w:right w:val="none" w:sz="0" w:space="0" w:color="auto"/>
      </w:divBdr>
    </w:div>
    <w:div w:id="1448815032">
      <w:bodyDiv w:val="1"/>
      <w:marLeft w:val="0"/>
      <w:marRight w:val="0"/>
      <w:marTop w:val="0"/>
      <w:marBottom w:val="0"/>
      <w:divBdr>
        <w:top w:val="none" w:sz="0" w:space="0" w:color="auto"/>
        <w:left w:val="none" w:sz="0" w:space="0" w:color="auto"/>
        <w:bottom w:val="none" w:sz="0" w:space="0" w:color="auto"/>
        <w:right w:val="none" w:sz="0" w:space="0" w:color="auto"/>
      </w:divBdr>
    </w:div>
    <w:div w:id="1469784925">
      <w:bodyDiv w:val="1"/>
      <w:marLeft w:val="0"/>
      <w:marRight w:val="0"/>
      <w:marTop w:val="0"/>
      <w:marBottom w:val="0"/>
      <w:divBdr>
        <w:top w:val="none" w:sz="0" w:space="0" w:color="auto"/>
        <w:left w:val="none" w:sz="0" w:space="0" w:color="auto"/>
        <w:bottom w:val="none" w:sz="0" w:space="0" w:color="auto"/>
        <w:right w:val="none" w:sz="0" w:space="0" w:color="auto"/>
      </w:divBdr>
    </w:div>
    <w:div w:id="1546258527">
      <w:bodyDiv w:val="1"/>
      <w:marLeft w:val="0"/>
      <w:marRight w:val="0"/>
      <w:marTop w:val="0"/>
      <w:marBottom w:val="0"/>
      <w:divBdr>
        <w:top w:val="none" w:sz="0" w:space="0" w:color="auto"/>
        <w:left w:val="none" w:sz="0" w:space="0" w:color="auto"/>
        <w:bottom w:val="none" w:sz="0" w:space="0" w:color="auto"/>
        <w:right w:val="none" w:sz="0" w:space="0" w:color="auto"/>
      </w:divBdr>
    </w:div>
    <w:div w:id="1631589598">
      <w:bodyDiv w:val="1"/>
      <w:marLeft w:val="0"/>
      <w:marRight w:val="0"/>
      <w:marTop w:val="0"/>
      <w:marBottom w:val="0"/>
      <w:divBdr>
        <w:top w:val="none" w:sz="0" w:space="0" w:color="auto"/>
        <w:left w:val="none" w:sz="0" w:space="0" w:color="auto"/>
        <w:bottom w:val="none" w:sz="0" w:space="0" w:color="auto"/>
        <w:right w:val="none" w:sz="0" w:space="0" w:color="auto"/>
      </w:divBdr>
    </w:div>
    <w:div w:id="1640182797">
      <w:bodyDiv w:val="1"/>
      <w:marLeft w:val="0"/>
      <w:marRight w:val="0"/>
      <w:marTop w:val="0"/>
      <w:marBottom w:val="0"/>
      <w:divBdr>
        <w:top w:val="none" w:sz="0" w:space="0" w:color="auto"/>
        <w:left w:val="none" w:sz="0" w:space="0" w:color="auto"/>
        <w:bottom w:val="none" w:sz="0" w:space="0" w:color="auto"/>
        <w:right w:val="none" w:sz="0" w:space="0" w:color="auto"/>
      </w:divBdr>
    </w:div>
    <w:div w:id="1645818319">
      <w:bodyDiv w:val="1"/>
      <w:marLeft w:val="0"/>
      <w:marRight w:val="0"/>
      <w:marTop w:val="0"/>
      <w:marBottom w:val="0"/>
      <w:divBdr>
        <w:top w:val="none" w:sz="0" w:space="0" w:color="auto"/>
        <w:left w:val="none" w:sz="0" w:space="0" w:color="auto"/>
        <w:bottom w:val="none" w:sz="0" w:space="0" w:color="auto"/>
        <w:right w:val="none" w:sz="0" w:space="0" w:color="auto"/>
      </w:divBdr>
    </w:div>
    <w:div w:id="1730811468">
      <w:bodyDiv w:val="1"/>
      <w:marLeft w:val="0"/>
      <w:marRight w:val="0"/>
      <w:marTop w:val="0"/>
      <w:marBottom w:val="0"/>
      <w:divBdr>
        <w:top w:val="none" w:sz="0" w:space="0" w:color="auto"/>
        <w:left w:val="none" w:sz="0" w:space="0" w:color="auto"/>
        <w:bottom w:val="none" w:sz="0" w:space="0" w:color="auto"/>
        <w:right w:val="none" w:sz="0" w:space="0" w:color="auto"/>
      </w:divBdr>
    </w:div>
    <w:div w:id="1816483568">
      <w:bodyDiv w:val="1"/>
      <w:marLeft w:val="0"/>
      <w:marRight w:val="0"/>
      <w:marTop w:val="0"/>
      <w:marBottom w:val="0"/>
      <w:divBdr>
        <w:top w:val="none" w:sz="0" w:space="0" w:color="auto"/>
        <w:left w:val="none" w:sz="0" w:space="0" w:color="auto"/>
        <w:bottom w:val="none" w:sz="0" w:space="0" w:color="auto"/>
        <w:right w:val="none" w:sz="0" w:space="0" w:color="auto"/>
      </w:divBdr>
    </w:div>
    <w:div w:id="1821769857">
      <w:bodyDiv w:val="1"/>
      <w:marLeft w:val="0"/>
      <w:marRight w:val="0"/>
      <w:marTop w:val="0"/>
      <w:marBottom w:val="0"/>
      <w:divBdr>
        <w:top w:val="none" w:sz="0" w:space="0" w:color="auto"/>
        <w:left w:val="none" w:sz="0" w:space="0" w:color="auto"/>
        <w:bottom w:val="none" w:sz="0" w:space="0" w:color="auto"/>
        <w:right w:val="none" w:sz="0" w:space="0" w:color="auto"/>
      </w:divBdr>
    </w:div>
    <w:div w:id="1871449369">
      <w:bodyDiv w:val="1"/>
      <w:marLeft w:val="0"/>
      <w:marRight w:val="0"/>
      <w:marTop w:val="0"/>
      <w:marBottom w:val="0"/>
      <w:divBdr>
        <w:top w:val="none" w:sz="0" w:space="0" w:color="auto"/>
        <w:left w:val="none" w:sz="0" w:space="0" w:color="auto"/>
        <w:bottom w:val="none" w:sz="0" w:space="0" w:color="auto"/>
        <w:right w:val="none" w:sz="0" w:space="0" w:color="auto"/>
      </w:divBdr>
    </w:div>
    <w:div w:id="1886603316">
      <w:bodyDiv w:val="1"/>
      <w:marLeft w:val="0"/>
      <w:marRight w:val="0"/>
      <w:marTop w:val="0"/>
      <w:marBottom w:val="0"/>
      <w:divBdr>
        <w:top w:val="none" w:sz="0" w:space="0" w:color="auto"/>
        <w:left w:val="none" w:sz="0" w:space="0" w:color="auto"/>
        <w:bottom w:val="none" w:sz="0" w:space="0" w:color="auto"/>
        <w:right w:val="none" w:sz="0" w:space="0" w:color="auto"/>
      </w:divBdr>
    </w:div>
    <w:div w:id="1903442540">
      <w:bodyDiv w:val="1"/>
      <w:marLeft w:val="0"/>
      <w:marRight w:val="0"/>
      <w:marTop w:val="0"/>
      <w:marBottom w:val="0"/>
      <w:divBdr>
        <w:top w:val="none" w:sz="0" w:space="0" w:color="auto"/>
        <w:left w:val="none" w:sz="0" w:space="0" w:color="auto"/>
        <w:bottom w:val="none" w:sz="0" w:space="0" w:color="auto"/>
        <w:right w:val="none" w:sz="0" w:space="0" w:color="auto"/>
      </w:divBdr>
    </w:div>
    <w:div w:id="1970891078">
      <w:bodyDiv w:val="1"/>
      <w:marLeft w:val="0"/>
      <w:marRight w:val="0"/>
      <w:marTop w:val="0"/>
      <w:marBottom w:val="0"/>
      <w:divBdr>
        <w:top w:val="none" w:sz="0" w:space="0" w:color="auto"/>
        <w:left w:val="none" w:sz="0" w:space="0" w:color="auto"/>
        <w:bottom w:val="none" w:sz="0" w:space="0" w:color="auto"/>
        <w:right w:val="none" w:sz="0" w:space="0" w:color="auto"/>
      </w:divBdr>
    </w:div>
    <w:div w:id="2079083888">
      <w:bodyDiv w:val="1"/>
      <w:marLeft w:val="0"/>
      <w:marRight w:val="0"/>
      <w:marTop w:val="0"/>
      <w:marBottom w:val="0"/>
      <w:divBdr>
        <w:top w:val="none" w:sz="0" w:space="0" w:color="auto"/>
        <w:left w:val="none" w:sz="0" w:space="0" w:color="auto"/>
        <w:bottom w:val="none" w:sz="0" w:space="0" w:color="auto"/>
        <w:right w:val="none" w:sz="0" w:space="0" w:color="auto"/>
      </w:divBdr>
    </w:div>
    <w:div w:id="2101564889">
      <w:bodyDiv w:val="1"/>
      <w:marLeft w:val="0"/>
      <w:marRight w:val="0"/>
      <w:marTop w:val="0"/>
      <w:marBottom w:val="0"/>
      <w:divBdr>
        <w:top w:val="none" w:sz="0" w:space="0" w:color="auto"/>
        <w:left w:val="none" w:sz="0" w:space="0" w:color="auto"/>
        <w:bottom w:val="none" w:sz="0" w:space="0" w:color="auto"/>
        <w:right w:val="none" w:sz="0" w:space="0" w:color="auto"/>
      </w:divBdr>
    </w:div>
    <w:div w:id="211343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fmer.ch/Guidelines/Osteoporosis/Osteoporosis.htm" TargetMode="External"/><Relationship Id="rId18" Type="http://schemas.openxmlformats.org/officeDocument/2006/relationships/image" Target="media/image4.png"/><Relationship Id="rId26" Type="http://schemas.openxmlformats.org/officeDocument/2006/relationships/image" Target="media/image10.png"/><Relationship Id="rId39" Type="http://schemas.openxmlformats.org/officeDocument/2006/relationships/image" Target="media/image22.png"/><Relationship Id="rId21" Type="http://schemas.openxmlformats.org/officeDocument/2006/relationships/image" Target="media/image7.png"/><Relationship Id="rId34" Type="http://schemas.openxmlformats.org/officeDocument/2006/relationships/image" Target="media/image18.png"/><Relationship Id="rId42" Type="http://schemas.openxmlformats.org/officeDocument/2006/relationships/image" Target="media/image25.emf"/><Relationship Id="rId47" Type="http://schemas.openxmlformats.org/officeDocument/2006/relationships/hyperlink" Target="http://www.schattauer.de/en/magazine/subject-areas/journals-a-z/osteology/contents/archive/issue/special" TargetMode="External"/><Relationship Id="rId50" Type="http://schemas.openxmlformats.org/officeDocument/2006/relationships/hyperlink" Target="http://www.vmnvd.gov.lv/lv/420-kliniskas-vadlinijas/klinisko-vadliniju-datu-baze/registretas-2012gada" TargetMode="External"/><Relationship Id="rId55" Type="http://schemas.openxmlformats.org/officeDocument/2006/relationships/hyperlink" Target="http://www.jmidlifehealth.org/text.asp?2013/4/2/129/" TargetMode="External"/><Relationship Id="rId63" Type="http://schemas.openxmlformats.org/officeDocument/2006/relationships/hyperlink" Target="http://www.osteoporosis.org.za" TargetMode="External"/><Relationship Id="rId68" Type="http://schemas.openxmlformats.org/officeDocument/2006/relationships/hyperlink" Target="http://www.iofbonehealth.org/ministry-health-official-officially-launches-frax-model-sri-lanka" TargetMode="External"/><Relationship Id="rId76" Type="http://schemas.openxmlformats.org/officeDocument/2006/relationships/hyperlink" Target="http://who.int/ageing/ageing-global-strategy-draft1-en.pdf" TargetMode="External"/><Relationship Id="rId7" Type="http://schemas.openxmlformats.org/officeDocument/2006/relationships/footnotes" Target="footnotes.xml"/><Relationship Id="rId71" Type="http://schemas.openxmlformats.org/officeDocument/2006/relationships/hyperlink" Target="http://www.cenetec.salud.gob.mx/interior/gpc.html" TargetMode="Externa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image" Target="media/image13.png"/><Relationship Id="rId11" Type="http://schemas.openxmlformats.org/officeDocument/2006/relationships/hyperlink" Target="http://www.iofbonehealth.org/societies-country-index-view/all" TargetMode="External"/><Relationship Id="rId24" Type="http://schemas.openxmlformats.org/officeDocument/2006/relationships/hyperlink" Target="http://www.shef.ac.uk/NOGG" TargetMode="External"/><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3.png"/><Relationship Id="rId45" Type="http://schemas.openxmlformats.org/officeDocument/2006/relationships/hyperlink" Target="http://www.sign.ac.uk" TargetMode="External"/><Relationship Id="rId53" Type="http://schemas.openxmlformats.org/officeDocument/2006/relationships/hyperlink" Target="http://www.iofbonehealth.org/guideline-references" TargetMode="External"/><Relationship Id="rId58" Type="http://schemas.openxmlformats.org/officeDocument/2006/relationships/hyperlink" Target="https://www.icsi.org/guidelines__more/catalog_guidelines_and_more/catalog_guidelines/catalog_musculoskeletal_guidelines/osteoporosis/" TargetMode="External"/><Relationship Id="rId66" Type="http://schemas.openxmlformats.org/officeDocument/2006/relationships/hyperlink" Target="http://www.isci.org/guidelines_more" TargetMode="External"/><Relationship Id="rId74" Type="http://schemas.openxmlformats.org/officeDocument/2006/relationships/hyperlink" Target="https://www.ammom.mx/"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iofbonehealth.org/sites/default/files/PDFs/National%20Guidelines/Malaysia_CG_Mgmt_Osteoporosis_2012-0912-final.pdf" TargetMode="External"/><Relationship Id="rId10" Type="http://schemas.openxmlformats.org/officeDocument/2006/relationships/hyperlink" Target="http://itunes.apple.com/us/app/frax/id370146412?mt=8" TargetMode="External"/><Relationship Id="rId19" Type="http://schemas.openxmlformats.org/officeDocument/2006/relationships/image" Target="media/image5.png"/><Relationship Id="rId31" Type="http://schemas.openxmlformats.org/officeDocument/2006/relationships/image" Target="media/image15.png"/><Relationship Id="rId44" Type="http://schemas.openxmlformats.org/officeDocument/2006/relationships/hyperlink" Target="https://www.shef.ac.uk/FRAX/reference.aspx" TargetMode="External"/><Relationship Id="rId52" Type="http://schemas.openxmlformats.org/officeDocument/2006/relationships/hyperlink" Target="http://www.ms.ro" TargetMode="External"/><Relationship Id="rId60" Type="http://schemas.openxmlformats.org/officeDocument/2006/relationships/hyperlink" Target="http://www.osteos.org.lb/admin/uploads/Full%20document.pdf" TargetMode="External"/><Relationship Id="rId65" Type="http://schemas.openxmlformats.org/officeDocument/2006/relationships/hyperlink" Target="http://www.mqic.org/" TargetMode="External"/><Relationship Id="rId73" Type="http://schemas.openxmlformats.org/officeDocument/2006/relationships/hyperlink" Target="http://www.moh.govt.nz/NoteBook/nbbooks.nsf/0/9A1DDBCD2ABB9D31CC256DCE006F7073/$file/Hip_Fracture_Prevention_Fulltext.pdf"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w.j.pontefract@sheffield.ac.uk" TargetMode="External"/><Relationship Id="rId14" Type="http://schemas.openxmlformats.org/officeDocument/2006/relationships/hyperlink" Target="http://www.iofbonehealth.org/national-regional-osteoporosis-guidelines" TargetMode="External"/><Relationship Id="rId22" Type="http://schemas.openxmlformats.org/officeDocument/2006/relationships/hyperlink" Target="http://www.shef.ac.uk/NOGG" TargetMode="External"/><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emf"/><Relationship Id="rId43" Type="http://schemas.openxmlformats.org/officeDocument/2006/relationships/image" Target="media/image26.png"/><Relationship Id="rId48" Type="http://schemas.openxmlformats.org/officeDocument/2006/relationships/hyperlink" Target="http://www.irishosteoporosis.ie" TargetMode="External"/><Relationship Id="rId56" Type="http://schemas.openxmlformats.org/officeDocument/2006/relationships/hyperlink" Target="http://nof.org/hcp/resources/913" TargetMode="External"/><Relationship Id="rId64" Type="http://schemas.openxmlformats.org/officeDocument/2006/relationships/hyperlink" Target="http://www.iofbonehealth.org/sites/default/files/PDFs/National%20Guidelines/Taiwanese_guidelines_prevention_treatment_osteoporosis.pdf" TargetMode="External"/><Relationship Id="rId69" Type="http://schemas.openxmlformats.org/officeDocument/2006/relationships/hyperlink" Target="http://www.svgo.ch" TargetMode="External"/><Relationship Id="rId77"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conseil-scientifique.lu/index.php?id=84" TargetMode="External"/><Relationship Id="rId72" Type="http://schemas.openxmlformats.org/officeDocument/2006/relationships/hyperlink" Target="http://www.hkmj.org/supplements/article_pdfs/hkm1304sp2p6.pdf" TargetMode="External"/><Relationship Id="rId3" Type="http://schemas.openxmlformats.org/officeDocument/2006/relationships/styles" Target="styles.xml"/><Relationship Id="rId12" Type="http://schemas.openxmlformats.org/officeDocument/2006/relationships/hyperlink" Target="http://www.gfmer.ch/Guidelines/Osteoporosis/Osteoporosis.htm" TargetMode="External"/><Relationship Id="rId17" Type="http://schemas.openxmlformats.org/officeDocument/2006/relationships/image" Target="media/image3.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hyperlink" Target="http://www.shef.ac.uk/FRAX" TargetMode="External"/><Relationship Id="rId46" Type="http://schemas.openxmlformats.org/officeDocument/2006/relationships/hyperlink" Target="http://www.iofbonehealth.org/guideline-references" TargetMode="External"/><Relationship Id="rId59" Type="http://schemas.openxmlformats.org/officeDocument/2006/relationships/hyperlink" Target="http://www.kaypahoito.fi/web/kh/suositukset/suositus?id=ima02292" TargetMode="External"/><Relationship Id="rId67" Type="http://schemas.openxmlformats.org/officeDocument/2006/relationships/hyperlink" Target="http://www.terveysportti.fi/xmedia/hoi/hoi24065.pdf" TargetMode="External"/><Relationship Id="rId20" Type="http://schemas.openxmlformats.org/officeDocument/2006/relationships/image" Target="media/image6.png"/><Relationship Id="rId41" Type="http://schemas.openxmlformats.org/officeDocument/2006/relationships/image" Target="media/image24.png"/><Relationship Id="rId54" Type="http://schemas.openxmlformats.org/officeDocument/2006/relationships/hyperlink" Target="http://www.aaos.org/news/aaosnow/may09/research5.asp" TargetMode="External"/><Relationship Id="rId62" Type="http://schemas.openxmlformats.org/officeDocument/2006/relationships/hyperlink" Target="http://www.iofbonehealth.org/guideline-references" TargetMode="External"/><Relationship Id="rId70" Type="http://schemas.openxmlformats.org/officeDocument/2006/relationships/hyperlink" Target="http://www.nottsapc.nhs.uk/attachments/article/3/osteoporosis%20guideline.pdf" TargetMode="External"/><Relationship Id="rId75" Type="http://schemas.openxmlformats.org/officeDocument/2006/relationships/hyperlink" Target="http://www.svgo.ch/content/documents/2015/SVGO%20Empfehlungen%202015.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hyperlink" Target="http://www.iofbonehealth.org/sites/default/files/PDFs/National%20Guidelines/SIBOMMConsensus-2009-english.pdf%20Accessed3" TargetMode="External"/><Relationship Id="rId57" Type="http://schemas.openxmlformats.org/officeDocument/2006/relationships/hyperlink" Target="http://www.socialstyrels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7BC9C-29A7-411A-B402-19E88217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98</Pages>
  <Words>33477</Words>
  <Characters>190823</Characters>
  <Application>Microsoft Office Word</Application>
  <DocSecurity>4</DocSecurity>
  <Lines>1590</Lines>
  <Paragraphs>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Kanis</dc:creator>
  <cp:lastModifiedBy>Karen Drake</cp:lastModifiedBy>
  <cp:revision>2</cp:revision>
  <dcterms:created xsi:type="dcterms:W3CDTF">2016-07-07T11:03:00Z</dcterms:created>
  <dcterms:modified xsi:type="dcterms:W3CDTF">2016-07-07T11:03:00Z</dcterms:modified>
</cp:coreProperties>
</file>