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72" w:rsidRPr="00847E18" w:rsidRDefault="00E42D68" w:rsidP="000C2DB7">
      <w:pPr>
        <w:spacing w:after="0" w:line="480" w:lineRule="auto"/>
        <w:jc w:val="center"/>
        <w:rPr>
          <w:rFonts w:ascii="Garamond" w:hAnsi="Garamond"/>
          <w:b/>
          <w:bCs/>
          <w:sz w:val="26"/>
          <w:szCs w:val="26"/>
        </w:rPr>
      </w:pPr>
      <w:bookmarkStart w:id="0" w:name="_GoBack"/>
      <w:bookmarkEnd w:id="0"/>
      <w:r w:rsidRPr="00847E18">
        <w:rPr>
          <w:rFonts w:ascii="Garamond" w:hAnsi="Garamond"/>
          <w:b/>
          <w:bCs/>
          <w:sz w:val="26"/>
          <w:szCs w:val="26"/>
        </w:rPr>
        <w:t>An</w:t>
      </w:r>
      <w:r w:rsidR="002F196F" w:rsidRPr="00847E18">
        <w:rPr>
          <w:rFonts w:ascii="Garamond" w:hAnsi="Garamond"/>
          <w:b/>
          <w:bCs/>
          <w:sz w:val="26"/>
          <w:szCs w:val="26"/>
        </w:rPr>
        <w:t xml:space="preserve"> inherent jurisdiction to protect the public interest: </w:t>
      </w:r>
      <w:r w:rsidR="00ED2FA1" w:rsidRPr="00847E18">
        <w:rPr>
          <w:rFonts w:ascii="Garamond" w:hAnsi="Garamond"/>
          <w:b/>
          <w:bCs/>
          <w:sz w:val="26"/>
          <w:szCs w:val="26"/>
        </w:rPr>
        <w:t xml:space="preserve">from </w:t>
      </w:r>
      <w:r w:rsidR="002F196F" w:rsidRPr="00847E18">
        <w:rPr>
          <w:rFonts w:ascii="Garamond" w:hAnsi="Garamond"/>
          <w:b/>
          <w:bCs/>
          <w:sz w:val="26"/>
          <w:szCs w:val="26"/>
        </w:rPr>
        <w:t xml:space="preserve">PII </w:t>
      </w:r>
      <w:r w:rsidR="004B416A" w:rsidRPr="00847E18">
        <w:rPr>
          <w:rFonts w:ascii="Garamond" w:hAnsi="Garamond"/>
          <w:b/>
          <w:bCs/>
          <w:sz w:val="26"/>
          <w:szCs w:val="26"/>
        </w:rPr>
        <w:t>to</w:t>
      </w:r>
      <w:r w:rsidR="002F196F" w:rsidRPr="00847E18">
        <w:rPr>
          <w:rFonts w:ascii="Garamond" w:hAnsi="Garamond"/>
          <w:b/>
          <w:bCs/>
          <w:sz w:val="26"/>
          <w:szCs w:val="26"/>
        </w:rPr>
        <w:t xml:space="preserve"> ‘secret trials’</w:t>
      </w:r>
    </w:p>
    <w:p w:rsidR="008C3CA2" w:rsidRPr="002C088C" w:rsidRDefault="008C3CA2" w:rsidP="000C2DB7">
      <w:pPr>
        <w:spacing w:after="0" w:line="240" w:lineRule="auto"/>
        <w:jc w:val="both"/>
        <w:rPr>
          <w:rFonts w:ascii="Garamond" w:hAnsi="Garamond"/>
          <w:sz w:val="24"/>
          <w:szCs w:val="24"/>
        </w:rPr>
      </w:pPr>
    </w:p>
    <w:p w:rsidR="00347B8D" w:rsidRPr="002C088C" w:rsidRDefault="00347B8D" w:rsidP="000C2DB7">
      <w:pPr>
        <w:spacing w:after="0" w:line="240" w:lineRule="auto"/>
        <w:jc w:val="both"/>
        <w:rPr>
          <w:rFonts w:ascii="Garamond" w:hAnsi="Garamond"/>
          <w:sz w:val="24"/>
          <w:szCs w:val="24"/>
        </w:rPr>
      </w:pPr>
    </w:p>
    <w:p w:rsidR="006D052B" w:rsidRPr="003B0CE0" w:rsidRDefault="003B0CE0" w:rsidP="003B0CE0">
      <w:pPr>
        <w:spacing w:after="0" w:line="480" w:lineRule="auto"/>
        <w:jc w:val="center"/>
        <w:rPr>
          <w:rFonts w:ascii="Garamond" w:hAnsi="Garamond"/>
          <w:sz w:val="24"/>
          <w:szCs w:val="24"/>
        </w:rPr>
      </w:pPr>
      <w:r>
        <w:rPr>
          <w:rFonts w:ascii="Garamond" w:hAnsi="Garamond"/>
          <w:sz w:val="24"/>
          <w:szCs w:val="24"/>
        </w:rPr>
        <w:t xml:space="preserve">I. </w:t>
      </w:r>
      <w:r w:rsidR="000C2DB7" w:rsidRPr="003B0CE0">
        <w:rPr>
          <w:rFonts w:ascii="Garamond" w:hAnsi="Garamond"/>
          <w:sz w:val="24"/>
          <w:szCs w:val="24"/>
        </w:rPr>
        <w:t>INTRODUCTION</w:t>
      </w:r>
    </w:p>
    <w:p w:rsidR="00926C40" w:rsidRPr="002C088C" w:rsidRDefault="00926C40" w:rsidP="000C2DB7">
      <w:pPr>
        <w:pStyle w:val="ListParagraph"/>
        <w:spacing w:after="0" w:line="480" w:lineRule="auto"/>
        <w:rPr>
          <w:rFonts w:ascii="Garamond" w:hAnsi="Garamond"/>
          <w:sz w:val="24"/>
          <w:szCs w:val="24"/>
        </w:rPr>
      </w:pPr>
    </w:p>
    <w:p w:rsidR="009D5A21" w:rsidRPr="002C088C" w:rsidRDefault="007B4041" w:rsidP="00730E03">
      <w:pPr>
        <w:spacing w:after="0" w:line="480" w:lineRule="auto"/>
        <w:jc w:val="both"/>
        <w:rPr>
          <w:rFonts w:ascii="Garamond" w:hAnsi="Garamond"/>
          <w:sz w:val="24"/>
          <w:szCs w:val="24"/>
        </w:rPr>
      </w:pPr>
      <w:r w:rsidRPr="002C088C">
        <w:rPr>
          <w:rFonts w:ascii="Garamond" w:hAnsi="Garamond"/>
          <w:sz w:val="24"/>
          <w:szCs w:val="24"/>
        </w:rPr>
        <w:t>The la</w:t>
      </w:r>
      <w:r w:rsidR="002F1FD8" w:rsidRPr="002C088C">
        <w:rPr>
          <w:rFonts w:ascii="Garamond" w:hAnsi="Garamond"/>
          <w:sz w:val="24"/>
          <w:szCs w:val="24"/>
        </w:rPr>
        <w:t>w o</w:t>
      </w:r>
      <w:r w:rsidR="00A160FD" w:rsidRPr="002C088C">
        <w:rPr>
          <w:rFonts w:ascii="Garamond" w:hAnsi="Garamond"/>
          <w:sz w:val="24"/>
          <w:szCs w:val="24"/>
        </w:rPr>
        <w:t>f public interest immunity</w:t>
      </w:r>
      <w:r w:rsidR="00BE7DBB" w:rsidRPr="002C088C">
        <w:rPr>
          <w:rFonts w:ascii="Garamond" w:hAnsi="Garamond"/>
          <w:sz w:val="24"/>
          <w:szCs w:val="24"/>
        </w:rPr>
        <w:t xml:space="preserve"> (PII)</w:t>
      </w:r>
      <w:r w:rsidR="00A160FD" w:rsidRPr="002C088C">
        <w:rPr>
          <w:rFonts w:ascii="Garamond" w:hAnsi="Garamond"/>
          <w:sz w:val="24"/>
          <w:szCs w:val="24"/>
        </w:rPr>
        <w:t xml:space="preserve">, </w:t>
      </w:r>
      <w:r w:rsidRPr="002C088C">
        <w:rPr>
          <w:rFonts w:ascii="Garamond" w:hAnsi="Garamond"/>
          <w:sz w:val="24"/>
          <w:szCs w:val="24"/>
        </w:rPr>
        <w:t xml:space="preserve">which permits the non-disclosure of material in evidence </w:t>
      </w:r>
      <w:r w:rsidR="00420D9F" w:rsidRPr="002C088C">
        <w:rPr>
          <w:rFonts w:ascii="Garamond" w:hAnsi="Garamond"/>
          <w:sz w:val="24"/>
          <w:szCs w:val="24"/>
        </w:rPr>
        <w:t xml:space="preserve">where its disclosure would harm the public interest, is well known to public lawyers. </w:t>
      </w:r>
      <w:r w:rsidR="008D3F42" w:rsidRPr="002C088C">
        <w:rPr>
          <w:rFonts w:ascii="Garamond" w:hAnsi="Garamond"/>
          <w:sz w:val="24"/>
          <w:szCs w:val="24"/>
        </w:rPr>
        <w:t>A series of cases</w:t>
      </w:r>
      <w:r w:rsidR="009D532C" w:rsidRPr="002C088C">
        <w:rPr>
          <w:rFonts w:ascii="Garamond" w:hAnsi="Garamond"/>
          <w:sz w:val="24"/>
          <w:szCs w:val="24"/>
        </w:rPr>
        <w:t xml:space="preserve"> on the </w:t>
      </w:r>
      <w:r w:rsidR="005B7379" w:rsidRPr="002C088C">
        <w:rPr>
          <w:rFonts w:ascii="Garamond" w:hAnsi="Garamond"/>
          <w:sz w:val="24"/>
          <w:szCs w:val="24"/>
        </w:rPr>
        <w:t xml:space="preserve">topic of </w:t>
      </w:r>
      <w:r w:rsidR="00A9632A">
        <w:rPr>
          <w:rFonts w:ascii="Garamond" w:hAnsi="Garamond"/>
          <w:sz w:val="24"/>
          <w:szCs w:val="24"/>
        </w:rPr>
        <w:t>‘</w:t>
      </w:r>
      <w:r w:rsidR="005B7379" w:rsidRPr="002C088C">
        <w:rPr>
          <w:rFonts w:ascii="Garamond" w:hAnsi="Garamond"/>
          <w:sz w:val="24"/>
          <w:szCs w:val="24"/>
        </w:rPr>
        <w:t>secret</w:t>
      </w:r>
      <w:r w:rsidR="005B7379" w:rsidRPr="002C088C">
        <w:rPr>
          <w:rFonts w:ascii="Garamond" w:hAnsi="Garamond"/>
          <w:i/>
          <w:sz w:val="24"/>
          <w:szCs w:val="24"/>
        </w:rPr>
        <w:t xml:space="preserve"> </w:t>
      </w:r>
      <w:r w:rsidR="005B7379" w:rsidRPr="002C088C">
        <w:rPr>
          <w:rFonts w:ascii="Garamond" w:hAnsi="Garamond"/>
          <w:sz w:val="24"/>
          <w:szCs w:val="24"/>
        </w:rPr>
        <w:t>trials</w:t>
      </w:r>
      <w:r w:rsidR="00A9632A">
        <w:rPr>
          <w:rFonts w:ascii="Garamond" w:hAnsi="Garamond"/>
          <w:sz w:val="24"/>
          <w:szCs w:val="24"/>
        </w:rPr>
        <w:t>’</w:t>
      </w:r>
      <w:r w:rsidR="005B5E0A">
        <w:rPr>
          <w:rFonts w:ascii="Garamond" w:hAnsi="Garamond"/>
          <w:sz w:val="24"/>
          <w:szCs w:val="24"/>
        </w:rPr>
        <w:t xml:space="preserve"> – </w:t>
      </w:r>
      <w:r w:rsidR="005B7379" w:rsidRPr="002C088C">
        <w:rPr>
          <w:rFonts w:ascii="Garamond" w:hAnsi="Garamond"/>
          <w:sz w:val="24"/>
          <w:szCs w:val="24"/>
        </w:rPr>
        <w:t xml:space="preserve">criminal trials held wholly </w:t>
      </w:r>
      <w:r w:rsidR="005042E3" w:rsidRPr="002C088C">
        <w:rPr>
          <w:rFonts w:ascii="Garamond" w:hAnsi="Garamond"/>
          <w:sz w:val="24"/>
          <w:szCs w:val="24"/>
        </w:rPr>
        <w:t>or in part in camera</w:t>
      </w:r>
      <w:r w:rsidR="00F7418D">
        <w:rPr>
          <w:rFonts w:ascii="Garamond" w:hAnsi="Garamond"/>
          <w:sz w:val="24"/>
          <w:szCs w:val="24"/>
        </w:rPr>
        <w:t xml:space="preserve"> so as ensure the non-disclosure </w:t>
      </w:r>
      <w:r w:rsidR="00EA7BC0">
        <w:rPr>
          <w:rFonts w:ascii="Garamond" w:hAnsi="Garamond"/>
          <w:sz w:val="24"/>
          <w:szCs w:val="24"/>
        </w:rPr>
        <w:t xml:space="preserve">to the public </w:t>
      </w:r>
      <w:r w:rsidR="00F7418D">
        <w:rPr>
          <w:rFonts w:ascii="Garamond" w:hAnsi="Garamond"/>
          <w:sz w:val="24"/>
          <w:szCs w:val="24"/>
        </w:rPr>
        <w:t>of sensitive information</w:t>
      </w:r>
      <w:r w:rsidR="00EA7BC0">
        <w:rPr>
          <w:rFonts w:ascii="Garamond" w:hAnsi="Garamond"/>
          <w:sz w:val="24"/>
          <w:szCs w:val="24"/>
        </w:rPr>
        <w:t xml:space="preserve"> which might otherwise emerge as part of the trial process</w:t>
      </w:r>
      <w:r w:rsidR="005B5E0A">
        <w:rPr>
          <w:rFonts w:ascii="Garamond" w:hAnsi="Garamond"/>
          <w:sz w:val="24"/>
          <w:szCs w:val="24"/>
        </w:rPr>
        <w:t xml:space="preserve"> –</w:t>
      </w:r>
      <w:r w:rsidR="008D3F42" w:rsidRPr="002C088C">
        <w:rPr>
          <w:rFonts w:ascii="Garamond" w:hAnsi="Garamond"/>
          <w:sz w:val="24"/>
          <w:szCs w:val="24"/>
        </w:rPr>
        <w:t xml:space="preserve"> shows, however, that the law of public interest immunity should not be understood </w:t>
      </w:r>
      <w:r w:rsidR="00EE378E" w:rsidRPr="002C088C">
        <w:rPr>
          <w:rFonts w:ascii="Garamond" w:hAnsi="Garamond"/>
          <w:sz w:val="24"/>
          <w:szCs w:val="24"/>
        </w:rPr>
        <w:t xml:space="preserve">as </w:t>
      </w:r>
      <w:r w:rsidR="00DB4231" w:rsidRPr="002C088C">
        <w:rPr>
          <w:rFonts w:ascii="Garamond" w:hAnsi="Garamond"/>
          <w:sz w:val="24"/>
          <w:szCs w:val="24"/>
        </w:rPr>
        <w:t xml:space="preserve">a wholly </w:t>
      </w:r>
      <w:r w:rsidR="00EE378E" w:rsidRPr="002C088C">
        <w:rPr>
          <w:rFonts w:ascii="Garamond" w:hAnsi="Garamond"/>
          <w:sz w:val="24"/>
          <w:szCs w:val="24"/>
        </w:rPr>
        <w:t>sui generis</w:t>
      </w:r>
      <w:r w:rsidR="004A23EC" w:rsidRPr="002C088C">
        <w:rPr>
          <w:rFonts w:ascii="Garamond" w:hAnsi="Garamond"/>
          <w:sz w:val="24"/>
          <w:szCs w:val="24"/>
        </w:rPr>
        <w:t xml:space="preserve"> body of law</w:t>
      </w:r>
      <w:r w:rsidR="00992E2A" w:rsidRPr="002C088C">
        <w:rPr>
          <w:rFonts w:ascii="Garamond" w:hAnsi="Garamond"/>
          <w:sz w:val="24"/>
          <w:szCs w:val="24"/>
        </w:rPr>
        <w:t>. Instead</w:t>
      </w:r>
      <w:r w:rsidR="007545A6" w:rsidRPr="002C088C">
        <w:rPr>
          <w:rFonts w:ascii="Garamond" w:hAnsi="Garamond"/>
          <w:sz w:val="24"/>
          <w:szCs w:val="24"/>
        </w:rPr>
        <w:t xml:space="preserve"> </w:t>
      </w:r>
      <w:r w:rsidR="003E2A8B" w:rsidRPr="002C088C">
        <w:rPr>
          <w:rFonts w:ascii="Garamond" w:hAnsi="Garamond"/>
          <w:sz w:val="24"/>
          <w:szCs w:val="24"/>
        </w:rPr>
        <w:t xml:space="preserve">it </w:t>
      </w:r>
      <w:r w:rsidR="007545A6" w:rsidRPr="002C088C">
        <w:rPr>
          <w:rFonts w:ascii="Garamond" w:hAnsi="Garamond"/>
          <w:sz w:val="24"/>
          <w:szCs w:val="24"/>
        </w:rPr>
        <w:t>is</w:t>
      </w:r>
      <w:r w:rsidR="00C11591" w:rsidRPr="002C088C">
        <w:rPr>
          <w:rFonts w:ascii="Garamond" w:hAnsi="Garamond"/>
          <w:sz w:val="24"/>
          <w:szCs w:val="24"/>
        </w:rPr>
        <w:t xml:space="preserve"> </w:t>
      </w:r>
      <w:r w:rsidR="000B4040" w:rsidRPr="002C088C">
        <w:rPr>
          <w:rFonts w:ascii="Garamond" w:hAnsi="Garamond"/>
          <w:sz w:val="24"/>
          <w:szCs w:val="24"/>
        </w:rPr>
        <w:t xml:space="preserve">only one </w:t>
      </w:r>
      <w:r w:rsidR="00296539" w:rsidRPr="002C088C">
        <w:rPr>
          <w:rFonts w:ascii="Garamond" w:hAnsi="Garamond"/>
          <w:sz w:val="24"/>
          <w:szCs w:val="24"/>
        </w:rPr>
        <w:t xml:space="preserve">of </w:t>
      </w:r>
      <w:r w:rsidR="006E7C0E">
        <w:rPr>
          <w:rFonts w:ascii="Garamond" w:hAnsi="Garamond"/>
          <w:sz w:val="24"/>
          <w:szCs w:val="24"/>
        </w:rPr>
        <w:t xml:space="preserve">what is potentially </w:t>
      </w:r>
      <w:r w:rsidR="00296539" w:rsidRPr="002C088C">
        <w:rPr>
          <w:rFonts w:ascii="Garamond" w:hAnsi="Garamond"/>
          <w:sz w:val="24"/>
          <w:szCs w:val="24"/>
        </w:rPr>
        <w:t>a range</w:t>
      </w:r>
      <w:r w:rsidR="00E0458F" w:rsidRPr="002C088C">
        <w:rPr>
          <w:rFonts w:ascii="Garamond" w:hAnsi="Garamond"/>
          <w:sz w:val="24"/>
          <w:szCs w:val="24"/>
        </w:rPr>
        <w:t xml:space="preserve"> </w:t>
      </w:r>
      <w:r w:rsidR="000A3DCC" w:rsidRPr="002C088C">
        <w:rPr>
          <w:rFonts w:ascii="Garamond" w:hAnsi="Garamond"/>
          <w:sz w:val="24"/>
          <w:szCs w:val="24"/>
        </w:rPr>
        <w:t xml:space="preserve">of tools </w:t>
      </w:r>
      <w:r w:rsidR="00E506D6" w:rsidRPr="002C088C">
        <w:rPr>
          <w:rFonts w:ascii="Garamond" w:hAnsi="Garamond"/>
          <w:sz w:val="24"/>
          <w:szCs w:val="24"/>
        </w:rPr>
        <w:t xml:space="preserve">possessed by the courts which </w:t>
      </w:r>
      <w:r w:rsidR="00F27A41" w:rsidRPr="002C088C">
        <w:rPr>
          <w:rFonts w:ascii="Garamond" w:hAnsi="Garamond"/>
          <w:sz w:val="24"/>
          <w:szCs w:val="24"/>
        </w:rPr>
        <w:t>have in common</w:t>
      </w:r>
      <w:r w:rsidR="00E506D6" w:rsidRPr="002C088C">
        <w:rPr>
          <w:rFonts w:ascii="Garamond" w:hAnsi="Garamond"/>
          <w:sz w:val="24"/>
          <w:szCs w:val="24"/>
        </w:rPr>
        <w:t xml:space="preserve"> the end to which they are oriented </w:t>
      </w:r>
      <w:r w:rsidR="00BB0EF0" w:rsidRPr="002C088C">
        <w:rPr>
          <w:rFonts w:ascii="Garamond" w:hAnsi="Garamond"/>
          <w:sz w:val="24"/>
          <w:szCs w:val="24"/>
        </w:rPr>
        <w:t>(the protection of the public interest against disclosure of sensitive information)</w:t>
      </w:r>
      <w:r w:rsidR="00E458A7">
        <w:rPr>
          <w:rFonts w:ascii="Garamond" w:hAnsi="Garamond"/>
          <w:sz w:val="24"/>
          <w:szCs w:val="24"/>
        </w:rPr>
        <w:t xml:space="preserve">, the mechanism by which they are prompted (a Ministerial certificate </w:t>
      </w:r>
      <w:r w:rsidR="0059458C">
        <w:rPr>
          <w:rFonts w:ascii="Garamond" w:hAnsi="Garamond"/>
          <w:sz w:val="24"/>
          <w:szCs w:val="24"/>
        </w:rPr>
        <w:t xml:space="preserve">stating that the public interest requires </w:t>
      </w:r>
      <w:r w:rsidR="00440B57">
        <w:rPr>
          <w:rFonts w:ascii="Garamond" w:hAnsi="Garamond"/>
          <w:sz w:val="24"/>
          <w:szCs w:val="24"/>
        </w:rPr>
        <w:t>that certain information not become known to the public at large</w:t>
      </w:r>
      <w:r w:rsidR="0059458C">
        <w:rPr>
          <w:rFonts w:ascii="Garamond" w:hAnsi="Garamond"/>
          <w:sz w:val="24"/>
          <w:szCs w:val="24"/>
        </w:rPr>
        <w:t>),</w:t>
      </w:r>
      <w:r w:rsidR="00BB0EF0" w:rsidRPr="002C088C">
        <w:rPr>
          <w:rFonts w:ascii="Garamond" w:hAnsi="Garamond"/>
          <w:sz w:val="24"/>
          <w:szCs w:val="24"/>
        </w:rPr>
        <w:t xml:space="preserve"> </w:t>
      </w:r>
      <w:r w:rsidR="00E506D6" w:rsidRPr="002C088C">
        <w:rPr>
          <w:rFonts w:ascii="Garamond" w:hAnsi="Garamond"/>
          <w:sz w:val="24"/>
          <w:szCs w:val="24"/>
        </w:rPr>
        <w:t>and the</w:t>
      </w:r>
      <w:r w:rsidR="00235609" w:rsidRPr="002C088C">
        <w:rPr>
          <w:rFonts w:ascii="Garamond" w:hAnsi="Garamond"/>
          <w:sz w:val="24"/>
          <w:szCs w:val="24"/>
        </w:rPr>
        <w:t xml:space="preserve"> </w:t>
      </w:r>
      <w:r w:rsidR="00447596" w:rsidRPr="002C088C">
        <w:rPr>
          <w:rFonts w:ascii="Garamond" w:hAnsi="Garamond"/>
          <w:sz w:val="24"/>
          <w:szCs w:val="24"/>
        </w:rPr>
        <w:t>legal authority</w:t>
      </w:r>
      <w:r w:rsidR="008D03D0" w:rsidRPr="002C088C">
        <w:rPr>
          <w:rFonts w:ascii="Garamond" w:hAnsi="Garamond"/>
          <w:sz w:val="24"/>
          <w:szCs w:val="24"/>
        </w:rPr>
        <w:t xml:space="preserve"> </w:t>
      </w:r>
      <w:r w:rsidR="00A1537B" w:rsidRPr="002C088C">
        <w:rPr>
          <w:rFonts w:ascii="Garamond" w:hAnsi="Garamond"/>
          <w:sz w:val="24"/>
          <w:szCs w:val="24"/>
        </w:rPr>
        <w:t>by which they take place</w:t>
      </w:r>
      <w:r w:rsidR="00447596" w:rsidRPr="002C088C">
        <w:rPr>
          <w:rFonts w:ascii="Garamond" w:hAnsi="Garamond"/>
          <w:sz w:val="24"/>
          <w:szCs w:val="24"/>
        </w:rPr>
        <w:t xml:space="preserve"> (the inherent jurisdiction of the courts). </w:t>
      </w:r>
      <w:r w:rsidR="00622DEA" w:rsidRPr="002C088C">
        <w:rPr>
          <w:rFonts w:ascii="Garamond" w:hAnsi="Garamond"/>
          <w:sz w:val="24"/>
          <w:szCs w:val="24"/>
        </w:rPr>
        <w:t>This paper</w:t>
      </w:r>
      <w:r w:rsidR="00972C64" w:rsidRPr="002C088C">
        <w:rPr>
          <w:rFonts w:ascii="Garamond" w:hAnsi="Garamond"/>
          <w:sz w:val="24"/>
          <w:szCs w:val="24"/>
        </w:rPr>
        <w:t xml:space="preserve"> in</w:t>
      </w:r>
      <w:r w:rsidR="004001EA" w:rsidRPr="002C088C">
        <w:rPr>
          <w:rFonts w:ascii="Garamond" w:hAnsi="Garamond"/>
          <w:sz w:val="24"/>
          <w:szCs w:val="24"/>
        </w:rPr>
        <w:t xml:space="preserve"> its first part</w:t>
      </w:r>
      <w:r w:rsidR="00622DEA" w:rsidRPr="002C088C">
        <w:rPr>
          <w:rFonts w:ascii="Garamond" w:hAnsi="Garamond"/>
          <w:sz w:val="24"/>
          <w:szCs w:val="24"/>
        </w:rPr>
        <w:t xml:space="preserve"> </w:t>
      </w:r>
      <w:r w:rsidR="00785957" w:rsidRPr="002C088C">
        <w:rPr>
          <w:rFonts w:ascii="Garamond" w:hAnsi="Garamond"/>
          <w:sz w:val="24"/>
          <w:szCs w:val="24"/>
        </w:rPr>
        <w:t xml:space="preserve">defends that </w:t>
      </w:r>
      <w:r w:rsidR="006B7918" w:rsidRPr="002C088C">
        <w:rPr>
          <w:rFonts w:ascii="Garamond" w:hAnsi="Garamond"/>
          <w:sz w:val="24"/>
          <w:szCs w:val="24"/>
        </w:rPr>
        <w:t xml:space="preserve">claim by reference </w:t>
      </w:r>
      <w:r w:rsidR="003F1C3A" w:rsidRPr="002C088C">
        <w:rPr>
          <w:rFonts w:ascii="Garamond" w:hAnsi="Garamond"/>
          <w:sz w:val="24"/>
          <w:szCs w:val="24"/>
        </w:rPr>
        <w:t xml:space="preserve">to the relevant </w:t>
      </w:r>
      <w:r w:rsidR="00D84AC7" w:rsidRPr="002C088C">
        <w:rPr>
          <w:rFonts w:ascii="Garamond" w:hAnsi="Garamond"/>
          <w:sz w:val="24"/>
          <w:szCs w:val="24"/>
        </w:rPr>
        <w:t>case law</w:t>
      </w:r>
      <w:r w:rsidR="00E458A7">
        <w:rPr>
          <w:rFonts w:ascii="Garamond" w:hAnsi="Garamond"/>
          <w:sz w:val="24"/>
          <w:szCs w:val="24"/>
        </w:rPr>
        <w:t xml:space="preserve">, </w:t>
      </w:r>
      <w:r w:rsidR="00001190" w:rsidRPr="002C088C">
        <w:rPr>
          <w:rFonts w:ascii="Garamond" w:hAnsi="Garamond"/>
          <w:sz w:val="24"/>
          <w:szCs w:val="24"/>
        </w:rPr>
        <w:t>outlin</w:t>
      </w:r>
      <w:r w:rsidR="00E458A7">
        <w:rPr>
          <w:rFonts w:ascii="Garamond" w:hAnsi="Garamond"/>
          <w:sz w:val="24"/>
          <w:szCs w:val="24"/>
        </w:rPr>
        <w:t>ing</w:t>
      </w:r>
      <w:r w:rsidR="00001190" w:rsidRPr="002C088C">
        <w:rPr>
          <w:rFonts w:ascii="Garamond" w:hAnsi="Garamond"/>
          <w:sz w:val="24"/>
          <w:szCs w:val="24"/>
        </w:rPr>
        <w:t xml:space="preserve"> </w:t>
      </w:r>
      <w:r w:rsidR="00BE7DBB" w:rsidRPr="002C088C">
        <w:rPr>
          <w:rFonts w:ascii="Garamond" w:hAnsi="Garamond"/>
          <w:sz w:val="24"/>
          <w:szCs w:val="24"/>
        </w:rPr>
        <w:t>the</w:t>
      </w:r>
      <w:r w:rsidR="00DB1A09" w:rsidRPr="002C088C">
        <w:rPr>
          <w:rFonts w:ascii="Garamond" w:hAnsi="Garamond"/>
          <w:sz w:val="24"/>
          <w:szCs w:val="24"/>
        </w:rPr>
        <w:t xml:space="preserve"> law of PII</w:t>
      </w:r>
      <w:r w:rsidR="000F33B7">
        <w:rPr>
          <w:rFonts w:ascii="Garamond" w:hAnsi="Garamond"/>
          <w:sz w:val="24"/>
          <w:szCs w:val="24"/>
        </w:rPr>
        <w:t xml:space="preserve"> (</w:t>
      </w:r>
      <w:r w:rsidR="00DB1A09" w:rsidRPr="002C088C">
        <w:rPr>
          <w:rFonts w:ascii="Garamond" w:hAnsi="Garamond"/>
          <w:sz w:val="24"/>
          <w:szCs w:val="24"/>
        </w:rPr>
        <w:t>particularly as it relates to criminal trials</w:t>
      </w:r>
      <w:r w:rsidR="000F33B7">
        <w:rPr>
          <w:rFonts w:ascii="Garamond" w:hAnsi="Garamond"/>
          <w:sz w:val="24"/>
          <w:szCs w:val="24"/>
        </w:rPr>
        <w:t>)</w:t>
      </w:r>
      <w:r w:rsidR="00B571F5" w:rsidRPr="002C088C">
        <w:rPr>
          <w:rFonts w:ascii="Garamond" w:hAnsi="Garamond"/>
          <w:sz w:val="24"/>
          <w:szCs w:val="24"/>
        </w:rPr>
        <w:t xml:space="preserve"> and the </w:t>
      </w:r>
      <w:r w:rsidR="00E116B5" w:rsidRPr="002C088C">
        <w:rPr>
          <w:rFonts w:ascii="Garamond" w:hAnsi="Garamond"/>
          <w:sz w:val="24"/>
          <w:szCs w:val="24"/>
        </w:rPr>
        <w:t>emergence alongside it of a body of case law</w:t>
      </w:r>
      <w:r w:rsidR="00AE396F" w:rsidRPr="002C088C">
        <w:rPr>
          <w:rFonts w:ascii="Garamond" w:hAnsi="Garamond"/>
          <w:sz w:val="24"/>
          <w:szCs w:val="24"/>
        </w:rPr>
        <w:t xml:space="preserve"> o</w:t>
      </w:r>
      <w:r w:rsidR="00622043">
        <w:rPr>
          <w:rFonts w:ascii="Garamond" w:hAnsi="Garamond"/>
          <w:sz w:val="24"/>
          <w:szCs w:val="24"/>
        </w:rPr>
        <w:t>n</w:t>
      </w:r>
      <w:r w:rsidR="00E64201">
        <w:rPr>
          <w:rFonts w:ascii="Garamond" w:hAnsi="Garamond"/>
          <w:sz w:val="24"/>
          <w:szCs w:val="24"/>
        </w:rPr>
        <w:t xml:space="preserve"> in camera trials</w:t>
      </w:r>
      <w:r w:rsidR="008366EF">
        <w:rPr>
          <w:rFonts w:ascii="Garamond" w:hAnsi="Garamond"/>
          <w:sz w:val="24"/>
          <w:szCs w:val="24"/>
        </w:rPr>
        <w:t xml:space="preserve"> which has at times struggled to differentiate </w:t>
      </w:r>
      <w:r w:rsidR="00C24FF7">
        <w:rPr>
          <w:rFonts w:ascii="Garamond" w:hAnsi="Garamond"/>
          <w:sz w:val="24"/>
          <w:szCs w:val="24"/>
        </w:rPr>
        <w:t xml:space="preserve">itself </w:t>
      </w:r>
      <w:r w:rsidR="003A087C">
        <w:rPr>
          <w:rFonts w:ascii="Garamond" w:hAnsi="Garamond"/>
          <w:sz w:val="24"/>
          <w:szCs w:val="24"/>
        </w:rPr>
        <w:t>from that on PII</w:t>
      </w:r>
      <w:r w:rsidR="00E64201">
        <w:rPr>
          <w:rFonts w:ascii="Garamond" w:hAnsi="Garamond"/>
          <w:sz w:val="24"/>
          <w:szCs w:val="24"/>
        </w:rPr>
        <w:t xml:space="preserve">. </w:t>
      </w:r>
      <w:r w:rsidR="00CB3D1E">
        <w:rPr>
          <w:rFonts w:ascii="Garamond" w:hAnsi="Garamond"/>
          <w:sz w:val="24"/>
          <w:szCs w:val="24"/>
        </w:rPr>
        <w:t>By way of explaining that struggle, i</w:t>
      </w:r>
      <w:r w:rsidR="00E64201">
        <w:rPr>
          <w:rFonts w:ascii="Garamond" w:hAnsi="Garamond"/>
          <w:sz w:val="24"/>
          <w:szCs w:val="24"/>
        </w:rPr>
        <w:t xml:space="preserve">t </w:t>
      </w:r>
      <w:r w:rsidR="004A45B0" w:rsidRPr="002C088C">
        <w:rPr>
          <w:rFonts w:ascii="Garamond" w:hAnsi="Garamond"/>
          <w:sz w:val="24"/>
          <w:szCs w:val="24"/>
        </w:rPr>
        <w:t>explor</w:t>
      </w:r>
      <w:r w:rsidR="00E64201">
        <w:rPr>
          <w:rFonts w:ascii="Garamond" w:hAnsi="Garamond"/>
          <w:sz w:val="24"/>
          <w:szCs w:val="24"/>
        </w:rPr>
        <w:t>es</w:t>
      </w:r>
      <w:r w:rsidR="004A45B0" w:rsidRPr="002C088C">
        <w:rPr>
          <w:rFonts w:ascii="Garamond" w:hAnsi="Garamond"/>
          <w:sz w:val="24"/>
          <w:szCs w:val="24"/>
        </w:rPr>
        <w:t xml:space="preserve"> the </w:t>
      </w:r>
      <w:r w:rsidR="006A5BFC">
        <w:rPr>
          <w:rFonts w:ascii="Garamond" w:hAnsi="Garamond"/>
          <w:sz w:val="24"/>
          <w:szCs w:val="24"/>
        </w:rPr>
        <w:t>commonalities</w:t>
      </w:r>
      <w:r w:rsidR="004A45B0" w:rsidRPr="002C088C">
        <w:rPr>
          <w:rFonts w:ascii="Garamond" w:hAnsi="Garamond"/>
          <w:sz w:val="24"/>
          <w:szCs w:val="24"/>
        </w:rPr>
        <w:t xml:space="preserve"> which exist between </w:t>
      </w:r>
      <w:r w:rsidR="00131D21" w:rsidRPr="002C088C">
        <w:rPr>
          <w:rFonts w:ascii="Garamond" w:hAnsi="Garamond"/>
          <w:sz w:val="24"/>
          <w:szCs w:val="24"/>
        </w:rPr>
        <w:t>t</w:t>
      </w:r>
      <w:r w:rsidR="007C3A19" w:rsidRPr="002C088C">
        <w:rPr>
          <w:rFonts w:ascii="Garamond" w:hAnsi="Garamond"/>
          <w:sz w:val="24"/>
          <w:szCs w:val="24"/>
        </w:rPr>
        <w:t xml:space="preserve">he two </w:t>
      </w:r>
      <w:r w:rsidR="00E64201">
        <w:rPr>
          <w:rFonts w:ascii="Garamond" w:hAnsi="Garamond"/>
          <w:sz w:val="24"/>
          <w:szCs w:val="24"/>
        </w:rPr>
        <w:t xml:space="preserve">phenomena </w:t>
      </w:r>
      <w:r w:rsidR="007C3A19" w:rsidRPr="002C088C">
        <w:rPr>
          <w:rFonts w:ascii="Garamond" w:hAnsi="Garamond"/>
          <w:sz w:val="24"/>
          <w:szCs w:val="24"/>
        </w:rPr>
        <w:t>and argu</w:t>
      </w:r>
      <w:r w:rsidR="00EB04B6" w:rsidRPr="002C088C">
        <w:rPr>
          <w:rFonts w:ascii="Garamond" w:hAnsi="Garamond"/>
          <w:sz w:val="24"/>
          <w:szCs w:val="24"/>
        </w:rPr>
        <w:t xml:space="preserve">es that </w:t>
      </w:r>
      <w:r w:rsidR="001C2070" w:rsidRPr="002C088C">
        <w:rPr>
          <w:rFonts w:ascii="Garamond" w:hAnsi="Garamond"/>
          <w:sz w:val="24"/>
          <w:szCs w:val="24"/>
        </w:rPr>
        <w:t xml:space="preserve">to </w:t>
      </w:r>
      <w:r w:rsidR="000825A6" w:rsidRPr="002C088C">
        <w:rPr>
          <w:rFonts w:ascii="Garamond" w:hAnsi="Garamond"/>
          <w:sz w:val="24"/>
          <w:szCs w:val="24"/>
        </w:rPr>
        <w:t>emp</w:t>
      </w:r>
      <w:r w:rsidR="0060005F" w:rsidRPr="002C088C">
        <w:rPr>
          <w:rFonts w:ascii="Garamond" w:hAnsi="Garamond"/>
          <w:sz w:val="24"/>
          <w:szCs w:val="24"/>
        </w:rPr>
        <w:t xml:space="preserve">hasise these </w:t>
      </w:r>
      <w:r w:rsidR="009C54B5">
        <w:rPr>
          <w:rFonts w:ascii="Garamond" w:hAnsi="Garamond"/>
          <w:sz w:val="24"/>
          <w:szCs w:val="24"/>
        </w:rPr>
        <w:t>c</w:t>
      </w:r>
      <w:r w:rsidR="007140B4">
        <w:rPr>
          <w:rFonts w:ascii="Garamond" w:hAnsi="Garamond"/>
          <w:sz w:val="24"/>
          <w:szCs w:val="24"/>
        </w:rPr>
        <w:t xml:space="preserve">ommonalities has </w:t>
      </w:r>
      <w:r w:rsidR="006C2BCB">
        <w:rPr>
          <w:rFonts w:ascii="Garamond" w:hAnsi="Garamond"/>
          <w:sz w:val="24"/>
          <w:szCs w:val="24"/>
        </w:rPr>
        <w:t>contribute</w:t>
      </w:r>
      <w:r w:rsidR="0039732B">
        <w:rPr>
          <w:rFonts w:ascii="Garamond" w:hAnsi="Garamond"/>
          <w:sz w:val="24"/>
          <w:szCs w:val="24"/>
        </w:rPr>
        <w:t>d</w:t>
      </w:r>
      <w:r w:rsidR="007140B4">
        <w:rPr>
          <w:rFonts w:ascii="Garamond" w:hAnsi="Garamond"/>
          <w:sz w:val="24"/>
          <w:szCs w:val="24"/>
        </w:rPr>
        <w:t xml:space="preserve"> – and will further </w:t>
      </w:r>
      <w:r w:rsidR="00C93A2E">
        <w:rPr>
          <w:rFonts w:ascii="Garamond" w:hAnsi="Garamond"/>
          <w:sz w:val="24"/>
          <w:szCs w:val="24"/>
        </w:rPr>
        <w:t>contribute</w:t>
      </w:r>
      <w:r w:rsidR="00E03C9C">
        <w:rPr>
          <w:rFonts w:ascii="Garamond" w:hAnsi="Garamond"/>
          <w:sz w:val="24"/>
          <w:szCs w:val="24"/>
        </w:rPr>
        <w:t xml:space="preserve"> in future –</w:t>
      </w:r>
      <w:r w:rsidR="00C303B6">
        <w:rPr>
          <w:rFonts w:ascii="Garamond" w:hAnsi="Garamond"/>
          <w:sz w:val="24"/>
          <w:szCs w:val="24"/>
        </w:rPr>
        <w:t xml:space="preserve"> </w:t>
      </w:r>
      <w:r w:rsidR="00AF5C26">
        <w:rPr>
          <w:rFonts w:ascii="Garamond" w:hAnsi="Garamond"/>
          <w:sz w:val="24"/>
          <w:szCs w:val="24"/>
        </w:rPr>
        <w:t xml:space="preserve">to </w:t>
      </w:r>
      <w:r w:rsidR="00C303B6">
        <w:rPr>
          <w:rFonts w:ascii="Garamond" w:hAnsi="Garamond"/>
          <w:sz w:val="24"/>
          <w:szCs w:val="24"/>
        </w:rPr>
        <w:t>the task of</w:t>
      </w:r>
      <w:r w:rsidR="0060005F" w:rsidRPr="002C088C">
        <w:rPr>
          <w:rFonts w:ascii="Garamond" w:hAnsi="Garamond"/>
          <w:sz w:val="24"/>
          <w:szCs w:val="24"/>
        </w:rPr>
        <w:t xml:space="preserve"> imposing upon the use of in camera trials the </w:t>
      </w:r>
      <w:r w:rsidR="0007701D" w:rsidRPr="002C088C">
        <w:rPr>
          <w:rFonts w:ascii="Garamond" w:hAnsi="Garamond"/>
          <w:sz w:val="24"/>
          <w:szCs w:val="24"/>
        </w:rPr>
        <w:t>sorts of limits which have ove</w:t>
      </w:r>
      <w:r w:rsidR="004F5E2B" w:rsidRPr="002C088C">
        <w:rPr>
          <w:rFonts w:ascii="Garamond" w:hAnsi="Garamond"/>
          <w:sz w:val="24"/>
          <w:szCs w:val="24"/>
        </w:rPr>
        <w:t xml:space="preserve">r time </w:t>
      </w:r>
      <w:proofErr w:type="gramStart"/>
      <w:r w:rsidR="004F5E2B" w:rsidRPr="002C088C">
        <w:rPr>
          <w:rFonts w:ascii="Garamond" w:hAnsi="Garamond"/>
          <w:sz w:val="24"/>
          <w:szCs w:val="24"/>
        </w:rPr>
        <w:t>developed</w:t>
      </w:r>
      <w:proofErr w:type="gramEnd"/>
      <w:r w:rsidR="004F5E2B" w:rsidRPr="002C088C">
        <w:rPr>
          <w:rFonts w:ascii="Garamond" w:hAnsi="Garamond"/>
          <w:sz w:val="24"/>
          <w:szCs w:val="24"/>
        </w:rPr>
        <w:t xml:space="preserve"> to restrict the use of PII. </w:t>
      </w:r>
      <w:r w:rsidR="00077CD0" w:rsidRPr="002C088C">
        <w:rPr>
          <w:rFonts w:ascii="Garamond" w:hAnsi="Garamond"/>
          <w:sz w:val="24"/>
          <w:szCs w:val="24"/>
        </w:rPr>
        <w:t>T</w:t>
      </w:r>
      <w:r w:rsidR="00991C6E" w:rsidRPr="002C088C">
        <w:rPr>
          <w:rFonts w:ascii="Garamond" w:hAnsi="Garamond"/>
          <w:sz w:val="24"/>
          <w:szCs w:val="24"/>
        </w:rPr>
        <w:t xml:space="preserve">he paper’s second part </w:t>
      </w:r>
      <w:r w:rsidR="0094557A" w:rsidRPr="002C088C">
        <w:rPr>
          <w:rFonts w:ascii="Garamond" w:hAnsi="Garamond"/>
          <w:sz w:val="24"/>
          <w:szCs w:val="24"/>
        </w:rPr>
        <w:t>consi</w:t>
      </w:r>
      <w:r w:rsidR="001624F7" w:rsidRPr="002C088C">
        <w:rPr>
          <w:rFonts w:ascii="Garamond" w:hAnsi="Garamond"/>
          <w:sz w:val="24"/>
          <w:szCs w:val="24"/>
        </w:rPr>
        <w:t xml:space="preserve">ders the distinctions between the two </w:t>
      </w:r>
      <w:r w:rsidR="00DB5E1F" w:rsidRPr="002C088C">
        <w:rPr>
          <w:rFonts w:ascii="Garamond" w:hAnsi="Garamond"/>
          <w:sz w:val="24"/>
          <w:szCs w:val="24"/>
        </w:rPr>
        <w:t>mechanisms in terms of the circ</w:t>
      </w:r>
      <w:r w:rsidR="004728EB" w:rsidRPr="002C088C">
        <w:rPr>
          <w:rFonts w:ascii="Garamond" w:hAnsi="Garamond"/>
          <w:sz w:val="24"/>
          <w:szCs w:val="24"/>
        </w:rPr>
        <w:t xml:space="preserve">umstances in which they will be requested </w:t>
      </w:r>
      <w:r w:rsidR="00364094" w:rsidRPr="002C088C">
        <w:rPr>
          <w:rFonts w:ascii="Garamond" w:hAnsi="Garamond"/>
          <w:sz w:val="24"/>
          <w:szCs w:val="24"/>
        </w:rPr>
        <w:t xml:space="preserve">and the interaction between them, showing how </w:t>
      </w:r>
      <w:r w:rsidR="003D63F6" w:rsidRPr="002C088C">
        <w:rPr>
          <w:rFonts w:ascii="Garamond" w:hAnsi="Garamond"/>
          <w:sz w:val="24"/>
          <w:szCs w:val="24"/>
        </w:rPr>
        <w:t xml:space="preserve">the </w:t>
      </w:r>
      <w:proofErr w:type="gramStart"/>
      <w:r w:rsidR="00BA2E6A" w:rsidRPr="002C088C">
        <w:rPr>
          <w:rFonts w:ascii="Garamond" w:hAnsi="Garamond"/>
          <w:sz w:val="24"/>
          <w:szCs w:val="24"/>
        </w:rPr>
        <w:t>emergence o</w:t>
      </w:r>
      <w:r w:rsidR="00746800" w:rsidRPr="002C088C">
        <w:rPr>
          <w:rFonts w:ascii="Garamond" w:hAnsi="Garamond"/>
          <w:sz w:val="24"/>
          <w:szCs w:val="24"/>
        </w:rPr>
        <w:t>f the in camera order</w:t>
      </w:r>
      <w:proofErr w:type="gramEnd"/>
      <w:r w:rsidR="00746800" w:rsidRPr="002C088C">
        <w:rPr>
          <w:rFonts w:ascii="Garamond" w:hAnsi="Garamond"/>
          <w:sz w:val="24"/>
          <w:szCs w:val="24"/>
        </w:rPr>
        <w:t xml:space="preserve"> </w:t>
      </w:r>
      <w:r w:rsidR="00A35C8B" w:rsidRPr="002C088C">
        <w:rPr>
          <w:rFonts w:ascii="Garamond" w:hAnsi="Garamond"/>
          <w:sz w:val="24"/>
          <w:szCs w:val="24"/>
        </w:rPr>
        <w:t xml:space="preserve">alongside the better-known </w:t>
      </w:r>
      <w:r w:rsidR="005E0281" w:rsidRPr="002C088C">
        <w:rPr>
          <w:rFonts w:ascii="Garamond" w:hAnsi="Garamond"/>
          <w:sz w:val="24"/>
          <w:szCs w:val="24"/>
        </w:rPr>
        <w:t>law of PII could make p</w:t>
      </w:r>
      <w:r w:rsidR="007F312E" w:rsidRPr="002C088C">
        <w:rPr>
          <w:rFonts w:ascii="Garamond" w:hAnsi="Garamond"/>
          <w:sz w:val="24"/>
          <w:szCs w:val="24"/>
        </w:rPr>
        <w:t xml:space="preserve">ossible prosecutions which would otherwise be abandoned. </w:t>
      </w:r>
      <w:r w:rsidR="00DF7FB3" w:rsidRPr="002C088C">
        <w:rPr>
          <w:rFonts w:ascii="Garamond" w:hAnsi="Garamond"/>
          <w:sz w:val="24"/>
          <w:szCs w:val="24"/>
        </w:rPr>
        <w:t xml:space="preserve">The third section </w:t>
      </w:r>
      <w:r w:rsidR="00A728A1" w:rsidRPr="002C088C">
        <w:rPr>
          <w:rFonts w:ascii="Garamond" w:hAnsi="Garamond"/>
          <w:sz w:val="24"/>
          <w:szCs w:val="24"/>
        </w:rPr>
        <w:t>considers a s</w:t>
      </w:r>
      <w:r w:rsidR="00721745" w:rsidRPr="002C088C">
        <w:rPr>
          <w:rFonts w:ascii="Garamond" w:hAnsi="Garamond"/>
          <w:sz w:val="24"/>
          <w:szCs w:val="24"/>
        </w:rPr>
        <w:t>econd set of differences between the two</w:t>
      </w:r>
      <w:r w:rsidR="00812046" w:rsidRPr="002C088C">
        <w:rPr>
          <w:rFonts w:ascii="Garamond" w:hAnsi="Garamond"/>
          <w:sz w:val="24"/>
          <w:szCs w:val="24"/>
        </w:rPr>
        <w:t>,</w:t>
      </w:r>
      <w:r w:rsidR="00721745" w:rsidRPr="002C088C">
        <w:rPr>
          <w:rFonts w:ascii="Garamond" w:hAnsi="Garamond"/>
          <w:sz w:val="24"/>
          <w:szCs w:val="24"/>
        </w:rPr>
        <w:t xml:space="preserve"> centred around each’s </w:t>
      </w:r>
      <w:r w:rsidR="00721745" w:rsidRPr="002C088C">
        <w:rPr>
          <w:rFonts w:ascii="Garamond" w:hAnsi="Garamond"/>
          <w:sz w:val="24"/>
          <w:szCs w:val="24"/>
        </w:rPr>
        <w:lastRenderedPageBreak/>
        <w:t>relationship with the constitutional principles of open and natural justice</w:t>
      </w:r>
      <w:r w:rsidR="00812046" w:rsidRPr="002C088C">
        <w:rPr>
          <w:rFonts w:ascii="Garamond" w:hAnsi="Garamond"/>
          <w:sz w:val="24"/>
          <w:szCs w:val="24"/>
        </w:rPr>
        <w:t>,</w:t>
      </w:r>
      <w:r w:rsidR="003D735D" w:rsidRPr="002C088C">
        <w:rPr>
          <w:rFonts w:ascii="Garamond" w:hAnsi="Garamond"/>
          <w:sz w:val="24"/>
          <w:szCs w:val="24"/>
        </w:rPr>
        <w:t xml:space="preserve"> and explains how that difference manifests itself in more rest</w:t>
      </w:r>
      <w:r w:rsidR="00236F3B" w:rsidRPr="002C088C">
        <w:rPr>
          <w:rFonts w:ascii="Garamond" w:hAnsi="Garamond"/>
          <w:sz w:val="24"/>
          <w:szCs w:val="24"/>
        </w:rPr>
        <w:t xml:space="preserve">rictive criteria for the making of an in camera order than for the grant of PII. </w:t>
      </w:r>
      <w:r w:rsidR="00222686">
        <w:rPr>
          <w:rFonts w:ascii="Garamond" w:hAnsi="Garamond"/>
          <w:sz w:val="24"/>
          <w:szCs w:val="24"/>
        </w:rPr>
        <w:t>Finally, i</w:t>
      </w:r>
      <w:r w:rsidR="00357059" w:rsidRPr="002C088C">
        <w:rPr>
          <w:rFonts w:ascii="Garamond" w:hAnsi="Garamond"/>
          <w:sz w:val="24"/>
          <w:szCs w:val="24"/>
        </w:rPr>
        <w:t xml:space="preserve">t </w:t>
      </w:r>
      <w:r w:rsidR="000F33B7">
        <w:rPr>
          <w:rFonts w:ascii="Garamond" w:hAnsi="Garamond"/>
          <w:sz w:val="24"/>
          <w:szCs w:val="24"/>
        </w:rPr>
        <w:t>examines</w:t>
      </w:r>
      <w:r w:rsidR="00B229A5" w:rsidRPr="002C088C">
        <w:rPr>
          <w:rFonts w:ascii="Garamond" w:hAnsi="Garamond"/>
          <w:sz w:val="24"/>
          <w:szCs w:val="24"/>
        </w:rPr>
        <w:t xml:space="preserve"> the judicial belief</w:t>
      </w:r>
      <w:r w:rsidR="00E84FCD" w:rsidRPr="002C088C">
        <w:rPr>
          <w:rFonts w:ascii="Garamond" w:hAnsi="Garamond"/>
          <w:sz w:val="24"/>
          <w:szCs w:val="24"/>
        </w:rPr>
        <w:t xml:space="preserve">, upon which the </w:t>
      </w:r>
      <w:r w:rsidR="00100C96" w:rsidRPr="002C088C">
        <w:rPr>
          <w:rFonts w:ascii="Garamond" w:hAnsi="Garamond"/>
          <w:sz w:val="24"/>
          <w:szCs w:val="24"/>
        </w:rPr>
        <w:t xml:space="preserve">possibility of using the </w:t>
      </w:r>
      <w:r w:rsidR="00E84FCD" w:rsidRPr="002C088C">
        <w:rPr>
          <w:rFonts w:ascii="Garamond" w:hAnsi="Garamond"/>
          <w:sz w:val="24"/>
          <w:szCs w:val="24"/>
        </w:rPr>
        <w:t>inherent jurisdiction</w:t>
      </w:r>
      <w:r w:rsidR="00B04D53" w:rsidRPr="002C088C">
        <w:rPr>
          <w:rFonts w:ascii="Garamond" w:hAnsi="Garamond"/>
          <w:sz w:val="24"/>
          <w:szCs w:val="24"/>
        </w:rPr>
        <w:t xml:space="preserve"> to these ends</w:t>
      </w:r>
      <w:r w:rsidR="00E84FCD" w:rsidRPr="002C088C">
        <w:rPr>
          <w:rFonts w:ascii="Garamond" w:hAnsi="Garamond"/>
          <w:sz w:val="24"/>
          <w:szCs w:val="24"/>
        </w:rPr>
        <w:t xml:space="preserve"> is predicated,</w:t>
      </w:r>
      <w:r w:rsidR="00B229A5" w:rsidRPr="002C088C">
        <w:rPr>
          <w:rFonts w:ascii="Garamond" w:hAnsi="Garamond"/>
          <w:sz w:val="24"/>
          <w:szCs w:val="24"/>
        </w:rPr>
        <w:t xml:space="preserve"> that neither of the procedural mechanisms are </w:t>
      </w:r>
      <w:r w:rsidR="00B229A5" w:rsidRPr="002C088C">
        <w:rPr>
          <w:rFonts w:ascii="Garamond" w:hAnsi="Garamond"/>
          <w:i/>
          <w:sz w:val="24"/>
          <w:szCs w:val="24"/>
        </w:rPr>
        <w:t xml:space="preserve">per se </w:t>
      </w:r>
      <w:r w:rsidR="00B229A5" w:rsidRPr="002C088C">
        <w:rPr>
          <w:rFonts w:ascii="Garamond" w:hAnsi="Garamond"/>
          <w:sz w:val="24"/>
          <w:szCs w:val="24"/>
        </w:rPr>
        <w:t xml:space="preserve">incompatible with the principle of natural justice. </w:t>
      </w:r>
    </w:p>
    <w:p w:rsidR="001D72E7" w:rsidRPr="002C088C" w:rsidRDefault="001D72E7" w:rsidP="000C2DB7">
      <w:pPr>
        <w:spacing w:after="0" w:line="480" w:lineRule="auto"/>
        <w:jc w:val="both"/>
        <w:rPr>
          <w:rFonts w:ascii="Garamond" w:eastAsia="PMingLiU" w:hAnsi="Garamond"/>
          <w:sz w:val="24"/>
          <w:szCs w:val="24"/>
          <w:lang w:eastAsia="zh-TW"/>
        </w:rPr>
      </w:pPr>
    </w:p>
    <w:p w:rsidR="00EE2D72" w:rsidRPr="003B0CE0" w:rsidRDefault="003B0CE0" w:rsidP="003B0CE0">
      <w:pPr>
        <w:spacing w:after="0" w:line="480" w:lineRule="auto"/>
        <w:jc w:val="center"/>
        <w:rPr>
          <w:rFonts w:ascii="Garamond" w:hAnsi="Garamond"/>
          <w:sz w:val="24"/>
          <w:szCs w:val="24"/>
        </w:rPr>
      </w:pPr>
      <w:r>
        <w:rPr>
          <w:rFonts w:ascii="Garamond" w:hAnsi="Garamond"/>
          <w:sz w:val="24"/>
          <w:szCs w:val="24"/>
        </w:rPr>
        <w:t xml:space="preserve">II. </w:t>
      </w:r>
      <w:r w:rsidR="000C2DB7" w:rsidRPr="003B0CE0">
        <w:rPr>
          <w:rFonts w:ascii="Garamond" w:hAnsi="Garamond"/>
          <w:sz w:val="24"/>
          <w:szCs w:val="24"/>
        </w:rPr>
        <w:t>PUBLIC INTEREST IMMUNITY AND ‘SECRET TRIALS’</w:t>
      </w:r>
    </w:p>
    <w:p w:rsidR="00926C40" w:rsidRPr="002C088C" w:rsidRDefault="00926C40" w:rsidP="000C2DB7">
      <w:pPr>
        <w:pStyle w:val="ListParagraph"/>
        <w:spacing w:after="0" w:line="480" w:lineRule="auto"/>
        <w:rPr>
          <w:rFonts w:ascii="Garamond" w:hAnsi="Garamond"/>
          <w:b/>
          <w:bCs/>
          <w:sz w:val="24"/>
          <w:szCs w:val="24"/>
        </w:rPr>
      </w:pPr>
    </w:p>
    <w:p w:rsidR="00481DE9" w:rsidRPr="002C088C" w:rsidRDefault="00481DE9" w:rsidP="000C2DB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 xml:space="preserve">Though it enjoys some </w:t>
      </w:r>
      <w:r w:rsidR="00296206" w:rsidRPr="002C088C">
        <w:rPr>
          <w:rFonts w:ascii="Garamond" w:eastAsia="PMingLiU" w:hAnsi="Garamond"/>
          <w:sz w:val="24"/>
          <w:szCs w:val="24"/>
          <w:lang w:eastAsia="zh-TW"/>
        </w:rPr>
        <w:t xml:space="preserve">(rather oblique) </w:t>
      </w:r>
      <w:r w:rsidRPr="002C088C">
        <w:rPr>
          <w:rFonts w:ascii="Garamond" w:eastAsia="PMingLiU" w:hAnsi="Garamond"/>
          <w:sz w:val="24"/>
          <w:szCs w:val="24"/>
          <w:lang w:eastAsia="zh-TW"/>
        </w:rPr>
        <w:t>statutory recognition,</w:t>
      </w:r>
      <w:r w:rsidRPr="002C088C">
        <w:rPr>
          <w:rStyle w:val="FootnoteReference"/>
          <w:rFonts w:ascii="Garamond" w:eastAsia="PMingLiU" w:hAnsi="Garamond"/>
          <w:sz w:val="24"/>
          <w:szCs w:val="24"/>
          <w:lang w:eastAsia="zh-TW"/>
        </w:rPr>
        <w:footnoteReference w:id="1"/>
      </w:r>
      <w:r w:rsidRPr="002C088C">
        <w:rPr>
          <w:rFonts w:ascii="Garamond" w:eastAsia="PMingLiU" w:hAnsi="Garamond"/>
          <w:sz w:val="24"/>
          <w:szCs w:val="24"/>
          <w:lang w:eastAsia="zh-TW"/>
        </w:rPr>
        <w:t xml:space="preserve"> the modern law o</w:t>
      </w:r>
      <w:r w:rsidR="007E3A38" w:rsidRPr="002C088C">
        <w:rPr>
          <w:rFonts w:ascii="Garamond" w:eastAsia="PMingLiU" w:hAnsi="Garamond"/>
          <w:sz w:val="24"/>
          <w:szCs w:val="24"/>
          <w:lang w:eastAsia="zh-TW"/>
        </w:rPr>
        <w:t>f public interest immunity</w:t>
      </w:r>
      <w:r w:rsidRPr="002C088C">
        <w:rPr>
          <w:rFonts w:ascii="Garamond" w:eastAsia="PMingLiU" w:hAnsi="Garamond"/>
          <w:sz w:val="24"/>
          <w:szCs w:val="24"/>
          <w:lang w:eastAsia="zh-TW"/>
        </w:rPr>
        <w:t xml:space="preserve"> is to be found in large part in the decision of the House of Lords in </w:t>
      </w:r>
      <w:r w:rsidRPr="002C088C">
        <w:rPr>
          <w:rFonts w:ascii="Garamond" w:eastAsia="PMingLiU" w:hAnsi="Garamond"/>
          <w:i/>
          <w:sz w:val="24"/>
          <w:szCs w:val="24"/>
          <w:lang w:eastAsia="zh-TW"/>
        </w:rPr>
        <w:t>Wiley</w:t>
      </w:r>
      <w:r w:rsidRPr="002C088C">
        <w:rPr>
          <w:rFonts w:ascii="Garamond" w:eastAsia="PMingLiU" w:hAnsi="Garamond"/>
          <w:sz w:val="24"/>
          <w:szCs w:val="24"/>
          <w:lang w:eastAsia="zh-TW"/>
        </w:rPr>
        <w:t>.</w:t>
      </w:r>
      <w:r w:rsidRPr="002C088C">
        <w:rPr>
          <w:rStyle w:val="FootnoteReference"/>
          <w:rFonts w:ascii="Garamond" w:eastAsia="PMingLiU" w:hAnsi="Garamond"/>
          <w:sz w:val="24"/>
          <w:szCs w:val="24"/>
          <w:lang w:eastAsia="zh-TW"/>
        </w:rPr>
        <w:footnoteReference w:id="2"/>
      </w:r>
      <w:r w:rsidRPr="002C088C">
        <w:rPr>
          <w:rFonts w:ascii="Garamond" w:eastAsia="PMingLiU" w:hAnsi="Garamond"/>
          <w:sz w:val="24"/>
          <w:szCs w:val="24"/>
          <w:lang w:eastAsia="zh-TW"/>
        </w:rPr>
        <w:t xml:space="preserve"> Therein, PII is described by Lord </w:t>
      </w:r>
      <w:proofErr w:type="spellStart"/>
      <w:r w:rsidRPr="002C088C">
        <w:rPr>
          <w:rFonts w:ascii="Garamond" w:eastAsia="PMingLiU" w:hAnsi="Garamond"/>
          <w:sz w:val="24"/>
          <w:szCs w:val="24"/>
          <w:lang w:eastAsia="zh-TW"/>
        </w:rPr>
        <w:t>Templeman</w:t>
      </w:r>
      <w:proofErr w:type="spellEnd"/>
      <w:r w:rsidRPr="002C088C">
        <w:rPr>
          <w:rFonts w:ascii="Garamond" w:eastAsia="PMingLiU" w:hAnsi="Garamond"/>
          <w:sz w:val="24"/>
          <w:szCs w:val="24"/>
          <w:lang w:eastAsia="zh-TW"/>
        </w:rPr>
        <w:t xml:space="preserve"> as “a ground for refusing to disclose a document which is relevant and material to the determination of issues involved in civil or criminal proceedings”.</w:t>
      </w:r>
      <w:r w:rsidRPr="002C088C">
        <w:rPr>
          <w:rStyle w:val="FootnoteReference"/>
          <w:rFonts w:ascii="Garamond" w:eastAsia="PMingLiU" w:hAnsi="Garamond"/>
          <w:sz w:val="24"/>
          <w:szCs w:val="24"/>
          <w:lang w:eastAsia="zh-TW"/>
        </w:rPr>
        <w:footnoteReference w:id="3"/>
      </w:r>
      <w:r w:rsidRPr="002C088C">
        <w:rPr>
          <w:rFonts w:ascii="Garamond" w:eastAsia="PMingLiU" w:hAnsi="Garamond"/>
          <w:sz w:val="24"/>
          <w:szCs w:val="24"/>
          <w:lang w:eastAsia="zh-TW"/>
        </w:rPr>
        <w:t xml:space="preserve"> More recently, Lord Clarke in </w:t>
      </w:r>
      <w:r w:rsidRPr="002C088C">
        <w:rPr>
          <w:rFonts w:ascii="Garamond" w:eastAsia="PMingLiU" w:hAnsi="Garamond"/>
          <w:i/>
          <w:sz w:val="24"/>
          <w:szCs w:val="24"/>
          <w:lang w:eastAsia="zh-TW"/>
        </w:rPr>
        <w:t xml:space="preserve">Al Rawi </w:t>
      </w:r>
      <w:r w:rsidRPr="002C088C">
        <w:rPr>
          <w:rFonts w:ascii="Garamond" w:eastAsia="PMingLiU" w:hAnsi="Garamond"/>
          <w:sz w:val="24"/>
          <w:szCs w:val="24"/>
          <w:lang w:eastAsia="zh-TW"/>
        </w:rPr>
        <w:t>described the principles of PII as “a construct of the common law which were developed because it was appreciated that conflict may arise between the public interest and established rules of discovery and disclosure.”</w:t>
      </w:r>
      <w:r w:rsidRPr="002C088C">
        <w:rPr>
          <w:rStyle w:val="FootnoteReference"/>
          <w:rFonts w:ascii="Garamond" w:eastAsia="PMingLiU" w:hAnsi="Garamond"/>
          <w:sz w:val="24"/>
          <w:szCs w:val="24"/>
          <w:lang w:eastAsia="zh-TW"/>
        </w:rPr>
        <w:footnoteReference w:id="4"/>
      </w:r>
      <w:r w:rsidRPr="002C088C">
        <w:rPr>
          <w:rFonts w:ascii="Garamond" w:eastAsia="PMingLiU" w:hAnsi="Garamond"/>
          <w:sz w:val="24"/>
          <w:szCs w:val="24"/>
          <w:lang w:eastAsia="zh-TW"/>
        </w:rPr>
        <w:t xml:space="preserve"> It arises where it is claimed that the public interest in non-disclosure of certain documents (for reason of the sensitivity of their contents) outweighs the public interest in their disclosure (which can generally be understood as consisting in the contribution such disclosure will make to the fair and effective administration of justice)</w:t>
      </w:r>
      <w:r w:rsidRPr="002C088C">
        <w:rPr>
          <w:rFonts w:ascii="Garamond" w:eastAsia="PMingLiU" w:hAnsi="Garamond" w:hint="eastAsia"/>
          <w:sz w:val="24"/>
          <w:szCs w:val="24"/>
          <w:lang w:eastAsia="zh-TW"/>
        </w:rPr>
        <w:t xml:space="preserve">. </w:t>
      </w:r>
      <w:r w:rsidRPr="002C088C">
        <w:rPr>
          <w:rFonts w:ascii="Garamond" w:eastAsia="PMingLiU" w:hAnsi="Garamond"/>
          <w:sz w:val="24"/>
          <w:szCs w:val="24"/>
          <w:lang w:eastAsia="zh-TW"/>
        </w:rPr>
        <w:t>As reflected in the</w:t>
      </w:r>
      <w:r w:rsidR="004E0D28" w:rsidRPr="002C088C">
        <w:rPr>
          <w:rFonts w:ascii="Garamond" w:eastAsia="PMingLiU" w:hAnsi="Garamond"/>
          <w:sz w:val="24"/>
          <w:szCs w:val="24"/>
          <w:lang w:eastAsia="zh-TW"/>
        </w:rPr>
        <w:t xml:space="preserve"> label</w:t>
      </w:r>
      <w:r w:rsidRPr="002C088C">
        <w:rPr>
          <w:rFonts w:ascii="Garamond" w:eastAsia="PMingLiU" w:hAnsi="Garamond"/>
          <w:sz w:val="24"/>
          <w:szCs w:val="24"/>
          <w:lang w:eastAsia="zh-TW"/>
        </w:rPr>
        <w:t xml:space="preserve"> – ‘Crown privilege’ – </w:t>
      </w:r>
      <w:r w:rsidR="00964A83" w:rsidRPr="002C088C">
        <w:rPr>
          <w:rFonts w:ascii="Garamond" w:eastAsia="PMingLiU" w:hAnsi="Garamond"/>
          <w:sz w:val="24"/>
          <w:szCs w:val="24"/>
          <w:lang w:eastAsia="zh-TW"/>
        </w:rPr>
        <w:t>by which the phenomenon was originally known</w:t>
      </w:r>
      <w:r w:rsidRPr="002C088C">
        <w:rPr>
          <w:rFonts w:ascii="Garamond" w:eastAsia="PMingLiU" w:hAnsi="Garamond"/>
          <w:sz w:val="24"/>
          <w:szCs w:val="24"/>
          <w:lang w:eastAsia="zh-TW"/>
        </w:rPr>
        <w:t xml:space="preserve">, it was previously believed that the Crown </w:t>
      </w:r>
      <w:r w:rsidR="00964A83" w:rsidRPr="002C088C">
        <w:rPr>
          <w:rFonts w:ascii="Garamond" w:eastAsia="PMingLiU" w:hAnsi="Garamond"/>
          <w:sz w:val="24"/>
          <w:szCs w:val="24"/>
          <w:lang w:eastAsia="zh-TW"/>
        </w:rPr>
        <w:t>alone enjoyed</w:t>
      </w:r>
      <w:r w:rsidRPr="002C088C">
        <w:rPr>
          <w:rFonts w:ascii="Garamond" w:eastAsia="PMingLiU" w:hAnsi="Garamond"/>
          <w:sz w:val="24"/>
          <w:szCs w:val="24"/>
          <w:lang w:eastAsia="zh-TW"/>
        </w:rPr>
        <w:t xml:space="preserve"> the right to make a claim for non-disclosure.</w:t>
      </w:r>
      <w:r w:rsidR="00D1674D">
        <w:rPr>
          <w:rFonts w:ascii="Garamond" w:eastAsia="PMingLiU" w:hAnsi="Garamond"/>
          <w:sz w:val="24"/>
          <w:szCs w:val="24"/>
          <w:lang w:eastAsia="zh-TW"/>
        </w:rPr>
        <w:t xml:space="preserve"> </w:t>
      </w:r>
      <w:r w:rsidR="00D1674D">
        <w:rPr>
          <w:rStyle w:val="FootnoteReference"/>
          <w:rFonts w:ascii="Garamond" w:eastAsia="PMingLiU" w:hAnsi="Garamond"/>
          <w:sz w:val="24"/>
          <w:szCs w:val="24"/>
          <w:lang w:eastAsia="zh-TW"/>
        </w:rPr>
        <w:footnoteReference w:id="5"/>
      </w:r>
      <w:r w:rsidRPr="002C088C">
        <w:rPr>
          <w:rFonts w:ascii="Garamond" w:eastAsia="PMingLiU" w:hAnsi="Garamond"/>
          <w:sz w:val="24"/>
          <w:szCs w:val="24"/>
          <w:lang w:eastAsia="zh-TW"/>
        </w:rPr>
        <w:t xml:space="preserve"> It is clear, however, that claims of PII need not be made by a governmental actor,</w:t>
      </w:r>
      <w:r w:rsidRPr="002C088C">
        <w:rPr>
          <w:rStyle w:val="FootnoteReference"/>
          <w:rFonts w:ascii="Garamond" w:eastAsia="PMingLiU" w:hAnsi="Garamond"/>
          <w:sz w:val="24"/>
          <w:szCs w:val="24"/>
          <w:lang w:eastAsia="zh-TW"/>
        </w:rPr>
        <w:footnoteReference w:id="6"/>
      </w:r>
      <w:r w:rsidRPr="002C088C">
        <w:rPr>
          <w:rFonts w:ascii="Garamond" w:eastAsia="PMingLiU" w:hAnsi="Garamond"/>
          <w:sz w:val="24"/>
          <w:szCs w:val="24"/>
          <w:lang w:eastAsia="zh-TW"/>
        </w:rPr>
        <w:t xml:space="preserve"> nor even</w:t>
      </w:r>
      <w:r w:rsidRPr="002C088C">
        <w:rPr>
          <w:rFonts w:ascii="Garamond" w:eastAsia="PMingLiU" w:hAnsi="Garamond" w:hint="eastAsia"/>
          <w:sz w:val="24"/>
          <w:szCs w:val="24"/>
          <w:lang w:eastAsia="zh-TW"/>
        </w:rPr>
        <w:t>, it would seem,</w:t>
      </w:r>
      <w:r w:rsidRPr="002C088C">
        <w:rPr>
          <w:rFonts w:ascii="Garamond" w:eastAsia="PMingLiU" w:hAnsi="Garamond"/>
          <w:sz w:val="24"/>
          <w:szCs w:val="24"/>
          <w:lang w:eastAsia="zh-TW"/>
        </w:rPr>
        <w:t xml:space="preserve"> by a party to the action in relation to </w:t>
      </w:r>
      <w:r w:rsidRPr="002C088C">
        <w:rPr>
          <w:rFonts w:ascii="Garamond" w:eastAsia="PMingLiU" w:hAnsi="Garamond"/>
          <w:sz w:val="24"/>
          <w:szCs w:val="24"/>
          <w:lang w:eastAsia="zh-TW"/>
        </w:rPr>
        <w:lastRenderedPageBreak/>
        <w:t xml:space="preserve">which disclosure is being considered: in </w:t>
      </w:r>
      <w:r w:rsidR="00BD0CD0" w:rsidRPr="002C088C">
        <w:rPr>
          <w:rFonts w:ascii="Garamond" w:hAnsi="Garamond"/>
          <w:i/>
          <w:sz w:val="24"/>
          <w:szCs w:val="24"/>
        </w:rPr>
        <w:t>R v Lewes Justices</w:t>
      </w:r>
      <w:r w:rsidR="001D095D" w:rsidRPr="002C088C">
        <w:rPr>
          <w:rFonts w:ascii="Garamond" w:hAnsi="Garamond"/>
          <w:i/>
          <w:sz w:val="24"/>
          <w:szCs w:val="24"/>
        </w:rPr>
        <w:t>, e</w:t>
      </w:r>
      <w:r w:rsidR="00BD0CD0" w:rsidRPr="002C088C">
        <w:rPr>
          <w:rFonts w:ascii="Garamond" w:hAnsi="Garamond"/>
          <w:i/>
          <w:sz w:val="24"/>
          <w:szCs w:val="24"/>
        </w:rPr>
        <w:t>x p</w:t>
      </w:r>
      <w:r w:rsidR="00830961" w:rsidRPr="002C088C">
        <w:rPr>
          <w:rFonts w:ascii="Garamond" w:hAnsi="Garamond"/>
          <w:i/>
          <w:sz w:val="24"/>
          <w:szCs w:val="24"/>
        </w:rPr>
        <w:t>arte</w:t>
      </w:r>
      <w:r w:rsidRPr="002C088C">
        <w:rPr>
          <w:rFonts w:ascii="Garamond" w:hAnsi="Garamond"/>
          <w:i/>
          <w:sz w:val="24"/>
          <w:szCs w:val="24"/>
        </w:rPr>
        <w:t xml:space="preserve"> Secretary of State for the Home Department</w:t>
      </w:r>
      <w:r w:rsidRPr="002C088C">
        <w:rPr>
          <w:rFonts w:ascii="Garamond" w:eastAsia="PMingLiU" w:hAnsi="Garamond"/>
          <w:sz w:val="24"/>
          <w:szCs w:val="24"/>
          <w:lang w:eastAsia="zh-TW"/>
        </w:rPr>
        <w:t xml:space="preserve">, Lord Reid asserted that </w:t>
      </w:r>
      <w:r w:rsidRPr="002C088C">
        <w:rPr>
          <w:rFonts w:ascii="Garamond" w:hAnsi="Garamond"/>
          <w:sz w:val="24"/>
          <w:szCs w:val="24"/>
        </w:rPr>
        <w:t>“it must always be open to any person interested to raise the question and there may be cases where the trial judge should himself raise the question if no one else has done so”.</w:t>
      </w:r>
      <w:r w:rsidRPr="002C088C">
        <w:rPr>
          <w:rStyle w:val="FootnoteReference"/>
          <w:rFonts w:ascii="Garamond" w:eastAsia="PMingLiU" w:hAnsi="Garamond"/>
          <w:sz w:val="24"/>
          <w:szCs w:val="24"/>
          <w:lang w:eastAsia="zh-TW"/>
        </w:rPr>
        <w:footnoteReference w:id="7"/>
      </w:r>
      <w:r w:rsidRPr="002C088C">
        <w:rPr>
          <w:rFonts w:ascii="Garamond" w:eastAsia="PMingLiU" w:hAnsi="Garamond"/>
          <w:sz w:val="24"/>
          <w:szCs w:val="24"/>
          <w:lang w:eastAsia="zh-TW"/>
        </w:rPr>
        <w:t xml:space="preserve"> </w:t>
      </w:r>
      <w:r w:rsidR="00BA36C0" w:rsidRPr="002C088C">
        <w:rPr>
          <w:rFonts w:ascii="Garamond" w:eastAsia="PMingLiU" w:hAnsi="Garamond"/>
          <w:sz w:val="24"/>
          <w:szCs w:val="24"/>
          <w:lang w:eastAsia="zh-TW"/>
        </w:rPr>
        <w:t>Further, the use of the language of privilege in this c</w:t>
      </w:r>
      <w:r w:rsidR="00BB6604" w:rsidRPr="002C088C">
        <w:rPr>
          <w:rFonts w:ascii="Garamond" w:eastAsia="PMingLiU" w:hAnsi="Garamond"/>
          <w:sz w:val="24"/>
          <w:szCs w:val="24"/>
          <w:lang w:eastAsia="zh-TW"/>
        </w:rPr>
        <w:t xml:space="preserve">ontext is </w:t>
      </w:r>
      <w:r w:rsidR="00730E03">
        <w:rPr>
          <w:rFonts w:ascii="Garamond" w:eastAsia="PMingLiU" w:hAnsi="Garamond"/>
          <w:sz w:val="24"/>
          <w:szCs w:val="24"/>
          <w:lang w:eastAsia="zh-TW"/>
        </w:rPr>
        <w:t xml:space="preserve">now </w:t>
      </w:r>
      <w:r w:rsidR="00BB6604" w:rsidRPr="002C088C">
        <w:rPr>
          <w:rFonts w:ascii="Garamond" w:eastAsia="PMingLiU" w:hAnsi="Garamond"/>
          <w:sz w:val="24"/>
          <w:szCs w:val="24"/>
          <w:lang w:eastAsia="zh-TW"/>
        </w:rPr>
        <w:t xml:space="preserve">deprecated </w:t>
      </w:r>
      <w:r w:rsidR="00113B99" w:rsidRPr="002C088C">
        <w:rPr>
          <w:rFonts w:ascii="Garamond" w:eastAsia="PMingLiU" w:hAnsi="Garamond"/>
          <w:sz w:val="24"/>
          <w:szCs w:val="24"/>
          <w:lang w:eastAsia="zh-TW"/>
        </w:rPr>
        <w:t>g</w:t>
      </w:r>
      <w:r w:rsidR="00BB6604" w:rsidRPr="002C088C">
        <w:rPr>
          <w:rFonts w:ascii="Garamond" w:eastAsia="PMingLiU" w:hAnsi="Garamond"/>
          <w:sz w:val="24"/>
          <w:szCs w:val="24"/>
          <w:lang w:eastAsia="zh-TW"/>
        </w:rPr>
        <w:t>iven that, where the criteria of PII a</w:t>
      </w:r>
      <w:r w:rsidR="009E23B9" w:rsidRPr="002C088C">
        <w:rPr>
          <w:rFonts w:ascii="Garamond" w:eastAsia="PMingLiU" w:hAnsi="Garamond"/>
          <w:sz w:val="24"/>
          <w:szCs w:val="24"/>
          <w:lang w:eastAsia="zh-TW"/>
        </w:rPr>
        <w:t>re met, the</w:t>
      </w:r>
      <w:r w:rsidR="00944F17" w:rsidRPr="002C088C">
        <w:rPr>
          <w:rFonts w:ascii="Garamond" w:eastAsia="PMingLiU" w:hAnsi="Garamond"/>
          <w:sz w:val="24"/>
          <w:szCs w:val="24"/>
          <w:lang w:eastAsia="zh-TW"/>
        </w:rPr>
        <w:t xml:space="preserve"> material </w:t>
      </w:r>
      <w:r w:rsidR="0074460C" w:rsidRPr="002C088C">
        <w:rPr>
          <w:rFonts w:ascii="Garamond" w:eastAsia="PMingLiU" w:hAnsi="Garamond"/>
          <w:sz w:val="24"/>
          <w:szCs w:val="24"/>
          <w:lang w:eastAsia="zh-TW"/>
        </w:rPr>
        <w:t xml:space="preserve">in </w:t>
      </w:r>
      <w:r w:rsidR="00113B99" w:rsidRPr="002C088C">
        <w:rPr>
          <w:rFonts w:ascii="Garamond" w:eastAsia="PMingLiU" w:hAnsi="Garamond"/>
          <w:sz w:val="24"/>
          <w:szCs w:val="24"/>
          <w:lang w:eastAsia="zh-TW"/>
        </w:rPr>
        <w:t>question cannot be</w:t>
      </w:r>
      <w:r w:rsidR="00FD26B6" w:rsidRPr="002C088C">
        <w:rPr>
          <w:rFonts w:ascii="Garamond" w:eastAsia="PMingLiU" w:hAnsi="Garamond"/>
          <w:sz w:val="24"/>
          <w:szCs w:val="24"/>
          <w:lang w:eastAsia="zh-TW"/>
        </w:rPr>
        <w:t xml:space="preserve"> disclosed even if </w:t>
      </w:r>
      <w:r w:rsidR="00E85717" w:rsidRPr="002C088C">
        <w:rPr>
          <w:rFonts w:ascii="Garamond" w:eastAsia="PMingLiU" w:hAnsi="Garamond"/>
          <w:sz w:val="24"/>
          <w:szCs w:val="24"/>
          <w:lang w:eastAsia="zh-TW"/>
        </w:rPr>
        <w:t>the</w:t>
      </w:r>
      <w:r w:rsidR="00260203" w:rsidRPr="002C088C">
        <w:rPr>
          <w:rFonts w:ascii="Garamond" w:eastAsia="PMingLiU" w:hAnsi="Garamond"/>
          <w:sz w:val="24"/>
          <w:szCs w:val="24"/>
          <w:lang w:eastAsia="zh-TW"/>
        </w:rPr>
        <w:t xml:space="preserve"> parties</w:t>
      </w:r>
      <w:r w:rsidR="00F4524C" w:rsidRPr="002C088C">
        <w:rPr>
          <w:rFonts w:ascii="Garamond" w:eastAsia="PMingLiU" w:hAnsi="Garamond"/>
          <w:sz w:val="24"/>
          <w:szCs w:val="24"/>
          <w:lang w:eastAsia="zh-TW"/>
        </w:rPr>
        <w:t xml:space="preserve"> to an action are willing to </w:t>
      </w:r>
      <w:r w:rsidR="00E966E7" w:rsidRPr="002C088C">
        <w:rPr>
          <w:rFonts w:ascii="Garamond" w:eastAsia="PMingLiU" w:hAnsi="Garamond"/>
          <w:sz w:val="24"/>
          <w:szCs w:val="24"/>
          <w:lang w:eastAsia="zh-TW"/>
        </w:rPr>
        <w:t>see it made public. U</w:t>
      </w:r>
      <w:r w:rsidR="009E23B9" w:rsidRPr="002C088C">
        <w:rPr>
          <w:rFonts w:ascii="Garamond" w:eastAsia="PMingLiU" w:hAnsi="Garamond"/>
          <w:sz w:val="24"/>
          <w:szCs w:val="24"/>
          <w:lang w:eastAsia="zh-TW"/>
        </w:rPr>
        <w:t xml:space="preserve">nlike </w:t>
      </w:r>
      <w:r w:rsidR="000B648C" w:rsidRPr="002C088C">
        <w:rPr>
          <w:rFonts w:ascii="Garamond" w:eastAsia="PMingLiU" w:hAnsi="Garamond"/>
          <w:sz w:val="24"/>
          <w:szCs w:val="24"/>
          <w:lang w:eastAsia="zh-TW"/>
        </w:rPr>
        <w:t>those</w:t>
      </w:r>
      <w:r w:rsidR="009E23B9" w:rsidRPr="002C088C">
        <w:rPr>
          <w:rFonts w:ascii="Garamond" w:eastAsia="PMingLiU" w:hAnsi="Garamond"/>
          <w:sz w:val="24"/>
          <w:szCs w:val="24"/>
          <w:lang w:eastAsia="zh-TW"/>
        </w:rPr>
        <w:t xml:space="preserve"> legal privileges </w:t>
      </w:r>
      <w:r w:rsidR="00C21ED2" w:rsidRPr="002C088C">
        <w:rPr>
          <w:rFonts w:ascii="Garamond" w:eastAsia="PMingLiU" w:hAnsi="Garamond"/>
          <w:sz w:val="24"/>
          <w:szCs w:val="24"/>
          <w:lang w:eastAsia="zh-TW"/>
        </w:rPr>
        <w:t>which are properly so called</w:t>
      </w:r>
      <w:r w:rsidR="009E23B9" w:rsidRPr="002C088C">
        <w:rPr>
          <w:rFonts w:ascii="Garamond" w:eastAsia="PMingLiU" w:hAnsi="Garamond"/>
          <w:sz w:val="24"/>
          <w:szCs w:val="24"/>
          <w:lang w:eastAsia="zh-TW"/>
        </w:rPr>
        <w:t>, PII</w:t>
      </w:r>
      <w:r w:rsidR="006208C5" w:rsidRPr="002C088C">
        <w:rPr>
          <w:rFonts w:ascii="Garamond" w:eastAsia="PMingLiU" w:hAnsi="Garamond"/>
          <w:sz w:val="24"/>
          <w:szCs w:val="24"/>
          <w:lang w:eastAsia="zh-TW"/>
        </w:rPr>
        <w:t xml:space="preserve"> protects the interest of the public as a whole and so</w:t>
      </w:r>
      <w:r w:rsidR="009E23B9" w:rsidRPr="002C088C">
        <w:rPr>
          <w:rFonts w:ascii="Garamond" w:eastAsia="PMingLiU" w:hAnsi="Garamond"/>
          <w:sz w:val="24"/>
          <w:szCs w:val="24"/>
          <w:lang w:eastAsia="zh-TW"/>
        </w:rPr>
        <w:t xml:space="preserve"> cannot be waived</w:t>
      </w:r>
      <w:r w:rsidR="00353555" w:rsidRPr="002C088C">
        <w:rPr>
          <w:rFonts w:ascii="Garamond" w:eastAsia="PMingLiU" w:hAnsi="Garamond"/>
          <w:sz w:val="24"/>
          <w:szCs w:val="24"/>
          <w:lang w:eastAsia="zh-TW"/>
        </w:rPr>
        <w:t>.</w:t>
      </w:r>
      <w:r w:rsidR="00480611" w:rsidRPr="00480611">
        <w:rPr>
          <w:rStyle w:val="FootnoteReference"/>
          <w:rFonts w:ascii="Garamond" w:eastAsia="PMingLiU" w:hAnsi="Garamond"/>
          <w:sz w:val="24"/>
          <w:szCs w:val="24"/>
          <w:lang w:eastAsia="zh-TW"/>
        </w:rPr>
        <w:t xml:space="preserve"> </w:t>
      </w:r>
      <w:r w:rsidR="00480611" w:rsidRPr="002C088C">
        <w:rPr>
          <w:rStyle w:val="FootnoteReference"/>
          <w:rFonts w:ascii="Garamond" w:eastAsia="PMingLiU" w:hAnsi="Garamond"/>
          <w:sz w:val="24"/>
          <w:szCs w:val="24"/>
          <w:lang w:eastAsia="zh-TW"/>
        </w:rPr>
        <w:footnoteReference w:id="8"/>
      </w:r>
    </w:p>
    <w:p w:rsidR="00347B8D" w:rsidRPr="002C088C" w:rsidRDefault="00347B8D" w:rsidP="000C2DB7">
      <w:pPr>
        <w:spacing w:after="0" w:line="480" w:lineRule="auto"/>
        <w:jc w:val="both"/>
        <w:rPr>
          <w:rFonts w:ascii="Garamond" w:eastAsia="PMingLiU" w:hAnsi="Garamond"/>
          <w:sz w:val="24"/>
          <w:szCs w:val="24"/>
          <w:lang w:eastAsia="zh-TW"/>
        </w:rPr>
      </w:pPr>
    </w:p>
    <w:p w:rsidR="00AF7900" w:rsidRPr="002C088C" w:rsidRDefault="00481DE9" w:rsidP="0072386C">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 xml:space="preserve">Claims for PII which are made </w:t>
      </w:r>
      <w:r w:rsidR="001A62D1" w:rsidRPr="002C088C">
        <w:rPr>
          <w:rFonts w:ascii="Garamond" w:eastAsia="PMingLiU" w:hAnsi="Garamond"/>
          <w:sz w:val="24"/>
          <w:szCs w:val="24"/>
          <w:lang w:eastAsia="zh-TW"/>
        </w:rPr>
        <w:t>by the Crown</w:t>
      </w:r>
      <w:r w:rsidR="00446905" w:rsidRPr="002C088C">
        <w:rPr>
          <w:rFonts w:ascii="Garamond" w:eastAsia="PMingLiU" w:hAnsi="Garamond"/>
          <w:sz w:val="24"/>
          <w:szCs w:val="24"/>
          <w:lang w:eastAsia="zh-TW"/>
        </w:rPr>
        <w:t xml:space="preserve"> and other organs of the state</w:t>
      </w:r>
      <w:r w:rsidR="001A62D1" w:rsidRPr="002C088C">
        <w:rPr>
          <w:rFonts w:ascii="Garamond" w:eastAsia="PMingLiU" w:hAnsi="Garamond"/>
          <w:sz w:val="24"/>
          <w:szCs w:val="24"/>
          <w:lang w:eastAsia="zh-TW"/>
        </w:rPr>
        <w:t xml:space="preserve"> </w:t>
      </w:r>
      <w:r w:rsidRPr="002C088C">
        <w:rPr>
          <w:rFonts w:ascii="Garamond" w:eastAsia="PMingLiU" w:hAnsi="Garamond"/>
          <w:sz w:val="24"/>
          <w:szCs w:val="24"/>
          <w:lang w:eastAsia="zh-TW"/>
        </w:rPr>
        <w:t>(</w:t>
      </w:r>
      <w:r w:rsidR="001A62D1" w:rsidRPr="002C088C">
        <w:rPr>
          <w:rFonts w:ascii="Garamond" w:eastAsia="PMingLiU" w:hAnsi="Garamond" w:hint="eastAsia"/>
          <w:sz w:val="24"/>
          <w:szCs w:val="24"/>
          <w:lang w:eastAsia="zh-TW"/>
        </w:rPr>
        <w:t xml:space="preserve">the majority, </w:t>
      </w:r>
      <w:r w:rsidR="00D23C64" w:rsidRPr="002C088C">
        <w:rPr>
          <w:rFonts w:ascii="Garamond" w:eastAsia="PMingLiU" w:hAnsi="Garamond"/>
          <w:sz w:val="24"/>
          <w:szCs w:val="24"/>
          <w:lang w:eastAsia="zh-TW"/>
        </w:rPr>
        <w:t xml:space="preserve">one </w:t>
      </w:r>
      <w:r w:rsidR="00B539B3">
        <w:rPr>
          <w:rFonts w:ascii="Garamond" w:eastAsia="PMingLiU" w:hAnsi="Garamond"/>
          <w:sz w:val="24"/>
          <w:szCs w:val="24"/>
          <w:lang w:eastAsia="zh-TW"/>
        </w:rPr>
        <w:t>must</w:t>
      </w:r>
      <w:r w:rsidR="00D23C64" w:rsidRPr="002C088C">
        <w:rPr>
          <w:rFonts w:ascii="Garamond" w:eastAsia="PMingLiU" w:hAnsi="Garamond"/>
          <w:sz w:val="24"/>
          <w:szCs w:val="24"/>
          <w:lang w:eastAsia="zh-TW"/>
        </w:rPr>
        <w:t xml:space="preserve"> assume</w:t>
      </w:r>
      <w:r w:rsidRPr="002C088C">
        <w:rPr>
          <w:rFonts w:ascii="Garamond" w:eastAsia="PMingLiU" w:hAnsi="Garamond"/>
          <w:sz w:val="24"/>
          <w:szCs w:val="24"/>
          <w:lang w:eastAsia="zh-TW"/>
        </w:rPr>
        <w:t xml:space="preserve">) are </w:t>
      </w:r>
      <w:r w:rsidR="00697D15" w:rsidRPr="002C088C">
        <w:rPr>
          <w:rFonts w:ascii="Garamond" w:eastAsia="PMingLiU" w:hAnsi="Garamond"/>
          <w:sz w:val="24"/>
          <w:szCs w:val="24"/>
          <w:lang w:eastAsia="zh-TW"/>
        </w:rPr>
        <w:t xml:space="preserve">at least some of the time – and perhaps most of it – </w:t>
      </w:r>
      <w:r w:rsidRPr="002C088C">
        <w:rPr>
          <w:rFonts w:ascii="Garamond" w:eastAsia="PMingLiU" w:hAnsi="Garamond"/>
          <w:sz w:val="24"/>
          <w:szCs w:val="24"/>
          <w:lang w:eastAsia="zh-TW"/>
        </w:rPr>
        <w:t>underpinned by a document, laid before the court, which asserts that</w:t>
      </w:r>
      <w:r w:rsidR="00DD671D" w:rsidRPr="002C088C">
        <w:rPr>
          <w:rFonts w:ascii="Garamond" w:eastAsia="PMingLiU" w:hAnsi="Garamond"/>
          <w:sz w:val="24"/>
          <w:szCs w:val="24"/>
          <w:lang w:eastAsia="zh-TW"/>
        </w:rPr>
        <w:t>,</w:t>
      </w:r>
      <w:r w:rsidRPr="002C088C">
        <w:rPr>
          <w:rFonts w:ascii="Garamond" w:eastAsia="PMingLiU" w:hAnsi="Garamond"/>
          <w:sz w:val="24"/>
          <w:szCs w:val="24"/>
          <w:lang w:eastAsia="zh-TW"/>
        </w:rPr>
        <w:t xml:space="preserve"> with regard to the particular </w:t>
      </w:r>
      <w:r w:rsidR="00C862E7">
        <w:rPr>
          <w:rFonts w:ascii="Garamond" w:eastAsia="PMingLiU" w:hAnsi="Garamond"/>
          <w:sz w:val="24"/>
          <w:szCs w:val="24"/>
          <w:lang w:eastAsia="zh-TW"/>
        </w:rPr>
        <w:t>material</w:t>
      </w:r>
      <w:r w:rsidRPr="002C088C">
        <w:rPr>
          <w:rFonts w:ascii="Garamond" w:eastAsia="PMingLiU" w:hAnsi="Garamond"/>
          <w:sz w:val="24"/>
          <w:szCs w:val="24"/>
          <w:lang w:eastAsia="zh-TW"/>
        </w:rPr>
        <w:t xml:space="preserve"> to which it relates, the balance of the competing public interests in disclosure and non-disclosure falls on the side of non-disclosure. Such document is usually described as a ‘PII certificate’.</w:t>
      </w:r>
      <w:r w:rsidRPr="002C088C">
        <w:rPr>
          <w:rStyle w:val="FootnoteReference"/>
          <w:rFonts w:ascii="Garamond" w:eastAsia="PMingLiU" w:hAnsi="Garamond"/>
          <w:sz w:val="24"/>
          <w:szCs w:val="24"/>
          <w:lang w:eastAsia="zh-TW"/>
        </w:rPr>
        <w:footnoteReference w:id="9"/>
      </w:r>
      <w:r w:rsidRPr="002C088C">
        <w:rPr>
          <w:rFonts w:ascii="Garamond" w:eastAsia="PMingLiU" w:hAnsi="Garamond" w:hint="eastAsia"/>
          <w:sz w:val="24"/>
          <w:szCs w:val="24"/>
          <w:lang w:eastAsia="zh-TW"/>
        </w:rPr>
        <w:t xml:space="preserve"> </w:t>
      </w:r>
      <w:r w:rsidRPr="002C088C">
        <w:rPr>
          <w:rFonts w:ascii="Garamond" w:eastAsia="PMingLiU" w:hAnsi="Garamond"/>
          <w:sz w:val="24"/>
          <w:szCs w:val="24"/>
          <w:lang w:eastAsia="zh-TW"/>
        </w:rPr>
        <w:t>Where previously a certificate of this sort would be tre</w:t>
      </w:r>
      <w:r w:rsidR="00967361" w:rsidRPr="002C088C">
        <w:rPr>
          <w:rFonts w:ascii="Garamond" w:eastAsia="PMingLiU" w:hAnsi="Garamond"/>
          <w:sz w:val="24"/>
          <w:szCs w:val="24"/>
          <w:lang w:eastAsia="zh-TW"/>
        </w:rPr>
        <w:t>ated as dispositive of the question of what the public interest required</w:t>
      </w:r>
      <w:proofErr w:type="gramStart"/>
      <w:r w:rsidRPr="002C088C">
        <w:rPr>
          <w:rFonts w:ascii="Garamond" w:eastAsia="PMingLiU" w:hAnsi="Garamond"/>
          <w:sz w:val="24"/>
          <w:szCs w:val="24"/>
          <w:lang w:eastAsia="zh-TW"/>
        </w:rPr>
        <w:t>,</w:t>
      </w:r>
      <w:proofErr w:type="gramEnd"/>
      <w:r w:rsidRPr="002C088C">
        <w:rPr>
          <w:rStyle w:val="FootnoteReference"/>
          <w:rFonts w:ascii="Garamond" w:eastAsia="PMingLiU" w:hAnsi="Garamond"/>
          <w:sz w:val="24"/>
          <w:szCs w:val="24"/>
          <w:lang w:eastAsia="zh-TW"/>
        </w:rPr>
        <w:footnoteReference w:id="10"/>
      </w:r>
      <w:r w:rsidRPr="002C088C">
        <w:rPr>
          <w:rFonts w:ascii="Garamond" w:eastAsia="PMingLiU" w:hAnsi="Garamond"/>
          <w:sz w:val="24"/>
          <w:szCs w:val="24"/>
          <w:lang w:eastAsia="zh-TW"/>
        </w:rPr>
        <w:t xml:space="preserve"> the law </w:t>
      </w:r>
      <w:r w:rsidR="009D4580" w:rsidRPr="002C088C">
        <w:rPr>
          <w:rFonts w:ascii="Garamond" w:eastAsia="PMingLiU" w:hAnsi="Garamond"/>
          <w:sz w:val="24"/>
          <w:szCs w:val="24"/>
          <w:lang w:eastAsia="zh-TW"/>
        </w:rPr>
        <w:t>as it now stands</w:t>
      </w:r>
      <w:r w:rsidR="001325CC" w:rsidRPr="002C088C">
        <w:rPr>
          <w:rFonts w:ascii="Garamond" w:eastAsia="PMingLiU" w:hAnsi="Garamond"/>
          <w:sz w:val="24"/>
          <w:szCs w:val="24"/>
          <w:lang w:eastAsia="zh-TW"/>
        </w:rPr>
        <w:t xml:space="preserve"> </w:t>
      </w:r>
      <w:r w:rsidR="009D13A7" w:rsidRPr="002C088C">
        <w:rPr>
          <w:rFonts w:ascii="Garamond" w:eastAsia="PMingLiU" w:hAnsi="Garamond"/>
          <w:sz w:val="24"/>
          <w:szCs w:val="24"/>
          <w:lang w:eastAsia="zh-TW"/>
        </w:rPr>
        <w:t>requires</w:t>
      </w:r>
      <w:r w:rsidR="0038250C" w:rsidRPr="002C088C">
        <w:rPr>
          <w:rFonts w:ascii="Garamond" w:eastAsia="PMingLiU" w:hAnsi="Garamond"/>
          <w:sz w:val="24"/>
          <w:szCs w:val="24"/>
          <w:lang w:eastAsia="zh-TW"/>
        </w:rPr>
        <w:t xml:space="preserve"> that</w:t>
      </w:r>
      <w:r w:rsidRPr="002C088C">
        <w:rPr>
          <w:rFonts w:ascii="Garamond" w:eastAsia="PMingLiU" w:hAnsi="Garamond"/>
          <w:sz w:val="24"/>
          <w:szCs w:val="24"/>
          <w:lang w:eastAsia="zh-TW"/>
        </w:rPr>
        <w:t xml:space="preserve"> the court satisfy itself that the balance between the competing public interests at stake is as the certificate claims it to be.</w:t>
      </w:r>
      <w:r w:rsidRPr="002C088C">
        <w:rPr>
          <w:rStyle w:val="FootnoteReference"/>
          <w:rFonts w:ascii="Garamond" w:eastAsia="PMingLiU" w:hAnsi="Garamond"/>
          <w:sz w:val="24"/>
          <w:szCs w:val="24"/>
          <w:lang w:eastAsia="zh-TW"/>
        </w:rPr>
        <w:footnoteReference w:id="11"/>
      </w:r>
      <w:r w:rsidRPr="002C088C">
        <w:rPr>
          <w:rFonts w:ascii="Garamond" w:eastAsia="PMingLiU" w:hAnsi="Garamond"/>
          <w:sz w:val="24"/>
          <w:szCs w:val="24"/>
          <w:lang w:eastAsia="zh-TW"/>
        </w:rPr>
        <w:t xml:space="preserve"> If the court disagrees, the </w:t>
      </w:r>
      <w:r w:rsidR="001C766E">
        <w:rPr>
          <w:rFonts w:ascii="Garamond" w:eastAsia="PMingLiU" w:hAnsi="Garamond"/>
          <w:sz w:val="24"/>
          <w:szCs w:val="24"/>
          <w:lang w:eastAsia="zh-TW"/>
        </w:rPr>
        <w:t>material</w:t>
      </w:r>
      <w:r w:rsidRPr="002C088C">
        <w:rPr>
          <w:rFonts w:ascii="Garamond" w:eastAsia="PMingLiU" w:hAnsi="Garamond"/>
          <w:sz w:val="24"/>
          <w:szCs w:val="24"/>
          <w:lang w:eastAsia="zh-TW"/>
        </w:rPr>
        <w:t xml:space="preserve"> must be disclosed (or, if the party in possession of </w:t>
      </w:r>
      <w:r w:rsidR="00350B87">
        <w:rPr>
          <w:rFonts w:ascii="Garamond" w:eastAsia="PMingLiU" w:hAnsi="Garamond"/>
          <w:sz w:val="24"/>
          <w:szCs w:val="24"/>
          <w:lang w:eastAsia="zh-TW"/>
        </w:rPr>
        <w:t>that material</w:t>
      </w:r>
      <w:r w:rsidRPr="002C088C">
        <w:rPr>
          <w:rFonts w:ascii="Garamond" w:eastAsia="PMingLiU" w:hAnsi="Garamond"/>
          <w:sz w:val="24"/>
          <w:szCs w:val="24"/>
          <w:lang w:eastAsia="zh-TW"/>
        </w:rPr>
        <w:t xml:space="preserve"> is unwilling to disclose it, that party must, it seems, concede the aspect of the litigation to which </w:t>
      </w:r>
      <w:r w:rsidRPr="002C088C">
        <w:rPr>
          <w:rFonts w:ascii="Garamond" w:eastAsia="PMingLiU" w:hAnsi="Garamond"/>
          <w:sz w:val="24"/>
          <w:szCs w:val="24"/>
          <w:lang w:eastAsia="zh-TW"/>
        </w:rPr>
        <w:lastRenderedPageBreak/>
        <w:t xml:space="preserve">the </w:t>
      </w:r>
      <w:r w:rsidR="0072386C">
        <w:rPr>
          <w:rFonts w:ascii="Garamond" w:eastAsia="PMingLiU" w:hAnsi="Garamond"/>
          <w:sz w:val="24"/>
          <w:szCs w:val="24"/>
          <w:lang w:eastAsia="zh-TW"/>
        </w:rPr>
        <w:t>material</w:t>
      </w:r>
      <w:r w:rsidRPr="002C088C">
        <w:rPr>
          <w:rFonts w:ascii="Garamond" w:eastAsia="PMingLiU" w:hAnsi="Garamond"/>
          <w:sz w:val="24"/>
          <w:szCs w:val="24"/>
          <w:lang w:eastAsia="zh-TW"/>
        </w:rPr>
        <w:t xml:space="preserve"> relates).</w:t>
      </w:r>
      <w:r w:rsidRPr="002C088C">
        <w:rPr>
          <w:rStyle w:val="FootnoteReference"/>
          <w:rFonts w:ascii="Garamond" w:eastAsia="PMingLiU" w:hAnsi="Garamond"/>
          <w:sz w:val="24"/>
          <w:szCs w:val="24"/>
          <w:lang w:eastAsia="zh-TW"/>
        </w:rPr>
        <w:footnoteReference w:id="12"/>
      </w:r>
      <w:r w:rsidRPr="002C088C">
        <w:rPr>
          <w:rFonts w:ascii="Garamond" w:eastAsia="PMingLiU" w:hAnsi="Garamond"/>
          <w:sz w:val="24"/>
          <w:szCs w:val="24"/>
          <w:lang w:eastAsia="zh-TW"/>
        </w:rPr>
        <w:t xml:space="preserve"> Where material is not disclosed because it is material in respect of which PII has been successfully claimed, it cannot be relied upon by any party to the proceedings.</w:t>
      </w:r>
      <w:r w:rsidRPr="002C088C">
        <w:rPr>
          <w:rStyle w:val="FootnoteReference"/>
          <w:rFonts w:ascii="Garamond" w:eastAsia="PMingLiU" w:hAnsi="Garamond"/>
          <w:sz w:val="24"/>
          <w:szCs w:val="24"/>
          <w:lang w:eastAsia="zh-TW"/>
        </w:rPr>
        <w:footnoteReference w:id="13"/>
      </w:r>
      <w:r w:rsidRPr="002C088C">
        <w:rPr>
          <w:rFonts w:ascii="Garamond" w:eastAsia="PMingLiU" w:hAnsi="Garamond"/>
          <w:sz w:val="24"/>
          <w:szCs w:val="24"/>
          <w:lang w:eastAsia="zh-TW"/>
        </w:rPr>
        <w:t xml:space="preserve"> This </w:t>
      </w:r>
      <w:r w:rsidR="00516542" w:rsidRPr="002C088C">
        <w:rPr>
          <w:rFonts w:ascii="Garamond" w:eastAsia="PMingLiU" w:hAnsi="Garamond"/>
          <w:sz w:val="24"/>
          <w:szCs w:val="24"/>
          <w:lang w:eastAsia="zh-TW"/>
        </w:rPr>
        <w:t xml:space="preserve">can happen, it seems, even where it would </w:t>
      </w:r>
      <w:r w:rsidRPr="002C088C">
        <w:rPr>
          <w:rFonts w:ascii="Garamond" w:eastAsia="PMingLiU" w:hAnsi="Garamond"/>
          <w:sz w:val="24"/>
          <w:szCs w:val="24"/>
          <w:lang w:eastAsia="zh-TW"/>
        </w:rPr>
        <w:t xml:space="preserve">have the effect of rendering an action untriable and therefore </w:t>
      </w:r>
      <w:r w:rsidR="00577A35" w:rsidRPr="002C088C">
        <w:rPr>
          <w:rFonts w:ascii="Garamond" w:eastAsia="PMingLiU" w:hAnsi="Garamond"/>
          <w:sz w:val="24"/>
          <w:szCs w:val="24"/>
          <w:lang w:eastAsia="zh-TW"/>
        </w:rPr>
        <w:t>lead to the</w:t>
      </w:r>
      <w:r w:rsidRPr="002C088C">
        <w:rPr>
          <w:rFonts w:ascii="Garamond" w:eastAsia="PMingLiU" w:hAnsi="Garamond"/>
          <w:sz w:val="24"/>
          <w:szCs w:val="24"/>
          <w:lang w:eastAsia="zh-TW"/>
        </w:rPr>
        <w:t xml:space="preserve"> court strik</w:t>
      </w:r>
      <w:r w:rsidR="00E44E30" w:rsidRPr="002C088C">
        <w:rPr>
          <w:rFonts w:ascii="Garamond" w:eastAsia="PMingLiU" w:hAnsi="Garamond"/>
          <w:sz w:val="24"/>
          <w:szCs w:val="24"/>
          <w:lang w:eastAsia="zh-TW"/>
        </w:rPr>
        <w:t>ing</w:t>
      </w:r>
      <w:r w:rsidRPr="002C088C">
        <w:rPr>
          <w:rFonts w:ascii="Garamond" w:eastAsia="PMingLiU" w:hAnsi="Garamond"/>
          <w:sz w:val="24"/>
          <w:szCs w:val="24"/>
          <w:lang w:eastAsia="zh-TW"/>
        </w:rPr>
        <w:t xml:space="preserve"> out the claim in question.</w:t>
      </w:r>
      <w:r w:rsidRPr="002C088C">
        <w:rPr>
          <w:rStyle w:val="FootnoteReference"/>
          <w:rFonts w:ascii="Garamond" w:eastAsia="PMingLiU" w:hAnsi="Garamond"/>
          <w:sz w:val="24"/>
          <w:szCs w:val="24"/>
          <w:lang w:eastAsia="zh-TW"/>
        </w:rPr>
        <w:footnoteReference w:id="14"/>
      </w:r>
      <w:r w:rsidRPr="002C088C">
        <w:rPr>
          <w:rFonts w:ascii="Garamond" w:eastAsia="PMingLiU" w:hAnsi="Garamond"/>
          <w:sz w:val="24"/>
          <w:szCs w:val="24"/>
          <w:lang w:eastAsia="zh-TW"/>
        </w:rPr>
        <w:t xml:space="preserve"> </w:t>
      </w:r>
    </w:p>
    <w:p w:rsidR="00AF7900" w:rsidRPr="002C088C" w:rsidRDefault="00AF7900" w:rsidP="000C2DB7">
      <w:pPr>
        <w:spacing w:after="0" w:line="480" w:lineRule="auto"/>
        <w:jc w:val="both"/>
        <w:rPr>
          <w:rFonts w:ascii="Garamond" w:eastAsia="PMingLiU" w:hAnsi="Garamond"/>
          <w:sz w:val="24"/>
          <w:szCs w:val="24"/>
          <w:lang w:eastAsia="zh-TW"/>
        </w:rPr>
      </w:pPr>
    </w:p>
    <w:p w:rsidR="00347B8D" w:rsidRPr="002C088C" w:rsidRDefault="00DF48FC" w:rsidP="005D2A0C">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In retaining an equality</w:t>
      </w:r>
      <w:r w:rsidR="007112D4" w:rsidRPr="002C088C">
        <w:rPr>
          <w:rFonts w:ascii="Garamond" w:eastAsia="PMingLiU" w:hAnsi="Garamond"/>
          <w:sz w:val="24"/>
          <w:szCs w:val="24"/>
          <w:lang w:eastAsia="zh-TW"/>
        </w:rPr>
        <w:t xml:space="preserve"> of arms as between the parties to an action</w:t>
      </w:r>
      <w:r w:rsidRPr="002C088C">
        <w:rPr>
          <w:rFonts w:ascii="Garamond" w:eastAsia="PMingLiU" w:hAnsi="Garamond"/>
          <w:sz w:val="24"/>
          <w:szCs w:val="24"/>
          <w:lang w:eastAsia="zh-TW"/>
        </w:rPr>
        <w:t xml:space="preserve"> PII</w:t>
      </w:r>
      <w:r w:rsidR="00481DE9" w:rsidRPr="002C088C">
        <w:rPr>
          <w:rFonts w:ascii="Garamond" w:eastAsia="PMingLiU" w:hAnsi="Garamond"/>
          <w:sz w:val="24"/>
          <w:szCs w:val="24"/>
          <w:lang w:eastAsia="zh-TW"/>
        </w:rPr>
        <w:t xml:space="preserve"> differs in a key way from the more modern phenomenon of the ‘closed material procedure’ (CMP), in which material can be relied upon by the court notwithstanding that it has not been disclosed to one of the two parties and that party’s legal team, but only to a special advocate appointed specifically for that reason.</w:t>
      </w:r>
      <w:r w:rsidR="00481DE9" w:rsidRPr="002C088C">
        <w:rPr>
          <w:rStyle w:val="FootnoteReference"/>
          <w:rFonts w:ascii="Garamond" w:eastAsia="PMingLiU" w:hAnsi="Garamond"/>
          <w:sz w:val="24"/>
          <w:szCs w:val="24"/>
          <w:lang w:eastAsia="zh-TW"/>
        </w:rPr>
        <w:footnoteReference w:id="15"/>
      </w:r>
      <w:r w:rsidR="00481DE9" w:rsidRPr="002C088C">
        <w:rPr>
          <w:rFonts w:ascii="Garamond" w:eastAsia="PMingLiU" w:hAnsi="Garamond"/>
          <w:sz w:val="24"/>
          <w:szCs w:val="24"/>
          <w:lang w:eastAsia="zh-TW"/>
        </w:rPr>
        <w:t xml:space="preserve"> </w:t>
      </w:r>
      <w:r w:rsidR="00813A82" w:rsidRPr="002C088C">
        <w:rPr>
          <w:rFonts w:ascii="Garamond" w:eastAsia="PMingLiU" w:hAnsi="Garamond"/>
          <w:sz w:val="24"/>
          <w:szCs w:val="24"/>
          <w:lang w:eastAsia="zh-TW"/>
        </w:rPr>
        <w:t>This signific</w:t>
      </w:r>
      <w:r w:rsidR="0074265C" w:rsidRPr="002C088C">
        <w:rPr>
          <w:rFonts w:ascii="Garamond" w:eastAsia="PMingLiU" w:hAnsi="Garamond"/>
          <w:sz w:val="24"/>
          <w:szCs w:val="24"/>
          <w:lang w:eastAsia="zh-TW"/>
        </w:rPr>
        <w:t xml:space="preserve">ance of this difference is </w:t>
      </w:r>
      <w:r w:rsidR="001671A1" w:rsidRPr="002C088C">
        <w:rPr>
          <w:rFonts w:ascii="Garamond" w:eastAsia="PMingLiU" w:hAnsi="Garamond"/>
          <w:sz w:val="24"/>
          <w:szCs w:val="24"/>
          <w:lang w:eastAsia="zh-TW"/>
        </w:rPr>
        <w:t xml:space="preserve">that, </w:t>
      </w:r>
      <w:r w:rsidR="00B4699A" w:rsidRPr="002C088C">
        <w:rPr>
          <w:rFonts w:ascii="Garamond" w:eastAsia="PMingLiU" w:hAnsi="Garamond"/>
          <w:sz w:val="24"/>
          <w:szCs w:val="24"/>
          <w:lang w:eastAsia="zh-TW"/>
        </w:rPr>
        <w:t>where PII is capab</w:t>
      </w:r>
      <w:r w:rsidR="00FF1D09" w:rsidRPr="002C088C">
        <w:rPr>
          <w:rFonts w:ascii="Garamond" w:eastAsia="PMingLiU" w:hAnsi="Garamond"/>
          <w:sz w:val="24"/>
          <w:szCs w:val="24"/>
          <w:lang w:eastAsia="zh-TW"/>
        </w:rPr>
        <w:t>le of being employed compatibl</w:t>
      </w:r>
      <w:r w:rsidR="00F43DA2" w:rsidRPr="002C088C">
        <w:rPr>
          <w:rFonts w:ascii="Garamond" w:eastAsia="PMingLiU" w:hAnsi="Garamond"/>
          <w:sz w:val="24"/>
          <w:szCs w:val="24"/>
          <w:lang w:eastAsia="zh-TW"/>
        </w:rPr>
        <w:t>y with t</w:t>
      </w:r>
      <w:r w:rsidR="00E4751F" w:rsidRPr="002C088C">
        <w:rPr>
          <w:rFonts w:ascii="Garamond" w:eastAsia="PMingLiU" w:hAnsi="Garamond"/>
          <w:sz w:val="24"/>
          <w:szCs w:val="24"/>
          <w:lang w:eastAsia="zh-TW"/>
        </w:rPr>
        <w:t xml:space="preserve">he principle of natural, CMP by definition </w:t>
      </w:r>
      <w:r w:rsidR="00407D31" w:rsidRPr="002C088C">
        <w:rPr>
          <w:rFonts w:ascii="Garamond" w:eastAsia="PMingLiU" w:hAnsi="Garamond"/>
          <w:sz w:val="24"/>
          <w:szCs w:val="24"/>
          <w:lang w:eastAsia="zh-TW"/>
        </w:rPr>
        <w:t>involves</w:t>
      </w:r>
      <w:r w:rsidR="00E4751F" w:rsidRPr="002C088C">
        <w:rPr>
          <w:rFonts w:ascii="Garamond" w:eastAsia="PMingLiU" w:hAnsi="Garamond"/>
          <w:sz w:val="24"/>
          <w:szCs w:val="24"/>
          <w:lang w:eastAsia="zh-TW"/>
        </w:rPr>
        <w:t xml:space="preserve"> a departure from it. This in turn</w:t>
      </w:r>
      <w:r w:rsidR="00E850B3" w:rsidRPr="002C088C">
        <w:rPr>
          <w:rFonts w:ascii="Garamond" w:eastAsia="PMingLiU" w:hAnsi="Garamond"/>
          <w:sz w:val="24"/>
          <w:szCs w:val="24"/>
          <w:lang w:eastAsia="zh-TW"/>
        </w:rPr>
        <w:t xml:space="preserve"> explains why CMP, unlike PII, can take place only where statutory authority is present.</w:t>
      </w:r>
      <w:r w:rsidR="00E850B3" w:rsidRPr="002C088C">
        <w:rPr>
          <w:rStyle w:val="FootnoteReference"/>
          <w:rFonts w:ascii="Garamond" w:eastAsia="PMingLiU" w:hAnsi="Garamond"/>
          <w:sz w:val="24"/>
          <w:szCs w:val="24"/>
          <w:lang w:eastAsia="zh-TW"/>
        </w:rPr>
        <w:footnoteReference w:id="16"/>
      </w:r>
      <w:r w:rsidR="00E850B3" w:rsidRPr="002C088C">
        <w:rPr>
          <w:rFonts w:ascii="Garamond" w:eastAsia="PMingLiU" w:hAnsi="Garamond"/>
          <w:sz w:val="24"/>
          <w:szCs w:val="24"/>
          <w:lang w:eastAsia="zh-TW"/>
        </w:rPr>
        <w:t xml:space="preserve"> </w:t>
      </w:r>
      <w:r w:rsidR="00AF7900" w:rsidRPr="002C088C">
        <w:rPr>
          <w:rFonts w:ascii="Garamond" w:eastAsia="PMingLiU" w:hAnsi="Garamond"/>
          <w:sz w:val="24"/>
          <w:szCs w:val="24"/>
          <w:lang w:eastAsia="zh-TW"/>
        </w:rPr>
        <w:t xml:space="preserve">The use of PII to justify non-disclosure of material in evidence, though in the past the source of public attention and </w:t>
      </w:r>
      <w:r w:rsidR="000029B7">
        <w:rPr>
          <w:rFonts w:ascii="Garamond" w:eastAsia="PMingLiU" w:hAnsi="Garamond"/>
          <w:sz w:val="24"/>
          <w:szCs w:val="24"/>
          <w:lang w:eastAsia="zh-TW"/>
        </w:rPr>
        <w:t>significant</w:t>
      </w:r>
      <w:r w:rsidR="001950F5">
        <w:rPr>
          <w:rFonts w:ascii="Garamond" w:eastAsia="PMingLiU" w:hAnsi="Garamond"/>
          <w:sz w:val="24"/>
          <w:szCs w:val="24"/>
          <w:lang w:eastAsia="zh-TW"/>
        </w:rPr>
        <w:t xml:space="preserve"> </w:t>
      </w:r>
      <w:r w:rsidR="00AF7900" w:rsidRPr="002C088C">
        <w:rPr>
          <w:rFonts w:ascii="Garamond" w:eastAsia="PMingLiU" w:hAnsi="Garamond"/>
          <w:sz w:val="24"/>
          <w:szCs w:val="24"/>
          <w:lang w:eastAsia="zh-TW"/>
        </w:rPr>
        <w:t>controversy,</w:t>
      </w:r>
      <w:r w:rsidR="00AF7900" w:rsidRPr="002C088C">
        <w:rPr>
          <w:rStyle w:val="FootnoteReference"/>
          <w:rFonts w:ascii="Garamond" w:eastAsia="PMingLiU" w:hAnsi="Garamond"/>
          <w:sz w:val="24"/>
          <w:szCs w:val="24"/>
          <w:lang w:eastAsia="zh-TW"/>
        </w:rPr>
        <w:footnoteReference w:id="17"/>
      </w:r>
      <w:r w:rsidR="00AF7900" w:rsidRPr="002C088C">
        <w:rPr>
          <w:rFonts w:ascii="Garamond" w:eastAsia="PMingLiU" w:hAnsi="Garamond"/>
          <w:sz w:val="24"/>
          <w:szCs w:val="24"/>
          <w:lang w:eastAsia="zh-TW"/>
        </w:rPr>
        <w:t xml:space="preserve"> would seem to be relatively routine, though no figures are kept which would allow that impression to be confirmed or dispelled.</w:t>
      </w:r>
      <w:r w:rsidR="00AF7900" w:rsidRPr="002C088C">
        <w:rPr>
          <w:rStyle w:val="FootnoteReference"/>
          <w:rFonts w:ascii="Garamond" w:eastAsia="PMingLiU" w:hAnsi="Garamond"/>
          <w:sz w:val="24"/>
          <w:szCs w:val="24"/>
          <w:lang w:eastAsia="zh-TW"/>
        </w:rPr>
        <w:footnoteReference w:id="18"/>
      </w:r>
    </w:p>
    <w:p w:rsidR="00DA28CD" w:rsidRPr="002C088C" w:rsidRDefault="00DA28CD" w:rsidP="000C2DB7">
      <w:pPr>
        <w:spacing w:after="0" w:line="480" w:lineRule="auto"/>
        <w:jc w:val="both"/>
        <w:rPr>
          <w:rFonts w:ascii="Garamond" w:eastAsia="PMingLiU" w:hAnsi="Garamond"/>
          <w:sz w:val="24"/>
          <w:szCs w:val="24"/>
          <w:lang w:eastAsia="zh-TW"/>
        </w:rPr>
      </w:pPr>
    </w:p>
    <w:p w:rsidR="00285045" w:rsidRPr="002C088C" w:rsidRDefault="00AF7900" w:rsidP="000029B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lastRenderedPageBreak/>
        <w:t>Where CMP has not been made available within the criminal justice system, PII claims can be and frequently are made in that context.</w:t>
      </w:r>
      <w:r w:rsidRPr="002C088C">
        <w:rPr>
          <w:rStyle w:val="FootnoteReference"/>
          <w:rFonts w:ascii="Garamond" w:eastAsia="PMingLiU" w:hAnsi="Garamond"/>
          <w:sz w:val="24"/>
          <w:szCs w:val="24"/>
          <w:lang w:eastAsia="zh-TW"/>
        </w:rPr>
        <w:footnoteReference w:id="19"/>
      </w:r>
      <w:r w:rsidRPr="002C088C">
        <w:rPr>
          <w:rFonts w:ascii="Garamond" w:eastAsia="PMingLiU" w:hAnsi="Garamond"/>
          <w:sz w:val="24"/>
          <w:szCs w:val="24"/>
          <w:lang w:eastAsia="zh-TW"/>
        </w:rPr>
        <w:t xml:space="preserve"> </w:t>
      </w:r>
      <w:r w:rsidR="00273759" w:rsidRPr="002C088C">
        <w:rPr>
          <w:rFonts w:ascii="Garamond" w:eastAsia="PMingLiU" w:hAnsi="Garamond" w:hint="eastAsia"/>
          <w:sz w:val="24"/>
          <w:szCs w:val="24"/>
          <w:lang w:eastAsia="zh-TW"/>
        </w:rPr>
        <w:t>The invocation of PII in r</w:t>
      </w:r>
      <w:r w:rsidR="00130976" w:rsidRPr="002C088C">
        <w:rPr>
          <w:rFonts w:ascii="Garamond" w:eastAsia="PMingLiU" w:hAnsi="Garamond" w:hint="eastAsia"/>
          <w:sz w:val="24"/>
          <w:szCs w:val="24"/>
          <w:lang w:eastAsia="zh-TW"/>
        </w:rPr>
        <w:t>elation to criminal proceedings, evidenced in cases going back more than a century,</w:t>
      </w:r>
      <w:r w:rsidR="00336D5D" w:rsidRPr="002C088C">
        <w:rPr>
          <w:rStyle w:val="FootnoteReference"/>
          <w:rFonts w:ascii="Garamond" w:eastAsia="PMingLiU" w:hAnsi="Garamond"/>
          <w:sz w:val="24"/>
          <w:szCs w:val="24"/>
          <w:lang w:eastAsia="zh-TW"/>
        </w:rPr>
        <w:footnoteReference w:id="20"/>
      </w:r>
      <w:r w:rsidR="00130976" w:rsidRPr="002C088C">
        <w:rPr>
          <w:rFonts w:ascii="Garamond" w:eastAsia="PMingLiU" w:hAnsi="Garamond" w:hint="eastAsia"/>
          <w:sz w:val="24"/>
          <w:szCs w:val="24"/>
          <w:lang w:eastAsia="zh-TW"/>
        </w:rPr>
        <w:t xml:space="preserve"> </w:t>
      </w:r>
      <w:r w:rsidR="00273759" w:rsidRPr="002C088C">
        <w:rPr>
          <w:rFonts w:ascii="Garamond" w:eastAsia="PMingLiU" w:hAnsi="Garamond" w:hint="eastAsia"/>
          <w:sz w:val="24"/>
          <w:szCs w:val="24"/>
          <w:lang w:eastAsia="zh-TW"/>
        </w:rPr>
        <w:t xml:space="preserve">gives rise to certain considerations over and above its </w:t>
      </w:r>
      <w:r w:rsidR="00336D5D" w:rsidRPr="002C088C">
        <w:rPr>
          <w:rFonts w:ascii="Garamond" w:eastAsia="PMingLiU" w:hAnsi="Garamond" w:hint="eastAsia"/>
          <w:sz w:val="24"/>
          <w:szCs w:val="24"/>
          <w:lang w:eastAsia="zh-TW"/>
        </w:rPr>
        <w:t>application in the civil sphere</w:t>
      </w:r>
      <w:r w:rsidR="00473F0D" w:rsidRPr="002C088C">
        <w:rPr>
          <w:rFonts w:ascii="Garamond" w:eastAsia="PMingLiU" w:hAnsi="Garamond"/>
          <w:sz w:val="24"/>
          <w:szCs w:val="24"/>
          <w:lang w:eastAsia="zh-TW"/>
        </w:rPr>
        <w:t>,</w:t>
      </w:r>
      <w:r w:rsidR="00336D5D" w:rsidRPr="002C088C">
        <w:rPr>
          <w:rFonts w:ascii="Garamond" w:eastAsia="PMingLiU" w:hAnsi="Garamond" w:hint="eastAsia"/>
          <w:sz w:val="24"/>
          <w:szCs w:val="24"/>
          <w:lang w:eastAsia="zh-TW"/>
        </w:rPr>
        <w:t xml:space="preserve"> from which most of the PII case law derives.</w:t>
      </w:r>
      <w:r w:rsidR="00336D5D" w:rsidRPr="002C088C">
        <w:rPr>
          <w:rStyle w:val="FootnoteReference"/>
          <w:rFonts w:ascii="Garamond" w:eastAsia="PMingLiU" w:hAnsi="Garamond"/>
          <w:sz w:val="24"/>
          <w:szCs w:val="24"/>
          <w:lang w:eastAsia="zh-TW"/>
        </w:rPr>
        <w:footnoteReference w:id="21"/>
      </w:r>
      <w:r w:rsidR="00273759" w:rsidRPr="002C088C">
        <w:rPr>
          <w:rFonts w:ascii="Garamond" w:eastAsia="PMingLiU" w:hAnsi="Garamond" w:hint="eastAsia"/>
          <w:sz w:val="24"/>
          <w:szCs w:val="24"/>
          <w:lang w:eastAsia="zh-TW"/>
        </w:rPr>
        <w:t xml:space="preserve"> </w:t>
      </w:r>
      <w:r w:rsidR="00160225" w:rsidRPr="002C088C">
        <w:rPr>
          <w:rFonts w:ascii="Garamond" w:eastAsia="PMingLiU" w:hAnsi="Garamond"/>
          <w:sz w:val="24"/>
          <w:szCs w:val="24"/>
          <w:lang w:eastAsia="zh-TW"/>
        </w:rPr>
        <w:t>Prominent</w:t>
      </w:r>
      <w:r w:rsidR="00130976" w:rsidRPr="002C088C">
        <w:rPr>
          <w:rFonts w:ascii="Garamond" w:eastAsia="PMingLiU" w:hAnsi="Garamond" w:hint="eastAsia"/>
          <w:sz w:val="24"/>
          <w:szCs w:val="24"/>
          <w:lang w:eastAsia="zh-TW"/>
        </w:rPr>
        <w:t xml:space="preserve"> amongst these was the </w:t>
      </w:r>
      <w:r w:rsidR="00473F0D" w:rsidRPr="002C088C">
        <w:rPr>
          <w:rFonts w:ascii="Garamond" w:eastAsia="PMingLiU" w:hAnsi="Garamond"/>
          <w:sz w:val="24"/>
          <w:szCs w:val="24"/>
          <w:lang w:eastAsia="zh-TW"/>
        </w:rPr>
        <w:t xml:space="preserve">disputed </w:t>
      </w:r>
      <w:r w:rsidR="00130976" w:rsidRPr="002C088C">
        <w:rPr>
          <w:rFonts w:ascii="Garamond" w:eastAsia="PMingLiU" w:hAnsi="Garamond"/>
          <w:sz w:val="24"/>
          <w:szCs w:val="24"/>
          <w:lang w:eastAsia="zh-TW"/>
        </w:rPr>
        <w:t>question</w:t>
      </w:r>
      <w:r w:rsidR="00130976" w:rsidRPr="002C088C">
        <w:rPr>
          <w:rFonts w:ascii="Garamond" w:eastAsia="PMingLiU" w:hAnsi="Garamond" w:hint="eastAsia"/>
          <w:sz w:val="24"/>
          <w:szCs w:val="24"/>
          <w:lang w:eastAsia="zh-TW"/>
        </w:rPr>
        <w:t xml:space="preserve"> of whether it was possible </w:t>
      </w:r>
      <w:r w:rsidR="00336D5D" w:rsidRPr="002C088C">
        <w:rPr>
          <w:rFonts w:ascii="Garamond" w:eastAsia="PMingLiU" w:hAnsi="Garamond" w:hint="eastAsia"/>
          <w:sz w:val="24"/>
          <w:szCs w:val="24"/>
          <w:lang w:eastAsia="zh-TW"/>
        </w:rPr>
        <w:t xml:space="preserve">to make a </w:t>
      </w:r>
      <w:r w:rsidR="00336D5D" w:rsidRPr="002C088C">
        <w:rPr>
          <w:rFonts w:ascii="Garamond" w:eastAsia="PMingLiU" w:hAnsi="Garamond"/>
          <w:sz w:val="24"/>
          <w:szCs w:val="24"/>
          <w:lang w:eastAsia="zh-TW"/>
        </w:rPr>
        <w:t>‘</w:t>
      </w:r>
      <w:r w:rsidR="00336D5D" w:rsidRPr="002C088C">
        <w:rPr>
          <w:rFonts w:ascii="Garamond" w:eastAsia="PMingLiU" w:hAnsi="Garamond" w:hint="eastAsia"/>
          <w:sz w:val="24"/>
          <w:szCs w:val="24"/>
          <w:lang w:eastAsia="zh-TW"/>
        </w:rPr>
        <w:t>class</w:t>
      </w:r>
      <w:r w:rsidR="00336D5D" w:rsidRPr="002C088C">
        <w:rPr>
          <w:rFonts w:ascii="Garamond" w:eastAsia="PMingLiU" w:hAnsi="Garamond"/>
          <w:sz w:val="24"/>
          <w:szCs w:val="24"/>
          <w:lang w:eastAsia="zh-TW"/>
        </w:rPr>
        <w:t>’</w:t>
      </w:r>
      <w:r w:rsidR="00336D5D" w:rsidRPr="002C088C">
        <w:rPr>
          <w:rFonts w:ascii="Garamond" w:eastAsia="PMingLiU" w:hAnsi="Garamond" w:hint="eastAsia"/>
          <w:sz w:val="24"/>
          <w:szCs w:val="24"/>
          <w:lang w:eastAsia="zh-TW"/>
        </w:rPr>
        <w:t xml:space="preserve"> claim for PII </w:t>
      </w:r>
      <w:r w:rsidR="00336D5D" w:rsidRPr="002C088C">
        <w:rPr>
          <w:rFonts w:ascii="Garamond" w:eastAsia="PMingLiU" w:hAnsi="Garamond"/>
          <w:sz w:val="24"/>
          <w:szCs w:val="24"/>
          <w:lang w:eastAsia="zh-TW"/>
        </w:rPr>
        <w:t>–</w:t>
      </w:r>
      <w:r w:rsidR="00336D5D" w:rsidRPr="002C088C">
        <w:rPr>
          <w:rFonts w:ascii="Garamond" w:eastAsia="PMingLiU" w:hAnsi="Garamond" w:hint="eastAsia"/>
          <w:sz w:val="24"/>
          <w:szCs w:val="24"/>
          <w:lang w:eastAsia="zh-TW"/>
        </w:rPr>
        <w:t xml:space="preserve"> that is, one based not upon the contents of the specific documents to </w:t>
      </w:r>
      <w:r w:rsidR="00336D5D" w:rsidRPr="002C088C">
        <w:rPr>
          <w:rFonts w:ascii="Garamond" w:eastAsia="PMingLiU" w:hAnsi="Garamond"/>
          <w:sz w:val="24"/>
          <w:szCs w:val="24"/>
          <w:lang w:eastAsia="zh-TW"/>
        </w:rPr>
        <w:t>which</w:t>
      </w:r>
      <w:r w:rsidR="00336D5D" w:rsidRPr="002C088C">
        <w:rPr>
          <w:rFonts w:ascii="Garamond" w:eastAsia="PMingLiU" w:hAnsi="Garamond" w:hint="eastAsia"/>
          <w:sz w:val="24"/>
          <w:szCs w:val="24"/>
          <w:lang w:eastAsia="zh-TW"/>
        </w:rPr>
        <w:t xml:space="preserve"> </w:t>
      </w:r>
      <w:r w:rsidR="000029B7">
        <w:rPr>
          <w:rFonts w:ascii="Garamond" w:eastAsia="PMingLiU" w:hAnsi="Garamond"/>
          <w:sz w:val="24"/>
          <w:szCs w:val="24"/>
          <w:lang w:eastAsia="zh-TW"/>
        </w:rPr>
        <w:t>the claim</w:t>
      </w:r>
      <w:r w:rsidR="00336D5D" w:rsidRPr="002C088C">
        <w:rPr>
          <w:rFonts w:ascii="Garamond" w:eastAsia="PMingLiU" w:hAnsi="Garamond" w:hint="eastAsia"/>
          <w:sz w:val="24"/>
          <w:szCs w:val="24"/>
          <w:lang w:eastAsia="zh-TW"/>
        </w:rPr>
        <w:t xml:space="preserve"> related </w:t>
      </w:r>
      <w:r w:rsidR="002E212C" w:rsidRPr="002C088C">
        <w:rPr>
          <w:rFonts w:ascii="Garamond" w:eastAsia="PMingLiU" w:hAnsi="Garamond" w:hint="eastAsia"/>
          <w:sz w:val="24"/>
          <w:szCs w:val="24"/>
          <w:lang w:eastAsia="zh-TW"/>
        </w:rPr>
        <w:t xml:space="preserve">but on the class of documents to which </w:t>
      </w:r>
      <w:r w:rsidR="000029B7">
        <w:rPr>
          <w:rFonts w:ascii="Garamond" w:eastAsia="PMingLiU" w:hAnsi="Garamond"/>
          <w:sz w:val="24"/>
          <w:szCs w:val="24"/>
          <w:lang w:eastAsia="zh-TW"/>
        </w:rPr>
        <w:t>those documents</w:t>
      </w:r>
      <w:r w:rsidR="002E212C" w:rsidRPr="002C088C">
        <w:rPr>
          <w:rFonts w:ascii="Garamond" w:eastAsia="PMingLiU" w:hAnsi="Garamond" w:hint="eastAsia"/>
          <w:sz w:val="24"/>
          <w:szCs w:val="24"/>
          <w:lang w:eastAsia="zh-TW"/>
        </w:rPr>
        <w:t xml:space="preserve"> belonged </w:t>
      </w:r>
      <w:r w:rsidR="002E212C" w:rsidRPr="002C088C">
        <w:rPr>
          <w:rFonts w:ascii="Garamond" w:eastAsia="PMingLiU" w:hAnsi="Garamond"/>
          <w:sz w:val="24"/>
          <w:szCs w:val="24"/>
          <w:lang w:eastAsia="zh-TW"/>
        </w:rPr>
        <w:t>–</w:t>
      </w:r>
      <w:r w:rsidR="00453C00" w:rsidRPr="002C088C">
        <w:rPr>
          <w:rFonts w:ascii="Garamond" w:eastAsia="PMingLiU" w:hAnsi="Garamond" w:hint="eastAsia"/>
          <w:sz w:val="24"/>
          <w:szCs w:val="24"/>
          <w:lang w:eastAsia="zh-TW"/>
        </w:rPr>
        <w:t xml:space="preserve"> in relation to criminal trials. </w:t>
      </w:r>
      <w:r w:rsidR="00BD1EAB" w:rsidRPr="002C088C">
        <w:rPr>
          <w:rFonts w:ascii="Garamond" w:eastAsia="PMingLiU" w:hAnsi="Garamond"/>
          <w:sz w:val="24"/>
          <w:szCs w:val="24"/>
          <w:lang w:eastAsia="zh-TW"/>
        </w:rPr>
        <w:t>This question no longer arises, as t</w:t>
      </w:r>
      <w:r w:rsidR="00D22E2A" w:rsidRPr="002C088C">
        <w:rPr>
          <w:rFonts w:ascii="Garamond" w:eastAsia="PMingLiU" w:hAnsi="Garamond" w:hint="eastAsia"/>
          <w:sz w:val="24"/>
          <w:szCs w:val="24"/>
          <w:lang w:eastAsia="zh-TW"/>
        </w:rPr>
        <w:t xml:space="preserve">he practice was abandoned </w:t>
      </w:r>
      <w:r w:rsidR="00BD1EAB" w:rsidRPr="002C088C">
        <w:rPr>
          <w:rFonts w:ascii="Garamond" w:eastAsia="PMingLiU" w:hAnsi="Garamond"/>
          <w:sz w:val="24"/>
          <w:szCs w:val="24"/>
          <w:lang w:eastAsia="zh-TW"/>
        </w:rPr>
        <w:t xml:space="preserve">(generally, rather than merely in relation to criminal trials) </w:t>
      </w:r>
      <w:r w:rsidR="00D22E2A" w:rsidRPr="002C088C">
        <w:rPr>
          <w:rFonts w:ascii="Garamond" w:eastAsia="PMingLiU" w:hAnsi="Garamond" w:hint="eastAsia"/>
          <w:sz w:val="24"/>
          <w:szCs w:val="24"/>
          <w:lang w:eastAsia="zh-TW"/>
        </w:rPr>
        <w:t xml:space="preserve">following criticism </w:t>
      </w:r>
      <w:r w:rsidR="00F00AC2" w:rsidRPr="002C088C">
        <w:rPr>
          <w:rFonts w:ascii="Garamond" w:eastAsia="PMingLiU" w:hAnsi="Garamond"/>
          <w:sz w:val="24"/>
          <w:szCs w:val="24"/>
          <w:lang w:eastAsia="zh-TW"/>
        </w:rPr>
        <w:t xml:space="preserve">by Lord </w:t>
      </w:r>
      <w:r w:rsidR="00D22E2A" w:rsidRPr="002C088C">
        <w:rPr>
          <w:rFonts w:ascii="Garamond" w:eastAsia="PMingLiU" w:hAnsi="Garamond" w:hint="eastAsia"/>
          <w:sz w:val="24"/>
          <w:szCs w:val="24"/>
          <w:lang w:eastAsia="zh-TW"/>
        </w:rPr>
        <w:t xml:space="preserve">Scott </w:t>
      </w:r>
      <w:r w:rsidR="00F00AC2" w:rsidRPr="002C088C">
        <w:rPr>
          <w:rFonts w:ascii="Garamond" w:eastAsia="PMingLiU" w:hAnsi="Garamond"/>
          <w:sz w:val="24"/>
          <w:szCs w:val="24"/>
          <w:lang w:eastAsia="zh-TW"/>
        </w:rPr>
        <w:t>in his report on matters arising out of the</w:t>
      </w:r>
      <w:r w:rsidR="00D22E2A" w:rsidRPr="002C088C">
        <w:rPr>
          <w:rFonts w:ascii="Garamond" w:eastAsia="PMingLiU" w:hAnsi="Garamond" w:hint="eastAsia"/>
          <w:sz w:val="24"/>
          <w:szCs w:val="24"/>
          <w:lang w:eastAsia="zh-TW"/>
        </w:rPr>
        <w:t xml:space="preserve"> </w:t>
      </w:r>
      <w:r w:rsidR="00D22E2A" w:rsidRPr="002C088C">
        <w:rPr>
          <w:rFonts w:ascii="Garamond" w:eastAsia="PMingLiU" w:hAnsi="Garamond" w:hint="eastAsia"/>
          <w:i/>
          <w:iCs/>
          <w:sz w:val="24"/>
          <w:szCs w:val="24"/>
          <w:lang w:eastAsia="zh-TW"/>
        </w:rPr>
        <w:t xml:space="preserve">Matrix Churchill </w:t>
      </w:r>
      <w:r w:rsidR="00D22E2A" w:rsidRPr="002C088C">
        <w:rPr>
          <w:rFonts w:ascii="Garamond" w:eastAsia="PMingLiU" w:hAnsi="Garamond" w:hint="eastAsia"/>
          <w:sz w:val="24"/>
          <w:szCs w:val="24"/>
          <w:lang w:eastAsia="zh-TW"/>
        </w:rPr>
        <w:t>affair.</w:t>
      </w:r>
      <w:r w:rsidR="00285045" w:rsidRPr="002C088C">
        <w:rPr>
          <w:rStyle w:val="FootnoteReference"/>
          <w:rFonts w:ascii="Garamond" w:eastAsia="PMingLiU" w:hAnsi="Garamond"/>
          <w:sz w:val="24"/>
          <w:szCs w:val="24"/>
          <w:lang w:eastAsia="zh-TW"/>
        </w:rPr>
        <w:footnoteReference w:id="22"/>
      </w:r>
      <w:r w:rsidR="00D22E2A" w:rsidRPr="002C088C">
        <w:rPr>
          <w:rFonts w:ascii="Garamond" w:eastAsia="PMingLiU" w:hAnsi="Garamond" w:hint="eastAsia"/>
          <w:sz w:val="24"/>
          <w:szCs w:val="24"/>
          <w:lang w:eastAsia="zh-TW"/>
        </w:rPr>
        <w:t xml:space="preserve"> </w:t>
      </w:r>
      <w:r w:rsidR="00285045" w:rsidRPr="002C088C">
        <w:rPr>
          <w:rFonts w:ascii="Garamond" w:eastAsia="PMingLiU" w:hAnsi="Garamond" w:hint="eastAsia"/>
          <w:sz w:val="24"/>
          <w:szCs w:val="24"/>
          <w:lang w:eastAsia="zh-TW"/>
        </w:rPr>
        <w:t xml:space="preserve">Now, PII in criminal trials is governed in the first place by the Criminal Proceedings and Evidence Act 1996, section 3 of which </w:t>
      </w:r>
      <w:r w:rsidR="00530A67" w:rsidRPr="002C088C">
        <w:rPr>
          <w:rFonts w:ascii="Garamond" w:eastAsia="PMingLiU" w:hAnsi="Garamond"/>
          <w:sz w:val="24"/>
          <w:szCs w:val="24"/>
          <w:lang w:eastAsia="zh-TW"/>
        </w:rPr>
        <w:t>places the prosecution under a general duty of disclosure,</w:t>
      </w:r>
      <w:r w:rsidR="00530A67" w:rsidRPr="002C088C">
        <w:rPr>
          <w:rStyle w:val="FootnoteReference"/>
          <w:rFonts w:ascii="Garamond" w:eastAsia="PMingLiU" w:hAnsi="Garamond"/>
          <w:sz w:val="24"/>
          <w:szCs w:val="24"/>
          <w:lang w:eastAsia="zh-TW"/>
        </w:rPr>
        <w:footnoteReference w:id="23"/>
      </w:r>
      <w:r w:rsidR="00530A67" w:rsidRPr="002C088C">
        <w:rPr>
          <w:rFonts w:ascii="Garamond" w:eastAsia="PMingLiU" w:hAnsi="Garamond"/>
          <w:sz w:val="24"/>
          <w:szCs w:val="24"/>
          <w:lang w:eastAsia="zh-TW"/>
        </w:rPr>
        <w:t xml:space="preserve"> but makes that duty subject to the</w:t>
      </w:r>
      <w:r w:rsidR="001852C0" w:rsidRPr="002C088C">
        <w:rPr>
          <w:rFonts w:ascii="Garamond" w:eastAsia="PMingLiU" w:hAnsi="Garamond" w:hint="eastAsia"/>
          <w:sz w:val="24"/>
          <w:szCs w:val="24"/>
          <w:lang w:eastAsia="zh-TW"/>
        </w:rPr>
        <w:t xml:space="preserve"> exception</w:t>
      </w:r>
      <w:r w:rsidR="001852C0" w:rsidRPr="002C088C">
        <w:rPr>
          <w:rFonts w:ascii="Garamond" w:eastAsia="PMingLiU" w:hAnsi="Garamond"/>
          <w:sz w:val="24"/>
          <w:szCs w:val="24"/>
          <w:lang w:eastAsia="zh-TW"/>
        </w:rPr>
        <w:t xml:space="preserve"> </w:t>
      </w:r>
      <w:r w:rsidR="00285045" w:rsidRPr="002C088C">
        <w:rPr>
          <w:rFonts w:ascii="Garamond" w:eastAsia="PMingLiU" w:hAnsi="Garamond" w:hint="eastAsia"/>
          <w:sz w:val="24"/>
          <w:szCs w:val="24"/>
          <w:lang w:eastAsia="zh-TW"/>
        </w:rPr>
        <w:t xml:space="preserve">that </w:t>
      </w:r>
      <w:r w:rsidR="00285045" w:rsidRPr="002C088C">
        <w:rPr>
          <w:rFonts w:ascii="Garamond" w:eastAsia="PMingLiU" w:hAnsi="Garamond"/>
          <w:sz w:val="24"/>
          <w:szCs w:val="24"/>
          <w:lang w:eastAsia="zh-TW"/>
        </w:rPr>
        <w:t>“[m]</w:t>
      </w:r>
      <w:proofErr w:type="spellStart"/>
      <w:r w:rsidR="00285045" w:rsidRPr="002C088C">
        <w:rPr>
          <w:rFonts w:ascii="Garamond" w:eastAsia="PMingLiU" w:hAnsi="Garamond"/>
          <w:sz w:val="24"/>
          <w:szCs w:val="24"/>
          <w:lang w:eastAsia="zh-TW"/>
        </w:rPr>
        <w:t>aterial</w:t>
      </w:r>
      <w:proofErr w:type="spellEnd"/>
      <w:r w:rsidR="00285045" w:rsidRPr="002C088C">
        <w:rPr>
          <w:rFonts w:ascii="Garamond" w:eastAsia="PMingLiU" w:hAnsi="Garamond"/>
          <w:sz w:val="24"/>
          <w:szCs w:val="24"/>
          <w:lang w:eastAsia="zh-TW"/>
        </w:rPr>
        <w:t xml:space="preserve"> must not be disclosed under this section to the extent that the court, on an application by the prosecutor, concludes it is not in the public interest to disclose it and orders accordingly.”</w:t>
      </w:r>
      <w:r w:rsidR="00285045" w:rsidRPr="002C088C">
        <w:rPr>
          <w:rStyle w:val="FootnoteReference"/>
          <w:rFonts w:ascii="Garamond" w:eastAsia="PMingLiU" w:hAnsi="Garamond"/>
          <w:sz w:val="24"/>
          <w:szCs w:val="24"/>
          <w:lang w:eastAsia="zh-TW"/>
        </w:rPr>
        <w:footnoteReference w:id="24"/>
      </w:r>
      <w:r w:rsidR="00285045" w:rsidRPr="002C088C">
        <w:rPr>
          <w:rFonts w:ascii="Garamond" w:eastAsia="PMingLiU" w:hAnsi="Garamond"/>
          <w:sz w:val="24"/>
          <w:szCs w:val="24"/>
          <w:lang w:eastAsia="zh-TW"/>
        </w:rPr>
        <w:t xml:space="preserve"> </w:t>
      </w:r>
      <w:r w:rsidR="007C5725">
        <w:rPr>
          <w:rFonts w:ascii="Garamond" w:eastAsia="PMingLiU" w:hAnsi="Garamond"/>
          <w:sz w:val="24"/>
          <w:szCs w:val="24"/>
          <w:lang w:eastAsia="zh-TW"/>
        </w:rPr>
        <w:t>T</w:t>
      </w:r>
      <w:r w:rsidR="00DA29F1">
        <w:rPr>
          <w:rFonts w:ascii="Garamond" w:eastAsia="PMingLiU" w:hAnsi="Garamond"/>
          <w:sz w:val="24"/>
          <w:szCs w:val="24"/>
          <w:lang w:eastAsia="zh-TW"/>
        </w:rPr>
        <w:t>he possibility of non-disclosure is</w:t>
      </w:r>
      <w:r w:rsidR="00706F76">
        <w:rPr>
          <w:rFonts w:ascii="Garamond" w:eastAsia="PMingLiU" w:hAnsi="Garamond"/>
          <w:sz w:val="24"/>
          <w:szCs w:val="24"/>
          <w:lang w:eastAsia="zh-TW"/>
        </w:rPr>
        <w:t xml:space="preserve"> </w:t>
      </w:r>
      <w:r w:rsidR="00E84436">
        <w:rPr>
          <w:rFonts w:ascii="Garamond" w:eastAsia="PMingLiU" w:hAnsi="Garamond"/>
          <w:sz w:val="24"/>
          <w:szCs w:val="24"/>
          <w:lang w:eastAsia="zh-TW"/>
        </w:rPr>
        <w:t>though</w:t>
      </w:r>
      <w:r w:rsidR="00DA29F1">
        <w:rPr>
          <w:rFonts w:ascii="Garamond" w:eastAsia="PMingLiU" w:hAnsi="Garamond"/>
          <w:sz w:val="24"/>
          <w:szCs w:val="24"/>
          <w:lang w:eastAsia="zh-TW"/>
        </w:rPr>
        <w:t xml:space="preserve"> limited by the requirement that the process viewed as a whole must not be unfair to the defendant. If that would be the effect of material’s non-disclosure, then</w:t>
      </w:r>
      <w:r w:rsidR="00DA29F1" w:rsidRPr="00285045">
        <w:rPr>
          <w:rFonts w:ascii="Garamond" w:eastAsia="PMingLiU" w:hAnsi="Garamond"/>
          <w:sz w:val="24"/>
          <w:szCs w:val="24"/>
          <w:lang w:eastAsia="zh-TW"/>
        </w:rPr>
        <w:t xml:space="preserve"> </w:t>
      </w:r>
      <w:r w:rsidR="00DA29F1">
        <w:rPr>
          <w:rFonts w:ascii="Garamond" w:eastAsia="PMingLiU" w:hAnsi="Garamond"/>
          <w:sz w:val="24"/>
          <w:szCs w:val="24"/>
          <w:lang w:eastAsia="zh-TW"/>
        </w:rPr>
        <w:t>“</w:t>
      </w:r>
      <w:r w:rsidR="00DA29F1" w:rsidRPr="00285045">
        <w:rPr>
          <w:rFonts w:ascii="Garamond" w:eastAsia="PMingLiU" w:hAnsi="Garamond"/>
          <w:sz w:val="24"/>
          <w:szCs w:val="24"/>
          <w:lang w:eastAsia="zh-TW"/>
        </w:rPr>
        <w:t xml:space="preserve">fuller disclosure should be ordered even if this leads or may lead the prosecution to discontinue the proceedings so as to avoid having to make </w:t>
      </w:r>
      <w:r w:rsidR="00DA29F1" w:rsidRPr="00285045">
        <w:rPr>
          <w:rFonts w:ascii="Garamond" w:eastAsia="PMingLiU" w:hAnsi="Garamond"/>
          <w:sz w:val="24"/>
          <w:szCs w:val="24"/>
          <w:lang w:eastAsia="zh-TW"/>
        </w:rPr>
        <w:lastRenderedPageBreak/>
        <w:t>disclosure.</w:t>
      </w:r>
      <w:r w:rsidR="00DA29F1">
        <w:rPr>
          <w:rFonts w:ascii="Garamond" w:eastAsia="PMingLiU" w:hAnsi="Garamond"/>
          <w:sz w:val="24"/>
          <w:szCs w:val="24"/>
          <w:lang w:eastAsia="zh-TW"/>
        </w:rPr>
        <w:t>”</w:t>
      </w:r>
      <w:r w:rsidR="00DA29F1">
        <w:rPr>
          <w:rStyle w:val="FootnoteReference"/>
          <w:rFonts w:ascii="Garamond" w:eastAsia="PMingLiU" w:hAnsi="Garamond"/>
          <w:sz w:val="24"/>
          <w:szCs w:val="24"/>
          <w:lang w:eastAsia="zh-TW"/>
        </w:rPr>
        <w:footnoteReference w:id="25"/>
      </w:r>
      <w:r w:rsidR="00DA29F1">
        <w:rPr>
          <w:rFonts w:ascii="Garamond" w:eastAsia="PMingLiU" w:hAnsi="Garamond"/>
          <w:sz w:val="24"/>
          <w:szCs w:val="24"/>
          <w:lang w:eastAsia="zh-TW"/>
        </w:rPr>
        <w:t xml:space="preserve"> </w:t>
      </w:r>
      <w:r w:rsidR="00244AA5" w:rsidRPr="002C088C">
        <w:rPr>
          <w:rFonts w:ascii="Garamond" w:eastAsia="PMingLiU" w:hAnsi="Garamond"/>
          <w:sz w:val="24"/>
          <w:szCs w:val="24"/>
          <w:lang w:eastAsia="zh-TW"/>
        </w:rPr>
        <w:t>As such, while the issue of unfairness arising out of the use of PII in civil cases remains contentious,</w:t>
      </w:r>
      <w:r w:rsidR="00244AA5" w:rsidRPr="002C088C">
        <w:rPr>
          <w:rStyle w:val="FootnoteReference"/>
          <w:rFonts w:ascii="Garamond" w:eastAsia="PMingLiU" w:hAnsi="Garamond"/>
          <w:sz w:val="24"/>
          <w:szCs w:val="24"/>
          <w:lang w:eastAsia="zh-TW"/>
        </w:rPr>
        <w:footnoteReference w:id="26"/>
      </w:r>
      <w:r w:rsidR="00244AA5" w:rsidRPr="002C088C">
        <w:rPr>
          <w:rFonts w:ascii="Garamond" w:eastAsia="PMingLiU" w:hAnsi="Garamond"/>
          <w:sz w:val="24"/>
          <w:szCs w:val="24"/>
          <w:lang w:eastAsia="zh-TW"/>
        </w:rPr>
        <w:t xml:space="preserve"> its use in the criminal context is clearly bounded by a requirement that fairness be preserved.</w:t>
      </w:r>
      <w:r w:rsidR="00244AA5" w:rsidRPr="002C088C">
        <w:rPr>
          <w:rStyle w:val="FootnoteReference"/>
          <w:rFonts w:ascii="Garamond" w:eastAsia="PMingLiU" w:hAnsi="Garamond"/>
          <w:sz w:val="24"/>
          <w:szCs w:val="24"/>
          <w:lang w:eastAsia="zh-TW"/>
        </w:rPr>
        <w:footnoteReference w:id="27"/>
      </w:r>
      <w:r w:rsidR="00244AA5" w:rsidRPr="002C088C">
        <w:rPr>
          <w:rFonts w:ascii="Garamond" w:eastAsia="PMingLiU" w:hAnsi="Garamond"/>
          <w:sz w:val="24"/>
          <w:szCs w:val="24"/>
          <w:lang w:eastAsia="zh-TW"/>
        </w:rPr>
        <w:t xml:space="preserve"> </w:t>
      </w:r>
      <w:r w:rsidR="00285045" w:rsidRPr="002C088C">
        <w:rPr>
          <w:rFonts w:ascii="Garamond" w:eastAsia="PMingLiU" w:hAnsi="Garamond"/>
          <w:sz w:val="24"/>
          <w:szCs w:val="24"/>
          <w:lang w:eastAsia="zh-TW"/>
        </w:rPr>
        <w:t>Why this</w:t>
      </w:r>
      <w:r w:rsidR="00FE477B" w:rsidRPr="002C088C">
        <w:rPr>
          <w:rFonts w:ascii="Garamond" w:eastAsia="PMingLiU" w:hAnsi="Garamond"/>
          <w:sz w:val="24"/>
          <w:szCs w:val="24"/>
          <w:lang w:eastAsia="zh-TW"/>
        </w:rPr>
        <w:t xml:space="preserve"> distinction (if that is what it is) might exist is</w:t>
      </w:r>
      <w:r w:rsidR="00285045" w:rsidRPr="002C088C">
        <w:rPr>
          <w:rFonts w:ascii="Garamond" w:eastAsia="PMingLiU" w:hAnsi="Garamond"/>
          <w:sz w:val="24"/>
          <w:szCs w:val="24"/>
          <w:lang w:eastAsia="zh-TW"/>
        </w:rPr>
        <w:t xml:space="preserve"> not difficult to surmise: </w:t>
      </w:r>
      <w:r w:rsidR="00C1208C" w:rsidRPr="002C088C">
        <w:rPr>
          <w:rFonts w:ascii="Garamond" w:eastAsia="PMingLiU" w:hAnsi="Garamond"/>
          <w:sz w:val="24"/>
          <w:szCs w:val="24"/>
          <w:lang w:eastAsia="zh-TW"/>
        </w:rPr>
        <w:t>criminal trials implicate the liberty of the individual in a way which civil pro</w:t>
      </w:r>
      <w:r w:rsidR="00AC47FD" w:rsidRPr="002C088C">
        <w:rPr>
          <w:rFonts w:ascii="Garamond" w:eastAsia="PMingLiU" w:hAnsi="Garamond"/>
          <w:sz w:val="24"/>
          <w:szCs w:val="24"/>
          <w:lang w:eastAsia="zh-TW"/>
        </w:rPr>
        <w:t>cedures do so only contingently,</w:t>
      </w:r>
      <w:r w:rsidR="00CE1A89" w:rsidRPr="002C088C">
        <w:rPr>
          <w:rStyle w:val="FootnoteReference"/>
          <w:rFonts w:ascii="Garamond" w:eastAsia="PMingLiU" w:hAnsi="Garamond"/>
          <w:sz w:val="24"/>
          <w:szCs w:val="24"/>
          <w:lang w:eastAsia="zh-TW"/>
        </w:rPr>
        <w:footnoteReference w:id="28"/>
      </w:r>
      <w:r w:rsidR="00AC47FD" w:rsidRPr="002C088C">
        <w:rPr>
          <w:rFonts w:ascii="Garamond" w:eastAsia="PMingLiU" w:hAnsi="Garamond"/>
          <w:sz w:val="24"/>
          <w:szCs w:val="24"/>
          <w:lang w:eastAsia="zh-TW"/>
        </w:rPr>
        <w:t xml:space="preserve"> and </w:t>
      </w:r>
      <w:r w:rsidR="004A7CA3" w:rsidRPr="002C088C">
        <w:rPr>
          <w:rFonts w:ascii="Garamond" w:eastAsia="PMingLiU" w:hAnsi="Garamond"/>
          <w:sz w:val="24"/>
          <w:szCs w:val="24"/>
          <w:lang w:eastAsia="zh-TW"/>
        </w:rPr>
        <w:t xml:space="preserve">the use of PII to justify non-disclosure in evidence of material without which </w:t>
      </w:r>
      <w:r w:rsidR="002E5F39">
        <w:rPr>
          <w:rFonts w:ascii="Garamond" w:eastAsia="PMingLiU" w:hAnsi="Garamond"/>
          <w:sz w:val="24"/>
          <w:szCs w:val="24"/>
          <w:lang w:eastAsia="zh-TW"/>
        </w:rPr>
        <w:t>a criminal</w:t>
      </w:r>
      <w:r w:rsidR="004A7CA3" w:rsidRPr="002C088C">
        <w:rPr>
          <w:rFonts w:ascii="Garamond" w:eastAsia="PMingLiU" w:hAnsi="Garamond"/>
          <w:sz w:val="24"/>
          <w:szCs w:val="24"/>
          <w:lang w:eastAsia="zh-TW"/>
        </w:rPr>
        <w:t xml:space="preserve"> cannot take place fairly is liable to result in </w:t>
      </w:r>
      <w:r w:rsidR="00294132" w:rsidRPr="002C088C">
        <w:rPr>
          <w:rFonts w:ascii="Garamond" w:eastAsia="PMingLiU" w:hAnsi="Garamond"/>
          <w:sz w:val="24"/>
          <w:szCs w:val="24"/>
          <w:lang w:eastAsia="zh-TW"/>
        </w:rPr>
        <w:t>a miscarriage of justice.</w:t>
      </w:r>
    </w:p>
    <w:p w:rsidR="00EE2D72" w:rsidRPr="002C088C" w:rsidRDefault="00EE2D72" w:rsidP="000C2DB7">
      <w:pPr>
        <w:spacing w:after="0" w:line="480" w:lineRule="auto"/>
        <w:jc w:val="both"/>
        <w:rPr>
          <w:rFonts w:ascii="Garamond" w:hAnsi="Garamond"/>
          <w:b/>
          <w:bCs/>
          <w:sz w:val="24"/>
          <w:szCs w:val="24"/>
        </w:rPr>
      </w:pPr>
    </w:p>
    <w:p w:rsidR="00286130" w:rsidRPr="0052169D" w:rsidRDefault="00553E42" w:rsidP="00350B80">
      <w:pPr>
        <w:spacing w:after="0" w:line="480" w:lineRule="auto"/>
        <w:jc w:val="both"/>
        <w:rPr>
          <w:rFonts w:ascii="Garamond" w:hAnsi="Garamond"/>
          <w:sz w:val="24"/>
          <w:szCs w:val="24"/>
        </w:rPr>
      </w:pPr>
      <w:r w:rsidRPr="002C088C">
        <w:rPr>
          <w:rFonts w:ascii="Garamond" w:eastAsia="PMingLiU" w:hAnsi="Garamond"/>
          <w:sz w:val="24"/>
          <w:szCs w:val="24"/>
          <w:lang w:eastAsia="zh-TW"/>
        </w:rPr>
        <w:t>Along</w:t>
      </w:r>
      <w:r w:rsidR="00BD4E09" w:rsidRPr="002C088C">
        <w:rPr>
          <w:rFonts w:ascii="Garamond" w:eastAsia="PMingLiU" w:hAnsi="Garamond"/>
          <w:sz w:val="24"/>
          <w:szCs w:val="24"/>
          <w:lang w:eastAsia="zh-TW"/>
        </w:rPr>
        <w:t xml:space="preserve">side </w:t>
      </w:r>
      <w:r w:rsidR="00C41269" w:rsidRPr="002C088C">
        <w:rPr>
          <w:rFonts w:ascii="Garamond" w:eastAsia="PMingLiU" w:hAnsi="Garamond"/>
          <w:sz w:val="24"/>
          <w:szCs w:val="24"/>
          <w:lang w:eastAsia="zh-TW"/>
        </w:rPr>
        <w:t xml:space="preserve">PII </w:t>
      </w:r>
      <w:r w:rsidR="00940E67">
        <w:rPr>
          <w:rFonts w:ascii="Garamond" w:eastAsia="PMingLiU" w:hAnsi="Garamond"/>
          <w:sz w:val="24"/>
          <w:szCs w:val="24"/>
          <w:lang w:eastAsia="zh-TW"/>
        </w:rPr>
        <w:t>a second</w:t>
      </w:r>
      <w:r w:rsidR="00C41269" w:rsidRPr="002C088C">
        <w:rPr>
          <w:rFonts w:ascii="Garamond" w:eastAsia="PMingLiU" w:hAnsi="Garamond"/>
          <w:sz w:val="24"/>
          <w:szCs w:val="24"/>
          <w:lang w:eastAsia="zh-TW"/>
        </w:rPr>
        <w:t xml:space="preserve"> </w:t>
      </w:r>
      <w:r w:rsidRPr="002C088C">
        <w:rPr>
          <w:rFonts w:ascii="Garamond" w:eastAsia="PMingLiU" w:hAnsi="Garamond"/>
          <w:sz w:val="24"/>
          <w:szCs w:val="24"/>
          <w:lang w:eastAsia="zh-TW"/>
        </w:rPr>
        <w:t>exception to the ordinary procedural rules of the criminal courts</w:t>
      </w:r>
      <w:r w:rsidR="00C41269" w:rsidRPr="002C088C">
        <w:rPr>
          <w:rFonts w:ascii="Garamond" w:eastAsia="PMingLiU" w:hAnsi="Garamond"/>
          <w:sz w:val="24"/>
          <w:szCs w:val="24"/>
          <w:lang w:eastAsia="zh-TW"/>
        </w:rPr>
        <w:t xml:space="preserve"> </w:t>
      </w:r>
      <w:r w:rsidR="007C3864">
        <w:rPr>
          <w:rFonts w:ascii="Garamond" w:eastAsia="PMingLiU" w:hAnsi="Garamond"/>
          <w:sz w:val="24"/>
          <w:szCs w:val="24"/>
          <w:lang w:eastAsia="zh-TW"/>
        </w:rPr>
        <w:t xml:space="preserve">must now be </w:t>
      </w:r>
      <w:r w:rsidR="00C35270">
        <w:rPr>
          <w:rFonts w:ascii="Garamond" w:eastAsia="PMingLiU" w:hAnsi="Garamond"/>
          <w:sz w:val="24"/>
          <w:szCs w:val="24"/>
          <w:lang w:eastAsia="zh-TW"/>
        </w:rPr>
        <w:t>numbered</w:t>
      </w:r>
      <w:r w:rsidR="00466497" w:rsidRPr="002C088C">
        <w:rPr>
          <w:rFonts w:ascii="Garamond" w:eastAsia="PMingLiU" w:hAnsi="Garamond"/>
          <w:sz w:val="24"/>
          <w:szCs w:val="24"/>
          <w:lang w:eastAsia="zh-TW"/>
        </w:rPr>
        <w:t xml:space="preserve">: </w:t>
      </w:r>
      <w:r w:rsidRPr="002C088C">
        <w:rPr>
          <w:rFonts w:ascii="Garamond" w:eastAsia="PMingLiU" w:hAnsi="Garamond"/>
          <w:sz w:val="24"/>
          <w:szCs w:val="24"/>
          <w:lang w:eastAsia="zh-TW"/>
        </w:rPr>
        <w:t>the holding of trials wholly or partially in camera,</w:t>
      </w:r>
      <w:r w:rsidR="00904EC7" w:rsidRPr="002C088C">
        <w:rPr>
          <w:rFonts w:ascii="Garamond" w:eastAsia="PMingLiU" w:hAnsi="Garamond"/>
          <w:sz w:val="24"/>
          <w:szCs w:val="24"/>
          <w:lang w:eastAsia="zh-TW"/>
        </w:rPr>
        <w:t xml:space="preserve"> with press and public excluded</w:t>
      </w:r>
      <w:r w:rsidR="00C63387" w:rsidRPr="002C088C">
        <w:rPr>
          <w:rFonts w:ascii="Garamond" w:eastAsia="PMingLiU" w:hAnsi="Garamond"/>
          <w:sz w:val="24"/>
          <w:szCs w:val="24"/>
          <w:lang w:eastAsia="zh-TW"/>
        </w:rPr>
        <w:t>.</w:t>
      </w:r>
      <w:r w:rsidRPr="002C088C">
        <w:rPr>
          <w:rFonts w:ascii="Garamond" w:eastAsia="PMingLiU" w:hAnsi="Garamond"/>
          <w:sz w:val="24"/>
          <w:szCs w:val="24"/>
          <w:lang w:eastAsia="zh-TW"/>
        </w:rPr>
        <w:t xml:space="preserve"> </w:t>
      </w:r>
      <w:r w:rsidR="00CB27E4" w:rsidRPr="002C088C">
        <w:rPr>
          <w:rFonts w:ascii="Garamond" w:eastAsia="PMingLiU" w:hAnsi="Garamond"/>
          <w:sz w:val="24"/>
          <w:szCs w:val="24"/>
          <w:lang w:eastAsia="zh-TW"/>
        </w:rPr>
        <w:t>A</w:t>
      </w:r>
      <w:r w:rsidR="00C40090" w:rsidRPr="002C088C">
        <w:rPr>
          <w:rFonts w:ascii="Garamond" w:eastAsia="PMingLiU" w:hAnsi="Garamond"/>
          <w:sz w:val="24"/>
          <w:szCs w:val="24"/>
          <w:lang w:eastAsia="zh-TW"/>
        </w:rPr>
        <w:t xml:space="preserve">n </w:t>
      </w:r>
      <w:r w:rsidRPr="002C088C">
        <w:rPr>
          <w:rFonts w:ascii="Garamond" w:eastAsia="PMingLiU" w:hAnsi="Garamond"/>
          <w:sz w:val="24"/>
          <w:szCs w:val="24"/>
          <w:lang w:eastAsia="zh-TW"/>
        </w:rPr>
        <w:t xml:space="preserve">examination of </w:t>
      </w:r>
      <w:r w:rsidR="00796458" w:rsidRPr="002C088C">
        <w:rPr>
          <w:rFonts w:ascii="Garamond" w:eastAsia="PMingLiU" w:hAnsi="Garamond"/>
          <w:sz w:val="24"/>
          <w:szCs w:val="24"/>
          <w:lang w:eastAsia="zh-TW"/>
        </w:rPr>
        <w:t xml:space="preserve">recent </w:t>
      </w:r>
      <w:r w:rsidRPr="002C088C">
        <w:rPr>
          <w:rFonts w:ascii="Garamond" w:eastAsia="PMingLiU" w:hAnsi="Garamond"/>
          <w:sz w:val="24"/>
          <w:szCs w:val="24"/>
          <w:lang w:eastAsia="zh-TW"/>
        </w:rPr>
        <w:t>cases in which trials have taken place</w:t>
      </w:r>
      <w:r w:rsidR="00C35270">
        <w:rPr>
          <w:rFonts w:ascii="Garamond" w:eastAsia="PMingLiU" w:hAnsi="Garamond"/>
          <w:sz w:val="24"/>
          <w:szCs w:val="24"/>
          <w:lang w:eastAsia="zh-TW"/>
        </w:rPr>
        <w:t xml:space="preserve"> in camera</w:t>
      </w:r>
      <w:r w:rsidRPr="002C088C">
        <w:rPr>
          <w:rFonts w:ascii="Garamond" w:eastAsia="PMingLiU" w:hAnsi="Garamond"/>
          <w:sz w:val="24"/>
          <w:szCs w:val="24"/>
          <w:lang w:eastAsia="zh-TW"/>
        </w:rPr>
        <w:t xml:space="preserve"> suggests</w:t>
      </w:r>
      <w:r w:rsidR="006C0853" w:rsidRPr="002C088C">
        <w:rPr>
          <w:rFonts w:ascii="Garamond" w:eastAsia="PMingLiU" w:hAnsi="Garamond"/>
          <w:sz w:val="24"/>
          <w:szCs w:val="24"/>
          <w:lang w:eastAsia="zh-TW"/>
        </w:rPr>
        <w:t xml:space="preserve"> that there exist </w:t>
      </w:r>
      <w:r w:rsidR="00112551" w:rsidRPr="002C088C">
        <w:rPr>
          <w:rFonts w:ascii="Garamond" w:eastAsia="PMingLiU" w:hAnsi="Garamond"/>
          <w:sz w:val="24"/>
          <w:szCs w:val="24"/>
          <w:lang w:eastAsia="zh-TW"/>
        </w:rPr>
        <w:t xml:space="preserve">important continuities </w:t>
      </w:r>
      <w:r w:rsidR="00B92345" w:rsidRPr="002C088C">
        <w:rPr>
          <w:rFonts w:ascii="Garamond" w:eastAsia="PMingLiU" w:hAnsi="Garamond"/>
          <w:sz w:val="24"/>
          <w:szCs w:val="24"/>
          <w:lang w:eastAsia="zh-TW"/>
        </w:rPr>
        <w:t xml:space="preserve">between </w:t>
      </w:r>
      <w:r w:rsidR="00E101D5" w:rsidRPr="002C088C">
        <w:rPr>
          <w:rFonts w:ascii="Garamond" w:eastAsia="PMingLiU" w:hAnsi="Garamond"/>
          <w:sz w:val="24"/>
          <w:szCs w:val="24"/>
          <w:lang w:eastAsia="zh-TW"/>
        </w:rPr>
        <w:t xml:space="preserve">this phenomenon and that of </w:t>
      </w:r>
      <w:r w:rsidR="00063EA1" w:rsidRPr="002C088C">
        <w:rPr>
          <w:rFonts w:ascii="Garamond" w:eastAsia="PMingLiU" w:hAnsi="Garamond"/>
          <w:sz w:val="24"/>
          <w:szCs w:val="24"/>
          <w:lang w:eastAsia="zh-TW"/>
        </w:rPr>
        <w:t xml:space="preserve">PII, such that </w:t>
      </w:r>
      <w:r w:rsidR="00235AFA" w:rsidRPr="002C088C">
        <w:rPr>
          <w:rFonts w:ascii="Garamond" w:eastAsia="PMingLiU" w:hAnsi="Garamond"/>
          <w:sz w:val="24"/>
          <w:szCs w:val="24"/>
          <w:lang w:eastAsia="zh-TW"/>
        </w:rPr>
        <w:t xml:space="preserve">the two </w:t>
      </w:r>
      <w:r w:rsidR="008538AE" w:rsidRPr="002C088C">
        <w:rPr>
          <w:rFonts w:ascii="Garamond" w:eastAsia="PMingLiU" w:hAnsi="Garamond"/>
          <w:sz w:val="24"/>
          <w:szCs w:val="24"/>
          <w:lang w:eastAsia="zh-TW"/>
        </w:rPr>
        <w:t>mechanisms</w:t>
      </w:r>
      <w:r w:rsidR="00235AFA" w:rsidRPr="002C088C">
        <w:rPr>
          <w:rFonts w:ascii="Garamond" w:eastAsia="PMingLiU" w:hAnsi="Garamond"/>
          <w:sz w:val="24"/>
          <w:szCs w:val="24"/>
          <w:lang w:eastAsia="zh-TW"/>
        </w:rPr>
        <w:t xml:space="preserve"> have </w:t>
      </w:r>
      <w:r w:rsidR="00F62A12" w:rsidRPr="002C088C">
        <w:rPr>
          <w:rFonts w:ascii="Garamond" w:eastAsia="PMingLiU" w:hAnsi="Garamond"/>
          <w:sz w:val="24"/>
          <w:szCs w:val="24"/>
          <w:lang w:eastAsia="zh-TW"/>
        </w:rPr>
        <w:t xml:space="preserve">been </w:t>
      </w:r>
      <w:r w:rsidR="00020537">
        <w:rPr>
          <w:rFonts w:ascii="Garamond" w:eastAsia="PMingLiU" w:hAnsi="Garamond"/>
          <w:sz w:val="24"/>
          <w:szCs w:val="24"/>
          <w:lang w:eastAsia="zh-TW"/>
        </w:rPr>
        <w:t>treated</w:t>
      </w:r>
      <w:r w:rsidR="00257955" w:rsidRPr="002C088C">
        <w:rPr>
          <w:rFonts w:ascii="Garamond" w:eastAsia="PMingLiU" w:hAnsi="Garamond"/>
          <w:sz w:val="24"/>
          <w:szCs w:val="24"/>
          <w:lang w:eastAsia="zh-TW"/>
        </w:rPr>
        <w:t xml:space="preserve"> as analogous one to the other</w:t>
      </w:r>
      <w:r w:rsidR="00415001" w:rsidRPr="002C088C">
        <w:rPr>
          <w:rFonts w:ascii="Garamond" w:eastAsia="PMingLiU" w:hAnsi="Garamond"/>
          <w:sz w:val="24"/>
          <w:szCs w:val="24"/>
          <w:lang w:eastAsia="zh-TW"/>
        </w:rPr>
        <w:t xml:space="preserve"> </w:t>
      </w:r>
      <w:r w:rsidR="00BC00CC">
        <w:rPr>
          <w:rFonts w:ascii="Garamond" w:eastAsia="PMingLiU" w:hAnsi="Garamond"/>
          <w:sz w:val="24"/>
          <w:szCs w:val="24"/>
          <w:lang w:eastAsia="zh-TW"/>
        </w:rPr>
        <w:t xml:space="preserve">(as is, on the present account, </w:t>
      </w:r>
      <w:r w:rsidR="00121755">
        <w:rPr>
          <w:rFonts w:ascii="Garamond" w:eastAsia="PMingLiU" w:hAnsi="Garamond"/>
          <w:sz w:val="24"/>
          <w:szCs w:val="24"/>
          <w:lang w:eastAsia="zh-TW"/>
        </w:rPr>
        <w:t xml:space="preserve">legitimate) </w:t>
      </w:r>
      <w:r w:rsidR="00415001" w:rsidRPr="002C088C">
        <w:rPr>
          <w:rFonts w:ascii="Garamond" w:eastAsia="PMingLiU" w:hAnsi="Garamond"/>
          <w:sz w:val="24"/>
          <w:szCs w:val="24"/>
          <w:lang w:eastAsia="zh-TW"/>
        </w:rPr>
        <w:t>and</w:t>
      </w:r>
      <w:r w:rsidR="00257955" w:rsidRPr="002C088C">
        <w:rPr>
          <w:rFonts w:ascii="Garamond" w:eastAsia="PMingLiU" w:hAnsi="Garamond"/>
          <w:sz w:val="24"/>
          <w:szCs w:val="24"/>
          <w:lang w:eastAsia="zh-TW"/>
        </w:rPr>
        <w:t xml:space="preserve"> at times even, as will be seen, </w:t>
      </w:r>
      <w:r w:rsidR="00C51980">
        <w:rPr>
          <w:rFonts w:ascii="Garamond" w:eastAsia="PMingLiU" w:hAnsi="Garamond"/>
          <w:sz w:val="24"/>
          <w:szCs w:val="24"/>
          <w:lang w:eastAsia="zh-TW"/>
        </w:rPr>
        <w:t>discussed</w:t>
      </w:r>
      <w:r w:rsidR="00257955" w:rsidRPr="002C088C">
        <w:rPr>
          <w:rFonts w:ascii="Garamond" w:eastAsia="PMingLiU" w:hAnsi="Garamond"/>
          <w:sz w:val="24"/>
          <w:szCs w:val="24"/>
          <w:lang w:eastAsia="zh-TW"/>
        </w:rPr>
        <w:t xml:space="preserve"> as </w:t>
      </w:r>
      <w:r w:rsidR="00AF7D78" w:rsidRPr="002C088C">
        <w:rPr>
          <w:rFonts w:ascii="Garamond" w:eastAsia="PMingLiU" w:hAnsi="Garamond"/>
          <w:sz w:val="24"/>
          <w:szCs w:val="24"/>
          <w:lang w:eastAsia="zh-TW"/>
        </w:rPr>
        <w:t>though they were the same thing</w:t>
      </w:r>
      <w:r w:rsidR="009208F3">
        <w:rPr>
          <w:rFonts w:ascii="Garamond" w:eastAsia="PMingLiU" w:hAnsi="Garamond"/>
          <w:sz w:val="24"/>
          <w:szCs w:val="24"/>
          <w:lang w:eastAsia="zh-TW"/>
        </w:rPr>
        <w:t xml:space="preserve"> (which is not)</w:t>
      </w:r>
      <w:r w:rsidR="00976AC3" w:rsidRPr="002C088C">
        <w:rPr>
          <w:rFonts w:ascii="Garamond" w:eastAsia="PMingLiU" w:hAnsi="Garamond"/>
          <w:sz w:val="24"/>
          <w:szCs w:val="24"/>
          <w:lang w:eastAsia="zh-TW"/>
        </w:rPr>
        <w:t>.</w:t>
      </w:r>
      <w:r w:rsidRPr="002C088C">
        <w:rPr>
          <w:rFonts w:ascii="Garamond" w:eastAsia="PMingLiU" w:hAnsi="Garamond"/>
          <w:sz w:val="24"/>
          <w:szCs w:val="24"/>
          <w:lang w:eastAsia="zh-TW"/>
        </w:rPr>
        <w:t xml:space="preserve"> </w:t>
      </w:r>
      <w:r w:rsidR="00874725">
        <w:rPr>
          <w:rFonts w:ascii="Garamond" w:eastAsia="PMingLiU" w:hAnsi="Garamond"/>
          <w:sz w:val="24"/>
          <w:szCs w:val="24"/>
          <w:lang w:eastAsia="zh-TW"/>
        </w:rPr>
        <w:t>Four</w:t>
      </w:r>
      <w:r w:rsidRPr="002C088C">
        <w:rPr>
          <w:rFonts w:ascii="Garamond" w:eastAsia="PMingLiU" w:hAnsi="Garamond" w:hint="eastAsia"/>
          <w:sz w:val="24"/>
          <w:szCs w:val="24"/>
          <w:lang w:eastAsia="zh-TW"/>
        </w:rPr>
        <w:t xml:space="preserve"> </w:t>
      </w:r>
      <w:r w:rsidRPr="002C088C">
        <w:rPr>
          <w:rFonts w:ascii="Garamond" w:eastAsia="PMingLiU" w:hAnsi="Garamond"/>
          <w:sz w:val="24"/>
          <w:szCs w:val="24"/>
          <w:lang w:eastAsia="zh-TW"/>
        </w:rPr>
        <w:t>examples</w:t>
      </w:r>
      <w:r w:rsidRPr="002C088C">
        <w:rPr>
          <w:rFonts w:ascii="Garamond" w:eastAsia="PMingLiU" w:hAnsi="Garamond" w:hint="eastAsia"/>
          <w:sz w:val="24"/>
          <w:szCs w:val="24"/>
          <w:lang w:eastAsia="zh-TW"/>
        </w:rPr>
        <w:t xml:space="preserve"> fall to be considered here</w:t>
      </w:r>
      <w:r w:rsidR="001B2934">
        <w:rPr>
          <w:rFonts w:ascii="Garamond" w:eastAsia="PMingLiU" w:hAnsi="Garamond"/>
          <w:sz w:val="24"/>
          <w:szCs w:val="24"/>
          <w:lang w:eastAsia="zh-TW"/>
        </w:rPr>
        <w:t xml:space="preserve">. </w:t>
      </w:r>
      <w:r w:rsidR="00286130">
        <w:rPr>
          <w:rFonts w:ascii="Garamond" w:eastAsia="PMingLiU" w:hAnsi="Garamond"/>
          <w:sz w:val="24"/>
          <w:szCs w:val="24"/>
          <w:lang w:eastAsia="zh-TW"/>
        </w:rPr>
        <w:t>The first can be dealt with briefly, for it discloses</w:t>
      </w:r>
      <w:r w:rsidR="00645665">
        <w:rPr>
          <w:rFonts w:ascii="Garamond" w:eastAsia="PMingLiU" w:hAnsi="Garamond"/>
          <w:sz w:val="24"/>
          <w:szCs w:val="24"/>
          <w:lang w:eastAsia="zh-TW"/>
        </w:rPr>
        <w:t xml:space="preserve"> relatively</w:t>
      </w:r>
      <w:r w:rsidR="00286130">
        <w:rPr>
          <w:rFonts w:ascii="Garamond" w:eastAsia="PMingLiU" w:hAnsi="Garamond"/>
          <w:sz w:val="24"/>
          <w:szCs w:val="24"/>
          <w:lang w:eastAsia="zh-TW"/>
        </w:rPr>
        <w:t xml:space="preserve"> little about the </w:t>
      </w:r>
      <w:r w:rsidR="00706F76">
        <w:rPr>
          <w:rFonts w:ascii="Garamond" w:eastAsia="PMingLiU" w:hAnsi="Garamond"/>
          <w:sz w:val="24"/>
          <w:szCs w:val="24"/>
          <w:lang w:eastAsia="zh-TW"/>
        </w:rPr>
        <w:t xml:space="preserve">relevant </w:t>
      </w:r>
      <w:r w:rsidR="00286130" w:rsidRPr="00286130">
        <w:rPr>
          <w:rFonts w:ascii="Garamond" w:hAnsi="Garamond"/>
          <w:sz w:val="24"/>
          <w:szCs w:val="24"/>
        </w:rPr>
        <w:t xml:space="preserve">legal issues. In April 2007, 6 individuals were convicted </w:t>
      </w:r>
      <w:r w:rsidR="00286130">
        <w:rPr>
          <w:rFonts w:ascii="Garamond" w:hAnsi="Garamond"/>
          <w:sz w:val="24"/>
          <w:szCs w:val="24"/>
        </w:rPr>
        <w:t>of</w:t>
      </w:r>
      <w:r w:rsidR="00286130" w:rsidRPr="00286130">
        <w:rPr>
          <w:rFonts w:ascii="Garamond" w:hAnsi="Garamond"/>
          <w:sz w:val="24"/>
          <w:szCs w:val="24"/>
        </w:rPr>
        <w:t xml:space="preserve"> offences contrary to the Explosive Substances Act 1883 and (in the case of </w:t>
      </w:r>
      <w:r w:rsidR="002A625E">
        <w:rPr>
          <w:rFonts w:ascii="Garamond" w:hAnsi="Garamond"/>
          <w:sz w:val="24"/>
          <w:szCs w:val="24"/>
        </w:rPr>
        <w:t>2</w:t>
      </w:r>
      <w:r w:rsidR="00286130" w:rsidRPr="00286130">
        <w:rPr>
          <w:rFonts w:ascii="Garamond" w:hAnsi="Garamond"/>
          <w:sz w:val="24"/>
          <w:szCs w:val="24"/>
        </w:rPr>
        <w:t xml:space="preserve"> of the 6) offences contrary to the Terrorism Act 2000. </w:t>
      </w:r>
      <w:r w:rsidR="007A59FE">
        <w:rPr>
          <w:rFonts w:ascii="Garamond" w:hAnsi="Garamond"/>
          <w:sz w:val="24"/>
          <w:szCs w:val="24"/>
        </w:rPr>
        <w:t xml:space="preserve">The </w:t>
      </w:r>
      <w:r w:rsidR="00286130" w:rsidRPr="00286130">
        <w:rPr>
          <w:rFonts w:ascii="Garamond" w:hAnsi="Garamond"/>
          <w:sz w:val="24"/>
          <w:szCs w:val="24"/>
        </w:rPr>
        <w:t>decision of the Court of Appeal Criminal Division</w:t>
      </w:r>
      <w:r w:rsidR="00E75A14">
        <w:rPr>
          <w:rStyle w:val="FootnoteReference"/>
          <w:rFonts w:ascii="Garamond" w:hAnsi="Garamond"/>
          <w:sz w:val="24"/>
          <w:szCs w:val="24"/>
        </w:rPr>
        <w:footnoteReference w:id="29"/>
      </w:r>
      <w:r w:rsidR="00286130" w:rsidRPr="00286130">
        <w:rPr>
          <w:rFonts w:ascii="Garamond" w:hAnsi="Garamond"/>
          <w:sz w:val="24"/>
          <w:szCs w:val="24"/>
        </w:rPr>
        <w:t xml:space="preserve"> in </w:t>
      </w:r>
      <w:r w:rsidR="00C02354">
        <w:rPr>
          <w:rFonts w:ascii="Garamond" w:hAnsi="Garamond"/>
          <w:sz w:val="24"/>
          <w:szCs w:val="24"/>
        </w:rPr>
        <w:t>the</w:t>
      </w:r>
      <w:r w:rsidR="00286130" w:rsidRPr="00286130">
        <w:rPr>
          <w:rFonts w:ascii="Garamond" w:hAnsi="Garamond"/>
          <w:sz w:val="24"/>
          <w:szCs w:val="24"/>
        </w:rPr>
        <w:t xml:space="preserve"> (unsuccessful) appeal against the convictions </w:t>
      </w:r>
      <w:r w:rsidR="00C02354">
        <w:rPr>
          <w:rFonts w:ascii="Garamond" w:hAnsi="Garamond"/>
          <w:sz w:val="24"/>
          <w:szCs w:val="24"/>
        </w:rPr>
        <w:t>makes clear</w:t>
      </w:r>
      <w:r w:rsidR="00286130" w:rsidRPr="00286130">
        <w:rPr>
          <w:rFonts w:ascii="Garamond" w:hAnsi="Garamond"/>
          <w:sz w:val="24"/>
          <w:szCs w:val="24"/>
        </w:rPr>
        <w:t xml:space="preserve"> that the trial took place partly in </w:t>
      </w:r>
      <w:r w:rsidR="00286130" w:rsidRPr="00B35012">
        <w:rPr>
          <w:rFonts w:ascii="Garamond" w:hAnsi="Garamond"/>
          <w:sz w:val="24"/>
          <w:szCs w:val="24"/>
        </w:rPr>
        <w:t>camera in order to consider material relating to the</w:t>
      </w:r>
      <w:r w:rsidR="005D6AA0">
        <w:rPr>
          <w:rFonts w:ascii="Garamond" w:hAnsi="Garamond"/>
          <w:sz w:val="24"/>
          <w:szCs w:val="24"/>
        </w:rPr>
        <w:t xml:space="preserve"> alleged mis</w:t>
      </w:r>
      <w:r w:rsidR="009B5A64">
        <w:rPr>
          <w:rFonts w:ascii="Garamond" w:hAnsi="Garamond"/>
          <w:sz w:val="24"/>
          <w:szCs w:val="24"/>
        </w:rPr>
        <w:t xml:space="preserve">treatment in Pakistan </w:t>
      </w:r>
      <w:r w:rsidR="00286130" w:rsidRPr="00B35012">
        <w:rPr>
          <w:rFonts w:ascii="Garamond" w:hAnsi="Garamond"/>
          <w:sz w:val="24"/>
          <w:szCs w:val="24"/>
        </w:rPr>
        <w:t xml:space="preserve">of </w:t>
      </w:r>
      <w:proofErr w:type="spellStart"/>
      <w:r w:rsidR="00286130" w:rsidRPr="00B35012">
        <w:rPr>
          <w:rFonts w:ascii="Garamond" w:hAnsi="Garamond"/>
          <w:sz w:val="24"/>
          <w:szCs w:val="24"/>
        </w:rPr>
        <w:t>Salahuddin</w:t>
      </w:r>
      <w:proofErr w:type="spellEnd"/>
      <w:r w:rsidR="00286130" w:rsidRPr="00B35012">
        <w:rPr>
          <w:rFonts w:ascii="Garamond" w:hAnsi="Garamond"/>
          <w:sz w:val="24"/>
          <w:szCs w:val="24"/>
        </w:rPr>
        <w:t xml:space="preserve"> Amin, one of the </w:t>
      </w:r>
      <w:r w:rsidR="008011E2" w:rsidRPr="00B35012">
        <w:rPr>
          <w:rFonts w:ascii="Garamond" w:hAnsi="Garamond"/>
          <w:sz w:val="24"/>
          <w:szCs w:val="24"/>
        </w:rPr>
        <w:t>6</w:t>
      </w:r>
      <w:r w:rsidR="009B5A64">
        <w:rPr>
          <w:rFonts w:ascii="Garamond" w:hAnsi="Garamond"/>
          <w:sz w:val="24"/>
          <w:szCs w:val="24"/>
        </w:rPr>
        <w:t xml:space="preserve"> defendants, and the circumsta</w:t>
      </w:r>
      <w:r w:rsidR="00CF74F3">
        <w:rPr>
          <w:rFonts w:ascii="Garamond" w:hAnsi="Garamond"/>
          <w:sz w:val="24"/>
          <w:szCs w:val="24"/>
        </w:rPr>
        <w:t xml:space="preserve">nces of his arrival in </w:t>
      </w:r>
      <w:r w:rsidR="00CF74F3">
        <w:rPr>
          <w:rFonts w:ascii="Garamond" w:hAnsi="Garamond"/>
          <w:sz w:val="24"/>
          <w:szCs w:val="24"/>
        </w:rPr>
        <w:lastRenderedPageBreak/>
        <w:t>Britain.</w:t>
      </w:r>
      <w:r w:rsidR="00940130" w:rsidRPr="00B35012">
        <w:rPr>
          <w:rStyle w:val="FootnoteReference"/>
          <w:rFonts w:ascii="Garamond" w:hAnsi="Garamond"/>
          <w:sz w:val="24"/>
          <w:szCs w:val="24"/>
        </w:rPr>
        <w:footnoteReference w:id="30"/>
      </w:r>
      <w:r w:rsidR="00940130" w:rsidRPr="00B35012">
        <w:rPr>
          <w:rFonts w:ascii="Garamond" w:hAnsi="Garamond"/>
          <w:sz w:val="24"/>
          <w:szCs w:val="24"/>
        </w:rPr>
        <w:t xml:space="preserve"> </w:t>
      </w:r>
      <w:r w:rsidR="00286130" w:rsidRPr="00B35012">
        <w:rPr>
          <w:rFonts w:ascii="Garamond" w:hAnsi="Garamond"/>
          <w:sz w:val="24"/>
          <w:szCs w:val="24"/>
        </w:rPr>
        <w:t>Amin has since brought civil claims against the Director General of the Security Service and others on the basis that British intel</w:t>
      </w:r>
      <w:r w:rsidR="00AA795B">
        <w:rPr>
          <w:rFonts w:ascii="Garamond" w:hAnsi="Garamond"/>
          <w:sz w:val="24"/>
          <w:szCs w:val="24"/>
        </w:rPr>
        <w:t>ligence officers were complicit</w:t>
      </w:r>
      <w:r w:rsidR="00286130" w:rsidRPr="00B35012">
        <w:rPr>
          <w:rFonts w:ascii="Garamond" w:hAnsi="Garamond"/>
          <w:sz w:val="24"/>
          <w:szCs w:val="24"/>
        </w:rPr>
        <w:t xml:space="preserve"> in his mistreatment in Pakistan. These claims</w:t>
      </w:r>
      <w:r w:rsidR="002E5F39">
        <w:rPr>
          <w:rFonts w:ascii="Garamond" w:hAnsi="Garamond"/>
          <w:sz w:val="24"/>
          <w:szCs w:val="24"/>
        </w:rPr>
        <w:t xml:space="preserve"> (</w:t>
      </w:r>
      <w:r w:rsidR="003E5647">
        <w:rPr>
          <w:rFonts w:ascii="Garamond" w:hAnsi="Garamond"/>
          <w:sz w:val="24"/>
          <w:szCs w:val="24"/>
        </w:rPr>
        <w:t>which</w:t>
      </w:r>
      <w:r w:rsidR="00286130" w:rsidRPr="00B35012">
        <w:rPr>
          <w:rFonts w:ascii="Garamond" w:hAnsi="Garamond"/>
          <w:sz w:val="24"/>
          <w:szCs w:val="24"/>
        </w:rPr>
        <w:t xml:space="preserve"> have been struck out as an abuse o</w:t>
      </w:r>
      <w:r w:rsidR="00166A97">
        <w:rPr>
          <w:rFonts w:ascii="Garamond" w:hAnsi="Garamond"/>
          <w:sz w:val="24"/>
          <w:szCs w:val="24"/>
        </w:rPr>
        <w:t>f process, in that they attempt to re-open issues</w:t>
      </w:r>
      <w:r w:rsidR="00706F76">
        <w:rPr>
          <w:rFonts w:ascii="Garamond" w:hAnsi="Garamond"/>
          <w:sz w:val="24"/>
          <w:szCs w:val="24"/>
        </w:rPr>
        <w:t xml:space="preserve"> of fact</w:t>
      </w:r>
      <w:r w:rsidR="00166A97">
        <w:rPr>
          <w:rFonts w:ascii="Garamond" w:hAnsi="Garamond"/>
          <w:sz w:val="24"/>
          <w:szCs w:val="24"/>
        </w:rPr>
        <w:t xml:space="preserve"> </w:t>
      </w:r>
      <w:r w:rsidR="00681EC1">
        <w:rPr>
          <w:rFonts w:ascii="Garamond" w:hAnsi="Garamond"/>
          <w:sz w:val="24"/>
          <w:szCs w:val="24"/>
        </w:rPr>
        <w:t>which</w:t>
      </w:r>
      <w:r w:rsidR="002C2DBE">
        <w:rPr>
          <w:rFonts w:ascii="Garamond" w:hAnsi="Garamond"/>
          <w:sz w:val="24"/>
          <w:szCs w:val="24"/>
        </w:rPr>
        <w:t xml:space="preserve"> had </w:t>
      </w:r>
      <w:r w:rsidR="003E5647">
        <w:rPr>
          <w:rFonts w:ascii="Garamond" w:hAnsi="Garamond"/>
          <w:sz w:val="24"/>
          <w:szCs w:val="24"/>
        </w:rPr>
        <w:t xml:space="preserve">been decided by the trial </w:t>
      </w:r>
      <w:r w:rsidR="003E5647" w:rsidRPr="00A3044B">
        <w:rPr>
          <w:rFonts w:ascii="Garamond" w:hAnsi="Garamond"/>
          <w:sz w:val="24"/>
          <w:szCs w:val="24"/>
        </w:rPr>
        <w:t>judge</w:t>
      </w:r>
      <w:r w:rsidR="002E5F39">
        <w:rPr>
          <w:rFonts w:ascii="Garamond" w:hAnsi="Garamond"/>
          <w:sz w:val="24"/>
          <w:szCs w:val="24"/>
        </w:rPr>
        <w:t>)</w:t>
      </w:r>
      <w:r w:rsidR="00D22D36" w:rsidRPr="00A3044B">
        <w:rPr>
          <w:rStyle w:val="FootnoteReference"/>
          <w:rFonts w:ascii="Garamond" w:hAnsi="Garamond"/>
          <w:sz w:val="24"/>
          <w:szCs w:val="24"/>
        </w:rPr>
        <w:footnoteReference w:id="31"/>
      </w:r>
      <w:r w:rsidR="00286130" w:rsidRPr="00A3044B">
        <w:rPr>
          <w:rFonts w:ascii="Garamond" w:hAnsi="Garamond"/>
          <w:sz w:val="24"/>
          <w:szCs w:val="24"/>
        </w:rPr>
        <w:t xml:space="preserve"> </w:t>
      </w:r>
      <w:r w:rsidR="003E5647" w:rsidRPr="00A3044B">
        <w:rPr>
          <w:rFonts w:ascii="Garamond" w:hAnsi="Garamond"/>
          <w:sz w:val="24"/>
          <w:szCs w:val="24"/>
        </w:rPr>
        <w:t>repeatedly assert that the in camer</w:t>
      </w:r>
      <w:r w:rsidR="00C0695A" w:rsidRPr="00A3044B">
        <w:rPr>
          <w:rFonts w:ascii="Garamond" w:hAnsi="Garamond"/>
          <w:sz w:val="24"/>
          <w:szCs w:val="24"/>
        </w:rPr>
        <w:t>a</w:t>
      </w:r>
      <w:r w:rsidR="003E5647" w:rsidRPr="00A3044B">
        <w:rPr>
          <w:rFonts w:ascii="Garamond" w:hAnsi="Garamond"/>
          <w:sz w:val="24"/>
          <w:szCs w:val="24"/>
        </w:rPr>
        <w:t xml:space="preserve"> order was made ‘in light of’</w:t>
      </w:r>
      <w:r w:rsidR="00967909" w:rsidRPr="00A3044B">
        <w:rPr>
          <w:rStyle w:val="FootnoteReference"/>
          <w:rFonts w:ascii="Garamond" w:hAnsi="Garamond"/>
          <w:sz w:val="24"/>
          <w:szCs w:val="24"/>
        </w:rPr>
        <w:footnoteReference w:id="32"/>
      </w:r>
      <w:r w:rsidR="003E5647" w:rsidRPr="00A3044B">
        <w:rPr>
          <w:rFonts w:ascii="Garamond" w:hAnsi="Garamond"/>
          <w:sz w:val="24"/>
          <w:szCs w:val="24"/>
        </w:rPr>
        <w:t xml:space="preserve"> or ‘following consideration of’</w:t>
      </w:r>
      <w:r w:rsidR="00BB60F6" w:rsidRPr="00A3044B">
        <w:rPr>
          <w:rStyle w:val="FootnoteReference"/>
          <w:rFonts w:ascii="Garamond" w:hAnsi="Garamond"/>
          <w:sz w:val="24"/>
          <w:szCs w:val="24"/>
        </w:rPr>
        <w:footnoteReference w:id="33"/>
      </w:r>
      <w:r w:rsidR="00CC7BB2">
        <w:rPr>
          <w:rFonts w:ascii="Garamond" w:hAnsi="Garamond"/>
          <w:sz w:val="24"/>
          <w:szCs w:val="24"/>
        </w:rPr>
        <w:t xml:space="preserve"> a PII Certificate, indicating </w:t>
      </w:r>
      <w:r w:rsidR="0043207E">
        <w:rPr>
          <w:rFonts w:ascii="Garamond" w:hAnsi="Garamond"/>
          <w:sz w:val="24"/>
          <w:szCs w:val="24"/>
        </w:rPr>
        <w:t>either a belief in the existence of a</w:t>
      </w:r>
      <w:r w:rsidR="00CC7BB2">
        <w:rPr>
          <w:rFonts w:ascii="Garamond" w:hAnsi="Garamond"/>
          <w:sz w:val="24"/>
          <w:szCs w:val="24"/>
        </w:rPr>
        <w:t xml:space="preserve"> conti</w:t>
      </w:r>
      <w:r w:rsidR="00955F38">
        <w:rPr>
          <w:rFonts w:ascii="Garamond" w:hAnsi="Garamond"/>
          <w:sz w:val="24"/>
          <w:szCs w:val="24"/>
        </w:rPr>
        <w:t>nuity between the two phenomena or</w:t>
      </w:r>
      <w:r w:rsidR="0043207E">
        <w:rPr>
          <w:rFonts w:ascii="Garamond" w:hAnsi="Garamond"/>
          <w:sz w:val="24"/>
          <w:szCs w:val="24"/>
        </w:rPr>
        <w:t>, alternatively, a failure to distinguish carefully between them.</w:t>
      </w:r>
      <w:r w:rsidR="00826734">
        <w:rPr>
          <w:rFonts w:ascii="Garamond" w:hAnsi="Garamond"/>
          <w:sz w:val="24"/>
          <w:szCs w:val="24"/>
        </w:rPr>
        <w:t xml:space="preserve"> </w:t>
      </w:r>
      <w:r w:rsidR="00CB15AF">
        <w:rPr>
          <w:rFonts w:ascii="Garamond" w:hAnsi="Garamond"/>
          <w:sz w:val="24"/>
          <w:szCs w:val="24"/>
        </w:rPr>
        <w:t xml:space="preserve">Contributing to the confusion is the fact that </w:t>
      </w:r>
      <w:r w:rsidR="00AA5C40">
        <w:rPr>
          <w:rFonts w:ascii="Garamond" w:hAnsi="Garamond"/>
          <w:sz w:val="24"/>
          <w:szCs w:val="24"/>
        </w:rPr>
        <w:t xml:space="preserve">alongside </w:t>
      </w:r>
      <w:r w:rsidR="00907402">
        <w:rPr>
          <w:rFonts w:ascii="Garamond" w:hAnsi="Garamond"/>
          <w:sz w:val="24"/>
          <w:szCs w:val="24"/>
        </w:rPr>
        <w:t>the in</w:t>
      </w:r>
      <w:r w:rsidR="00900D5A">
        <w:rPr>
          <w:rFonts w:ascii="Garamond" w:hAnsi="Garamond"/>
          <w:sz w:val="24"/>
          <w:szCs w:val="24"/>
        </w:rPr>
        <w:t xml:space="preserve"> camera regime</w:t>
      </w:r>
      <w:r w:rsidR="001011D3">
        <w:rPr>
          <w:rFonts w:ascii="Garamond" w:hAnsi="Garamond"/>
          <w:sz w:val="24"/>
          <w:szCs w:val="24"/>
        </w:rPr>
        <w:t xml:space="preserve"> in Amin</w:t>
      </w:r>
      <w:r w:rsidR="00900D5A">
        <w:rPr>
          <w:rFonts w:ascii="Garamond" w:hAnsi="Garamond"/>
          <w:sz w:val="24"/>
          <w:szCs w:val="24"/>
        </w:rPr>
        <w:t xml:space="preserve"> a traditional PII </w:t>
      </w:r>
      <w:r w:rsidR="009004E7">
        <w:rPr>
          <w:rFonts w:ascii="Garamond" w:hAnsi="Garamond"/>
          <w:sz w:val="24"/>
          <w:szCs w:val="24"/>
        </w:rPr>
        <w:t xml:space="preserve">process </w:t>
      </w:r>
      <w:r w:rsidR="006F2074">
        <w:rPr>
          <w:rFonts w:ascii="Garamond" w:hAnsi="Garamond"/>
          <w:sz w:val="24"/>
          <w:szCs w:val="24"/>
        </w:rPr>
        <w:t>(that is, one resulting in material’</w:t>
      </w:r>
      <w:r w:rsidR="00B60D1D">
        <w:rPr>
          <w:rFonts w:ascii="Garamond" w:hAnsi="Garamond"/>
          <w:sz w:val="24"/>
          <w:szCs w:val="24"/>
        </w:rPr>
        <w:t>s non-</w:t>
      </w:r>
      <w:r w:rsidR="006F2074">
        <w:rPr>
          <w:rFonts w:ascii="Garamond" w:hAnsi="Garamond"/>
          <w:sz w:val="24"/>
          <w:szCs w:val="24"/>
        </w:rPr>
        <w:t>disclosure</w:t>
      </w:r>
      <w:r w:rsidR="000D2455">
        <w:rPr>
          <w:rFonts w:ascii="Garamond" w:hAnsi="Garamond"/>
          <w:sz w:val="24"/>
          <w:szCs w:val="24"/>
        </w:rPr>
        <w:t xml:space="preserve"> rather than its disclosure in camera</w:t>
      </w:r>
      <w:r w:rsidR="006F2074">
        <w:rPr>
          <w:rFonts w:ascii="Garamond" w:hAnsi="Garamond"/>
          <w:sz w:val="24"/>
          <w:szCs w:val="24"/>
        </w:rPr>
        <w:t xml:space="preserve">) </w:t>
      </w:r>
      <w:r w:rsidR="00FD0609">
        <w:rPr>
          <w:rFonts w:ascii="Garamond" w:hAnsi="Garamond"/>
          <w:sz w:val="24"/>
          <w:szCs w:val="24"/>
        </w:rPr>
        <w:t xml:space="preserve">seems </w:t>
      </w:r>
      <w:r w:rsidR="00B60D1D">
        <w:rPr>
          <w:rFonts w:ascii="Garamond" w:hAnsi="Garamond"/>
          <w:sz w:val="24"/>
          <w:szCs w:val="24"/>
        </w:rPr>
        <w:t>also</w:t>
      </w:r>
      <w:r w:rsidR="00FD0609">
        <w:rPr>
          <w:rFonts w:ascii="Garamond" w:hAnsi="Garamond"/>
          <w:sz w:val="24"/>
          <w:szCs w:val="24"/>
        </w:rPr>
        <w:t xml:space="preserve"> to have taken</w:t>
      </w:r>
      <w:r w:rsidR="00B60D1D">
        <w:rPr>
          <w:rFonts w:ascii="Garamond" w:hAnsi="Garamond"/>
          <w:sz w:val="24"/>
          <w:szCs w:val="24"/>
        </w:rPr>
        <w:t xml:space="preserve"> place</w:t>
      </w:r>
      <w:r w:rsidR="00150694">
        <w:rPr>
          <w:rStyle w:val="FootnoteReference"/>
          <w:rFonts w:ascii="Garamond" w:hAnsi="Garamond"/>
          <w:sz w:val="24"/>
          <w:szCs w:val="24"/>
        </w:rPr>
        <w:footnoteReference w:id="34"/>
      </w:r>
      <w:r w:rsidR="00325B09">
        <w:rPr>
          <w:rFonts w:ascii="Garamond" w:hAnsi="Garamond"/>
          <w:sz w:val="24"/>
          <w:szCs w:val="24"/>
        </w:rPr>
        <w:t xml:space="preserve"> – indeed, and foreshadowing a discussi</w:t>
      </w:r>
      <w:r w:rsidR="00D42B04">
        <w:rPr>
          <w:rFonts w:ascii="Garamond" w:hAnsi="Garamond"/>
          <w:sz w:val="24"/>
          <w:szCs w:val="24"/>
        </w:rPr>
        <w:t xml:space="preserve">on which will take place below, some material seems to have been disclosed </w:t>
      </w:r>
      <w:r w:rsidR="00D42B04">
        <w:rPr>
          <w:rFonts w:ascii="Garamond" w:hAnsi="Garamond"/>
          <w:i/>
          <w:sz w:val="24"/>
          <w:szCs w:val="24"/>
        </w:rPr>
        <w:t xml:space="preserve">only </w:t>
      </w:r>
      <w:r w:rsidR="00D42B04">
        <w:rPr>
          <w:rFonts w:ascii="Garamond" w:hAnsi="Garamond"/>
          <w:sz w:val="24"/>
          <w:szCs w:val="24"/>
        </w:rPr>
        <w:t xml:space="preserve">because it </w:t>
      </w:r>
      <w:r w:rsidR="00A000B0">
        <w:rPr>
          <w:rFonts w:ascii="Garamond" w:hAnsi="Garamond"/>
          <w:sz w:val="24"/>
          <w:szCs w:val="24"/>
        </w:rPr>
        <w:t>would only be aired in camera.</w:t>
      </w:r>
      <w:r w:rsidR="006B0DFD">
        <w:rPr>
          <w:rStyle w:val="FootnoteReference"/>
          <w:rFonts w:ascii="Garamond" w:hAnsi="Garamond"/>
          <w:sz w:val="24"/>
          <w:szCs w:val="24"/>
        </w:rPr>
        <w:footnoteReference w:id="35"/>
      </w:r>
      <w:r w:rsidR="00BC68AC">
        <w:rPr>
          <w:rFonts w:ascii="Garamond" w:hAnsi="Garamond"/>
          <w:sz w:val="24"/>
          <w:szCs w:val="24"/>
        </w:rPr>
        <w:t xml:space="preserve"> </w:t>
      </w:r>
      <w:r w:rsidR="00826734">
        <w:rPr>
          <w:rFonts w:ascii="Garamond" w:hAnsi="Garamond"/>
          <w:sz w:val="24"/>
          <w:szCs w:val="24"/>
        </w:rPr>
        <w:t xml:space="preserve">The </w:t>
      </w:r>
      <w:r w:rsidR="00EF61FE">
        <w:rPr>
          <w:rFonts w:ascii="Garamond" w:hAnsi="Garamond"/>
          <w:sz w:val="24"/>
          <w:szCs w:val="24"/>
        </w:rPr>
        <w:t xml:space="preserve">basic </w:t>
      </w:r>
      <w:r w:rsidR="00826734">
        <w:rPr>
          <w:rFonts w:ascii="Garamond" w:hAnsi="Garamond"/>
          <w:sz w:val="24"/>
          <w:szCs w:val="24"/>
        </w:rPr>
        <w:t xml:space="preserve">point </w:t>
      </w:r>
      <w:r w:rsidR="00A57DA5">
        <w:rPr>
          <w:rFonts w:ascii="Garamond" w:hAnsi="Garamond"/>
          <w:sz w:val="24"/>
          <w:szCs w:val="24"/>
        </w:rPr>
        <w:t xml:space="preserve">is </w:t>
      </w:r>
      <w:r w:rsidR="00826734">
        <w:rPr>
          <w:rFonts w:ascii="Garamond" w:hAnsi="Garamond"/>
          <w:sz w:val="24"/>
          <w:szCs w:val="24"/>
        </w:rPr>
        <w:t xml:space="preserve">not, however, further explored in the various civil judgments and nothing in the available criminal judgments sheds light of what relationship – if any – the judge who made the original in camera order took to exist between that order and the law of PII. </w:t>
      </w:r>
    </w:p>
    <w:p w:rsidR="00286130" w:rsidRDefault="00286130" w:rsidP="000C2DB7">
      <w:pPr>
        <w:spacing w:after="0" w:line="480" w:lineRule="auto"/>
        <w:jc w:val="both"/>
        <w:rPr>
          <w:rFonts w:ascii="Garamond" w:eastAsia="PMingLiU" w:hAnsi="Garamond"/>
          <w:sz w:val="24"/>
          <w:szCs w:val="24"/>
          <w:lang w:eastAsia="zh-TW"/>
        </w:rPr>
      </w:pPr>
    </w:p>
    <w:p w:rsidR="00553E42" w:rsidRPr="002C088C" w:rsidRDefault="00962398" w:rsidP="000C2DB7">
      <w:pPr>
        <w:spacing w:after="0" w:line="480" w:lineRule="auto"/>
        <w:jc w:val="both"/>
        <w:rPr>
          <w:rFonts w:ascii="Garamond" w:eastAsia="PMingLiU" w:hAnsi="Garamond"/>
          <w:sz w:val="24"/>
          <w:szCs w:val="24"/>
          <w:lang w:eastAsia="zh-TW"/>
        </w:rPr>
      </w:pPr>
      <w:r>
        <w:rPr>
          <w:rFonts w:ascii="Garamond" w:eastAsia="PMingLiU" w:hAnsi="Garamond"/>
          <w:sz w:val="24"/>
          <w:szCs w:val="24"/>
          <w:lang w:eastAsia="zh-TW"/>
        </w:rPr>
        <w:t xml:space="preserve">More light is shed </w:t>
      </w:r>
      <w:r w:rsidR="00EA1338">
        <w:rPr>
          <w:rFonts w:ascii="Garamond" w:eastAsia="PMingLiU" w:hAnsi="Garamond"/>
          <w:sz w:val="24"/>
          <w:szCs w:val="24"/>
          <w:lang w:eastAsia="zh-TW"/>
        </w:rPr>
        <w:t>on the subject</w:t>
      </w:r>
      <w:r w:rsidR="0095723B">
        <w:rPr>
          <w:rFonts w:ascii="Garamond" w:eastAsia="PMingLiU" w:hAnsi="Garamond"/>
          <w:sz w:val="24"/>
          <w:szCs w:val="24"/>
          <w:lang w:eastAsia="zh-TW"/>
        </w:rPr>
        <w:t xml:space="preserve"> by a </w:t>
      </w:r>
      <w:r w:rsidR="0000645A">
        <w:rPr>
          <w:rFonts w:ascii="Garamond" w:eastAsia="PMingLiU" w:hAnsi="Garamond"/>
          <w:sz w:val="24"/>
          <w:szCs w:val="24"/>
          <w:lang w:eastAsia="zh-TW"/>
        </w:rPr>
        <w:t>second</w:t>
      </w:r>
      <w:r w:rsidR="00D3571D" w:rsidRPr="002C088C">
        <w:rPr>
          <w:rFonts w:ascii="Garamond" w:eastAsia="PMingLiU" w:hAnsi="Garamond"/>
          <w:sz w:val="24"/>
          <w:szCs w:val="24"/>
          <w:lang w:eastAsia="zh-TW"/>
        </w:rPr>
        <w:t xml:space="preserve"> case</w:t>
      </w:r>
      <w:r w:rsidR="00553E42" w:rsidRPr="002C088C">
        <w:rPr>
          <w:rFonts w:ascii="Garamond" w:eastAsia="PMingLiU" w:hAnsi="Garamond"/>
          <w:sz w:val="24"/>
          <w:szCs w:val="24"/>
          <w:lang w:eastAsia="zh-TW"/>
        </w:rPr>
        <w:t xml:space="preserve">, </w:t>
      </w:r>
      <w:r w:rsidR="002447F1" w:rsidRPr="002C088C">
        <w:rPr>
          <w:rFonts w:ascii="Garamond" w:eastAsia="PMingLiU" w:hAnsi="Garamond"/>
          <w:i/>
          <w:sz w:val="24"/>
          <w:szCs w:val="24"/>
          <w:lang w:eastAsia="zh-TW"/>
        </w:rPr>
        <w:t>e</w:t>
      </w:r>
      <w:r w:rsidR="002E051F" w:rsidRPr="002C088C">
        <w:rPr>
          <w:rFonts w:ascii="Garamond" w:eastAsia="PMingLiU" w:hAnsi="Garamond"/>
          <w:i/>
          <w:sz w:val="24"/>
          <w:szCs w:val="24"/>
          <w:lang w:eastAsia="zh-TW"/>
        </w:rPr>
        <w:t>x p</w:t>
      </w:r>
      <w:r w:rsidR="00467E2E" w:rsidRPr="002C088C">
        <w:rPr>
          <w:rFonts w:ascii="Garamond" w:eastAsia="PMingLiU" w:hAnsi="Garamond"/>
          <w:i/>
          <w:sz w:val="24"/>
          <w:szCs w:val="24"/>
          <w:lang w:eastAsia="zh-TW"/>
        </w:rPr>
        <w:t xml:space="preserve">arte </w:t>
      </w:r>
      <w:r w:rsidR="00553E42" w:rsidRPr="002C088C">
        <w:rPr>
          <w:rFonts w:ascii="Garamond" w:eastAsia="PMingLiU" w:hAnsi="Garamond"/>
          <w:i/>
          <w:sz w:val="24"/>
          <w:szCs w:val="24"/>
          <w:lang w:eastAsia="zh-TW"/>
        </w:rPr>
        <w:t>A,</w:t>
      </w:r>
      <w:r w:rsidR="00553E42" w:rsidRPr="002C088C">
        <w:rPr>
          <w:rStyle w:val="FootnoteReference"/>
          <w:rFonts w:ascii="Garamond" w:eastAsia="PMingLiU" w:hAnsi="Garamond"/>
          <w:i/>
          <w:sz w:val="24"/>
          <w:szCs w:val="24"/>
          <w:lang w:eastAsia="zh-TW"/>
        </w:rPr>
        <w:footnoteReference w:id="36"/>
      </w:r>
      <w:r w:rsidR="008276AB">
        <w:rPr>
          <w:rFonts w:ascii="Garamond" w:eastAsia="PMingLiU" w:hAnsi="Garamond"/>
          <w:i/>
          <w:sz w:val="24"/>
          <w:szCs w:val="24"/>
          <w:lang w:eastAsia="zh-TW"/>
        </w:rPr>
        <w:t xml:space="preserve"> </w:t>
      </w:r>
      <w:r w:rsidR="008276AB">
        <w:rPr>
          <w:rFonts w:ascii="Garamond" w:eastAsia="PMingLiU" w:hAnsi="Garamond"/>
          <w:sz w:val="24"/>
          <w:szCs w:val="24"/>
          <w:lang w:eastAsia="zh-TW"/>
        </w:rPr>
        <w:t>where</w:t>
      </w:r>
      <w:r w:rsidR="00553E42" w:rsidRPr="002C088C">
        <w:rPr>
          <w:rFonts w:ascii="Garamond" w:eastAsia="PMingLiU" w:hAnsi="Garamond"/>
          <w:i/>
          <w:sz w:val="24"/>
          <w:szCs w:val="24"/>
          <w:lang w:eastAsia="zh-TW"/>
        </w:rPr>
        <w:t xml:space="preserve"> </w:t>
      </w:r>
      <w:r w:rsidR="00553E42" w:rsidRPr="002C088C">
        <w:rPr>
          <w:rFonts w:ascii="Garamond" w:eastAsia="PMingLiU" w:hAnsi="Garamond"/>
          <w:sz w:val="24"/>
          <w:szCs w:val="24"/>
          <w:lang w:eastAsia="zh-TW"/>
        </w:rPr>
        <w:t>a</w:t>
      </w:r>
      <w:r w:rsidR="00553E42" w:rsidRPr="002C088C">
        <w:rPr>
          <w:rFonts w:ascii="Garamond" w:eastAsia="PMingLiU" w:hAnsi="Garamond" w:hint="eastAsia"/>
          <w:sz w:val="24"/>
          <w:szCs w:val="24"/>
          <w:lang w:eastAsia="zh-TW"/>
        </w:rPr>
        <w:t xml:space="preserve">n individual was being tried for conspiracy to cause explosions in the United </w:t>
      </w:r>
      <w:r w:rsidR="00553E42" w:rsidRPr="002C088C">
        <w:rPr>
          <w:rFonts w:ascii="Garamond" w:eastAsia="PMingLiU" w:hAnsi="Garamond"/>
          <w:sz w:val="24"/>
          <w:szCs w:val="24"/>
          <w:lang w:eastAsia="zh-TW"/>
        </w:rPr>
        <w:t>Kingdom</w:t>
      </w:r>
      <w:r w:rsidR="00553E42" w:rsidRPr="002C088C">
        <w:rPr>
          <w:rFonts w:ascii="Garamond" w:eastAsia="PMingLiU" w:hAnsi="Garamond" w:hint="eastAsia"/>
          <w:sz w:val="24"/>
          <w:szCs w:val="24"/>
          <w:lang w:eastAsia="zh-TW"/>
        </w:rPr>
        <w:t xml:space="preserve">. </w:t>
      </w:r>
      <w:r w:rsidR="008220D8">
        <w:rPr>
          <w:rFonts w:ascii="Garamond" w:eastAsia="PMingLiU" w:hAnsi="Garamond"/>
          <w:sz w:val="24"/>
          <w:szCs w:val="24"/>
          <w:lang w:eastAsia="zh-TW"/>
        </w:rPr>
        <w:t xml:space="preserve">Like Amin, </w:t>
      </w:r>
      <w:r w:rsidR="00306F87">
        <w:rPr>
          <w:rFonts w:ascii="Garamond" w:eastAsia="PMingLiU" w:hAnsi="Garamond"/>
          <w:sz w:val="24"/>
          <w:szCs w:val="24"/>
          <w:lang w:eastAsia="zh-TW"/>
        </w:rPr>
        <w:t>h</w:t>
      </w:r>
      <w:r w:rsidR="00553E42" w:rsidRPr="002C088C">
        <w:rPr>
          <w:rFonts w:ascii="Garamond" w:eastAsia="PMingLiU" w:hAnsi="Garamond" w:hint="eastAsia"/>
          <w:sz w:val="24"/>
          <w:szCs w:val="24"/>
          <w:lang w:eastAsia="zh-TW"/>
        </w:rPr>
        <w:t>e had been arrested on an inbound flight from Pakistan where he had been, for the previous ten months, detained. He claime</w:t>
      </w:r>
      <w:r w:rsidR="00C51980">
        <w:rPr>
          <w:rFonts w:ascii="Garamond" w:eastAsia="PMingLiU" w:hAnsi="Garamond" w:hint="eastAsia"/>
          <w:sz w:val="24"/>
          <w:szCs w:val="24"/>
          <w:lang w:eastAsia="zh-TW"/>
        </w:rPr>
        <w:t xml:space="preserve">d that during that detention </w:t>
      </w:r>
      <w:r w:rsidR="00553E42" w:rsidRPr="002C088C">
        <w:rPr>
          <w:rFonts w:ascii="Garamond" w:eastAsia="PMingLiU" w:hAnsi="Garamond" w:hint="eastAsia"/>
          <w:sz w:val="24"/>
          <w:szCs w:val="24"/>
          <w:lang w:eastAsia="zh-TW"/>
        </w:rPr>
        <w:t xml:space="preserve">he had been </w:t>
      </w:r>
      <w:r w:rsidR="00553E42" w:rsidRPr="002C088C">
        <w:rPr>
          <w:rFonts w:ascii="Garamond" w:eastAsia="PMingLiU" w:hAnsi="Garamond"/>
          <w:sz w:val="24"/>
          <w:szCs w:val="24"/>
          <w:lang w:eastAsia="zh-TW"/>
        </w:rPr>
        <w:t xml:space="preserve">“tortured mentally and physically </w:t>
      </w:r>
      <w:r w:rsidR="00553E42" w:rsidRPr="002C088C">
        <w:rPr>
          <w:rFonts w:ascii="Garamond" w:eastAsia="PMingLiU" w:hAnsi="Garamond"/>
          <w:sz w:val="24"/>
          <w:szCs w:val="24"/>
          <w:lang w:eastAsia="zh-TW"/>
        </w:rPr>
        <w:lastRenderedPageBreak/>
        <w:t>and subjected to interrogation by British, American and Pakistani intelligence authorities”</w:t>
      </w:r>
      <w:r w:rsidR="00553E42" w:rsidRPr="002C088C">
        <w:rPr>
          <w:rFonts w:ascii="Garamond" w:eastAsia="PMingLiU" w:hAnsi="Garamond" w:hint="eastAsia"/>
          <w:sz w:val="24"/>
          <w:szCs w:val="24"/>
          <w:lang w:eastAsia="zh-TW"/>
        </w:rPr>
        <w:t>.</w:t>
      </w:r>
      <w:r w:rsidR="00553E42" w:rsidRPr="002C088C">
        <w:rPr>
          <w:rStyle w:val="FootnoteReference"/>
          <w:rFonts w:ascii="Garamond" w:eastAsia="PMingLiU" w:hAnsi="Garamond"/>
          <w:sz w:val="24"/>
          <w:szCs w:val="24"/>
          <w:lang w:eastAsia="zh-TW"/>
        </w:rPr>
        <w:footnoteReference w:id="37"/>
      </w:r>
      <w:r w:rsidR="00553E42" w:rsidRPr="002C088C">
        <w:rPr>
          <w:rFonts w:ascii="Garamond" w:eastAsia="PMingLiU" w:hAnsi="Garamond" w:hint="eastAsia"/>
          <w:sz w:val="24"/>
          <w:szCs w:val="24"/>
          <w:lang w:eastAsia="zh-TW"/>
        </w:rPr>
        <w:t xml:space="preserve"> The trial judge, on </w:t>
      </w:r>
      <w:r w:rsidR="00553E42" w:rsidRPr="002C088C">
        <w:rPr>
          <w:rFonts w:ascii="Garamond" w:eastAsia="PMingLiU" w:hAnsi="Garamond"/>
          <w:sz w:val="24"/>
          <w:szCs w:val="24"/>
          <w:lang w:eastAsia="zh-TW"/>
        </w:rPr>
        <w:t>application</w:t>
      </w:r>
      <w:r w:rsidR="00553E42" w:rsidRPr="002C088C">
        <w:rPr>
          <w:rFonts w:ascii="Garamond" w:eastAsia="PMingLiU" w:hAnsi="Garamond" w:hint="eastAsia"/>
          <w:sz w:val="24"/>
          <w:szCs w:val="24"/>
          <w:lang w:eastAsia="zh-TW"/>
        </w:rPr>
        <w:t xml:space="preserve"> by the Crown, made an order requiring that the parts of the trial which dealt with these claims be heard </w:t>
      </w:r>
      <w:r w:rsidR="00553E42" w:rsidRPr="002C088C">
        <w:rPr>
          <w:rFonts w:ascii="Garamond" w:eastAsia="PMingLiU" w:hAnsi="Garamond" w:hint="eastAsia"/>
          <w:iCs/>
          <w:sz w:val="24"/>
          <w:szCs w:val="24"/>
          <w:lang w:eastAsia="zh-TW"/>
        </w:rPr>
        <w:t>in camera,</w:t>
      </w:r>
      <w:r w:rsidR="00553E42" w:rsidRPr="002C088C">
        <w:rPr>
          <w:rFonts w:ascii="Garamond" w:eastAsia="PMingLiU" w:hAnsi="Garamond" w:hint="eastAsia"/>
          <w:sz w:val="24"/>
          <w:szCs w:val="24"/>
          <w:lang w:eastAsia="zh-TW"/>
        </w:rPr>
        <w:t xml:space="preserve"> because </w:t>
      </w:r>
      <w:r w:rsidR="00553E42" w:rsidRPr="002C088C">
        <w:rPr>
          <w:rFonts w:ascii="Garamond" w:eastAsia="PMingLiU" w:hAnsi="Garamond"/>
          <w:sz w:val="24"/>
          <w:szCs w:val="24"/>
          <w:lang w:eastAsia="zh-TW"/>
        </w:rPr>
        <w:t>“general publication of the relevant parts of it could give rise to a substantial risk to national security. Additionally it could obstruct the identification of, and cause the Crown to be deterred from prosecuting in this and other cases, those who it is in the public interest should be tried…”</w:t>
      </w:r>
      <w:r w:rsidR="00553E42" w:rsidRPr="002C088C">
        <w:rPr>
          <w:rStyle w:val="FootnoteReference"/>
          <w:rFonts w:ascii="Garamond" w:eastAsia="PMingLiU" w:hAnsi="Garamond"/>
          <w:sz w:val="24"/>
          <w:szCs w:val="24"/>
          <w:lang w:eastAsia="zh-TW"/>
        </w:rPr>
        <w:footnoteReference w:id="38"/>
      </w:r>
      <w:r w:rsidR="00553E42" w:rsidRPr="002C088C">
        <w:rPr>
          <w:rFonts w:ascii="Garamond" w:eastAsia="PMingLiU" w:hAnsi="Garamond"/>
          <w:sz w:val="24"/>
          <w:szCs w:val="24"/>
          <w:lang w:eastAsia="zh-TW"/>
        </w:rPr>
        <w:t xml:space="preserve"> </w:t>
      </w:r>
      <w:r w:rsidR="004B2CF9" w:rsidRPr="002C088C">
        <w:rPr>
          <w:rFonts w:ascii="Garamond" w:eastAsia="PMingLiU" w:hAnsi="Garamond"/>
          <w:sz w:val="24"/>
          <w:szCs w:val="24"/>
          <w:lang w:eastAsia="zh-TW"/>
        </w:rPr>
        <w:t xml:space="preserve">Disclosure would be contrary to the public interest; an in camera order </w:t>
      </w:r>
      <w:r w:rsidR="009D50A5" w:rsidRPr="002C088C">
        <w:rPr>
          <w:rFonts w:ascii="Garamond" w:eastAsia="PMingLiU" w:hAnsi="Garamond"/>
          <w:sz w:val="24"/>
          <w:szCs w:val="24"/>
          <w:lang w:eastAsia="zh-TW"/>
        </w:rPr>
        <w:t xml:space="preserve">was </w:t>
      </w:r>
      <w:r w:rsidR="000E03BC" w:rsidRPr="002C088C">
        <w:rPr>
          <w:rFonts w:ascii="Garamond" w:eastAsia="PMingLiU" w:hAnsi="Garamond"/>
          <w:sz w:val="24"/>
          <w:szCs w:val="24"/>
          <w:lang w:eastAsia="zh-TW"/>
        </w:rPr>
        <w:t>the appropriate way</w:t>
      </w:r>
      <w:r w:rsidR="004B2CF9" w:rsidRPr="002C088C">
        <w:rPr>
          <w:rFonts w:ascii="Garamond" w:eastAsia="PMingLiU" w:hAnsi="Garamond"/>
          <w:sz w:val="24"/>
          <w:szCs w:val="24"/>
          <w:lang w:eastAsia="zh-TW"/>
        </w:rPr>
        <w:t xml:space="preserve"> of preventing </w:t>
      </w:r>
      <w:r w:rsidR="009D50A5" w:rsidRPr="002C088C">
        <w:rPr>
          <w:rFonts w:ascii="Garamond" w:eastAsia="PMingLiU" w:hAnsi="Garamond"/>
          <w:sz w:val="24"/>
          <w:szCs w:val="24"/>
          <w:lang w:eastAsia="zh-TW"/>
        </w:rPr>
        <w:t>that disclosure</w:t>
      </w:r>
      <w:r w:rsidR="000E03BC" w:rsidRPr="002C088C">
        <w:rPr>
          <w:rFonts w:ascii="Garamond" w:eastAsia="PMingLiU" w:hAnsi="Garamond"/>
          <w:sz w:val="24"/>
          <w:szCs w:val="24"/>
          <w:lang w:eastAsia="zh-TW"/>
        </w:rPr>
        <w:t xml:space="preserve">. </w:t>
      </w:r>
      <w:r w:rsidR="00553E42" w:rsidRPr="002C088C">
        <w:rPr>
          <w:rFonts w:ascii="Garamond" w:eastAsia="PMingLiU" w:hAnsi="Garamond"/>
          <w:sz w:val="24"/>
          <w:szCs w:val="24"/>
          <w:lang w:eastAsia="zh-TW"/>
        </w:rPr>
        <w:t>The defendant</w:t>
      </w:r>
      <w:r w:rsidR="00F84F82" w:rsidRPr="002C088C">
        <w:rPr>
          <w:rFonts w:ascii="Garamond" w:eastAsia="PMingLiU" w:hAnsi="Garamond"/>
          <w:sz w:val="24"/>
          <w:szCs w:val="24"/>
          <w:lang w:eastAsia="zh-TW"/>
        </w:rPr>
        <w:t>,</w:t>
      </w:r>
      <w:r w:rsidR="00553E42" w:rsidRPr="002C088C">
        <w:rPr>
          <w:rFonts w:ascii="Garamond" w:eastAsia="PMingLiU" w:hAnsi="Garamond"/>
          <w:sz w:val="24"/>
          <w:szCs w:val="24"/>
          <w:lang w:eastAsia="zh-TW"/>
        </w:rPr>
        <w:t xml:space="preserve"> along with various media organisations</w:t>
      </w:r>
      <w:r w:rsidR="00F84F82" w:rsidRPr="002C088C">
        <w:rPr>
          <w:rFonts w:ascii="Garamond" w:eastAsia="PMingLiU" w:hAnsi="Garamond"/>
          <w:sz w:val="24"/>
          <w:szCs w:val="24"/>
          <w:lang w:eastAsia="zh-TW"/>
        </w:rPr>
        <w:t>,</w:t>
      </w:r>
      <w:r w:rsidR="00553E42" w:rsidRPr="002C088C">
        <w:rPr>
          <w:rFonts w:ascii="Garamond" w:eastAsia="PMingLiU" w:hAnsi="Garamond"/>
          <w:sz w:val="24"/>
          <w:szCs w:val="24"/>
          <w:lang w:eastAsia="zh-TW"/>
        </w:rPr>
        <w:t xml:space="preserve"> appealed against the order. Counsel for one such organisation argued that certain of the material upon which the trial judge based his order should have been disclosed to the media. The Court of Appeal demurred, and it was in the context of its rejection of that submission that it contextualised the order in relation to the law of PII:</w:t>
      </w:r>
    </w:p>
    <w:p w:rsidR="00347B8D" w:rsidRPr="002C088C" w:rsidRDefault="00347B8D" w:rsidP="000C2DB7">
      <w:pPr>
        <w:spacing w:after="0" w:line="480" w:lineRule="auto"/>
        <w:jc w:val="both"/>
        <w:rPr>
          <w:rFonts w:ascii="Garamond" w:eastAsia="PMingLiU" w:hAnsi="Garamond"/>
          <w:sz w:val="24"/>
          <w:szCs w:val="24"/>
          <w:lang w:eastAsia="zh-TW"/>
        </w:rPr>
      </w:pPr>
    </w:p>
    <w:p w:rsidR="00553E42" w:rsidRPr="002C088C" w:rsidRDefault="00553E42" w:rsidP="000C2DB7">
      <w:pPr>
        <w:spacing w:after="0" w:line="480" w:lineRule="auto"/>
        <w:ind w:left="720"/>
        <w:jc w:val="both"/>
        <w:rPr>
          <w:rFonts w:ascii="Garamond" w:eastAsia="PMingLiU" w:hAnsi="Garamond"/>
          <w:sz w:val="24"/>
          <w:szCs w:val="24"/>
          <w:lang w:eastAsia="zh-TW"/>
        </w:rPr>
      </w:pPr>
      <w:r w:rsidRPr="002C088C">
        <w:rPr>
          <w:rFonts w:ascii="Garamond" w:eastAsia="PMingLiU" w:hAnsi="Garamond"/>
          <w:sz w:val="24"/>
          <w:szCs w:val="24"/>
          <w:lang w:eastAsia="zh-TW"/>
        </w:rPr>
        <w:t>When an application for an in camera hearing is being made, it is self-evident that if it is to be justified on the grounds of national security, or the protection of the identity of witnesses, some at least of that material is almost certainly bound to be highly sensitive, and cannot be made available for dissemination. The judge must examine the material and decide whether or not the application is justified. If counsel representing media interests are put into possession of the same material as the judge before he makes his decision, the purpose of an in camera hearing would be defeated… The same practical considerations apply to the more familiar application for public interest immunity. If the desired confidentiality is broken in advance of the hearing, there is no confidentiality to be preserved.</w:t>
      </w:r>
      <w:r w:rsidRPr="002C088C">
        <w:rPr>
          <w:rStyle w:val="FootnoteReference"/>
          <w:rFonts w:ascii="Garamond" w:eastAsia="PMingLiU" w:hAnsi="Garamond"/>
          <w:sz w:val="24"/>
          <w:szCs w:val="24"/>
          <w:lang w:eastAsia="zh-TW"/>
        </w:rPr>
        <w:footnoteReference w:id="39"/>
      </w:r>
    </w:p>
    <w:p w:rsidR="00347B8D" w:rsidRPr="002C088C" w:rsidRDefault="00347B8D" w:rsidP="000C2DB7">
      <w:pPr>
        <w:spacing w:after="0" w:line="480" w:lineRule="auto"/>
        <w:ind w:left="720"/>
        <w:jc w:val="both"/>
        <w:rPr>
          <w:rFonts w:ascii="Garamond" w:eastAsia="PMingLiU" w:hAnsi="Garamond"/>
          <w:sz w:val="24"/>
          <w:szCs w:val="24"/>
          <w:lang w:eastAsia="zh-TW"/>
        </w:rPr>
      </w:pPr>
    </w:p>
    <w:p w:rsidR="002F67A1" w:rsidRDefault="00B10537" w:rsidP="000C2DB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lastRenderedPageBreak/>
        <w:t>Though the penultimate sentence is</w:t>
      </w:r>
      <w:r w:rsidR="00E02F1B">
        <w:rPr>
          <w:rFonts w:ascii="Garamond" w:eastAsia="PMingLiU" w:hAnsi="Garamond"/>
          <w:sz w:val="24"/>
          <w:szCs w:val="24"/>
          <w:lang w:eastAsia="zh-TW"/>
        </w:rPr>
        <w:t xml:space="preserve"> perhaps</w:t>
      </w:r>
      <w:r w:rsidRPr="002C088C">
        <w:rPr>
          <w:rFonts w:ascii="Garamond" w:eastAsia="PMingLiU" w:hAnsi="Garamond"/>
          <w:sz w:val="24"/>
          <w:szCs w:val="24"/>
          <w:lang w:eastAsia="zh-TW"/>
        </w:rPr>
        <w:t xml:space="preserve"> ambiguous, such that it is unclear whether the </w:t>
      </w:r>
      <w:r w:rsidR="0012027E" w:rsidRPr="002C088C">
        <w:rPr>
          <w:rFonts w:ascii="Garamond" w:eastAsia="PMingLiU" w:hAnsi="Garamond"/>
          <w:sz w:val="24"/>
          <w:szCs w:val="24"/>
          <w:lang w:eastAsia="zh-TW"/>
        </w:rPr>
        <w:t xml:space="preserve">Court of Appeal is referring here </w:t>
      </w:r>
      <w:r w:rsidR="00F30B76" w:rsidRPr="002C088C">
        <w:rPr>
          <w:rFonts w:ascii="Garamond" w:eastAsia="PMingLiU" w:hAnsi="Garamond"/>
          <w:sz w:val="24"/>
          <w:szCs w:val="24"/>
          <w:lang w:eastAsia="zh-TW"/>
        </w:rPr>
        <w:t xml:space="preserve">to a PII application </w:t>
      </w:r>
      <w:r w:rsidR="00BD4E6C" w:rsidRPr="002C088C">
        <w:rPr>
          <w:rFonts w:ascii="Garamond" w:eastAsia="PMingLiU" w:hAnsi="Garamond"/>
          <w:sz w:val="24"/>
          <w:szCs w:val="24"/>
          <w:lang w:eastAsia="zh-TW"/>
        </w:rPr>
        <w:t>made</w:t>
      </w:r>
      <w:r w:rsidR="00F30B76" w:rsidRPr="002C088C">
        <w:rPr>
          <w:rFonts w:ascii="Garamond" w:eastAsia="PMingLiU" w:hAnsi="Garamond"/>
          <w:sz w:val="24"/>
          <w:szCs w:val="24"/>
          <w:lang w:eastAsia="zh-TW"/>
        </w:rPr>
        <w:t xml:space="preserve"> in the case or merely referring in the ab</w:t>
      </w:r>
      <w:r w:rsidR="008F2D27" w:rsidRPr="002C088C">
        <w:rPr>
          <w:rFonts w:ascii="Garamond" w:eastAsia="PMingLiU" w:hAnsi="Garamond"/>
          <w:sz w:val="24"/>
          <w:szCs w:val="24"/>
          <w:lang w:eastAsia="zh-TW"/>
        </w:rPr>
        <w:t>stract to a process</w:t>
      </w:r>
      <w:r w:rsidR="00E0610E" w:rsidRPr="002C088C">
        <w:rPr>
          <w:rFonts w:ascii="Garamond" w:eastAsia="PMingLiU" w:hAnsi="Garamond"/>
          <w:sz w:val="24"/>
          <w:szCs w:val="24"/>
          <w:lang w:eastAsia="zh-TW"/>
        </w:rPr>
        <w:t xml:space="preserve"> which is more familiar than is that under discussion</w:t>
      </w:r>
      <w:r w:rsidR="008F2D27" w:rsidRPr="002C088C">
        <w:rPr>
          <w:rFonts w:ascii="Garamond" w:eastAsia="PMingLiU" w:hAnsi="Garamond"/>
          <w:sz w:val="24"/>
          <w:szCs w:val="24"/>
          <w:lang w:eastAsia="zh-TW"/>
        </w:rPr>
        <w:t xml:space="preserve">, two things seem clear. First, </w:t>
      </w:r>
      <w:r w:rsidR="001B5237" w:rsidRPr="002C088C">
        <w:rPr>
          <w:rFonts w:ascii="Garamond" w:eastAsia="PMingLiU" w:hAnsi="Garamond"/>
          <w:sz w:val="24"/>
          <w:szCs w:val="24"/>
          <w:lang w:eastAsia="zh-TW"/>
        </w:rPr>
        <w:t xml:space="preserve">that </w:t>
      </w:r>
      <w:r w:rsidR="008F2D27" w:rsidRPr="002C088C">
        <w:rPr>
          <w:rFonts w:ascii="Garamond" w:eastAsia="PMingLiU" w:hAnsi="Garamond"/>
          <w:sz w:val="24"/>
          <w:szCs w:val="24"/>
          <w:lang w:eastAsia="zh-TW"/>
        </w:rPr>
        <w:t>an opposition is recognised</w:t>
      </w:r>
      <w:r w:rsidR="00553E42" w:rsidRPr="002C088C">
        <w:rPr>
          <w:rFonts w:ascii="Garamond" w:eastAsia="PMingLiU" w:hAnsi="Garamond"/>
          <w:sz w:val="24"/>
          <w:szCs w:val="24"/>
          <w:lang w:eastAsia="zh-TW"/>
        </w:rPr>
        <w:t xml:space="preserve"> between the application for an in camera trial and one, actual </w:t>
      </w:r>
      <w:r w:rsidR="00B56A36" w:rsidRPr="002C088C">
        <w:rPr>
          <w:rFonts w:ascii="Garamond" w:eastAsia="PMingLiU" w:hAnsi="Garamond"/>
          <w:sz w:val="24"/>
          <w:szCs w:val="24"/>
          <w:lang w:eastAsia="zh-TW"/>
        </w:rPr>
        <w:t>or hypothetical, for PII.</w:t>
      </w:r>
      <w:r w:rsidR="00837FA6" w:rsidRPr="002C088C">
        <w:rPr>
          <w:rFonts w:ascii="Garamond" w:eastAsia="PMingLiU" w:hAnsi="Garamond"/>
          <w:sz w:val="24"/>
          <w:szCs w:val="24"/>
          <w:lang w:eastAsia="zh-TW"/>
        </w:rPr>
        <w:t xml:space="preserve"> Second,</w:t>
      </w:r>
      <w:r w:rsidR="00B44CC3" w:rsidRPr="002C088C">
        <w:rPr>
          <w:rFonts w:ascii="Garamond" w:eastAsia="PMingLiU" w:hAnsi="Garamond"/>
          <w:sz w:val="24"/>
          <w:szCs w:val="24"/>
          <w:lang w:eastAsia="zh-TW"/>
        </w:rPr>
        <w:t xml:space="preserve"> that</w:t>
      </w:r>
      <w:r w:rsidR="00837FA6" w:rsidRPr="002C088C">
        <w:rPr>
          <w:rFonts w:ascii="Garamond" w:eastAsia="PMingLiU" w:hAnsi="Garamond"/>
          <w:sz w:val="24"/>
          <w:szCs w:val="24"/>
          <w:lang w:eastAsia="zh-TW"/>
        </w:rPr>
        <w:t xml:space="preserve"> </w:t>
      </w:r>
      <w:r w:rsidR="003C24BA">
        <w:rPr>
          <w:rFonts w:ascii="Garamond" w:eastAsia="PMingLiU" w:hAnsi="Garamond"/>
          <w:sz w:val="24"/>
          <w:szCs w:val="24"/>
          <w:lang w:eastAsia="zh-TW"/>
        </w:rPr>
        <w:t>– as the Amin case might</w:t>
      </w:r>
      <w:r w:rsidR="0026184B">
        <w:rPr>
          <w:rFonts w:ascii="Garamond" w:eastAsia="PMingLiU" w:hAnsi="Garamond"/>
          <w:sz w:val="24"/>
          <w:szCs w:val="24"/>
          <w:lang w:eastAsia="zh-TW"/>
        </w:rPr>
        <w:t xml:space="preserve"> also</w:t>
      </w:r>
      <w:r w:rsidR="003C24BA">
        <w:rPr>
          <w:rFonts w:ascii="Garamond" w:eastAsia="PMingLiU" w:hAnsi="Garamond"/>
          <w:sz w:val="24"/>
          <w:szCs w:val="24"/>
          <w:lang w:eastAsia="zh-TW"/>
        </w:rPr>
        <w:t xml:space="preserve"> be taken to suggest – </w:t>
      </w:r>
      <w:r w:rsidR="00956C8A" w:rsidRPr="002C088C">
        <w:rPr>
          <w:rFonts w:ascii="Garamond" w:eastAsia="PMingLiU" w:hAnsi="Garamond"/>
          <w:sz w:val="24"/>
          <w:szCs w:val="24"/>
          <w:lang w:eastAsia="zh-TW"/>
        </w:rPr>
        <w:t xml:space="preserve">there nevertheless </w:t>
      </w:r>
      <w:r w:rsidR="000A40CE" w:rsidRPr="002C088C">
        <w:rPr>
          <w:rFonts w:ascii="Garamond" w:eastAsia="PMingLiU" w:hAnsi="Garamond"/>
          <w:sz w:val="24"/>
          <w:szCs w:val="24"/>
          <w:lang w:eastAsia="zh-TW"/>
        </w:rPr>
        <w:t xml:space="preserve">exists </w:t>
      </w:r>
      <w:r w:rsidR="00956C8A" w:rsidRPr="002C088C">
        <w:rPr>
          <w:rFonts w:ascii="Garamond" w:eastAsia="PMingLiU" w:hAnsi="Garamond"/>
          <w:sz w:val="24"/>
          <w:szCs w:val="24"/>
          <w:lang w:eastAsia="zh-TW"/>
        </w:rPr>
        <w:t>a continu</w:t>
      </w:r>
      <w:r w:rsidR="00056A49" w:rsidRPr="002C088C">
        <w:rPr>
          <w:rFonts w:ascii="Garamond" w:eastAsia="PMingLiU" w:hAnsi="Garamond"/>
          <w:sz w:val="24"/>
          <w:szCs w:val="24"/>
          <w:lang w:eastAsia="zh-TW"/>
        </w:rPr>
        <w:t>ity between the two mechanisms:</w:t>
      </w:r>
      <w:r w:rsidR="00DD3E3D" w:rsidRPr="002C088C">
        <w:rPr>
          <w:rFonts w:ascii="Garamond" w:eastAsia="PMingLiU" w:hAnsi="Garamond"/>
          <w:sz w:val="24"/>
          <w:szCs w:val="24"/>
          <w:lang w:eastAsia="zh-TW"/>
        </w:rPr>
        <w:t xml:space="preserve"> them</w:t>
      </w:r>
      <w:r w:rsidR="00A545AC" w:rsidRPr="002C088C">
        <w:rPr>
          <w:rFonts w:ascii="Garamond" w:eastAsia="PMingLiU" w:hAnsi="Garamond"/>
          <w:sz w:val="24"/>
          <w:szCs w:val="24"/>
          <w:lang w:eastAsia="zh-TW"/>
        </w:rPr>
        <w:t xml:space="preserve"> </w:t>
      </w:r>
      <w:r w:rsidR="00056A49" w:rsidRPr="002C088C">
        <w:rPr>
          <w:rFonts w:ascii="Garamond" w:eastAsia="PMingLiU" w:hAnsi="Garamond"/>
          <w:sz w:val="24"/>
          <w:szCs w:val="24"/>
          <w:lang w:eastAsia="zh-TW"/>
        </w:rPr>
        <w:t>being aimed at essentially the same end</w:t>
      </w:r>
      <w:r w:rsidR="00660311" w:rsidRPr="002C088C">
        <w:rPr>
          <w:rFonts w:ascii="Garamond" w:eastAsia="PMingLiU" w:hAnsi="Garamond"/>
          <w:sz w:val="24"/>
          <w:szCs w:val="24"/>
          <w:lang w:eastAsia="zh-TW"/>
        </w:rPr>
        <w:t xml:space="preserve"> (the non-disclosure of </w:t>
      </w:r>
      <w:r w:rsidR="00A45EA1" w:rsidRPr="002C088C">
        <w:rPr>
          <w:rFonts w:ascii="Garamond" w:eastAsia="PMingLiU" w:hAnsi="Garamond"/>
          <w:sz w:val="24"/>
          <w:szCs w:val="24"/>
          <w:lang w:eastAsia="zh-TW"/>
        </w:rPr>
        <w:t xml:space="preserve">sensitive </w:t>
      </w:r>
      <w:r w:rsidR="00660311" w:rsidRPr="002C088C">
        <w:rPr>
          <w:rFonts w:ascii="Garamond" w:eastAsia="PMingLiU" w:hAnsi="Garamond"/>
          <w:sz w:val="24"/>
          <w:szCs w:val="24"/>
          <w:lang w:eastAsia="zh-TW"/>
        </w:rPr>
        <w:t>information)</w:t>
      </w:r>
      <w:r w:rsidR="00056A49" w:rsidRPr="002C088C">
        <w:rPr>
          <w:rFonts w:ascii="Garamond" w:eastAsia="PMingLiU" w:hAnsi="Garamond"/>
          <w:sz w:val="24"/>
          <w:szCs w:val="24"/>
          <w:lang w:eastAsia="zh-TW"/>
        </w:rPr>
        <w:t xml:space="preserve">, it </w:t>
      </w:r>
      <w:r w:rsidR="00C51980">
        <w:rPr>
          <w:rFonts w:ascii="Garamond" w:eastAsia="PMingLiU" w:hAnsi="Garamond"/>
          <w:sz w:val="24"/>
          <w:szCs w:val="24"/>
          <w:lang w:eastAsia="zh-TW"/>
        </w:rPr>
        <w:t>is</w:t>
      </w:r>
      <w:r w:rsidR="00056A49" w:rsidRPr="002C088C">
        <w:rPr>
          <w:rFonts w:ascii="Garamond" w:eastAsia="PMingLiU" w:hAnsi="Garamond"/>
          <w:sz w:val="24"/>
          <w:szCs w:val="24"/>
          <w:lang w:eastAsia="zh-TW"/>
        </w:rPr>
        <w:t xml:space="preserve"> both legitimate and </w:t>
      </w:r>
      <w:r w:rsidR="003D2393" w:rsidRPr="002C088C">
        <w:rPr>
          <w:rFonts w:ascii="Garamond" w:eastAsia="PMingLiU" w:hAnsi="Garamond"/>
          <w:sz w:val="24"/>
          <w:szCs w:val="24"/>
          <w:lang w:eastAsia="zh-TW"/>
        </w:rPr>
        <w:t>in fact logica</w:t>
      </w:r>
      <w:r w:rsidR="000A584C" w:rsidRPr="002C088C">
        <w:rPr>
          <w:rFonts w:ascii="Garamond" w:eastAsia="PMingLiU" w:hAnsi="Garamond"/>
          <w:sz w:val="24"/>
          <w:szCs w:val="24"/>
          <w:lang w:eastAsia="zh-TW"/>
        </w:rPr>
        <w:t>lly necessa</w:t>
      </w:r>
      <w:r w:rsidR="00552D82" w:rsidRPr="002C088C">
        <w:rPr>
          <w:rFonts w:ascii="Garamond" w:eastAsia="PMingLiU" w:hAnsi="Garamond"/>
          <w:sz w:val="24"/>
          <w:szCs w:val="24"/>
          <w:lang w:eastAsia="zh-TW"/>
        </w:rPr>
        <w:t xml:space="preserve">ry to </w:t>
      </w:r>
      <w:r w:rsidR="00E436DD" w:rsidRPr="002C088C">
        <w:rPr>
          <w:rFonts w:ascii="Garamond" w:eastAsia="PMingLiU" w:hAnsi="Garamond"/>
          <w:sz w:val="24"/>
          <w:szCs w:val="24"/>
          <w:lang w:eastAsia="zh-TW"/>
        </w:rPr>
        <w:t>read</w:t>
      </w:r>
      <w:r w:rsidR="00552D82" w:rsidRPr="002C088C">
        <w:rPr>
          <w:rFonts w:ascii="Garamond" w:eastAsia="PMingLiU" w:hAnsi="Garamond"/>
          <w:sz w:val="24"/>
          <w:szCs w:val="24"/>
          <w:lang w:eastAsia="zh-TW"/>
        </w:rPr>
        <w:t xml:space="preserve"> over procedural </w:t>
      </w:r>
      <w:r w:rsidR="003F59F0" w:rsidRPr="002C088C">
        <w:rPr>
          <w:rFonts w:ascii="Garamond" w:eastAsia="PMingLiU" w:hAnsi="Garamond"/>
          <w:sz w:val="24"/>
          <w:szCs w:val="24"/>
          <w:lang w:eastAsia="zh-TW"/>
        </w:rPr>
        <w:t>practice</w:t>
      </w:r>
      <w:r w:rsidR="00C9643A" w:rsidRPr="002C088C">
        <w:rPr>
          <w:rFonts w:ascii="Garamond" w:eastAsia="PMingLiU" w:hAnsi="Garamond"/>
          <w:sz w:val="24"/>
          <w:szCs w:val="24"/>
          <w:lang w:eastAsia="zh-TW"/>
        </w:rPr>
        <w:t xml:space="preserve"> </w:t>
      </w:r>
      <w:r w:rsidR="00552D82" w:rsidRPr="002C088C">
        <w:rPr>
          <w:rFonts w:ascii="Garamond" w:eastAsia="PMingLiU" w:hAnsi="Garamond"/>
          <w:sz w:val="24"/>
          <w:szCs w:val="24"/>
          <w:lang w:eastAsia="zh-TW"/>
        </w:rPr>
        <w:t xml:space="preserve">from the one context to the </w:t>
      </w:r>
      <w:r w:rsidR="00252DA6" w:rsidRPr="002C088C">
        <w:rPr>
          <w:rFonts w:ascii="Garamond" w:eastAsia="PMingLiU" w:hAnsi="Garamond"/>
          <w:sz w:val="24"/>
          <w:szCs w:val="24"/>
          <w:lang w:eastAsia="zh-TW"/>
        </w:rPr>
        <w:t>other</w:t>
      </w:r>
      <w:r w:rsidR="00552D82" w:rsidRPr="002C088C">
        <w:rPr>
          <w:rFonts w:ascii="Garamond" w:eastAsia="PMingLiU" w:hAnsi="Garamond"/>
          <w:sz w:val="24"/>
          <w:szCs w:val="24"/>
          <w:lang w:eastAsia="zh-TW"/>
        </w:rPr>
        <w:t>.</w:t>
      </w:r>
      <w:r w:rsidR="00414A54">
        <w:rPr>
          <w:rFonts w:ascii="Garamond" w:eastAsia="PMingLiU" w:hAnsi="Garamond"/>
          <w:sz w:val="24"/>
          <w:szCs w:val="24"/>
          <w:lang w:eastAsia="zh-TW"/>
        </w:rPr>
        <w:t xml:space="preserve"> </w:t>
      </w:r>
      <w:r w:rsidR="005E75A7">
        <w:rPr>
          <w:rFonts w:ascii="Garamond" w:eastAsia="PMingLiU" w:hAnsi="Garamond"/>
          <w:sz w:val="24"/>
          <w:szCs w:val="24"/>
          <w:lang w:eastAsia="zh-TW"/>
        </w:rPr>
        <w:t>The defendants were convicted and appealed unsucce</w:t>
      </w:r>
      <w:r w:rsidR="0024420B">
        <w:rPr>
          <w:rFonts w:ascii="Garamond" w:eastAsia="PMingLiU" w:hAnsi="Garamond"/>
          <w:sz w:val="24"/>
          <w:szCs w:val="24"/>
          <w:lang w:eastAsia="zh-TW"/>
        </w:rPr>
        <w:t>ssfully against the conviction.</w:t>
      </w:r>
      <w:r w:rsidR="0024420B">
        <w:rPr>
          <w:rStyle w:val="FootnoteReference"/>
          <w:rFonts w:ascii="Garamond" w:eastAsia="PMingLiU" w:hAnsi="Garamond"/>
          <w:sz w:val="24"/>
          <w:szCs w:val="24"/>
          <w:lang w:eastAsia="zh-TW"/>
        </w:rPr>
        <w:footnoteReference w:id="40"/>
      </w:r>
    </w:p>
    <w:p w:rsidR="002F67A1" w:rsidRDefault="002F67A1" w:rsidP="000C2DB7">
      <w:pPr>
        <w:spacing w:after="0" w:line="480" w:lineRule="auto"/>
        <w:jc w:val="both"/>
        <w:rPr>
          <w:rFonts w:ascii="Garamond" w:eastAsia="PMingLiU" w:hAnsi="Garamond"/>
          <w:sz w:val="24"/>
          <w:szCs w:val="24"/>
          <w:lang w:eastAsia="zh-TW"/>
        </w:rPr>
      </w:pPr>
    </w:p>
    <w:p w:rsidR="00553E42" w:rsidRPr="002C088C" w:rsidRDefault="00C34CBC" w:rsidP="00E26E8E">
      <w:pPr>
        <w:spacing w:after="0" w:line="480" w:lineRule="auto"/>
        <w:jc w:val="both"/>
        <w:rPr>
          <w:rFonts w:ascii="Garamond" w:eastAsia="PMingLiU" w:hAnsi="Garamond"/>
          <w:sz w:val="24"/>
          <w:szCs w:val="24"/>
          <w:lang w:eastAsia="zh-TW"/>
        </w:rPr>
      </w:pPr>
      <w:r>
        <w:rPr>
          <w:rFonts w:ascii="Garamond" w:eastAsia="PMingLiU" w:hAnsi="Garamond"/>
          <w:sz w:val="24"/>
          <w:szCs w:val="24"/>
          <w:lang w:eastAsia="zh-TW"/>
        </w:rPr>
        <w:t>The suggested</w:t>
      </w:r>
      <w:r w:rsidR="00F854A5" w:rsidRPr="002C088C">
        <w:rPr>
          <w:rFonts w:ascii="Garamond" w:eastAsia="PMingLiU" w:hAnsi="Garamond"/>
          <w:sz w:val="24"/>
          <w:szCs w:val="24"/>
          <w:lang w:eastAsia="zh-TW"/>
        </w:rPr>
        <w:t xml:space="preserve"> continuity is </w:t>
      </w:r>
      <w:r w:rsidR="007C4201">
        <w:rPr>
          <w:rFonts w:ascii="Garamond" w:eastAsia="PMingLiU" w:hAnsi="Garamond"/>
          <w:sz w:val="24"/>
          <w:szCs w:val="24"/>
          <w:lang w:eastAsia="zh-TW"/>
        </w:rPr>
        <w:t>evidenced further</w:t>
      </w:r>
      <w:r w:rsidR="00F854A5" w:rsidRPr="002C088C">
        <w:rPr>
          <w:rFonts w:ascii="Garamond" w:eastAsia="PMingLiU" w:hAnsi="Garamond"/>
          <w:sz w:val="24"/>
          <w:szCs w:val="24"/>
          <w:lang w:eastAsia="zh-TW"/>
        </w:rPr>
        <w:t xml:space="preserve"> by </w:t>
      </w:r>
      <w:r w:rsidR="00B537F2" w:rsidRPr="002C088C">
        <w:rPr>
          <w:rFonts w:ascii="Garamond" w:eastAsia="PMingLiU" w:hAnsi="Garamond"/>
          <w:sz w:val="24"/>
          <w:szCs w:val="24"/>
          <w:lang w:eastAsia="zh-TW"/>
        </w:rPr>
        <w:t xml:space="preserve">events of </w:t>
      </w:r>
      <w:r w:rsidR="00553E42" w:rsidRPr="002C088C">
        <w:rPr>
          <w:rFonts w:ascii="Garamond" w:eastAsia="PMingLiU" w:hAnsi="Garamond"/>
          <w:sz w:val="24"/>
          <w:szCs w:val="24"/>
          <w:lang w:eastAsia="zh-TW"/>
        </w:rPr>
        <w:t xml:space="preserve">summer 2014, </w:t>
      </w:r>
      <w:r w:rsidR="00B537F2" w:rsidRPr="002C088C">
        <w:rPr>
          <w:rFonts w:ascii="Garamond" w:eastAsia="PMingLiU" w:hAnsi="Garamond"/>
          <w:sz w:val="24"/>
          <w:szCs w:val="24"/>
          <w:lang w:eastAsia="zh-TW"/>
        </w:rPr>
        <w:t xml:space="preserve">when </w:t>
      </w:r>
      <w:r w:rsidR="00553E42" w:rsidRPr="002C088C">
        <w:rPr>
          <w:rFonts w:ascii="Garamond" w:eastAsia="PMingLiU" w:hAnsi="Garamond"/>
          <w:sz w:val="24"/>
          <w:szCs w:val="24"/>
          <w:lang w:eastAsia="zh-TW"/>
        </w:rPr>
        <w:t xml:space="preserve">the issue of in camera trials </w:t>
      </w:r>
      <w:r w:rsidR="009D552E">
        <w:rPr>
          <w:rFonts w:ascii="Garamond" w:eastAsia="PMingLiU" w:hAnsi="Garamond"/>
          <w:sz w:val="24"/>
          <w:szCs w:val="24"/>
          <w:lang w:eastAsia="zh-TW"/>
        </w:rPr>
        <w:t>resurfaced</w:t>
      </w:r>
      <w:r w:rsidR="00553E42" w:rsidRPr="002C088C">
        <w:rPr>
          <w:rFonts w:ascii="Garamond" w:eastAsia="PMingLiU" w:hAnsi="Garamond"/>
          <w:sz w:val="24"/>
          <w:szCs w:val="24"/>
          <w:lang w:eastAsia="zh-TW"/>
        </w:rPr>
        <w:t xml:space="preserve"> </w:t>
      </w:r>
      <w:r w:rsidR="006109FD" w:rsidRPr="002C088C">
        <w:rPr>
          <w:rFonts w:ascii="Garamond" w:eastAsia="PMingLiU" w:hAnsi="Garamond"/>
          <w:sz w:val="24"/>
          <w:szCs w:val="24"/>
          <w:lang w:eastAsia="zh-TW"/>
        </w:rPr>
        <w:t>as</w:t>
      </w:r>
      <w:r w:rsidR="00553E42" w:rsidRPr="002C088C">
        <w:rPr>
          <w:rFonts w:ascii="Garamond" w:eastAsia="PMingLiU" w:hAnsi="Garamond"/>
          <w:sz w:val="24"/>
          <w:szCs w:val="24"/>
          <w:lang w:eastAsia="zh-TW"/>
        </w:rPr>
        <w:t xml:space="preserve"> the trial of two individuals alleged to have committed various terrorism related offences was ordered to take place </w:t>
      </w:r>
      <w:r w:rsidR="00E26E8E">
        <w:rPr>
          <w:rFonts w:ascii="Garamond" w:eastAsia="PMingLiU" w:hAnsi="Garamond"/>
          <w:sz w:val="24"/>
          <w:szCs w:val="24"/>
          <w:lang w:eastAsia="zh-TW"/>
        </w:rPr>
        <w:t>who</w:t>
      </w:r>
      <w:r w:rsidR="00553E42" w:rsidRPr="002C088C">
        <w:rPr>
          <w:rFonts w:ascii="Garamond" w:eastAsia="PMingLiU" w:hAnsi="Garamond"/>
          <w:sz w:val="24"/>
          <w:szCs w:val="24"/>
          <w:lang w:eastAsia="zh-TW"/>
        </w:rPr>
        <w:t xml:space="preserve"> (rather than merely </w:t>
      </w:r>
      <w:r w:rsidR="00E26E8E">
        <w:rPr>
          <w:rFonts w:ascii="Garamond" w:eastAsia="PMingLiU" w:hAnsi="Garamond"/>
          <w:sz w:val="24"/>
          <w:szCs w:val="24"/>
          <w:lang w:eastAsia="zh-TW"/>
        </w:rPr>
        <w:t>in part</w:t>
      </w:r>
      <w:r w:rsidR="00553E42" w:rsidRPr="002C088C">
        <w:rPr>
          <w:rFonts w:ascii="Garamond" w:eastAsia="PMingLiU" w:hAnsi="Garamond"/>
          <w:sz w:val="24"/>
          <w:szCs w:val="24"/>
          <w:lang w:eastAsia="zh-TW"/>
        </w:rPr>
        <w:t xml:space="preserve">) in camera and </w:t>
      </w:r>
      <w:r w:rsidR="007322ED" w:rsidRPr="002C088C">
        <w:rPr>
          <w:rFonts w:ascii="Garamond" w:eastAsia="PMingLiU" w:hAnsi="Garamond"/>
          <w:sz w:val="24"/>
          <w:szCs w:val="24"/>
          <w:lang w:eastAsia="zh-TW"/>
        </w:rPr>
        <w:t>with the defendants anonymised</w:t>
      </w:r>
      <w:r w:rsidR="00466DBC" w:rsidRPr="002C088C">
        <w:rPr>
          <w:rFonts w:ascii="Garamond" w:eastAsia="PMingLiU" w:hAnsi="Garamond"/>
          <w:sz w:val="24"/>
          <w:szCs w:val="24"/>
          <w:lang w:eastAsia="zh-TW"/>
        </w:rPr>
        <w:t xml:space="preserve">. </w:t>
      </w:r>
      <w:r w:rsidR="00036649" w:rsidRPr="002C088C">
        <w:rPr>
          <w:rFonts w:ascii="Garamond" w:eastAsia="PMingLiU" w:hAnsi="Garamond"/>
          <w:sz w:val="24"/>
          <w:szCs w:val="24"/>
          <w:lang w:eastAsia="zh-TW"/>
        </w:rPr>
        <w:t xml:space="preserve">When it gave judgment, </w:t>
      </w:r>
      <w:r w:rsidR="00C51980">
        <w:rPr>
          <w:rFonts w:ascii="Garamond" w:eastAsia="PMingLiU" w:hAnsi="Garamond"/>
          <w:sz w:val="24"/>
          <w:szCs w:val="24"/>
          <w:lang w:eastAsia="zh-TW"/>
        </w:rPr>
        <w:t>t</w:t>
      </w:r>
      <w:r w:rsidR="00553E42" w:rsidRPr="002C088C">
        <w:rPr>
          <w:rFonts w:ascii="Garamond" w:eastAsia="PMingLiU" w:hAnsi="Garamond"/>
          <w:sz w:val="24"/>
          <w:szCs w:val="24"/>
          <w:lang w:eastAsia="zh-TW"/>
        </w:rPr>
        <w:t>he Court of Appeal</w:t>
      </w:r>
      <w:r w:rsidR="008B3E22" w:rsidRPr="002C088C">
        <w:rPr>
          <w:rFonts w:ascii="Garamond" w:eastAsia="PMingLiU" w:hAnsi="Garamond"/>
          <w:sz w:val="24"/>
          <w:szCs w:val="24"/>
          <w:lang w:eastAsia="zh-TW"/>
        </w:rPr>
        <w:t xml:space="preserve"> –</w:t>
      </w:r>
      <w:r w:rsidR="00BB5706" w:rsidRPr="002C088C">
        <w:rPr>
          <w:rFonts w:ascii="Garamond" w:eastAsia="PMingLiU" w:hAnsi="Garamond"/>
          <w:sz w:val="24"/>
          <w:szCs w:val="24"/>
          <w:lang w:eastAsia="zh-TW"/>
        </w:rPr>
        <w:t xml:space="preserve"> </w:t>
      </w:r>
      <w:r w:rsidR="00466DBC" w:rsidRPr="002C088C">
        <w:rPr>
          <w:rFonts w:ascii="Garamond" w:eastAsia="PMingLiU" w:hAnsi="Garamond"/>
          <w:sz w:val="24"/>
          <w:szCs w:val="24"/>
          <w:lang w:eastAsia="zh-TW"/>
        </w:rPr>
        <w:t>varying the order so as to allow the defendants to be named and to permit specific elements of the tr</w:t>
      </w:r>
      <w:r w:rsidR="008B3E22" w:rsidRPr="002C088C">
        <w:rPr>
          <w:rFonts w:ascii="Garamond" w:eastAsia="PMingLiU" w:hAnsi="Garamond"/>
          <w:sz w:val="24"/>
          <w:szCs w:val="24"/>
          <w:lang w:eastAsia="zh-TW"/>
        </w:rPr>
        <w:t>ial to take place in open court –</w:t>
      </w:r>
      <w:r w:rsidR="00553E42" w:rsidRPr="002C088C">
        <w:rPr>
          <w:rFonts w:ascii="Garamond" w:eastAsia="PMingLiU" w:hAnsi="Garamond"/>
          <w:sz w:val="24"/>
          <w:szCs w:val="24"/>
          <w:lang w:eastAsia="zh-TW"/>
        </w:rPr>
        <w:t xml:space="preserve"> noted that the Crown’s application for an in camera trial was:</w:t>
      </w:r>
    </w:p>
    <w:p w:rsidR="00347B8D" w:rsidRPr="002C088C" w:rsidRDefault="00347B8D" w:rsidP="000C2DB7">
      <w:pPr>
        <w:spacing w:after="0" w:line="480" w:lineRule="auto"/>
        <w:jc w:val="both"/>
        <w:rPr>
          <w:rFonts w:ascii="Garamond" w:eastAsia="PMingLiU" w:hAnsi="Garamond"/>
          <w:sz w:val="24"/>
          <w:szCs w:val="24"/>
          <w:lang w:eastAsia="zh-TW"/>
        </w:rPr>
      </w:pPr>
    </w:p>
    <w:p w:rsidR="00553E42" w:rsidRPr="002C088C" w:rsidRDefault="00553E42" w:rsidP="000C2DB7">
      <w:pPr>
        <w:pStyle w:val="ListParagraph"/>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supported by Certificates … setting out the reasons relied on in support, signed by the Secretary of State for the Home Department … and the Secretary of State for Foreign and Commonwealth Affairs…</w:t>
      </w:r>
      <w:r w:rsidRPr="002C088C">
        <w:rPr>
          <w:rStyle w:val="FootnoteReference"/>
          <w:rFonts w:ascii="Garamond" w:eastAsia="PMingLiU" w:hAnsi="Garamond"/>
          <w:sz w:val="24"/>
          <w:szCs w:val="24"/>
          <w:lang w:eastAsia="zh-TW"/>
        </w:rPr>
        <w:footnoteReference w:id="41"/>
      </w:r>
    </w:p>
    <w:p w:rsidR="00347B8D" w:rsidRPr="002C088C" w:rsidRDefault="00347B8D" w:rsidP="000C2DB7">
      <w:pPr>
        <w:pStyle w:val="ListParagraph"/>
        <w:spacing w:after="0" w:line="480" w:lineRule="auto"/>
        <w:jc w:val="both"/>
        <w:rPr>
          <w:rFonts w:ascii="Garamond" w:eastAsia="PMingLiU" w:hAnsi="Garamond"/>
          <w:sz w:val="24"/>
          <w:szCs w:val="24"/>
          <w:lang w:eastAsia="zh-TW"/>
        </w:rPr>
      </w:pPr>
    </w:p>
    <w:p w:rsidR="003746F7" w:rsidRDefault="005D2DB4" w:rsidP="003746F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Though</w:t>
      </w:r>
      <w:r w:rsidR="00553E42" w:rsidRPr="002C088C">
        <w:rPr>
          <w:rFonts w:ascii="Garamond" w:eastAsia="PMingLiU" w:hAnsi="Garamond"/>
          <w:sz w:val="24"/>
          <w:szCs w:val="24"/>
          <w:lang w:eastAsia="zh-TW"/>
        </w:rPr>
        <w:t xml:space="preserve"> a proportion of Ministerial cert</w:t>
      </w:r>
      <w:r w:rsidR="00E46F52" w:rsidRPr="002C088C">
        <w:rPr>
          <w:rFonts w:ascii="Garamond" w:eastAsia="PMingLiU" w:hAnsi="Garamond"/>
          <w:sz w:val="24"/>
          <w:szCs w:val="24"/>
          <w:lang w:eastAsia="zh-TW"/>
        </w:rPr>
        <w:t>ificates have a statutory basis,</w:t>
      </w:r>
      <w:r w:rsidR="00553E42" w:rsidRPr="002C088C">
        <w:rPr>
          <w:rStyle w:val="FootnoteReference"/>
          <w:rFonts w:ascii="Garamond" w:eastAsia="PMingLiU" w:hAnsi="Garamond"/>
          <w:sz w:val="24"/>
          <w:szCs w:val="24"/>
          <w:lang w:eastAsia="zh-TW"/>
        </w:rPr>
        <w:footnoteReference w:id="42"/>
      </w:r>
      <w:r w:rsidR="00EC2BF3" w:rsidRPr="002C088C">
        <w:rPr>
          <w:rFonts w:ascii="Garamond" w:eastAsia="PMingLiU" w:hAnsi="Garamond"/>
          <w:sz w:val="24"/>
          <w:szCs w:val="24"/>
          <w:lang w:eastAsia="zh-TW"/>
        </w:rPr>
        <w:t xml:space="preserve"> these particular</w:t>
      </w:r>
      <w:r w:rsidR="002552A8" w:rsidRPr="002C088C">
        <w:rPr>
          <w:rFonts w:ascii="Garamond" w:eastAsia="PMingLiU" w:hAnsi="Garamond"/>
          <w:sz w:val="24"/>
          <w:szCs w:val="24"/>
          <w:lang w:eastAsia="zh-TW"/>
        </w:rPr>
        <w:t xml:space="preserve"> certific</w:t>
      </w:r>
      <w:r w:rsidR="001F6288" w:rsidRPr="002C088C">
        <w:rPr>
          <w:rFonts w:ascii="Garamond" w:eastAsia="PMingLiU" w:hAnsi="Garamond"/>
          <w:sz w:val="24"/>
          <w:szCs w:val="24"/>
          <w:lang w:eastAsia="zh-TW"/>
        </w:rPr>
        <w:t xml:space="preserve">ates seem not to fulfil any statutory function. Instead, they </w:t>
      </w:r>
      <w:r w:rsidR="00AA1822">
        <w:rPr>
          <w:rFonts w:ascii="Garamond" w:eastAsia="PMingLiU" w:hAnsi="Garamond"/>
          <w:sz w:val="24"/>
          <w:szCs w:val="24"/>
          <w:lang w:eastAsia="zh-TW"/>
        </w:rPr>
        <w:t>would appear to be</w:t>
      </w:r>
      <w:r w:rsidR="00402113" w:rsidRPr="002C088C">
        <w:rPr>
          <w:rFonts w:ascii="Garamond" w:eastAsia="PMingLiU" w:hAnsi="Garamond"/>
          <w:sz w:val="24"/>
          <w:szCs w:val="24"/>
          <w:lang w:eastAsia="zh-TW"/>
        </w:rPr>
        <w:t xml:space="preserve"> </w:t>
      </w:r>
      <w:r w:rsidR="00D33CE7" w:rsidRPr="002C088C">
        <w:rPr>
          <w:rFonts w:ascii="Garamond" w:eastAsia="PMingLiU" w:hAnsi="Garamond"/>
          <w:sz w:val="24"/>
          <w:szCs w:val="24"/>
          <w:lang w:eastAsia="zh-TW"/>
        </w:rPr>
        <w:t>functionally</w:t>
      </w:r>
      <w:r w:rsidR="00402113" w:rsidRPr="002C088C">
        <w:rPr>
          <w:rFonts w:ascii="Garamond" w:eastAsia="PMingLiU" w:hAnsi="Garamond"/>
          <w:sz w:val="24"/>
          <w:szCs w:val="24"/>
          <w:lang w:eastAsia="zh-TW"/>
        </w:rPr>
        <w:t xml:space="preserve"> equivalent to those which are familiar </w:t>
      </w:r>
      <w:r w:rsidR="00E37E53" w:rsidRPr="002C088C">
        <w:rPr>
          <w:rFonts w:ascii="Garamond" w:eastAsia="PMingLiU" w:hAnsi="Garamond"/>
          <w:sz w:val="24"/>
          <w:szCs w:val="24"/>
          <w:lang w:eastAsia="zh-TW"/>
        </w:rPr>
        <w:t>from</w:t>
      </w:r>
      <w:r w:rsidR="00402113" w:rsidRPr="002C088C">
        <w:rPr>
          <w:rFonts w:ascii="Garamond" w:eastAsia="PMingLiU" w:hAnsi="Garamond"/>
          <w:sz w:val="24"/>
          <w:szCs w:val="24"/>
          <w:lang w:eastAsia="zh-TW"/>
        </w:rPr>
        <w:t xml:space="preserve"> the context of </w:t>
      </w:r>
      <w:r w:rsidR="00D33CE7" w:rsidRPr="002C088C">
        <w:rPr>
          <w:rFonts w:ascii="Garamond" w:eastAsia="PMingLiU" w:hAnsi="Garamond"/>
          <w:sz w:val="24"/>
          <w:szCs w:val="24"/>
          <w:lang w:eastAsia="zh-TW"/>
        </w:rPr>
        <w:t xml:space="preserve">PII, </w:t>
      </w:r>
      <w:r w:rsidR="00830A67" w:rsidRPr="002C088C">
        <w:rPr>
          <w:rFonts w:ascii="Garamond" w:eastAsia="PMingLiU" w:hAnsi="Garamond"/>
          <w:sz w:val="24"/>
          <w:szCs w:val="24"/>
          <w:lang w:eastAsia="zh-TW"/>
        </w:rPr>
        <w:t xml:space="preserve">in which the </w:t>
      </w:r>
      <w:r w:rsidR="00830A67" w:rsidRPr="002C088C">
        <w:rPr>
          <w:rFonts w:ascii="Garamond" w:eastAsia="PMingLiU" w:hAnsi="Garamond"/>
          <w:sz w:val="24"/>
          <w:szCs w:val="24"/>
          <w:lang w:eastAsia="zh-TW"/>
        </w:rPr>
        <w:lastRenderedPageBreak/>
        <w:t xml:space="preserve">certificate serves to give the courts notice of the executive’s assessment </w:t>
      </w:r>
      <w:r w:rsidR="00905F82" w:rsidRPr="002C088C">
        <w:rPr>
          <w:rFonts w:ascii="Garamond" w:eastAsia="PMingLiU" w:hAnsi="Garamond"/>
          <w:sz w:val="24"/>
          <w:szCs w:val="24"/>
          <w:lang w:eastAsia="zh-TW"/>
        </w:rPr>
        <w:t>as to where</w:t>
      </w:r>
      <w:r w:rsidR="00830A67" w:rsidRPr="002C088C">
        <w:rPr>
          <w:rFonts w:ascii="Garamond" w:eastAsia="PMingLiU" w:hAnsi="Garamond"/>
          <w:sz w:val="24"/>
          <w:szCs w:val="24"/>
          <w:lang w:eastAsia="zh-TW"/>
        </w:rPr>
        <w:t xml:space="preserve"> the balance of the public interest lies</w:t>
      </w:r>
      <w:r w:rsidR="00D54086" w:rsidRPr="002C088C">
        <w:rPr>
          <w:rFonts w:ascii="Garamond" w:eastAsia="PMingLiU" w:hAnsi="Garamond"/>
          <w:sz w:val="24"/>
          <w:szCs w:val="24"/>
          <w:lang w:eastAsia="zh-TW"/>
        </w:rPr>
        <w:t xml:space="preserve"> in relatio</w:t>
      </w:r>
      <w:r w:rsidR="009B4558" w:rsidRPr="002C088C">
        <w:rPr>
          <w:rFonts w:ascii="Garamond" w:eastAsia="PMingLiU" w:hAnsi="Garamond"/>
          <w:sz w:val="24"/>
          <w:szCs w:val="24"/>
          <w:lang w:eastAsia="zh-TW"/>
        </w:rPr>
        <w:t>n to the disclosure</w:t>
      </w:r>
      <w:r w:rsidR="00DF0475" w:rsidRPr="002C088C">
        <w:rPr>
          <w:rFonts w:ascii="Garamond" w:eastAsia="PMingLiU" w:hAnsi="Garamond"/>
          <w:sz w:val="24"/>
          <w:szCs w:val="24"/>
          <w:lang w:eastAsia="zh-TW"/>
        </w:rPr>
        <w:t xml:space="preserve"> particular information and, in turn, </w:t>
      </w:r>
      <w:r w:rsidR="00074678">
        <w:rPr>
          <w:rFonts w:ascii="Garamond" w:eastAsia="PMingLiU" w:hAnsi="Garamond"/>
          <w:sz w:val="24"/>
          <w:szCs w:val="24"/>
          <w:lang w:eastAsia="zh-TW"/>
        </w:rPr>
        <w:t>asserts</w:t>
      </w:r>
      <w:r w:rsidR="00B87E03" w:rsidRPr="002C088C">
        <w:rPr>
          <w:rFonts w:ascii="Garamond" w:eastAsia="PMingLiU" w:hAnsi="Garamond"/>
          <w:sz w:val="24"/>
          <w:szCs w:val="24"/>
          <w:lang w:eastAsia="zh-TW"/>
        </w:rPr>
        <w:t xml:space="preserve"> </w:t>
      </w:r>
      <w:r w:rsidR="00DF0475" w:rsidRPr="002C088C">
        <w:rPr>
          <w:rFonts w:ascii="Garamond" w:eastAsia="PMingLiU" w:hAnsi="Garamond"/>
          <w:sz w:val="24"/>
          <w:szCs w:val="24"/>
          <w:lang w:eastAsia="zh-TW"/>
        </w:rPr>
        <w:t xml:space="preserve">the </w:t>
      </w:r>
      <w:r w:rsidR="009B4558" w:rsidRPr="002C088C">
        <w:rPr>
          <w:rFonts w:ascii="Garamond" w:eastAsia="PMingLiU" w:hAnsi="Garamond"/>
          <w:sz w:val="24"/>
          <w:szCs w:val="24"/>
          <w:lang w:eastAsia="zh-TW"/>
        </w:rPr>
        <w:t xml:space="preserve">necessity of </w:t>
      </w:r>
      <w:r w:rsidR="00765E00" w:rsidRPr="002C088C">
        <w:rPr>
          <w:rFonts w:ascii="Garamond" w:eastAsia="PMingLiU" w:hAnsi="Garamond"/>
          <w:sz w:val="24"/>
          <w:szCs w:val="24"/>
          <w:lang w:eastAsia="zh-TW"/>
        </w:rPr>
        <w:t>p</w:t>
      </w:r>
      <w:r w:rsidR="00442C40" w:rsidRPr="002C088C">
        <w:rPr>
          <w:rFonts w:ascii="Garamond" w:eastAsia="PMingLiU" w:hAnsi="Garamond"/>
          <w:sz w:val="24"/>
          <w:szCs w:val="24"/>
          <w:lang w:eastAsia="zh-TW"/>
        </w:rPr>
        <w:t>reventing that disclosure</w:t>
      </w:r>
      <w:r w:rsidR="009C2163" w:rsidRPr="002C088C">
        <w:rPr>
          <w:rFonts w:ascii="Garamond" w:eastAsia="PMingLiU" w:hAnsi="Garamond"/>
          <w:sz w:val="24"/>
          <w:szCs w:val="24"/>
          <w:lang w:eastAsia="zh-TW"/>
        </w:rPr>
        <w:t xml:space="preserve">. </w:t>
      </w:r>
      <w:r w:rsidR="004E5CCE">
        <w:rPr>
          <w:rFonts w:ascii="Garamond" w:eastAsia="PMingLiU" w:hAnsi="Garamond"/>
          <w:sz w:val="24"/>
          <w:szCs w:val="24"/>
          <w:lang w:eastAsia="zh-TW"/>
        </w:rPr>
        <w:t>Unlike in the context of PII</w:t>
      </w:r>
      <w:r w:rsidR="0043315A">
        <w:rPr>
          <w:rFonts w:ascii="Garamond" w:eastAsia="PMingLiU" w:hAnsi="Garamond"/>
          <w:sz w:val="24"/>
          <w:szCs w:val="24"/>
          <w:lang w:eastAsia="zh-TW"/>
        </w:rPr>
        <w:t xml:space="preserve">, these certificates </w:t>
      </w:r>
      <w:r w:rsidR="001F3D72">
        <w:rPr>
          <w:rFonts w:ascii="Garamond" w:eastAsia="PMingLiU" w:hAnsi="Garamond"/>
          <w:sz w:val="24"/>
          <w:szCs w:val="24"/>
          <w:lang w:eastAsia="zh-TW"/>
        </w:rPr>
        <w:t>lead to</w:t>
      </w:r>
      <w:r w:rsidR="0043315A">
        <w:rPr>
          <w:rFonts w:ascii="Garamond" w:eastAsia="PMingLiU" w:hAnsi="Garamond"/>
          <w:sz w:val="24"/>
          <w:szCs w:val="24"/>
          <w:lang w:eastAsia="zh-TW"/>
        </w:rPr>
        <w:t xml:space="preserve"> </w:t>
      </w:r>
      <w:r w:rsidR="00277E46" w:rsidRPr="002C088C">
        <w:rPr>
          <w:rFonts w:ascii="Garamond" w:eastAsia="PMingLiU" w:hAnsi="Garamond"/>
          <w:sz w:val="24"/>
          <w:szCs w:val="24"/>
          <w:lang w:eastAsia="zh-TW"/>
        </w:rPr>
        <w:t xml:space="preserve">disclosure </w:t>
      </w:r>
      <w:r w:rsidR="00D35C8D">
        <w:rPr>
          <w:rFonts w:ascii="Garamond" w:eastAsia="PMingLiU" w:hAnsi="Garamond"/>
          <w:sz w:val="24"/>
          <w:szCs w:val="24"/>
          <w:lang w:eastAsia="zh-TW"/>
        </w:rPr>
        <w:t xml:space="preserve">to the public at large </w:t>
      </w:r>
      <w:r w:rsidR="002655DA">
        <w:rPr>
          <w:rFonts w:ascii="Garamond" w:eastAsia="PMingLiU" w:hAnsi="Garamond"/>
          <w:sz w:val="24"/>
          <w:szCs w:val="24"/>
          <w:lang w:eastAsia="zh-TW"/>
        </w:rPr>
        <w:t>b</w:t>
      </w:r>
      <w:r w:rsidR="00DB092F">
        <w:rPr>
          <w:rFonts w:ascii="Garamond" w:eastAsia="PMingLiU" w:hAnsi="Garamond"/>
          <w:sz w:val="24"/>
          <w:szCs w:val="24"/>
          <w:lang w:eastAsia="zh-TW"/>
        </w:rPr>
        <w:t>eing</w:t>
      </w:r>
      <w:r w:rsidR="00277E46" w:rsidRPr="002C088C">
        <w:rPr>
          <w:rFonts w:ascii="Garamond" w:eastAsia="PMingLiU" w:hAnsi="Garamond"/>
          <w:sz w:val="24"/>
          <w:szCs w:val="24"/>
          <w:lang w:eastAsia="zh-TW"/>
        </w:rPr>
        <w:t xml:space="preserve"> prevented not by</w:t>
      </w:r>
      <w:r w:rsidR="000D68BC">
        <w:rPr>
          <w:rFonts w:ascii="Garamond" w:eastAsia="PMingLiU" w:hAnsi="Garamond"/>
          <w:sz w:val="24"/>
          <w:szCs w:val="24"/>
          <w:lang w:eastAsia="zh-TW"/>
        </w:rPr>
        <w:t xml:space="preserve"> the</w:t>
      </w:r>
      <w:r w:rsidR="00277E46" w:rsidRPr="002C088C">
        <w:rPr>
          <w:rFonts w:ascii="Garamond" w:eastAsia="PMingLiU" w:hAnsi="Garamond"/>
          <w:sz w:val="24"/>
          <w:szCs w:val="24"/>
          <w:lang w:eastAsia="zh-TW"/>
        </w:rPr>
        <w:t xml:space="preserve"> non-disclosure of </w:t>
      </w:r>
      <w:r w:rsidR="00010635">
        <w:rPr>
          <w:rFonts w:ascii="Garamond" w:eastAsia="PMingLiU" w:hAnsi="Garamond"/>
          <w:sz w:val="24"/>
          <w:szCs w:val="24"/>
          <w:lang w:eastAsia="zh-TW"/>
        </w:rPr>
        <w:t xml:space="preserve">certain </w:t>
      </w:r>
      <w:r w:rsidR="00277E46" w:rsidRPr="002C088C">
        <w:rPr>
          <w:rFonts w:ascii="Garamond" w:eastAsia="PMingLiU" w:hAnsi="Garamond"/>
          <w:sz w:val="24"/>
          <w:szCs w:val="24"/>
          <w:lang w:eastAsia="zh-TW"/>
        </w:rPr>
        <w:t xml:space="preserve">material in </w:t>
      </w:r>
      <w:r w:rsidR="00D46151" w:rsidRPr="002C088C">
        <w:rPr>
          <w:rFonts w:ascii="Garamond" w:eastAsia="PMingLiU" w:hAnsi="Garamond"/>
          <w:sz w:val="24"/>
          <w:szCs w:val="24"/>
          <w:lang w:eastAsia="zh-TW"/>
        </w:rPr>
        <w:t xml:space="preserve">evidence, but with </w:t>
      </w:r>
      <w:r w:rsidR="00931820" w:rsidRPr="002C088C">
        <w:rPr>
          <w:rFonts w:ascii="Garamond" w:eastAsia="PMingLiU" w:hAnsi="Garamond"/>
          <w:sz w:val="24"/>
          <w:szCs w:val="24"/>
          <w:lang w:eastAsia="zh-TW"/>
        </w:rPr>
        <w:t xml:space="preserve">disclosing it before a court from </w:t>
      </w:r>
      <w:r w:rsidR="00D33460">
        <w:rPr>
          <w:rFonts w:ascii="Garamond" w:eastAsia="PMingLiU" w:hAnsi="Garamond"/>
          <w:sz w:val="24"/>
          <w:szCs w:val="24"/>
          <w:lang w:eastAsia="zh-TW"/>
        </w:rPr>
        <w:t xml:space="preserve">whose proceedings </w:t>
      </w:r>
      <w:r w:rsidR="00931820" w:rsidRPr="002C088C">
        <w:rPr>
          <w:rFonts w:ascii="Garamond" w:eastAsia="PMingLiU" w:hAnsi="Garamond"/>
          <w:sz w:val="24"/>
          <w:szCs w:val="24"/>
          <w:lang w:eastAsia="zh-TW"/>
        </w:rPr>
        <w:t>press and public are excluded.</w:t>
      </w:r>
      <w:r w:rsidR="00830A67" w:rsidRPr="002C088C">
        <w:rPr>
          <w:rFonts w:ascii="Garamond" w:eastAsia="PMingLiU" w:hAnsi="Garamond"/>
          <w:sz w:val="24"/>
          <w:szCs w:val="24"/>
          <w:lang w:eastAsia="zh-TW"/>
        </w:rPr>
        <w:t xml:space="preserve"> </w:t>
      </w:r>
    </w:p>
    <w:p w:rsidR="003746F7" w:rsidRDefault="003746F7" w:rsidP="00EA0F40">
      <w:pPr>
        <w:spacing w:after="0" w:line="480" w:lineRule="auto"/>
        <w:jc w:val="both"/>
        <w:rPr>
          <w:rFonts w:ascii="Garamond" w:eastAsia="PMingLiU" w:hAnsi="Garamond"/>
          <w:sz w:val="24"/>
          <w:szCs w:val="24"/>
          <w:lang w:eastAsia="zh-TW"/>
        </w:rPr>
      </w:pPr>
    </w:p>
    <w:p w:rsidR="00553E42" w:rsidRPr="006D4EEA" w:rsidRDefault="00E366B3" w:rsidP="00EA0F40">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 xml:space="preserve">The </w:t>
      </w:r>
      <w:r w:rsidR="008F6F46" w:rsidRPr="002C088C">
        <w:rPr>
          <w:rFonts w:ascii="Garamond" w:eastAsia="PMingLiU" w:hAnsi="Garamond"/>
          <w:sz w:val="24"/>
          <w:szCs w:val="24"/>
          <w:lang w:eastAsia="zh-TW"/>
        </w:rPr>
        <w:t>extent of the continuity</w:t>
      </w:r>
      <w:r w:rsidR="004B4681">
        <w:rPr>
          <w:rFonts w:ascii="Garamond" w:eastAsia="PMingLiU" w:hAnsi="Garamond"/>
          <w:sz w:val="24"/>
          <w:szCs w:val="24"/>
          <w:lang w:eastAsia="zh-TW"/>
        </w:rPr>
        <w:t xml:space="preserve"> between the</w:t>
      </w:r>
      <w:r w:rsidR="00612091" w:rsidRPr="002C088C">
        <w:rPr>
          <w:rFonts w:ascii="Garamond" w:eastAsia="PMingLiU" w:hAnsi="Garamond"/>
          <w:sz w:val="24"/>
          <w:szCs w:val="24"/>
          <w:lang w:eastAsia="zh-TW"/>
        </w:rPr>
        <w:t xml:space="preserve"> two </w:t>
      </w:r>
      <w:r w:rsidR="004B4681">
        <w:rPr>
          <w:rFonts w:ascii="Garamond" w:eastAsia="PMingLiU" w:hAnsi="Garamond"/>
          <w:sz w:val="24"/>
          <w:szCs w:val="24"/>
          <w:lang w:eastAsia="zh-TW"/>
        </w:rPr>
        <w:t>phenomena</w:t>
      </w:r>
      <w:r w:rsidR="008F6F46" w:rsidRPr="002C088C">
        <w:rPr>
          <w:rFonts w:ascii="Garamond" w:eastAsia="PMingLiU" w:hAnsi="Garamond"/>
          <w:sz w:val="24"/>
          <w:szCs w:val="24"/>
          <w:lang w:eastAsia="zh-TW"/>
        </w:rPr>
        <w:t xml:space="preserve"> is </w:t>
      </w:r>
      <w:r w:rsidR="003440D7">
        <w:rPr>
          <w:rFonts w:ascii="Garamond" w:eastAsia="PMingLiU" w:hAnsi="Garamond"/>
          <w:sz w:val="24"/>
          <w:szCs w:val="24"/>
          <w:lang w:eastAsia="zh-TW"/>
        </w:rPr>
        <w:t>d</w:t>
      </w:r>
      <w:r w:rsidR="00266FAB">
        <w:rPr>
          <w:rFonts w:ascii="Garamond" w:eastAsia="PMingLiU" w:hAnsi="Garamond"/>
          <w:sz w:val="24"/>
          <w:szCs w:val="24"/>
          <w:lang w:eastAsia="zh-TW"/>
        </w:rPr>
        <w:t xml:space="preserve">emonstrated </w:t>
      </w:r>
      <w:r w:rsidR="007E66B9">
        <w:rPr>
          <w:rFonts w:ascii="Garamond" w:eastAsia="PMingLiU" w:hAnsi="Garamond"/>
          <w:sz w:val="24"/>
          <w:szCs w:val="24"/>
          <w:lang w:eastAsia="zh-TW"/>
        </w:rPr>
        <w:t>in particular</w:t>
      </w:r>
      <w:r w:rsidR="00AC3960" w:rsidRPr="002C088C">
        <w:rPr>
          <w:rFonts w:ascii="Garamond" w:eastAsia="PMingLiU" w:hAnsi="Garamond"/>
          <w:sz w:val="24"/>
          <w:szCs w:val="24"/>
          <w:lang w:eastAsia="zh-TW"/>
        </w:rPr>
        <w:t xml:space="preserve"> </w:t>
      </w:r>
      <w:r w:rsidR="00893005" w:rsidRPr="002C088C">
        <w:rPr>
          <w:rFonts w:ascii="Garamond" w:eastAsia="PMingLiU" w:hAnsi="Garamond"/>
          <w:sz w:val="24"/>
          <w:szCs w:val="24"/>
          <w:lang w:eastAsia="zh-TW"/>
        </w:rPr>
        <w:t>by the court’s</w:t>
      </w:r>
      <w:r w:rsidR="002B73C5" w:rsidRPr="002C088C">
        <w:rPr>
          <w:rFonts w:ascii="Garamond" w:eastAsia="PMingLiU" w:hAnsi="Garamond"/>
          <w:sz w:val="24"/>
          <w:szCs w:val="24"/>
          <w:lang w:eastAsia="zh-TW"/>
        </w:rPr>
        <w:t xml:space="preserve"> willingness to </w:t>
      </w:r>
      <w:r w:rsidR="00A769CF" w:rsidRPr="002C088C">
        <w:rPr>
          <w:rFonts w:ascii="Garamond" w:eastAsia="PMingLiU" w:hAnsi="Garamond"/>
          <w:sz w:val="24"/>
          <w:szCs w:val="24"/>
          <w:lang w:eastAsia="zh-TW"/>
        </w:rPr>
        <w:t>rely on not ju</w:t>
      </w:r>
      <w:r w:rsidR="00A969ED" w:rsidRPr="002C088C">
        <w:rPr>
          <w:rFonts w:ascii="Garamond" w:eastAsia="PMingLiU" w:hAnsi="Garamond"/>
          <w:sz w:val="24"/>
          <w:szCs w:val="24"/>
          <w:lang w:eastAsia="zh-TW"/>
        </w:rPr>
        <w:t xml:space="preserve">st the practical considerations </w:t>
      </w:r>
      <w:r w:rsidR="00237246" w:rsidRPr="002C088C">
        <w:rPr>
          <w:rFonts w:ascii="Garamond" w:eastAsia="PMingLiU" w:hAnsi="Garamond"/>
          <w:sz w:val="24"/>
          <w:szCs w:val="24"/>
          <w:lang w:eastAsia="zh-TW"/>
        </w:rPr>
        <w:t>familiar from</w:t>
      </w:r>
      <w:r w:rsidR="00431C80" w:rsidRPr="002C088C">
        <w:rPr>
          <w:rFonts w:ascii="Garamond" w:eastAsia="PMingLiU" w:hAnsi="Garamond"/>
          <w:sz w:val="24"/>
          <w:szCs w:val="24"/>
          <w:lang w:eastAsia="zh-TW"/>
        </w:rPr>
        <w:t xml:space="preserve"> PII</w:t>
      </w:r>
      <w:r w:rsidR="00FF5172" w:rsidRPr="002C088C">
        <w:rPr>
          <w:rFonts w:ascii="Garamond" w:eastAsia="PMingLiU" w:hAnsi="Garamond"/>
          <w:sz w:val="24"/>
          <w:szCs w:val="24"/>
          <w:lang w:eastAsia="zh-TW"/>
        </w:rPr>
        <w:t>,</w:t>
      </w:r>
      <w:r w:rsidR="00431C80" w:rsidRPr="002C088C">
        <w:rPr>
          <w:rFonts w:ascii="Garamond" w:eastAsia="PMingLiU" w:hAnsi="Garamond"/>
          <w:sz w:val="24"/>
          <w:szCs w:val="24"/>
          <w:lang w:eastAsia="zh-TW"/>
        </w:rPr>
        <w:t xml:space="preserve"> but on the jurisprudence </w:t>
      </w:r>
      <w:r w:rsidR="00FF5172" w:rsidRPr="002C088C">
        <w:rPr>
          <w:rFonts w:ascii="Garamond" w:eastAsia="PMingLiU" w:hAnsi="Garamond"/>
          <w:sz w:val="24"/>
          <w:szCs w:val="24"/>
          <w:lang w:eastAsia="zh-TW"/>
        </w:rPr>
        <w:t>specific to that context</w:t>
      </w:r>
      <w:r w:rsidR="00431C80" w:rsidRPr="002C088C">
        <w:rPr>
          <w:rFonts w:ascii="Garamond" w:eastAsia="PMingLiU" w:hAnsi="Garamond"/>
          <w:sz w:val="24"/>
          <w:szCs w:val="24"/>
          <w:lang w:eastAsia="zh-TW"/>
        </w:rPr>
        <w:t xml:space="preserve">. Where it </w:t>
      </w:r>
      <w:r w:rsidR="00B90004" w:rsidRPr="002C088C">
        <w:rPr>
          <w:rFonts w:ascii="Garamond" w:eastAsia="PMingLiU" w:hAnsi="Garamond"/>
          <w:sz w:val="24"/>
          <w:szCs w:val="24"/>
          <w:lang w:eastAsia="zh-TW"/>
        </w:rPr>
        <w:t>notes</w:t>
      </w:r>
      <w:r w:rsidR="00553E42" w:rsidRPr="002C088C">
        <w:rPr>
          <w:rFonts w:ascii="Garamond" w:eastAsia="PMingLiU" w:hAnsi="Garamond"/>
          <w:sz w:val="24"/>
          <w:szCs w:val="24"/>
          <w:lang w:eastAsia="zh-TW"/>
        </w:rPr>
        <w:t xml:space="preserve"> that “the question of whether to give effect to a Ministerial Certificate (asserting, for instance, the need for privacy) such as those relied upon by the Crown here is ultimately for the Court, not a Minister. However, in the field of national security, a Court will not lightly depart from th</w:t>
      </w:r>
      <w:r w:rsidR="00117E3B" w:rsidRPr="002C088C">
        <w:rPr>
          <w:rFonts w:ascii="Garamond" w:eastAsia="PMingLiU" w:hAnsi="Garamond"/>
          <w:sz w:val="24"/>
          <w:szCs w:val="24"/>
          <w:lang w:eastAsia="zh-TW"/>
        </w:rPr>
        <w:t>e assessment made by a Minister,</w:t>
      </w:r>
      <w:r w:rsidR="00553E42" w:rsidRPr="002C088C">
        <w:rPr>
          <w:rFonts w:ascii="Garamond" w:eastAsia="PMingLiU" w:hAnsi="Garamond"/>
          <w:sz w:val="24"/>
          <w:szCs w:val="24"/>
          <w:lang w:eastAsia="zh-TW"/>
        </w:rPr>
        <w:t>”</w:t>
      </w:r>
      <w:r w:rsidR="00553E42" w:rsidRPr="002C088C">
        <w:rPr>
          <w:rStyle w:val="FootnoteReference"/>
          <w:rFonts w:ascii="Garamond" w:eastAsia="PMingLiU" w:hAnsi="Garamond"/>
          <w:sz w:val="24"/>
          <w:szCs w:val="24"/>
          <w:lang w:eastAsia="zh-TW"/>
        </w:rPr>
        <w:footnoteReference w:id="43"/>
      </w:r>
      <w:r w:rsidR="00117E3B" w:rsidRPr="002C088C">
        <w:rPr>
          <w:rFonts w:ascii="Garamond" w:eastAsia="PMingLiU" w:hAnsi="Garamond"/>
          <w:sz w:val="24"/>
          <w:szCs w:val="24"/>
          <w:lang w:eastAsia="zh-TW"/>
        </w:rPr>
        <w:t xml:space="preserve"> it cites in </w:t>
      </w:r>
      <w:r w:rsidR="00553E42" w:rsidRPr="002C088C">
        <w:rPr>
          <w:rFonts w:ascii="Garamond" w:eastAsia="PMingLiU" w:hAnsi="Garamond"/>
          <w:sz w:val="24"/>
          <w:szCs w:val="24"/>
          <w:lang w:eastAsia="zh-TW"/>
        </w:rPr>
        <w:t xml:space="preserve">support of this final proposition </w:t>
      </w:r>
      <w:r w:rsidR="00553E42" w:rsidRPr="002C088C">
        <w:rPr>
          <w:rFonts w:ascii="Garamond" w:eastAsia="PMingLiU" w:hAnsi="Garamond"/>
          <w:i/>
          <w:sz w:val="24"/>
          <w:szCs w:val="24"/>
          <w:lang w:eastAsia="zh-TW"/>
        </w:rPr>
        <w:t>Secretary of State for Foreign and Commonwealth Affairs v Assistant Deputy Coroner for Inner North London</w:t>
      </w:r>
      <w:r w:rsidR="00553E42" w:rsidRPr="002C088C">
        <w:rPr>
          <w:rFonts w:ascii="Garamond" w:eastAsia="PMingLiU" w:hAnsi="Garamond"/>
          <w:sz w:val="24"/>
          <w:szCs w:val="24"/>
          <w:lang w:eastAsia="zh-TW"/>
        </w:rPr>
        <w:t>,</w:t>
      </w:r>
      <w:r w:rsidR="00553E42" w:rsidRPr="002C088C">
        <w:rPr>
          <w:rStyle w:val="FootnoteReference"/>
          <w:rFonts w:ascii="Garamond" w:eastAsia="PMingLiU" w:hAnsi="Garamond"/>
          <w:sz w:val="24"/>
          <w:szCs w:val="24"/>
          <w:lang w:eastAsia="zh-TW"/>
        </w:rPr>
        <w:footnoteReference w:id="44"/>
      </w:r>
      <w:r w:rsidR="00553E42" w:rsidRPr="002C088C">
        <w:rPr>
          <w:rFonts w:ascii="Garamond" w:eastAsia="PMingLiU" w:hAnsi="Garamond"/>
          <w:sz w:val="24"/>
          <w:szCs w:val="24"/>
          <w:lang w:eastAsia="zh-TW"/>
        </w:rPr>
        <w:t xml:space="preserve"> in which the relevant certificat</w:t>
      </w:r>
      <w:r w:rsidR="008B3F08" w:rsidRPr="002C088C">
        <w:rPr>
          <w:rFonts w:ascii="Garamond" w:eastAsia="PMingLiU" w:hAnsi="Garamond"/>
          <w:sz w:val="24"/>
          <w:szCs w:val="24"/>
          <w:lang w:eastAsia="zh-TW"/>
        </w:rPr>
        <w:t>es were indeed PII certificates,</w:t>
      </w:r>
      <w:r w:rsidR="00553E42" w:rsidRPr="002C088C">
        <w:rPr>
          <w:rFonts w:ascii="Garamond" w:eastAsia="PMingLiU" w:hAnsi="Garamond"/>
          <w:sz w:val="24"/>
          <w:szCs w:val="24"/>
          <w:lang w:eastAsia="zh-TW"/>
        </w:rPr>
        <w:t xml:space="preserve"> asserting the need for non-disclosure of documents of relevance to the issues arising from the inquest into the death of</w:t>
      </w:r>
      <w:r w:rsidR="00EB6E69" w:rsidRPr="002C088C">
        <w:rPr>
          <w:rFonts w:ascii="Garamond" w:eastAsia="PMingLiU" w:hAnsi="Garamond"/>
          <w:sz w:val="24"/>
          <w:szCs w:val="24"/>
          <w:lang w:eastAsia="zh-TW"/>
        </w:rPr>
        <w:t xml:space="preserve"> Russian dissident</w:t>
      </w:r>
      <w:r w:rsidR="00553E42" w:rsidRPr="002C088C">
        <w:rPr>
          <w:rFonts w:ascii="Garamond" w:eastAsia="PMingLiU" w:hAnsi="Garamond"/>
          <w:sz w:val="24"/>
          <w:szCs w:val="24"/>
          <w:lang w:eastAsia="zh-TW"/>
        </w:rPr>
        <w:t xml:space="preserve"> Alexander Litvinenko. </w:t>
      </w:r>
      <w:r w:rsidR="00866129" w:rsidRPr="002C088C">
        <w:rPr>
          <w:rFonts w:ascii="Garamond" w:eastAsia="PMingLiU" w:hAnsi="Garamond"/>
          <w:sz w:val="24"/>
          <w:szCs w:val="24"/>
          <w:lang w:eastAsia="zh-TW"/>
        </w:rPr>
        <w:t xml:space="preserve">There is a direct </w:t>
      </w:r>
      <w:r w:rsidR="006E12B1" w:rsidRPr="002C088C">
        <w:rPr>
          <w:rFonts w:ascii="Garamond" w:eastAsia="PMingLiU" w:hAnsi="Garamond"/>
          <w:sz w:val="24"/>
          <w:szCs w:val="24"/>
          <w:lang w:eastAsia="zh-TW"/>
        </w:rPr>
        <w:t xml:space="preserve">transposition of </w:t>
      </w:r>
      <w:r w:rsidR="007431E0" w:rsidRPr="002C088C">
        <w:rPr>
          <w:rFonts w:ascii="Garamond" w:eastAsia="PMingLiU" w:hAnsi="Garamond"/>
          <w:sz w:val="24"/>
          <w:szCs w:val="24"/>
          <w:lang w:eastAsia="zh-TW"/>
        </w:rPr>
        <w:t>jurisprudence</w:t>
      </w:r>
      <w:r w:rsidR="001D55B4" w:rsidRPr="002C088C">
        <w:rPr>
          <w:rFonts w:ascii="Garamond" w:eastAsia="PMingLiU" w:hAnsi="Garamond"/>
          <w:sz w:val="24"/>
          <w:szCs w:val="24"/>
          <w:lang w:eastAsia="zh-TW"/>
        </w:rPr>
        <w:t xml:space="preserve"> from one context to the other</w:t>
      </w:r>
      <w:r w:rsidR="006D4EEA">
        <w:rPr>
          <w:rFonts w:ascii="Garamond" w:eastAsia="PMingLiU" w:hAnsi="Garamond"/>
          <w:sz w:val="24"/>
          <w:szCs w:val="24"/>
          <w:lang w:eastAsia="zh-TW"/>
        </w:rPr>
        <w:t xml:space="preserve"> and </w:t>
      </w:r>
      <w:r w:rsidR="00C307DA">
        <w:rPr>
          <w:rFonts w:ascii="Garamond" w:eastAsia="PMingLiU" w:hAnsi="Garamond"/>
          <w:sz w:val="24"/>
          <w:szCs w:val="24"/>
          <w:lang w:eastAsia="zh-TW"/>
        </w:rPr>
        <w:t>to that extent</w:t>
      </w:r>
      <w:r w:rsidR="006D4EEA">
        <w:rPr>
          <w:rFonts w:ascii="Garamond" w:eastAsia="PMingLiU" w:hAnsi="Garamond"/>
          <w:sz w:val="24"/>
          <w:szCs w:val="24"/>
          <w:lang w:eastAsia="zh-TW"/>
        </w:rPr>
        <w:t xml:space="preserve"> </w:t>
      </w:r>
      <w:proofErr w:type="spellStart"/>
      <w:r w:rsidR="006D4EEA">
        <w:rPr>
          <w:rFonts w:ascii="Garamond" w:eastAsia="PMingLiU" w:hAnsi="Garamond"/>
          <w:i/>
          <w:sz w:val="24"/>
          <w:szCs w:val="24"/>
          <w:lang w:eastAsia="zh-TW"/>
        </w:rPr>
        <w:t>Incedal</w:t>
      </w:r>
      <w:proofErr w:type="spellEnd"/>
      <w:r w:rsidR="006D4EEA">
        <w:rPr>
          <w:rFonts w:ascii="Garamond" w:eastAsia="PMingLiU" w:hAnsi="Garamond"/>
          <w:sz w:val="24"/>
          <w:szCs w:val="24"/>
          <w:lang w:eastAsia="zh-TW"/>
        </w:rPr>
        <w:t xml:space="preserve"> goes a step further </w:t>
      </w:r>
      <w:r w:rsidR="00954519">
        <w:rPr>
          <w:rFonts w:ascii="Garamond" w:eastAsia="PMingLiU" w:hAnsi="Garamond"/>
          <w:sz w:val="24"/>
          <w:szCs w:val="24"/>
          <w:lang w:eastAsia="zh-TW"/>
        </w:rPr>
        <w:t xml:space="preserve">than </w:t>
      </w:r>
      <w:r w:rsidR="00C1521F">
        <w:rPr>
          <w:rFonts w:ascii="Garamond" w:eastAsia="PMingLiU" w:hAnsi="Garamond"/>
          <w:sz w:val="24"/>
          <w:szCs w:val="24"/>
          <w:lang w:eastAsia="zh-TW"/>
        </w:rPr>
        <w:t>do the (</w:t>
      </w:r>
      <w:proofErr w:type="spellStart"/>
      <w:r w:rsidR="00C1521F">
        <w:rPr>
          <w:rFonts w:ascii="Garamond" w:eastAsia="PMingLiU" w:hAnsi="Garamond"/>
          <w:sz w:val="24"/>
          <w:szCs w:val="24"/>
          <w:lang w:eastAsia="zh-TW"/>
        </w:rPr>
        <w:t>unglossed</w:t>
      </w:r>
      <w:proofErr w:type="spellEnd"/>
      <w:r w:rsidR="00CB0663">
        <w:rPr>
          <w:rFonts w:ascii="Garamond" w:eastAsia="PMingLiU" w:hAnsi="Garamond"/>
          <w:sz w:val="24"/>
          <w:szCs w:val="24"/>
          <w:lang w:eastAsia="zh-TW"/>
        </w:rPr>
        <w:t xml:space="preserve"> and</w:t>
      </w:r>
      <w:r w:rsidR="00467955">
        <w:rPr>
          <w:rFonts w:ascii="Garamond" w:eastAsia="PMingLiU" w:hAnsi="Garamond"/>
          <w:sz w:val="24"/>
          <w:szCs w:val="24"/>
          <w:lang w:eastAsia="zh-TW"/>
        </w:rPr>
        <w:t xml:space="preserve"> at times</w:t>
      </w:r>
      <w:r w:rsidR="00CB0663">
        <w:rPr>
          <w:rFonts w:ascii="Garamond" w:eastAsia="PMingLiU" w:hAnsi="Garamond"/>
          <w:sz w:val="24"/>
          <w:szCs w:val="24"/>
          <w:lang w:eastAsia="zh-TW"/>
        </w:rPr>
        <w:t xml:space="preserve"> ambiguous</w:t>
      </w:r>
      <w:r w:rsidR="00C1521F">
        <w:rPr>
          <w:rFonts w:ascii="Garamond" w:eastAsia="PMingLiU" w:hAnsi="Garamond"/>
          <w:sz w:val="24"/>
          <w:szCs w:val="24"/>
          <w:lang w:eastAsia="zh-TW"/>
        </w:rPr>
        <w:t xml:space="preserve">) references </w:t>
      </w:r>
      <w:r w:rsidR="00EE7BC5">
        <w:rPr>
          <w:rFonts w:ascii="Garamond" w:eastAsia="PMingLiU" w:hAnsi="Garamond"/>
          <w:sz w:val="24"/>
          <w:szCs w:val="24"/>
          <w:lang w:eastAsia="zh-TW"/>
        </w:rPr>
        <w:t xml:space="preserve">to PII </w:t>
      </w:r>
      <w:r w:rsidR="00421C00">
        <w:rPr>
          <w:rFonts w:ascii="Garamond" w:eastAsia="PMingLiU" w:hAnsi="Garamond"/>
          <w:sz w:val="24"/>
          <w:szCs w:val="24"/>
          <w:lang w:eastAsia="zh-TW"/>
        </w:rPr>
        <w:t xml:space="preserve">in the earlier </w:t>
      </w:r>
      <w:r w:rsidR="00E3582E">
        <w:rPr>
          <w:rFonts w:ascii="Garamond" w:eastAsia="PMingLiU" w:hAnsi="Garamond"/>
          <w:sz w:val="24"/>
          <w:szCs w:val="24"/>
          <w:lang w:eastAsia="zh-TW"/>
        </w:rPr>
        <w:t>in camera cases, even</w:t>
      </w:r>
      <w:r w:rsidR="00E64D66">
        <w:rPr>
          <w:rFonts w:ascii="Garamond" w:eastAsia="PMingLiU" w:hAnsi="Garamond"/>
          <w:sz w:val="24"/>
          <w:szCs w:val="24"/>
          <w:lang w:eastAsia="zh-TW"/>
        </w:rPr>
        <w:t xml:space="preserve"> while</w:t>
      </w:r>
      <w:r w:rsidR="00D913FE">
        <w:rPr>
          <w:rFonts w:ascii="Garamond" w:eastAsia="PMingLiU" w:hAnsi="Garamond"/>
          <w:sz w:val="24"/>
          <w:szCs w:val="24"/>
          <w:lang w:eastAsia="zh-TW"/>
        </w:rPr>
        <w:t xml:space="preserve"> </w:t>
      </w:r>
      <w:r w:rsidR="00E521A5">
        <w:rPr>
          <w:rFonts w:ascii="Garamond" w:eastAsia="PMingLiU" w:hAnsi="Garamond"/>
          <w:sz w:val="24"/>
          <w:szCs w:val="24"/>
          <w:lang w:eastAsia="zh-TW"/>
        </w:rPr>
        <w:t xml:space="preserve">the </w:t>
      </w:r>
      <w:r w:rsidR="00E3582E">
        <w:rPr>
          <w:rFonts w:ascii="Garamond" w:eastAsia="PMingLiU" w:hAnsi="Garamond"/>
          <w:sz w:val="24"/>
          <w:szCs w:val="24"/>
          <w:lang w:eastAsia="zh-TW"/>
        </w:rPr>
        <w:t xml:space="preserve">court here is careful </w:t>
      </w:r>
      <w:r w:rsidR="0032291F">
        <w:rPr>
          <w:rFonts w:ascii="Garamond" w:eastAsia="PMingLiU" w:hAnsi="Garamond"/>
          <w:sz w:val="24"/>
          <w:szCs w:val="24"/>
          <w:lang w:eastAsia="zh-TW"/>
        </w:rPr>
        <w:t>to refer to the certificates underlying the in camera ord</w:t>
      </w:r>
      <w:r w:rsidR="00F442DC">
        <w:rPr>
          <w:rFonts w:ascii="Garamond" w:eastAsia="PMingLiU" w:hAnsi="Garamond"/>
          <w:sz w:val="24"/>
          <w:szCs w:val="24"/>
          <w:lang w:eastAsia="zh-TW"/>
        </w:rPr>
        <w:t xml:space="preserve">er in terms which implicitly acknowledge </w:t>
      </w:r>
      <w:r w:rsidR="006F7549">
        <w:rPr>
          <w:rFonts w:ascii="Garamond" w:eastAsia="PMingLiU" w:hAnsi="Garamond"/>
          <w:sz w:val="24"/>
          <w:szCs w:val="24"/>
          <w:lang w:eastAsia="zh-TW"/>
        </w:rPr>
        <w:t>that the two mechanisms are not one.</w:t>
      </w:r>
      <w:r w:rsidR="0017789C">
        <w:rPr>
          <w:rFonts w:ascii="Garamond" w:eastAsia="PMingLiU" w:hAnsi="Garamond"/>
          <w:sz w:val="24"/>
          <w:szCs w:val="24"/>
          <w:lang w:eastAsia="zh-TW"/>
        </w:rPr>
        <w:t xml:space="preserve"> </w:t>
      </w:r>
    </w:p>
    <w:p w:rsidR="00347B8D" w:rsidRPr="002C088C" w:rsidRDefault="00347B8D" w:rsidP="000C2DB7">
      <w:pPr>
        <w:spacing w:after="0" w:line="480" w:lineRule="auto"/>
        <w:jc w:val="both"/>
        <w:rPr>
          <w:rFonts w:ascii="Garamond" w:eastAsia="PMingLiU" w:hAnsi="Garamond"/>
          <w:sz w:val="24"/>
          <w:szCs w:val="24"/>
          <w:lang w:eastAsia="zh-TW"/>
        </w:rPr>
      </w:pPr>
    </w:p>
    <w:p w:rsidR="00553E42" w:rsidRPr="002C088C" w:rsidRDefault="00553E42" w:rsidP="000C2DB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Late 2014 saw too the return to the courts of issues ar</w:t>
      </w:r>
      <w:r w:rsidR="002C1C9D" w:rsidRPr="002C088C">
        <w:rPr>
          <w:rFonts w:ascii="Garamond" w:eastAsia="PMingLiU" w:hAnsi="Garamond"/>
          <w:sz w:val="24"/>
          <w:szCs w:val="24"/>
          <w:lang w:eastAsia="zh-TW"/>
        </w:rPr>
        <w:t>ising out of the</w:t>
      </w:r>
      <w:r w:rsidRPr="002C088C">
        <w:rPr>
          <w:rFonts w:ascii="Garamond" w:eastAsia="PMingLiU" w:hAnsi="Garamond"/>
          <w:sz w:val="24"/>
          <w:szCs w:val="24"/>
          <w:lang w:eastAsia="zh-TW"/>
        </w:rPr>
        <w:t xml:space="preserve"> third example of a criminal trial taking place </w:t>
      </w:r>
      <w:r w:rsidRPr="002C088C">
        <w:rPr>
          <w:rFonts w:ascii="Garamond" w:eastAsia="PMingLiU" w:hAnsi="Garamond"/>
          <w:iCs/>
          <w:sz w:val="24"/>
          <w:szCs w:val="24"/>
          <w:lang w:eastAsia="zh-TW"/>
        </w:rPr>
        <w:t>in camera.</w:t>
      </w:r>
      <w:r w:rsidRPr="002C088C">
        <w:rPr>
          <w:rFonts w:ascii="Garamond" w:eastAsia="PMingLiU" w:hAnsi="Garamond"/>
          <w:i/>
          <w:iCs/>
          <w:sz w:val="24"/>
          <w:szCs w:val="24"/>
          <w:lang w:eastAsia="zh-TW"/>
        </w:rPr>
        <w:t xml:space="preserve"> </w:t>
      </w:r>
      <w:r w:rsidRPr="002C088C">
        <w:rPr>
          <w:rFonts w:ascii="Garamond" w:eastAsia="PMingLiU" w:hAnsi="Garamond"/>
          <w:sz w:val="24"/>
          <w:szCs w:val="24"/>
          <w:lang w:eastAsia="zh-TW"/>
        </w:rPr>
        <w:t>In January 2008</w:t>
      </w:r>
      <w:r w:rsidR="00666D62" w:rsidRPr="002C088C">
        <w:rPr>
          <w:rFonts w:ascii="Garamond" w:eastAsia="PMingLiU" w:hAnsi="Garamond"/>
          <w:sz w:val="24"/>
          <w:szCs w:val="24"/>
          <w:lang w:eastAsia="zh-TW"/>
        </w:rPr>
        <w:t xml:space="preserve"> it was ordered that</w:t>
      </w:r>
      <w:r w:rsidRPr="002C088C">
        <w:rPr>
          <w:rFonts w:ascii="Garamond" w:eastAsia="PMingLiU" w:hAnsi="Garamond"/>
          <w:sz w:val="24"/>
          <w:szCs w:val="24"/>
          <w:lang w:eastAsia="zh-TW"/>
        </w:rPr>
        <w:t xml:space="preserve"> the trial of Chinese dissident </w:t>
      </w:r>
      <w:r w:rsidRPr="002C088C">
        <w:rPr>
          <w:rFonts w:ascii="Garamond" w:eastAsia="PMingLiU" w:hAnsi="Garamond"/>
          <w:sz w:val="24"/>
          <w:szCs w:val="24"/>
          <w:lang w:eastAsia="zh-TW"/>
        </w:rPr>
        <w:lastRenderedPageBreak/>
        <w:t>Wang Yam for the murder of retired wr</w:t>
      </w:r>
      <w:r w:rsidR="00BB1C6A" w:rsidRPr="002C088C">
        <w:rPr>
          <w:rFonts w:ascii="Garamond" w:eastAsia="PMingLiU" w:hAnsi="Garamond"/>
          <w:sz w:val="24"/>
          <w:szCs w:val="24"/>
          <w:lang w:eastAsia="zh-TW"/>
        </w:rPr>
        <w:t>iter Allan Chappelow</w:t>
      </w:r>
      <w:r w:rsidRPr="002C088C">
        <w:rPr>
          <w:rFonts w:ascii="Garamond" w:eastAsia="PMingLiU" w:hAnsi="Garamond"/>
          <w:sz w:val="24"/>
          <w:szCs w:val="24"/>
          <w:lang w:eastAsia="zh-TW"/>
        </w:rPr>
        <w:t xml:space="preserve"> take place partially behind closed doors.</w:t>
      </w:r>
      <w:r w:rsidRPr="002C088C">
        <w:rPr>
          <w:rStyle w:val="FootnoteReference"/>
          <w:rFonts w:ascii="Garamond" w:eastAsia="PMingLiU" w:hAnsi="Garamond"/>
          <w:sz w:val="24"/>
          <w:szCs w:val="24"/>
          <w:lang w:eastAsia="zh-TW"/>
        </w:rPr>
        <w:footnoteReference w:id="45"/>
      </w:r>
      <w:r w:rsidRPr="002C088C">
        <w:rPr>
          <w:rFonts w:ascii="Garamond" w:eastAsia="PMingLiU" w:hAnsi="Garamond"/>
          <w:sz w:val="24"/>
          <w:szCs w:val="24"/>
          <w:lang w:eastAsia="zh-TW"/>
        </w:rPr>
        <w:t xml:space="preserve"> The defendant was eventually convicted after a retrial and unsuccessfully appealed that conviction.</w:t>
      </w:r>
      <w:r w:rsidRPr="002C088C">
        <w:rPr>
          <w:rStyle w:val="FootnoteReference"/>
          <w:rFonts w:ascii="Garamond" w:eastAsia="PMingLiU" w:hAnsi="Garamond"/>
          <w:sz w:val="24"/>
          <w:szCs w:val="24"/>
          <w:lang w:eastAsia="zh-TW"/>
        </w:rPr>
        <w:footnoteReference w:id="46"/>
      </w:r>
      <w:r w:rsidRPr="002C088C">
        <w:rPr>
          <w:rFonts w:ascii="Garamond" w:eastAsia="PMingLiU" w:hAnsi="Garamond"/>
          <w:sz w:val="24"/>
          <w:szCs w:val="24"/>
          <w:lang w:eastAsia="zh-TW"/>
        </w:rPr>
        <w:t xml:space="preserve"> In late 2013, having made an application to the European Court of Human Rights challenging his conviction on Article 6 grounds, Wang Yam sought to confirm that the original order did not prevent reference being made to the ‘in camera material’ before that Court; if it did, he sought to have it varied so as to permit such reference. Earlier judgments relating to the challenge to the in camera order on one hand and the conviction on the other, both of which predate </w:t>
      </w:r>
      <w:proofErr w:type="spellStart"/>
      <w:r w:rsidRPr="002C088C">
        <w:rPr>
          <w:rFonts w:ascii="Garamond" w:eastAsia="PMingLiU" w:hAnsi="Garamond"/>
          <w:i/>
          <w:iCs/>
          <w:sz w:val="24"/>
          <w:szCs w:val="24"/>
          <w:lang w:eastAsia="zh-TW"/>
        </w:rPr>
        <w:t>Incedal</w:t>
      </w:r>
      <w:proofErr w:type="spellEnd"/>
      <w:r w:rsidRPr="002C088C">
        <w:rPr>
          <w:rFonts w:ascii="Garamond" w:eastAsia="PMingLiU" w:hAnsi="Garamond"/>
          <w:sz w:val="24"/>
          <w:szCs w:val="24"/>
          <w:lang w:eastAsia="zh-TW"/>
        </w:rPr>
        <w:t xml:space="preserve"> by several years, do not make any reference to either PII or certificates of any kind,</w:t>
      </w:r>
      <w:r w:rsidRPr="002C088C">
        <w:rPr>
          <w:rStyle w:val="FootnoteReference"/>
          <w:rFonts w:ascii="Garamond" w:eastAsia="PMingLiU" w:hAnsi="Garamond"/>
          <w:sz w:val="24"/>
          <w:szCs w:val="24"/>
          <w:lang w:eastAsia="zh-TW"/>
        </w:rPr>
        <w:footnoteReference w:id="47"/>
      </w:r>
      <w:r w:rsidRPr="002C088C">
        <w:rPr>
          <w:rFonts w:ascii="Garamond" w:eastAsia="PMingLiU" w:hAnsi="Garamond"/>
          <w:sz w:val="24"/>
          <w:szCs w:val="24"/>
          <w:lang w:eastAsia="zh-TW"/>
        </w:rPr>
        <w:t xml:space="preserve"> though media reports at the time of the trial indicated that a PII certificate had been signed by the then Home Secretary, Jacqui Smith.</w:t>
      </w:r>
      <w:r w:rsidRPr="002C088C">
        <w:rPr>
          <w:rStyle w:val="FootnoteReference"/>
          <w:rFonts w:ascii="Garamond" w:eastAsia="PMingLiU" w:hAnsi="Garamond"/>
          <w:sz w:val="24"/>
          <w:szCs w:val="24"/>
          <w:lang w:eastAsia="zh-TW"/>
        </w:rPr>
        <w:footnoteReference w:id="48"/>
      </w:r>
      <w:r w:rsidRPr="002C088C">
        <w:rPr>
          <w:rFonts w:ascii="Garamond" w:eastAsia="PMingLiU" w:hAnsi="Garamond"/>
          <w:sz w:val="24"/>
          <w:szCs w:val="24"/>
          <w:lang w:eastAsia="zh-TW"/>
        </w:rPr>
        <w:t xml:space="preserve"> With variation of the in camera order having been sought in 2014, however, counsel for Attorney General “produced a Public Interest Immunity Certificate, signed by the Secretary of State for Foreign Affairs and dated 11 December 2013, confirming the continuing public interest which underlay the ‘</w:t>
      </w:r>
      <w:r w:rsidRPr="002C088C">
        <w:rPr>
          <w:rFonts w:ascii="Garamond" w:eastAsia="PMingLiU" w:hAnsi="Garamond"/>
          <w:i/>
          <w:sz w:val="24"/>
          <w:szCs w:val="24"/>
          <w:lang w:eastAsia="zh-TW"/>
        </w:rPr>
        <w:t>in camera</w:t>
      </w:r>
      <w:r w:rsidRPr="002C088C">
        <w:rPr>
          <w:rFonts w:ascii="Garamond" w:eastAsia="PMingLiU" w:hAnsi="Garamond"/>
          <w:sz w:val="24"/>
          <w:szCs w:val="24"/>
          <w:lang w:eastAsia="zh-TW"/>
        </w:rPr>
        <w:t>’ order in the first place”.</w:t>
      </w:r>
      <w:r w:rsidRPr="002C088C">
        <w:rPr>
          <w:rStyle w:val="FootnoteReference"/>
          <w:rFonts w:ascii="Garamond" w:eastAsia="PMingLiU" w:hAnsi="Garamond"/>
          <w:sz w:val="24"/>
          <w:szCs w:val="24"/>
          <w:lang w:eastAsia="zh-TW"/>
        </w:rPr>
        <w:footnoteReference w:id="49"/>
      </w:r>
      <w:r w:rsidRPr="002C088C">
        <w:rPr>
          <w:rFonts w:ascii="Garamond" w:eastAsia="PMingLiU" w:hAnsi="Garamond"/>
          <w:sz w:val="24"/>
          <w:szCs w:val="24"/>
          <w:lang w:eastAsia="zh-TW"/>
        </w:rPr>
        <w:t xml:space="preserve"> That certificate, as quoted by the judge to whom the application for variation of the order was made, stated that “there would be a real risk of serious harm to an important public interest were either the Order to be discharged in its entirety, or in part, permitting disclosure of the ‘in camera’ information” or the response that counsel for Wang Yam had prepared to the UK government’s observations on his application.</w:t>
      </w:r>
      <w:r w:rsidRPr="002C088C">
        <w:rPr>
          <w:rStyle w:val="FootnoteReference"/>
          <w:rFonts w:ascii="Garamond" w:eastAsia="PMingLiU" w:hAnsi="Garamond"/>
          <w:sz w:val="24"/>
          <w:szCs w:val="24"/>
          <w:lang w:eastAsia="zh-TW"/>
        </w:rPr>
        <w:footnoteReference w:id="50"/>
      </w:r>
      <w:r w:rsidRPr="002C088C">
        <w:rPr>
          <w:rFonts w:ascii="Garamond" w:eastAsia="PMingLiU" w:hAnsi="Garamond"/>
          <w:sz w:val="24"/>
          <w:szCs w:val="24"/>
          <w:lang w:eastAsia="zh-TW"/>
        </w:rPr>
        <w:t xml:space="preserve"> The judge’s acceptance of the certificate’s contents was largely dispositive of the issues before him:</w:t>
      </w:r>
    </w:p>
    <w:p w:rsidR="00347B8D" w:rsidRPr="002C088C" w:rsidRDefault="00347B8D" w:rsidP="000C2DB7">
      <w:pPr>
        <w:spacing w:after="0" w:line="480" w:lineRule="auto"/>
        <w:jc w:val="both"/>
        <w:rPr>
          <w:rFonts w:ascii="Garamond" w:eastAsia="PMingLiU" w:hAnsi="Garamond"/>
          <w:sz w:val="24"/>
          <w:szCs w:val="24"/>
          <w:lang w:eastAsia="zh-TW"/>
        </w:rPr>
      </w:pPr>
    </w:p>
    <w:p w:rsidR="00553E42" w:rsidRPr="002C088C" w:rsidRDefault="00553E42" w:rsidP="000C2DB7">
      <w:pPr>
        <w:spacing w:after="0" w:line="480" w:lineRule="auto"/>
        <w:ind w:left="720"/>
        <w:jc w:val="both"/>
        <w:rPr>
          <w:rFonts w:ascii="Garamond" w:eastAsia="PMingLiU" w:hAnsi="Garamond"/>
          <w:sz w:val="24"/>
          <w:szCs w:val="24"/>
          <w:lang w:eastAsia="zh-TW"/>
        </w:rPr>
      </w:pPr>
      <w:r w:rsidRPr="002C088C">
        <w:rPr>
          <w:rFonts w:ascii="Garamond" w:eastAsia="PMingLiU" w:hAnsi="Garamond"/>
          <w:sz w:val="24"/>
          <w:szCs w:val="24"/>
          <w:lang w:eastAsia="zh-TW"/>
        </w:rPr>
        <w:t xml:space="preserve">I accept what the PII Certificate says. The Certificate makes it clear that the circumstances which persuaded me and the CACD in 2008 of the need for parts of the </w:t>
      </w:r>
      <w:r w:rsidRPr="002C088C">
        <w:rPr>
          <w:rFonts w:ascii="Garamond" w:eastAsia="PMingLiU" w:hAnsi="Garamond"/>
          <w:sz w:val="24"/>
          <w:szCs w:val="24"/>
          <w:lang w:eastAsia="zh-TW"/>
        </w:rPr>
        <w:lastRenderedPageBreak/>
        <w:t>evidence not to be available to the public and press continue unchanged. Indeed, that was not at issue before me. The closed Schedule to the Certificate also explains clearly why that material should not be made available to the Strasbourg Court, whether or not it uses its procedural powers to impose restrictions on the availability of the material to the public or press.</w:t>
      </w:r>
      <w:r w:rsidRPr="002C088C">
        <w:rPr>
          <w:rStyle w:val="FootnoteReference"/>
          <w:rFonts w:ascii="Garamond" w:eastAsia="PMingLiU" w:hAnsi="Garamond"/>
          <w:sz w:val="24"/>
          <w:szCs w:val="24"/>
          <w:lang w:eastAsia="zh-TW"/>
        </w:rPr>
        <w:footnoteReference w:id="51"/>
      </w:r>
    </w:p>
    <w:p w:rsidR="00347B8D" w:rsidRPr="002C088C" w:rsidRDefault="00347B8D" w:rsidP="000C2DB7">
      <w:pPr>
        <w:spacing w:after="0" w:line="480" w:lineRule="auto"/>
        <w:ind w:left="720"/>
        <w:jc w:val="both"/>
        <w:rPr>
          <w:rFonts w:ascii="Garamond" w:eastAsia="PMingLiU" w:hAnsi="Garamond"/>
          <w:sz w:val="24"/>
          <w:szCs w:val="24"/>
          <w:lang w:eastAsia="zh-TW"/>
        </w:rPr>
      </w:pPr>
    </w:p>
    <w:p w:rsidR="00E769B0" w:rsidRDefault="00553E42" w:rsidP="000C2DB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The judge therefore refused to vary the order in the manner desired, and in fact varied it so as to make clear that it prevented the disclosure of the material in question to the staff and members of the Court of Human Rights.</w:t>
      </w:r>
      <w:r w:rsidRPr="002C088C">
        <w:rPr>
          <w:rStyle w:val="FootnoteReference"/>
          <w:rFonts w:ascii="Garamond" w:eastAsia="PMingLiU" w:hAnsi="Garamond"/>
          <w:sz w:val="24"/>
          <w:szCs w:val="24"/>
          <w:lang w:eastAsia="zh-TW"/>
        </w:rPr>
        <w:footnoteReference w:id="52"/>
      </w:r>
      <w:r w:rsidRPr="002C088C">
        <w:rPr>
          <w:rFonts w:ascii="Garamond" w:eastAsia="PMingLiU" w:hAnsi="Garamond"/>
          <w:sz w:val="24"/>
          <w:szCs w:val="24"/>
          <w:lang w:eastAsia="zh-TW"/>
        </w:rPr>
        <w:t xml:space="preserve"> A</w:t>
      </w:r>
      <w:r w:rsidR="0050016F" w:rsidRPr="002C088C">
        <w:rPr>
          <w:rFonts w:ascii="Garamond" w:eastAsia="PMingLiU" w:hAnsi="Garamond"/>
          <w:sz w:val="24"/>
          <w:szCs w:val="24"/>
          <w:lang w:eastAsia="zh-TW"/>
        </w:rPr>
        <w:t>n application for</w:t>
      </w:r>
      <w:r w:rsidRPr="002C088C">
        <w:rPr>
          <w:rFonts w:ascii="Garamond" w:eastAsia="PMingLiU" w:hAnsi="Garamond"/>
          <w:sz w:val="24"/>
          <w:szCs w:val="24"/>
          <w:lang w:eastAsia="zh-TW"/>
        </w:rPr>
        <w:t xml:space="preserve"> judicial review of that decision </w:t>
      </w:r>
      <w:r w:rsidR="0050016F" w:rsidRPr="002C088C">
        <w:rPr>
          <w:rFonts w:ascii="Garamond" w:eastAsia="PMingLiU" w:hAnsi="Garamond"/>
          <w:sz w:val="24"/>
          <w:szCs w:val="24"/>
          <w:lang w:eastAsia="zh-TW"/>
        </w:rPr>
        <w:t>was later dismissed</w:t>
      </w:r>
      <w:r w:rsidR="00402C89">
        <w:rPr>
          <w:rFonts w:ascii="Garamond" w:eastAsia="PMingLiU" w:hAnsi="Garamond"/>
          <w:sz w:val="24"/>
          <w:szCs w:val="24"/>
          <w:lang w:eastAsia="zh-TW"/>
        </w:rPr>
        <w:t>,</w:t>
      </w:r>
      <w:r w:rsidRPr="002C088C">
        <w:rPr>
          <w:rStyle w:val="FootnoteReference"/>
          <w:rFonts w:ascii="Garamond" w:eastAsia="PMingLiU" w:hAnsi="Garamond"/>
          <w:sz w:val="24"/>
          <w:szCs w:val="24"/>
          <w:lang w:eastAsia="zh-TW"/>
        </w:rPr>
        <w:footnoteReference w:id="53"/>
      </w:r>
      <w:r w:rsidR="00402C89">
        <w:rPr>
          <w:rFonts w:ascii="Garamond" w:eastAsia="PMingLiU" w:hAnsi="Garamond"/>
          <w:sz w:val="24"/>
          <w:szCs w:val="24"/>
          <w:lang w:eastAsia="zh-TW"/>
        </w:rPr>
        <w:t xml:space="preserve"> and an appeal against that dismissal was </w:t>
      </w:r>
      <w:r w:rsidR="00381028">
        <w:rPr>
          <w:rFonts w:ascii="Garamond" w:eastAsia="PMingLiU" w:hAnsi="Garamond"/>
          <w:sz w:val="24"/>
          <w:szCs w:val="24"/>
          <w:lang w:eastAsia="zh-TW"/>
        </w:rPr>
        <w:t xml:space="preserve">rejected by </w:t>
      </w:r>
      <w:r w:rsidR="00027719">
        <w:rPr>
          <w:rFonts w:ascii="Garamond" w:eastAsia="PMingLiU" w:hAnsi="Garamond"/>
          <w:sz w:val="24"/>
          <w:szCs w:val="24"/>
          <w:lang w:eastAsia="zh-TW"/>
        </w:rPr>
        <w:t>the Supreme Court in late 2015.</w:t>
      </w:r>
      <w:r w:rsidR="00027719">
        <w:rPr>
          <w:rStyle w:val="FootnoteReference"/>
          <w:rFonts w:ascii="Garamond" w:eastAsia="PMingLiU" w:hAnsi="Garamond"/>
          <w:sz w:val="24"/>
          <w:szCs w:val="24"/>
          <w:lang w:eastAsia="zh-TW"/>
        </w:rPr>
        <w:footnoteReference w:id="54"/>
      </w:r>
      <w:r w:rsidRPr="002C088C">
        <w:rPr>
          <w:rFonts w:ascii="Garamond" w:eastAsia="PMingLiU" w:hAnsi="Garamond"/>
          <w:sz w:val="24"/>
          <w:szCs w:val="24"/>
          <w:lang w:eastAsia="zh-TW"/>
        </w:rPr>
        <w:t xml:space="preserve"> </w:t>
      </w:r>
    </w:p>
    <w:p w:rsidR="00E769B0" w:rsidRDefault="00E769B0" w:rsidP="000C2DB7">
      <w:pPr>
        <w:spacing w:after="0" w:line="480" w:lineRule="auto"/>
        <w:jc w:val="both"/>
        <w:rPr>
          <w:rFonts w:ascii="Garamond" w:eastAsia="PMingLiU" w:hAnsi="Garamond"/>
          <w:sz w:val="24"/>
          <w:szCs w:val="24"/>
          <w:lang w:eastAsia="zh-TW"/>
        </w:rPr>
      </w:pPr>
    </w:p>
    <w:p w:rsidR="0022734B" w:rsidRPr="00901444" w:rsidRDefault="00E769B0" w:rsidP="00BB652B">
      <w:pPr>
        <w:spacing w:after="0" w:line="480" w:lineRule="auto"/>
        <w:jc w:val="both"/>
        <w:rPr>
          <w:rFonts w:ascii="Garamond" w:eastAsia="PMingLiU" w:hAnsi="Garamond"/>
          <w:sz w:val="24"/>
          <w:szCs w:val="24"/>
          <w:lang w:eastAsia="zh-TW"/>
        </w:rPr>
      </w:pPr>
      <w:r>
        <w:rPr>
          <w:rFonts w:ascii="Garamond" w:eastAsia="PMingLiU" w:hAnsi="Garamond"/>
          <w:sz w:val="24"/>
          <w:szCs w:val="24"/>
          <w:lang w:eastAsia="zh-TW"/>
        </w:rPr>
        <w:t xml:space="preserve">This subsequent litigation neatly </w:t>
      </w:r>
      <w:r w:rsidR="00FB13DE">
        <w:rPr>
          <w:rFonts w:ascii="Garamond" w:eastAsia="PMingLiU" w:hAnsi="Garamond"/>
          <w:sz w:val="24"/>
          <w:szCs w:val="24"/>
          <w:lang w:eastAsia="zh-TW"/>
        </w:rPr>
        <w:t>illustrates</w:t>
      </w:r>
      <w:r w:rsidR="00D23D1B">
        <w:rPr>
          <w:rFonts w:ascii="Garamond" w:eastAsia="PMingLiU" w:hAnsi="Garamond"/>
          <w:sz w:val="24"/>
          <w:szCs w:val="24"/>
          <w:lang w:eastAsia="zh-TW"/>
        </w:rPr>
        <w:t xml:space="preserve"> an important</w:t>
      </w:r>
      <w:r w:rsidR="00DC7C89">
        <w:rPr>
          <w:rFonts w:ascii="Garamond" w:eastAsia="PMingLiU" w:hAnsi="Garamond"/>
          <w:sz w:val="24"/>
          <w:szCs w:val="24"/>
          <w:lang w:eastAsia="zh-TW"/>
        </w:rPr>
        <w:t xml:space="preserve"> secondary</w:t>
      </w:r>
      <w:r w:rsidR="00D23D1B">
        <w:rPr>
          <w:rFonts w:ascii="Garamond" w:eastAsia="PMingLiU" w:hAnsi="Garamond"/>
          <w:sz w:val="24"/>
          <w:szCs w:val="24"/>
          <w:lang w:eastAsia="zh-TW"/>
        </w:rPr>
        <w:t xml:space="preserve"> </w:t>
      </w:r>
      <w:r w:rsidR="009E45C2">
        <w:rPr>
          <w:rFonts w:ascii="Garamond" w:eastAsia="PMingLiU" w:hAnsi="Garamond"/>
          <w:sz w:val="24"/>
          <w:szCs w:val="24"/>
          <w:lang w:eastAsia="zh-TW"/>
        </w:rPr>
        <w:t xml:space="preserve">element </w:t>
      </w:r>
      <w:r w:rsidR="00543D5F">
        <w:rPr>
          <w:rFonts w:ascii="Garamond" w:eastAsia="PMingLiU" w:hAnsi="Garamond"/>
          <w:sz w:val="24"/>
          <w:szCs w:val="24"/>
          <w:lang w:eastAsia="zh-TW"/>
        </w:rPr>
        <w:t xml:space="preserve">of the use </w:t>
      </w:r>
      <w:r w:rsidR="00EA1594">
        <w:rPr>
          <w:rFonts w:ascii="Garamond" w:eastAsia="PMingLiU" w:hAnsi="Garamond"/>
          <w:sz w:val="24"/>
          <w:szCs w:val="24"/>
          <w:lang w:eastAsia="zh-TW"/>
        </w:rPr>
        <w:t xml:space="preserve">of in camera orders. Such orders </w:t>
      </w:r>
      <w:r w:rsidR="004F3C29">
        <w:rPr>
          <w:rFonts w:ascii="Garamond" w:eastAsia="PMingLiU" w:hAnsi="Garamond"/>
          <w:sz w:val="24"/>
          <w:szCs w:val="24"/>
          <w:lang w:eastAsia="zh-TW"/>
        </w:rPr>
        <w:t>have</w:t>
      </w:r>
      <w:r w:rsidR="00EA1594">
        <w:rPr>
          <w:rFonts w:ascii="Garamond" w:eastAsia="PMingLiU" w:hAnsi="Garamond"/>
          <w:sz w:val="24"/>
          <w:szCs w:val="24"/>
          <w:lang w:eastAsia="zh-TW"/>
        </w:rPr>
        <w:t xml:space="preserve"> – as discussed below –</w:t>
      </w:r>
      <w:r w:rsidR="00340A0F">
        <w:rPr>
          <w:rFonts w:ascii="Garamond" w:eastAsia="PMingLiU" w:hAnsi="Garamond"/>
          <w:sz w:val="24"/>
          <w:szCs w:val="24"/>
          <w:lang w:eastAsia="zh-TW"/>
        </w:rPr>
        <w:t xml:space="preserve"> </w:t>
      </w:r>
      <w:r w:rsidR="00902373">
        <w:rPr>
          <w:rFonts w:ascii="Garamond" w:eastAsia="PMingLiU" w:hAnsi="Garamond"/>
          <w:sz w:val="24"/>
          <w:szCs w:val="24"/>
          <w:lang w:eastAsia="zh-TW"/>
        </w:rPr>
        <w:t>usually been</w:t>
      </w:r>
      <w:r w:rsidR="00340A0F">
        <w:rPr>
          <w:rFonts w:ascii="Garamond" w:eastAsia="PMingLiU" w:hAnsi="Garamond"/>
          <w:sz w:val="24"/>
          <w:szCs w:val="24"/>
          <w:lang w:eastAsia="zh-TW"/>
        </w:rPr>
        <w:t xml:space="preserve"> made in relation to material of which t</w:t>
      </w:r>
      <w:r w:rsidR="005D3EFB">
        <w:rPr>
          <w:rFonts w:ascii="Garamond" w:eastAsia="PMingLiU" w:hAnsi="Garamond"/>
          <w:sz w:val="24"/>
          <w:szCs w:val="24"/>
          <w:lang w:eastAsia="zh-TW"/>
        </w:rPr>
        <w:t>he defendant is already aware</w:t>
      </w:r>
      <w:r w:rsidR="00BA28F0">
        <w:rPr>
          <w:rFonts w:ascii="Garamond" w:eastAsia="PMingLiU" w:hAnsi="Garamond"/>
          <w:sz w:val="24"/>
          <w:szCs w:val="24"/>
          <w:lang w:eastAsia="zh-TW"/>
        </w:rPr>
        <w:t xml:space="preserve"> (and which he in fact wishes to rely upon by way of defence)</w:t>
      </w:r>
      <w:r w:rsidR="005D3EFB">
        <w:rPr>
          <w:rFonts w:ascii="Garamond" w:eastAsia="PMingLiU" w:hAnsi="Garamond"/>
          <w:sz w:val="24"/>
          <w:szCs w:val="24"/>
          <w:lang w:eastAsia="zh-TW"/>
        </w:rPr>
        <w:t xml:space="preserve"> and </w:t>
      </w:r>
      <w:r w:rsidR="006A165B">
        <w:rPr>
          <w:rFonts w:ascii="Garamond" w:eastAsia="PMingLiU" w:hAnsi="Garamond"/>
          <w:sz w:val="24"/>
          <w:szCs w:val="24"/>
          <w:lang w:eastAsia="zh-TW"/>
        </w:rPr>
        <w:t xml:space="preserve">of </w:t>
      </w:r>
      <w:r w:rsidR="005D3EFB">
        <w:rPr>
          <w:rFonts w:ascii="Garamond" w:eastAsia="PMingLiU" w:hAnsi="Garamond"/>
          <w:sz w:val="24"/>
          <w:szCs w:val="24"/>
          <w:lang w:eastAsia="zh-TW"/>
        </w:rPr>
        <w:t xml:space="preserve">which in any event the </w:t>
      </w:r>
      <w:r w:rsidR="006A165B">
        <w:rPr>
          <w:rFonts w:ascii="Garamond" w:eastAsia="PMingLiU" w:hAnsi="Garamond"/>
          <w:sz w:val="24"/>
          <w:szCs w:val="24"/>
          <w:lang w:eastAsia="zh-TW"/>
        </w:rPr>
        <w:t>in camera process (where the public and press are ex</w:t>
      </w:r>
      <w:r w:rsidR="00C354CA">
        <w:rPr>
          <w:rFonts w:ascii="Garamond" w:eastAsia="PMingLiU" w:hAnsi="Garamond"/>
          <w:sz w:val="24"/>
          <w:szCs w:val="24"/>
          <w:lang w:eastAsia="zh-TW"/>
        </w:rPr>
        <w:t xml:space="preserve">cluded, but the defendant is not) does not prevent him </w:t>
      </w:r>
      <w:r w:rsidR="00D010A5">
        <w:rPr>
          <w:rFonts w:ascii="Garamond" w:eastAsia="PMingLiU" w:hAnsi="Garamond"/>
          <w:sz w:val="24"/>
          <w:szCs w:val="24"/>
          <w:lang w:eastAsia="zh-TW"/>
        </w:rPr>
        <w:t>becoming</w:t>
      </w:r>
      <w:r w:rsidR="006A165B">
        <w:rPr>
          <w:rFonts w:ascii="Garamond" w:eastAsia="PMingLiU" w:hAnsi="Garamond"/>
          <w:sz w:val="24"/>
          <w:szCs w:val="24"/>
          <w:lang w:eastAsia="zh-TW"/>
        </w:rPr>
        <w:t xml:space="preserve"> aware</w:t>
      </w:r>
      <w:r w:rsidR="00BF38E0">
        <w:rPr>
          <w:rFonts w:ascii="Garamond" w:eastAsia="PMingLiU" w:hAnsi="Garamond"/>
          <w:sz w:val="24"/>
          <w:szCs w:val="24"/>
          <w:lang w:eastAsia="zh-TW"/>
        </w:rPr>
        <w:t>. This means that</w:t>
      </w:r>
      <w:r w:rsidR="0021245C">
        <w:rPr>
          <w:rFonts w:ascii="Garamond" w:eastAsia="PMingLiU" w:hAnsi="Garamond"/>
          <w:sz w:val="24"/>
          <w:szCs w:val="24"/>
          <w:lang w:eastAsia="zh-TW"/>
        </w:rPr>
        <w:t xml:space="preserve"> an in camera order must – if it</w:t>
      </w:r>
      <w:r w:rsidR="0077589B">
        <w:rPr>
          <w:rFonts w:ascii="Garamond" w:eastAsia="PMingLiU" w:hAnsi="Garamond"/>
          <w:sz w:val="24"/>
          <w:szCs w:val="24"/>
          <w:lang w:eastAsia="zh-TW"/>
        </w:rPr>
        <w:t>s effect is</w:t>
      </w:r>
      <w:r w:rsidR="0021245C">
        <w:rPr>
          <w:rFonts w:ascii="Garamond" w:eastAsia="PMingLiU" w:hAnsi="Garamond"/>
          <w:sz w:val="24"/>
          <w:szCs w:val="24"/>
          <w:lang w:eastAsia="zh-TW"/>
        </w:rPr>
        <w:t xml:space="preserve"> </w:t>
      </w:r>
      <w:r w:rsidR="00A11A63">
        <w:rPr>
          <w:rFonts w:ascii="Garamond" w:eastAsia="PMingLiU" w:hAnsi="Garamond"/>
          <w:sz w:val="24"/>
          <w:szCs w:val="24"/>
          <w:lang w:eastAsia="zh-TW"/>
        </w:rPr>
        <w:t xml:space="preserve">not to be </w:t>
      </w:r>
      <w:r w:rsidR="00CD1245">
        <w:rPr>
          <w:rFonts w:ascii="Garamond" w:eastAsia="PMingLiU" w:hAnsi="Garamond"/>
          <w:sz w:val="24"/>
          <w:szCs w:val="24"/>
          <w:lang w:eastAsia="zh-TW"/>
        </w:rPr>
        <w:t>negated</w:t>
      </w:r>
      <w:r w:rsidR="00136423">
        <w:rPr>
          <w:rFonts w:ascii="Garamond" w:eastAsia="PMingLiU" w:hAnsi="Garamond"/>
          <w:sz w:val="24"/>
          <w:szCs w:val="24"/>
          <w:lang w:eastAsia="zh-TW"/>
        </w:rPr>
        <w:t xml:space="preserve"> </w:t>
      </w:r>
      <w:r w:rsidR="0021245C">
        <w:rPr>
          <w:rFonts w:ascii="Garamond" w:eastAsia="PMingLiU" w:hAnsi="Garamond"/>
          <w:sz w:val="24"/>
          <w:szCs w:val="24"/>
          <w:lang w:eastAsia="zh-TW"/>
        </w:rPr>
        <w:t xml:space="preserve">– continue to regulate </w:t>
      </w:r>
      <w:r w:rsidR="00531B76">
        <w:rPr>
          <w:rFonts w:ascii="Garamond" w:eastAsia="PMingLiU" w:hAnsi="Garamond"/>
          <w:sz w:val="24"/>
          <w:szCs w:val="24"/>
          <w:lang w:eastAsia="zh-TW"/>
        </w:rPr>
        <w:t>what the defendant does with the material</w:t>
      </w:r>
      <w:r w:rsidR="009E0385">
        <w:rPr>
          <w:rFonts w:ascii="Garamond" w:eastAsia="PMingLiU" w:hAnsi="Garamond"/>
          <w:sz w:val="24"/>
          <w:szCs w:val="24"/>
          <w:lang w:eastAsia="zh-TW"/>
        </w:rPr>
        <w:t xml:space="preserve"> in </w:t>
      </w:r>
      <w:r w:rsidR="006E4C2F">
        <w:rPr>
          <w:rFonts w:ascii="Garamond" w:eastAsia="PMingLiU" w:hAnsi="Garamond"/>
          <w:sz w:val="24"/>
          <w:szCs w:val="24"/>
          <w:lang w:eastAsia="zh-TW"/>
        </w:rPr>
        <w:t>question</w:t>
      </w:r>
      <w:r w:rsidR="00BF38E0">
        <w:rPr>
          <w:rFonts w:ascii="Garamond" w:eastAsia="PMingLiU" w:hAnsi="Garamond"/>
          <w:sz w:val="24"/>
          <w:szCs w:val="24"/>
          <w:lang w:eastAsia="zh-TW"/>
        </w:rPr>
        <w:t xml:space="preserve"> </w:t>
      </w:r>
      <w:r w:rsidR="00BF2BE5">
        <w:rPr>
          <w:rFonts w:ascii="Garamond" w:eastAsia="PMingLiU" w:hAnsi="Garamond"/>
          <w:sz w:val="24"/>
          <w:szCs w:val="24"/>
          <w:lang w:eastAsia="zh-TW"/>
        </w:rPr>
        <w:t xml:space="preserve">even after conviction or acquittal, </w:t>
      </w:r>
      <w:r w:rsidR="00D12FA7">
        <w:rPr>
          <w:rFonts w:ascii="Garamond" w:eastAsia="PMingLiU" w:hAnsi="Garamond"/>
          <w:sz w:val="24"/>
          <w:szCs w:val="24"/>
          <w:lang w:eastAsia="zh-TW"/>
        </w:rPr>
        <w:t>in a way which PII (which will often relate to material</w:t>
      </w:r>
      <w:r w:rsidR="00883ED0">
        <w:rPr>
          <w:rFonts w:ascii="Garamond" w:eastAsia="PMingLiU" w:hAnsi="Garamond"/>
          <w:sz w:val="24"/>
          <w:szCs w:val="24"/>
          <w:lang w:eastAsia="zh-TW"/>
        </w:rPr>
        <w:t xml:space="preserve"> of which the defendant </w:t>
      </w:r>
      <w:r w:rsidR="002508EE">
        <w:rPr>
          <w:rFonts w:ascii="Garamond" w:eastAsia="PMingLiU" w:hAnsi="Garamond"/>
          <w:sz w:val="24"/>
          <w:szCs w:val="24"/>
          <w:lang w:eastAsia="zh-TW"/>
        </w:rPr>
        <w:t xml:space="preserve">is not aware and of which he </w:t>
      </w:r>
      <w:r w:rsidR="00783F9F">
        <w:rPr>
          <w:rFonts w:ascii="Garamond" w:eastAsia="PMingLiU" w:hAnsi="Garamond"/>
          <w:sz w:val="24"/>
          <w:szCs w:val="24"/>
          <w:lang w:eastAsia="zh-TW"/>
        </w:rPr>
        <w:t>will</w:t>
      </w:r>
      <w:r w:rsidR="002508EE">
        <w:rPr>
          <w:rFonts w:ascii="Garamond" w:eastAsia="PMingLiU" w:hAnsi="Garamond"/>
          <w:sz w:val="24"/>
          <w:szCs w:val="24"/>
          <w:lang w:eastAsia="zh-TW"/>
        </w:rPr>
        <w:t xml:space="preserve"> not, where the PII cla</w:t>
      </w:r>
      <w:r w:rsidR="006E4C2F">
        <w:rPr>
          <w:rFonts w:ascii="Garamond" w:eastAsia="PMingLiU" w:hAnsi="Garamond"/>
          <w:sz w:val="24"/>
          <w:szCs w:val="24"/>
          <w:lang w:eastAsia="zh-TW"/>
        </w:rPr>
        <w:t xml:space="preserve">im is successful, become aware) need not </w:t>
      </w:r>
      <w:r w:rsidR="003746F7">
        <w:rPr>
          <w:rFonts w:ascii="Garamond" w:eastAsia="PMingLiU" w:hAnsi="Garamond"/>
          <w:sz w:val="24"/>
          <w:szCs w:val="24"/>
          <w:lang w:eastAsia="zh-TW"/>
        </w:rPr>
        <w:t>usually</w:t>
      </w:r>
      <w:r w:rsidR="00C643D7">
        <w:rPr>
          <w:rFonts w:ascii="Garamond" w:eastAsia="PMingLiU" w:hAnsi="Garamond"/>
          <w:sz w:val="24"/>
          <w:szCs w:val="24"/>
          <w:lang w:eastAsia="zh-TW"/>
        </w:rPr>
        <w:t xml:space="preserve"> </w:t>
      </w:r>
      <w:r w:rsidR="0018066B">
        <w:rPr>
          <w:rFonts w:ascii="Garamond" w:eastAsia="PMingLiU" w:hAnsi="Garamond"/>
          <w:sz w:val="24"/>
          <w:szCs w:val="24"/>
          <w:lang w:eastAsia="zh-TW"/>
        </w:rPr>
        <w:t>do</w:t>
      </w:r>
      <w:r w:rsidR="006E4C2F">
        <w:rPr>
          <w:rFonts w:ascii="Garamond" w:eastAsia="PMingLiU" w:hAnsi="Garamond"/>
          <w:sz w:val="24"/>
          <w:szCs w:val="24"/>
          <w:lang w:eastAsia="zh-TW"/>
        </w:rPr>
        <w:t xml:space="preserve">. </w:t>
      </w:r>
      <w:r w:rsidR="00572B00">
        <w:rPr>
          <w:rFonts w:ascii="Garamond" w:eastAsia="PMingLiU" w:hAnsi="Garamond"/>
          <w:sz w:val="24"/>
          <w:szCs w:val="24"/>
          <w:lang w:eastAsia="zh-TW"/>
        </w:rPr>
        <w:t xml:space="preserve">In </w:t>
      </w:r>
      <w:r w:rsidR="00572B00" w:rsidRPr="00572B00">
        <w:rPr>
          <w:rFonts w:ascii="Garamond" w:eastAsia="PMingLiU" w:hAnsi="Garamond"/>
          <w:i/>
          <w:sz w:val="24"/>
          <w:szCs w:val="24"/>
          <w:lang w:eastAsia="zh-TW"/>
        </w:rPr>
        <w:t>Wang Yam</w:t>
      </w:r>
      <w:r w:rsidR="00572B00">
        <w:rPr>
          <w:rFonts w:ascii="Garamond" w:eastAsia="PMingLiU" w:hAnsi="Garamond"/>
          <w:sz w:val="24"/>
          <w:szCs w:val="24"/>
          <w:lang w:eastAsia="zh-TW"/>
        </w:rPr>
        <w:t xml:space="preserve">, as the above shows, that might </w:t>
      </w:r>
      <w:r w:rsidR="00C51BC3">
        <w:rPr>
          <w:rFonts w:ascii="Garamond" w:eastAsia="PMingLiU" w:hAnsi="Garamond"/>
          <w:sz w:val="24"/>
          <w:szCs w:val="24"/>
          <w:lang w:eastAsia="zh-TW"/>
        </w:rPr>
        <w:t xml:space="preserve">prevent a defendant </w:t>
      </w:r>
      <w:r w:rsidR="00DC4D42">
        <w:rPr>
          <w:rFonts w:ascii="Garamond" w:eastAsia="PMingLiU" w:hAnsi="Garamond"/>
          <w:sz w:val="24"/>
          <w:szCs w:val="24"/>
          <w:lang w:eastAsia="zh-TW"/>
        </w:rPr>
        <w:t>from putting the relevant material before the Strasbourg court (it must be assumed,</w:t>
      </w:r>
      <w:r w:rsidR="0092073B">
        <w:rPr>
          <w:rFonts w:ascii="Garamond" w:eastAsia="PMingLiU" w:hAnsi="Garamond"/>
          <w:sz w:val="24"/>
          <w:szCs w:val="24"/>
          <w:lang w:eastAsia="zh-TW"/>
        </w:rPr>
        <w:t xml:space="preserve"> </w:t>
      </w:r>
      <w:r w:rsidR="00407426">
        <w:rPr>
          <w:rFonts w:ascii="Garamond" w:eastAsia="PMingLiU" w:hAnsi="Garamond"/>
          <w:sz w:val="24"/>
          <w:szCs w:val="24"/>
          <w:lang w:eastAsia="zh-TW"/>
        </w:rPr>
        <w:t>by analogy with</w:t>
      </w:r>
      <w:r w:rsidR="00FA7507">
        <w:rPr>
          <w:rFonts w:ascii="Garamond" w:eastAsia="PMingLiU" w:hAnsi="Garamond"/>
          <w:sz w:val="24"/>
          <w:szCs w:val="24"/>
          <w:lang w:eastAsia="zh-TW"/>
        </w:rPr>
        <w:t xml:space="preserve"> </w:t>
      </w:r>
      <w:r w:rsidR="00FA7507" w:rsidRPr="000B5C98">
        <w:rPr>
          <w:rFonts w:ascii="Garamond" w:eastAsia="PMingLiU" w:hAnsi="Garamond"/>
          <w:i/>
          <w:sz w:val="24"/>
          <w:szCs w:val="24"/>
          <w:lang w:eastAsia="zh-TW"/>
        </w:rPr>
        <w:t xml:space="preserve">Bank </w:t>
      </w:r>
      <w:r w:rsidR="00502006">
        <w:rPr>
          <w:rFonts w:ascii="Garamond" w:eastAsia="PMingLiU" w:hAnsi="Garamond"/>
          <w:i/>
          <w:sz w:val="24"/>
          <w:szCs w:val="24"/>
          <w:lang w:eastAsia="zh-TW"/>
        </w:rPr>
        <w:t>Mellat</w:t>
      </w:r>
      <w:r w:rsidR="000B5C98" w:rsidRPr="000B5C98">
        <w:rPr>
          <w:rFonts w:ascii="Garamond" w:eastAsia="PMingLiU" w:hAnsi="Garamond"/>
          <w:i/>
          <w:sz w:val="24"/>
          <w:szCs w:val="24"/>
          <w:lang w:eastAsia="zh-TW"/>
        </w:rPr>
        <w:t xml:space="preserve"> (No</w:t>
      </w:r>
      <w:r w:rsidR="00FA7507" w:rsidRPr="000B5C98">
        <w:rPr>
          <w:rFonts w:ascii="Garamond" w:eastAsia="PMingLiU" w:hAnsi="Garamond"/>
          <w:i/>
          <w:sz w:val="24"/>
          <w:szCs w:val="24"/>
          <w:lang w:eastAsia="zh-TW"/>
        </w:rPr>
        <w:t xml:space="preserve"> 1)</w:t>
      </w:r>
      <w:r w:rsidR="00FA7507" w:rsidRPr="00BC3BF9">
        <w:rPr>
          <w:rFonts w:ascii="Garamond" w:eastAsia="PMingLiU" w:hAnsi="Garamond"/>
          <w:sz w:val="24"/>
          <w:szCs w:val="24"/>
          <w:lang w:eastAsia="zh-TW"/>
        </w:rPr>
        <w:t>,</w:t>
      </w:r>
      <w:r w:rsidR="00D730DB">
        <w:rPr>
          <w:rStyle w:val="FootnoteReference"/>
          <w:rFonts w:ascii="Garamond" w:eastAsia="PMingLiU" w:hAnsi="Garamond"/>
          <w:sz w:val="24"/>
          <w:szCs w:val="24"/>
          <w:lang w:eastAsia="zh-TW"/>
        </w:rPr>
        <w:footnoteReference w:id="55"/>
      </w:r>
      <w:r w:rsidR="00FA7507">
        <w:rPr>
          <w:rFonts w:ascii="Garamond" w:eastAsia="PMingLiU" w:hAnsi="Garamond"/>
          <w:sz w:val="24"/>
          <w:szCs w:val="24"/>
          <w:lang w:eastAsia="zh-TW"/>
        </w:rPr>
        <w:t xml:space="preserve"> </w:t>
      </w:r>
      <w:r w:rsidR="0092073B">
        <w:rPr>
          <w:rFonts w:ascii="Garamond" w:eastAsia="PMingLiU" w:hAnsi="Garamond"/>
          <w:sz w:val="24"/>
          <w:szCs w:val="24"/>
          <w:lang w:eastAsia="zh-TW"/>
        </w:rPr>
        <w:t>that no</w:t>
      </w:r>
      <w:r w:rsidR="00FA7507">
        <w:rPr>
          <w:rFonts w:ascii="Garamond" w:eastAsia="PMingLiU" w:hAnsi="Garamond"/>
          <w:sz w:val="24"/>
          <w:szCs w:val="24"/>
          <w:lang w:eastAsia="zh-TW"/>
        </w:rPr>
        <w:t xml:space="preserve"> in camera</w:t>
      </w:r>
      <w:r w:rsidR="0092073B">
        <w:rPr>
          <w:rFonts w:ascii="Garamond" w:eastAsia="PMingLiU" w:hAnsi="Garamond"/>
          <w:sz w:val="24"/>
          <w:szCs w:val="24"/>
          <w:lang w:eastAsia="zh-TW"/>
        </w:rPr>
        <w:t xml:space="preserve"> order could prevent </w:t>
      </w:r>
      <w:r w:rsidR="00BE7352">
        <w:rPr>
          <w:rFonts w:ascii="Garamond" w:eastAsia="PMingLiU" w:hAnsi="Garamond"/>
          <w:sz w:val="24"/>
          <w:szCs w:val="24"/>
          <w:lang w:eastAsia="zh-TW"/>
        </w:rPr>
        <w:t xml:space="preserve">a </w:t>
      </w:r>
      <w:r w:rsidR="00BE7352">
        <w:rPr>
          <w:rFonts w:ascii="Garamond" w:eastAsia="PMingLiU" w:hAnsi="Garamond"/>
          <w:i/>
          <w:sz w:val="24"/>
          <w:szCs w:val="24"/>
          <w:lang w:eastAsia="zh-TW"/>
        </w:rPr>
        <w:lastRenderedPageBreak/>
        <w:t>domestic</w:t>
      </w:r>
      <w:r w:rsidR="0092073B">
        <w:rPr>
          <w:rFonts w:ascii="Garamond" w:eastAsia="PMingLiU" w:hAnsi="Garamond"/>
          <w:sz w:val="24"/>
          <w:szCs w:val="24"/>
          <w:lang w:eastAsia="zh-TW"/>
        </w:rPr>
        <w:t xml:space="preserve"> </w:t>
      </w:r>
      <w:r w:rsidR="008514AB">
        <w:rPr>
          <w:rFonts w:ascii="Garamond" w:eastAsia="PMingLiU" w:hAnsi="Garamond"/>
          <w:sz w:val="24"/>
          <w:szCs w:val="24"/>
          <w:lang w:eastAsia="zh-TW"/>
        </w:rPr>
        <w:t xml:space="preserve">court from </w:t>
      </w:r>
      <w:r w:rsidR="00BE7352">
        <w:rPr>
          <w:rFonts w:ascii="Garamond" w:eastAsia="PMingLiU" w:hAnsi="Garamond"/>
          <w:sz w:val="24"/>
          <w:szCs w:val="24"/>
          <w:lang w:eastAsia="zh-TW"/>
        </w:rPr>
        <w:t xml:space="preserve">reviewing the material </w:t>
      </w:r>
      <w:r w:rsidR="0071061C">
        <w:rPr>
          <w:rFonts w:ascii="Garamond" w:eastAsia="PMingLiU" w:hAnsi="Garamond"/>
          <w:sz w:val="24"/>
          <w:szCs w:val="24"/>
          <w:lang w:eastAsia="zh-TW"/>
        </w:rPr>
        <w:t xml:space="preserve">in question </w:t>
      </w:r>
      <w:r w:rsidR="00BE7352">
        <w:rPr>
          <w:rFonts w:ascii="Garamond" w:eastAsia="PMingLiU" w:hAnsi="Garamond"/>
          <w:sz w:val="24"/>
          <w:szCs w:val="24"/>
          <w:lang w:eastAsia="zh-TW"/>
        </w:rPr>
        <w:t>where</w:t>
      </w:r>
      <w:r w:rsidR="0071061C">
        <w:rPr>
          <w:rFonts w:ascii="Garamond" w:eastAsia="PMingLiU" w:hAnsi="Garamond"/>
          <w:sz w:val="24"/>
          <w:szCs w:val="24"/>
          <w:lang w:eastAsia="zh-TW"/>
        </w:rPr>
        <w:t xml:space="preserve"> to do so was</w:t>
      </w:r>
      <w:r w:rsidR="00BE7352">
        <w:rPr>
          <w:rFonts w:ascii="Garamond" w:eastAsia="PMingLiU" w:hAnsi="Garamond"/>
          <w:sz w:val="24"/>
          <w:szCs w:val="24"/>
          <w:lang w:eastAsia="zh-TW"/>
        </w:rPr>
        <w:t xml:space="preserve"> necessary for justice to be done)</w:t>
      </w:r>
      <w:r w:rsidR="00901444">
        <w:rPr>
          <w:rFonts w:ascii="Garamond" w:eastAsia="PMingLiU" w:hAnsi="Garamond"/>
          <w:sz w:val="24"/>
          <w:szCs w:val="24"/>
          <w:lang w:eastAsia="zh-TW"/>
        </w:rPr>
        <w:t>.</w:t>
      </w:r>
      <w:r w:rsidR="00036C25">
        <w:rPr>
          <w:rFonts w:ascii="Garamond" w:eastAsia="PMingLiU" w:hAnsi="Garamond"/>
          <w:sz w:val="24"/>
          <w:szCs w:val="24"/>
          <w:lang w:eastAsia="zh-TW"/>
        </w:rPr>
        <w:t xml:space="preserve">  </w:t>
      </w:r>
      <w:r w:rsidR="00901444">
        <w:rPr>
          <w:rFonts w:ascii="Garamond" w:eastAsia="PMingLiU" w:hAnsi="Garamond"/>
          <w:sz w:val="24"/>
          <w:szCs w:val="24"/>
          <w:lang w:eastAsia="zh-TW"/>
        </w:rPr>
        <w:t xml:space="preserve">In the case of </w:t>
      </w:r>
      <w:r w:rsidR="00901444">
        <w:rPr>
          <w:rFonts w:ascii="Garamond" w:eastAsia="PMingLiU" w:hAnsi="Garamond"/>
          <w:i/>
          <w:sz w:val="24"/>
          <w:szCs w:val="24"/>
          <w:lang w:eastAsia="zh-TW"/>
        </w:rPr>
        <w:t>Amin</w:t>
      </w:r>
      <w:r w:rsidR="00901444">
        <w:rPr>
          <w:rFonts w:ascii="Garamond" w:eastAsia="PMingLiU" w:hAnsi="Garamond"/>
          <w:sz w:val="24"/>
          <w:szCs w:val="24"/>
          <w:lang w:eastAsia="zh-TW"/>
        </w:rPr>
        <w:t xml:space="preserve">, the </w:t>
      </w:r>
      <w:r w:rsidR="00F43DE5">
        <w:rPr>
          <w:rFonts w:ascii="Garamond" w:eastAsia="PMingLiU" w:hAnsi="Garamond"/>
          <w:sz w:val="24"/>
          <w:szCs w:val="24"/>
          <w:lang w:eastAsia="zh-TW"/>
        </w:rPr>
        <w:t>ongoing effect of the</w:t>
      </w:r>
      <w:r w:rsidR="005F7DD2">
        <w:rPr>
          <w:rFonts w:ascii="Garamond" w:eastAsia="PMingLiU" w:hAnsi="Garamond"/>
          <w:sz w:val="24"/>
          <w:szCs w:val="24"/>
          <w:lang w:eastAsia="zh-TW"/>
        </w:rPr>
        <w:t xml:space="preserve"> original in camera order</w:t>
      </w:r>
      <w:r w:rsidR="00F43DE5">
        <w:rPr>
          <w:rFonts w:ascii="Garamond" w:eastAsia="PMingLiU" w:hAnsi="Garamond"/>
          <w:sz w:val="24"/>
          <w:szCs w:val="24"/>
          <w:lang w:eastAsia="zh-TW"/>
        </w:rPr>
        <w:t xml:space="preserve"> </w:t>
      </w:r>
      <w:r w:rsidR="00BB44F2">
        <w:rPr>
          <w:rFonts w:ascii="Garamond" w:eastAsia="PMingLiU" w:hAnsi="Garamond"/>
          <w:sz w:val="24"/>
          <w:szCs w:val="24"/>
          <w:lang w:eastAsia="zh-TW"/>
        </w:rPr>
        <w:t xml:space="preserve">has been to require that subsequent </w:t>
      </w:r>
      <w:r w:rsidR="0007470C">
        <w:rPr>
          <w:rFonts w:ascii="Garamond" w:eastAsia="PMingLiU" w:hAnsi="Garamond"/>
          <w:sz w:val="24"/>
          <w:szCs w:val="24"/>
          <w:lang w:eastAsia="zh-TW"/>
        </w:rPr>
        <w:t xml:space="preserve">civil hearings take place in private </w:t>
      </w:r>
      <w:r w:rsidR="00C74A39">
        <w:rPr>
          <w:rFonts w:ascii="Garamond" w:eastAsia="PMingLiU" w:hAnsi="Garamond"/>
          <w:sz w:val="24"/>
          <w:szCs w:val="24"/>
          <w:lang w:eastAsia="zh-TW"/>
        </w:rPr>
        <w:t xml:space="preserve">and that </w:t>
      </w:r>
      <w:r w:rsidR="0020267F">
        <w:rPr>
          <w:rFonts w:ascii="Garamond" w:eastAsia="PMingLiU" w:hAnsi="Garamond"/>
          <w:sz w:val="24"/>
          <w:szCs w:val="24"/>
          <w:lang w:eastAsia="zh-TW"/>
        </w:rPr>
        <w:t>subsequent judgements</w:t>
      </w:r>
      <w:r w:rsidR="00C74A39">
        <w:rPr>
          <w:rFonts w:ascii="Garamond" w:eastAsia="PMingLiU" w:hAnsi="Garamond"/>
          <w:sz w:val="24"/>
          <w:szCs w:val="24"/>
          <w:lang w:eastAsia="zh-TW"/>
        </w:rPr>
        <w:t xml:space="preserve"> – both civil and criminal – are heavily redacted</w:t>
      </w:r>
      <w:r w:rsidR="0020267F">
        <w:rPr>
          <w:rFonts w:ascii="Garamond" w:eastAsia="PMingLiU" w:hAnsi="Garamond"/>
          <w:sz w:val="24"/>
          <w:szCs w:val="24"/>
          <w:lang w:eastAsia="zh-TW"/>
        </w:rPr>
        <w:t>.</w:t>
      </w:r>
      <w:r w:rsidR="0020267F">
        <w:rPr>
          <w:rStyle w:val="FootnoteReference"/>
          <w:rFonts w:ascii="Garamond" w:eastAsia="PMingLiU" w:hAnsi="Garamond"/>
          <w:sz w:val="24"/>
          <w:szCs w:val="24"/>
          <w:lang w:eastAsia="zh-TW"/>
        </w:rPr>
        <w:footnoteReference w:id="56"/>
      </w:r>
      <w:r w:rsidR="00751B13">
        <w:rPr>
          <w:rFonts w:ascii="Garamond" w:eastAsia="PMingLiU" w:hAnsi="Garamond"/>
          <w:sz w:val="24"/>
          <w:szCs w:val="24"/>
          <w:lang w:eastAsia="zh-TW"/>
        </w:rPr>
        <w:t xml:space="preserve"> </w:t>
      </w:r>
    </w:p>
    <w:p w:rsidR="0022734B" w:rsidRPr="002C088C" w:rsidRDefault="0022734B" w:rsidP="000C2DB7">
      <w:pPr>
        <w:spacing w:after="0" w:line="480" w:lineRule="auto"/>
        <w:jc w:val="both"/>
        <w:rPr>
          <w:rFonts w:ascii="Garamond" w:eastAsia="PMingLiU" w:hAnsi="Garamond"/>
          <w:sz w:val="24"/>
          <w:szCs w:val="24"/>
          <w:lang w:eastAsia="zh-TW"/>
        </w:rPr>
      </w:pPr>
    </w:p>
    <w:p w:rsidR="00206D99" w:rsidRDefault="00B66EC2" w:rsidP="00BB393C">
      <w:pPr>
        <w:spacing w:after="0" w:line="480" w:lineRule="auto"/>
        <w:jc w:val="both"/>
        <w:rPr>
          <w:rFonts w:ascii="Garamond" w:eastAsia="PMingLiU" w:hAnsi="Garamond"/>
          <w:sz w:val="24"/>
          <w:szCs w:val="24"/>
          <w:lang w:eastAsia="zh-TW"/>
        </w:rPr>
      </w:pPr>
      <w:r>
        <w:rPr>
          <w:rFonts w:ascii="Garamond" w:eastAsia="PMingLiU" w:hAnsi="Garamond"/>
          <w:sz w:val="24"/>
          <w:szCs w:val="24"/>
          <w:lang w:eastAsia="zh-TW"/>
        </w:rPr>
        <w:t xml:space="preserve">In the </w:t>
      </w:r>
      <w:r w:rsidRPr="00B66EC2">
        <w:rPr>
          <w:rFonts w:ascii="Garamond" w:eastAsia="PMingLiU" w:hAnsi="Garamond"/>
          <w:i/>
          <w:sz w:val="24"/>
          <w:szCs w:val="24"/>
          <w:lang w:eastAsia="zh-TW"/>
        </w:rPr>
        <w:t>Wang Yam</w:t>
      </w:r>
      <w:r>
        <w:rPr>
          <w:rFonts w:ascii="Garamond" w:eastAsia="PMingLiU" w:hAnsi="Garamond"/>
          <w:sz w:val="24"/>
          <w:szCs w:val="24"/>
          <w:lang w:eastAsia="zh-TW"/>
        </w:rPr>
        <w:t xml:space="preserve"> case</w:t>
      </w:r>
      <w:r w:rsidR="008736F6" w:rsidRPr="002C088C">
        <w:rPr>
          <w:rFonts w:ascii="Garamond" w:eastAsia="PMingLiU" w:hAnsi="Garamond"/>
          <w:sz w:val="24"/>
          <w:szCs w:val="24"/>
          <w:lang w:eastAsia="zh-TW"/>
        </w:rPr>
        <w:t xml:space="preserve">, the continuity between the two procedural </w:t>
      </w:r>
      <w:r w:rsidR="007173EA" w:rsidRPr="002C088C">
        <w:rPr>
          <w:rFonts w:ascii="Garamond" w:eastAsia="PMingLiU" w:hAnsi="Garamond"/>
          <w:sz w:val="24"/>
          <w:szCs w:val="24"/>
          <w:lang w:eastAsia="zh-TW"/>
        </w:rPr>
        <w:t>mechanisms which serve to protect the public interest</w:t>
      </w:r>
      <w:r w:rsidR="00750A97">
        <w:rPr>
          <w:rFonts w:ascii="Garamond" w:eastAsia="PMingLiU" w:hAnsi="Garamond"/>
          <w:sz w:val="24"/>
          <w:szCs w:val="24"/>
          <w:lang w:eastAsia="zh-TW"/>
        </w:rPr>
        <w:t xml:space="preserve"> – PII and in camera orders –</w:t>
      </w:r>
      <w:r w:rsidR="007173EA" w:rsidRPr="002C088C">
        <w:rPr>
          <w:rFonts w:ascii="Garamond" w:eastAsia="PMingLiU" w:hAnsi="Garamond"/>
          <w:sz w:val="24"/>
          <w:szCs w:val="24"/>
          <w:lang w:eastAsia="zh-TW"/>
        </w:rPr>
        <w:t xml:space="preserve"> </w:t>
      </w:r>
      <w:r w:rsidR="0047522C" w:rsidRPr="002C088C">
        <w:rPr>
          <w:rFonts w:ascii="Garamond" w:eastAsia="PMingLiU" w:hAnsi="Garamond"/>
          <w:sz w:val="24"/>
          <w:szCs w:val="24"/>
          <w:lang w:eastAsia="zh-TW"/>
        </w:rPr>
        <w:t>seems to go further than</w:t>
      </w:r>
      <w:r w:rsidR="00EA0DB1" w:rsidRPr="002C088C">
        <w:rPr>
          <w:rFonts w:ascii="Garamond" w:eastAsia="PMingLiU" w:hAnsi="Garamond"/>
          <w:sz w:val="24"/>
          <w:szCs w:val="24"/>
          <w:lang w:eastAsia="zh-TW"/>
        </w:rPr>
        <w:t xml:space="preserve"> was the case in</w:t>
      </w:r>
      <w:r w:rsidR="0047522C" w:rsidRPr="002C088C">
        <w:rPr>
          <w:rFonts w:ascii="Garamond" w:eastAsia="PMingLiU" w:hAnsi="Garamond"/>
          <w:sz w:val="24"/>
          <w:szCs w:val="24"/>
          <w:lang w:eastAsia="zh-TW"/>
        </w:rPr>
        <w:t xml:space="preserve"> </w:t>
      </w:r>
      <w:r w:rsidR="00FF678B" w:rsidRPr="002C088C">
        <w:rPr>
          <w:rFonts w:ascii="Garamond" w:eastAsia="PMingLiU" w:hAnsi="Garamond"/>
          <w:sz w:val="24"/>
          <w:szCs w:val="24"/>
          <w:lang w:eastAsia="zh-TW"/>
        </w:rPr>
        <w:t>the examples</w:t>
      </w:r>
      <w:r w:rsidR="00F14926">
        <w:rPr>
          <w:rFonts w:ascii="Garamond" w:eastAsia="PMingLiU" w:hAnsi="Garamond"/>
          <w:sz w:val="24"/>
          <w:szCs w:val="24"/>
          <w:lang w:eastAsia="zh-TW"/>
        </w:rPr>
        <w:t xml:space="preserve"> of </w:t>
      </w:r>
      <w:r w:rsidR="00F14926">
        <w:rPr>
          <w:rFonts w:ascii="Garamond" w:eastAsia="PMingLiU" w:hAnsi="Garamond"/>
          <w:i/>
          <w:sz w:val="24"/>
          <w:szCs w:val="24"/>
          <w:lang w:eastAsia="zh-TW"/>
        </w:rPr>
        <w:t>ex parte</w:t>
      </w:r>
      <w:r w:rsidR="00B6596A">
        <w:rPr>
          <w:rFonts w:ascii="Garamond" w:eastAsia="PMingLiU" w:hAnsi="Garamond"/>
          <w:i/>
          <w:sz w:val="24"/>
          <w:szCs w:val="24"/>
          <w:lang w:eastAsia="zh-TW"/>
        </w:rPr>
        <w:t xml:space="preserve"> </w:t>
      </w:r>
      <w:r w:rsidR="00F14926">
        <w:rPr>
          <w:rFonts w:ascii="Garamond" w:eastAsia="PMingLiU" w:hAnsi="Garamond"/>
          <w:i/>
          <w:sz w:val="24"/>
          <w:szCs w:val="24"/>
          <w:lang w:eastAsia="zh-TW"/>
        </w:rPr>
        <w:t xml:space="preserve">A </w:t>
      </w:r>
      <w:r w:rsidR="00F14926">
        <w:rPr>
          <w:rFonts w:ascii="Garamond" w:eastAsia="PMingLiU" w:hAnsi="Garamond"/>
          <w:sz w:val="24"/>
          <w:szCs w:val="24"/>
          <w:lang w:eastAsia="zh-TW"/>
        </w:rPr>
        <w:t xml:space="preserve">and </w:t>
      </w:r>
      <w:proofErr w:type="spellStart"/>
      <w:r w:rsidR="00F14926">
        <w:rPr>
          <w:rFonts w:ascii="Garamond" w:eastAsia="PMingLiU" w:hAnsi="Garamond"/>
          <w:i/>
          <w:sz w:val="24"/>
          <w:szCs w:val="24"/>
          <w:lang w:eastAsia="zh-TW"/>
        </w:rPr>
        <w:t>Incedal</w:t>
      </w:r>
      <w:proofErr w:type="spellEnd"/>
      <w:r w:rsidR="00FF678B" w:rsidRPr="002C088C">
        <w:rPr>
          <w:rFonts w:ascii="Garamond" w:eastAsia="PMingLiU" w:hAnsi="Garamond"/>
          <w:sz w:val="24"/>
          <w:szCs w:val="24"/>
          <w:lang w:eastAsia="zh-TW"/>
        </w:rPr>
        <w:t>. R</w:t>
      </w:r>
      <w:r w:rsidR="00AD6081" w:rsidRPr="002C088C">
        <w:rPr>
          <w:rFonts w:ascii="Garamond" w:eastAsia="PMingLiU" w:hAnsi="Garamond"/>
          <w:sz w:val="24"/>
          <w:szCs w:val="24"/>
          <w:lang w:eastAsia="zh-TW"/>
        </w:rPr>
        <w:t xml:space="preserve">ather than merely analogising </w:t>
      </w:r>
      <w:r w:rsidR="00053B51" w:rsidRPr="002C088C">
        <w:rPr>
          <w:rFonts w:ascii="Garamond" w:eastAsia="PMingLiU" w:hAnsi="Garamond"/>
          <w:sz w:val="24"/>
          <w:szCs w:val="24"/>
          <w:lang w:eastAsia="zh-TW"/>
        </w:rPr>
        <w:t>between the two, or drawing on the PII case law to influence the</w:t>
      </w:r>
      <w:r w:rsidR="00E411D9" w:rsidRPr="002C088C">
        <w:rPr>
          <w:rFonts w:ascii="Garamond" w:eastAsia="PMingLiU" w:hAnsi="Garamond"/>
          <w:sz w:val="24"/>
          <w:szCs w:val="24"/>
          <w:lang w:eastAsia="zh-TW"/>
        </w:rPr>
        <w:t xml:space="preserve"> </w:t>
      </w:r>
      <w:r w:rsidR="00177B9B" w:rsidRPr="002C088C">
        <w:rPr>
          <w:rFonts w:ascii="Garamond" w:eastAsia="PMingLiU" w:hAnsi="Garamond"/>
          <w:sz w:val="24"/>
          <w:szCs w:val="24"/>
          <w:lang w:eastAsia="zh-TW"/>
        </w:rPr>
        <w:t xml:space="preserve">procedure according to which </w:t>
      </w:r>
      <w:r w:rsidR="00053B51" w:rsidRPr="002C088C">
        <w:rPr>
          <w:rFonts w:ascii="Garamond" w:eastAsia="PMingLiU" w:hAnsi="Garamond"/>
          <w:sz w:val="24"/>
          <w:szCs w:val="24"/>
          <w:lang w:eastAsia="zh-TW"/>
        </w:rPr>
        <w:t xml:space="preserve">an </w:t>
      </w:r>
      <w:r w:rsidR="00053B51" w:rsidRPr="002C088C">
        <w:rPr>
          <w:rFonts w:ascii="Garamond" w:eastAsia="PMingLiU" w:hAnsi="Garamond"/>
          <w:i/>
          <w:sz w:val="24"/>
          <w:szCs w:val="24"/>
          <w:lang w:eastAsia="zh-TW"/>
        </w:rPr>
        <w:t xml:space="preserve">in camera </w:t>
      </w:r>
      <w:r w:rsidR="00053B51" w:rsidRPr="002C088C">
        <w:rPr>
          <w:rFonts w:ascii="Garamond" w:eastAsia="PMingLiU" w:hAnsi="Garamond"/>
          <w:sz w:val="24"/>
          <w:szCs w:val="24"/>
          <w:lang w:eastAsia="zh-TW"/>
        </w:rPr>
        <w:t>order</w:t>
      </w:r>
      <w:r w:rsidR="00177B9B" w:rsidRPr="002C088C">
        <w:rPr>
          <w:rFonts w:ascii="Garamond" w:eastAsia="PMingLiU" w:hAnsi="Garamond"/>
          <w:sz w:val="24"/>
          <w:szCs w:val="24"/>
          <w:lang w:eastAsia="zh-TW"/>
        </w:rPr>
        <w:t xml:space="preserve"> is made</w:t>
      </w:r>
      <w:r w:rsidR="00053B51" w:rsidRPr="002C088C">
        <w:rPr>
          <w:rFonts w:ascii="Garamond" w:eastAsia="PMingLiU" w:hAnsi="Garamond"/>
          <w:sz w:val="24"/>
          <w:szCs w:val="24"/>
          <w:lang w:eastAsia="zh-TW"/>
        </w:rPr>
        <w:t xml:space="preserve"> </w:t>
      </w:r>
      <w:proofErr w:type="spellStart"/>
      <w:r w:rsidR="00AD6081" w:rsidRPr="002C088C">
        <w:rPr>
          <w:rFonts w:ascii="Garamond" w:eastAsia="PMingLiU" w:hAnsi="Garamond"/>
          <w:sz w:val="24"/>
          <w:szCs w:val="24"/>
          <w:lang w:eastAsia="zh-TW"/>
        </w:rPr>
        <w:t>Ouseley</w:t>
      </w:r>
      <w:proofErr w:type="spellEnd"/>
      <w:r w:rsidR="00AD6081" w:rsidRPr="002C088C">
        <w:rPr>
          <w:rFonts w:ascii="Garamond" w:eastAsia="PMingLiU" w:hAnsi="Garamond"/>
          <w:sz w:val="24"/>
          <w:szCs w:val="24"/>
          <w:lang w:eastAsia="zh-TW"/>
        </w:rPr>
        <w:t xml:space="preserve"> </w:t>
      </w:r>
      <w:r w:rsidR="00053B51" w:rsidRPr="002C088C">
        <w:rPr>
          <w:rFonts w:ascii="Garamond" w:eastAsia="PMingLiU" w:hAnsi="Garamond"/>
          <w:sz w:val="24"/>
          <w:szCs w:val="24"/>
          <w:lang w:eastAsia="zh-TW"/>
        </w:rPr>
        <w:t>J</w:t>
      </w:r>
      <w:r w:rsidR="00362232">
        <w:rPr>
          <w:rFonts w:ascii="Garamond" w:eastAsia="PMingLiU" w:hAnsi="Garamond"/>
          <w:sz w:val="24"/>
          <w:szCs w:val="24"/>
          <w:lang w:eastAsia="zh-TW"/>
        </w:rPr>
        <w:t xml:space="preserve"> </w:t>
      </w:r>
      <w:r w:rsidR="00053B51" w:rsidRPr="002C088C">
        <w:rPr>
          <w:rFonts w:ascii="Garamond" w:eastAsia="PMingLiU" w:hAnsi="Garamond"/>
          <w:sz w:val="24"/>
          <w:szCs w:val="24"/>
          <w:lang w:eastAsia="zh-TW"/>
        </w:rPr>
        <w:t xml:space="preserve">implicitly </w:t>
      </w:r>
      <w:r w:rsidR="00CE1F24" w:rsidRPr="002C088C">
        <w:rPr>
          <w:rFonts w:ascii="Garamond" w:eastAsia="PMingLiU" w:hAnsi="Garamond"/>
          <w:sz w:val="24"/>
          <w:szCs w:val="24"/>
          <w:lang w:eastAsia="zh-TW"/>
        </w:rPr>
        <w:t>assimilates them</w:t>
      </w:r>
      <w:r w:rsidR="00DC7027" w:rsidRPr="002C088C">
        <w:rPr>
          <w:rFonts w:ascii="Garamond" w:eastAsia="PMingLiU" w:hAnsi="Garamond"/>
          <w:sz w:val="24"/>
          <w:szCs w:val="24"/>
          <w:lang w:eastAsia="zh-TW"/>
        </w:rPr>
        <w:t xml:space="preserve"> by labelling</w:t>
      </w:r>
      <w:r w:rsidR="007E0C2B">
        <w:rPr>
          <w:rFonts w:ascii="Garamond" w:eastAsia="PMingLiU" w:hAnsi="Garamond"/>
          <w:sz w:val="24"/>
          <w:szCs w:val="24"/>
          <w:lang w:eastAsia="zh-TW"/>
        </w:rPr>
        <w:t xml:space="preserve"> – as </w:t>
      </w:r>
      <w:r w:rsidR="000D5645">
        <w:rPr>
          <w:rFonts w:ascii="Garamond" w:eastAsia="PMingLiU" w:hAnsi="Garamond"/>
          <w:sz w:val="24"/>
          <w:szCs w:val="24"/>
          <w:lang w:eastAsia="zh-TW"/>
        </w:rPr>
        <w:t>was</w:t>
      </w:r>
      <w:r w:rsidR="007E0C2B">
        <w:rPr>
          <w:rFonts w:ascii="Garamond" w:eastAsia="PMingLiU" w:hAnsi="Garamond"/>
          <w:sz w:val="24"/>
          <w:szCs w:val="24"/>
          <w:lang w:eastAsia="zh-TW"/>
        </w:rPr>
        <w:t xml:space="preserve"> done (albeit retrospectively) in </w:t>
      </w:r>
      <w:r w:rsidR="007E0C2B">
        <w:rPr>
          <w:rFonts w:ascii="Garamond" w:eastAsia="PMingLiU" w:hAnsi="Garamond"/>
          <w:i/>
          <w:sz w:val="24"/>
          <w:szCs w:val="24"/>
          <w:lang w:eastAsia="zh-TW"/>
        </w:rPr>
        <w:t>Amin</w:t>
      </w:r>
      <w:r w:rsidR="007E0C2B">
        <w:rPr>
          <w:rFonts w:ascii="Garamond" w:eastAsia="PMingLiU" w:hAnsi="Garamond"/>
          <w:sz w:val="24"/>
          <w:szCs w:val="24"/>
          <w:lang w:eastAsia="zh-TW"/>
        </w:rPr>
        <w:t xml:space="preserve"> –</w:t>
      </w:r>
      <w:r w:rsidR="00DC7027" w:rsidRPr="002C088C">
        <w:rPr>
          <w:rFonts w:ascii="Garamond" w:eastAsia="PMingLiU" w:hAnsi="Garamond"/>
          <w:sz w:val="24"/>
          <w:szCs w:val="24"/>
          <w:lang w:eastAsia="zh-TW"/>
        </w:rPr>
        <w:t xml:space="preserve"> a ministerial certificate which asserts the need for a trial to be </w:t>
      </w:r>
      <w:r w:rsidR="007615C9" w:rsidRPr="002C088C">
        <w:rPr>
          <w:rFonts w:ascii="Garamond" w:eastAsia="PMingLiU" w:hAnsi="Garamond"/>
          <w:sz w:val="24"/>
          <w:szCs w:val="24"/>
          <w:lang w:eastAsia="zh-TW"/>
        </w:rPr>
        <w:t xml:space="preserve">held in camera a ‘PII certificate’. </w:t>
      </w:r>
      <w:r w:rsidR="003023E1">
        <w:rPr>
          <w:rFonts w:ascii="Garamond" w:eastAsia="PMingLiU" w:hAnsi="Garamond"/>
          <w:sz w:val="24"/>
          <w:szCs w:val="24"/>
          <w:lang w:eastAsia="zh-TW"/>
        </w:rPr>
        <w:t xml:space="preserve">Quite apart from the fact that, as the </w:t>
      </w:r>
      <w:r w:rsidR="003023E1">
        <w:rPr>
          <w:rFonts w:ascii="Garamond" w:eastAsia="PMingLiU" w:hAnsi="Garamond"/>
          <w:i/>
          <w:sz w:val="24"/>
          <w:szCs w:val="24"/>
          <w:lang w:eastAsia="zh-TW"/>
        </w:rPr>
        <w:t xml:space="preserve">Amin </w:t>
      </w:r>
      <w:r w:rsidR="003023E1">
        <w:rPr>
          <w:rFonts w:ascii="Garamond" w:eastAsia="PMingLiU" w:hAnsi="Garamond"/>
          <w:sz w:val="24"/>
          <w:szCs w:val="24"/>
          <w:lang w:eastAsia="zh-TW"/>
        </w:rPr>
        <w:t xml:space="preserve">case suggests, PII </w:t>
      </w:r>
      <w:r w:rsidR="00B94AF6">
        <w:rPr>
          <w:rFonts w:ascii="Garamond" w:eastAsia="PMingLiU" w:hAnsi="Garamond"/>
          <w:sz w:val="24"/>
          <w:szCs w:val="24"/>
          <w:lang w:eastAsia="zh-TW"/>
        </w:rPr>
        <w:t>and in camera p</w:t>
      </w:r>
      <w:r w:rsidR="00BB652B">
        <w:rPr>
          <w:rFonts w:ascii="Garamond" w:eastAsia="PMingLiU" w:hAnsi="Garamond"/>
          <w:sz w:val="24"/>
          <w:szCs w:val="24"/>
          <w:lang w:eastAsia="zh-TW"/>
        </w:rPr>
        <w:t xml:space="preserve">rocesses </w:t>
      </w:r>
      <w:r w:rsidR="003B03FC">
        <w:rPr>
          <w:rFonts w:ascii="Garamond" w:eastAsia="PMingLiU" w:hAnsi="Garamond"/>
          <w:sz w:val="24"/>
          <w:szCs w:val="24"/>
          <w:lang w:eastAsia="zh-TW"/>
        </w:rPr>
        <w:t>may well take place in conjunction with each other</w:t>
      </w:r>
      <w:r w:rsidR="00E853ED">
        <w:rPr>
          <w:rFonts w:ascii="Garamond" w:eastAsia="PMingLiU" w:hAnsi="Garamond"/>
          <w:sz w:val="24"/>
          <w:szCs w:val="24"/>
          <w:lang w:eastAsia="zh-TW"/>
        </w:rPr>
        <w:t xml:space="preserve"> (and, indeed, a single </w:t>
      </w:r>
      <w:r w:rsidR="00BB393C">
        <w:rPr>
          <w:rFonts w:ascii="Garamond" w:eastAsia="PMingLiU" w:hAnsi="Garamond"/>
          <w:sz w:val="24"/>
          <w:szCs w:val="24"/>
          <w:lang w:eastAsia="zh-TW"/>
        </w:rPr>
        <w:t>M</w:t>
      </w:r>
      <w:r w:rsidR="00181C54">
        <w:rPr>
          <w:rFonts w:ascii="Garamond" w:eastAsia="PMingLiU" w:hAnsi="Garamond"/>
          <w:sz w:val="24"/>
          <w:szCs w:val="24"/>
          <w:lang w:eastAsia="zh-TW"/>
        </w:rPr>
        <w:t xml:space="preserve">inisterial </w:t>
      </w:r>
      <w:r w:rsidR="00E853ED">
        <w:rPr>
          <w:rFonts w:ascii="Garamond" w:eastAsia="PMingLiU" w:hAnsi="Garamond"/>
          <w:sz w:val="24"/>
          <w:szCs w:val="24"/>
          <w:lang w:eastAsia="zh-TW"/>
        </w:rPr>
        <w:t xml:space="preserve">certificate might simultaneously assert the necessity of each) </w:t>
      </w:r>
      <w:r w:rsidR="008C04C9">
        <w:rPr>
          <w:rFonts w:ascii="Garamond" w:eastAsia="PMingLiU" w:hAnsi="Garamond"/>
          <w:sz w:val="24"/>
          <w:szCs w:val="24"/>
          <w:lang w:eastAsia="zh-TW"/>
        </w:rPr>
        <w:t>s</w:t>
      </w:r>
      <w:r w:rsidR="00361DD4" w:rsidRPr="002C088C">
        <w:rPr>
          <w:rFonts w:ascii="Garamond" w:eastAsia="PMingLiU" w:hAnsi="Garamond"/>
          <w:sz w:val="24"/>
          <w:szCs w:val="24"/>
          <w:lang w:eastAsia="zh-TW"/>
        </w:rPr>
        <w:t>uch</w:t>
      </w:r>
      <w:r w:rsidR="006E13C2" w:rsidRPr="002C088C">
        <w:rPr>
          <w:rFonts w:ascii="Garamond" w:eastAsia="PMingLiU" w:hAnsi="Garamond"/>
          <w:sz w:val="24"/>
          <w:szCs w:val="24"/>
          <w:lang w:eastAsia="zh-TW"/>
        </w:rPr>
        <w:t xml:space="preserve"> </w:t>
      </w:r>
      <w:r w:rsidR="004A2B49">
        <w:rPr>
          <w:rFonts w:ascii="Garamond" w:eastAsia="PMingLiU" w:hAnsi="Garamond"/>
          <w:sz w:val="24"/>
          <w:szCs w:val="24"/>
          <w:lang w:eastAsia="zh-TW"/>
        </w:rPr>
        <w:t xml:space="preserve">verbal </w:t>
      </w:r>
      <w:r w:rsidR="00F26168" w:rsidRPr="002C088C">
        <w:rPr>
          <w:rFonts w:ascii="Garamond" w:eastAsia="PMingLiU" w:hAnsi="Garamond"/>
          <w:sz w:val="24"/>
          <w:szCs w:val="24"/>
          <w:lang w:eastAsia="zh-TW"/>
        </w:rPr>
        <w:t>c</w:t>
      </w:r>
      <w:r w:rsidR="00DB16B9" w:rsidRPr="002C088C">
        <w:rPr>
          <w:rFonts w:ascii="Garamond" w:eastAsia="PMingLiU" w:hAnsi="Garamond"/>
          <w:sz w:val="24"/>
          <w:szCs w:val="24"/>
          <w:lang w:eastAsia="zh-TW"/>
        </w:rPr>
        <w:t>onflation is readily explicable</w:t>
      </w:r>
      <w:r w:rsidR="006D1890">
        <w:rPr>
          <w:rFonts w:ascii="Garamond" w:eastAsia="PMingLiU" w:hAnsi="Garamond"/>
          <w:sz w:val="24"/>
          <w:szCs w:val="24"/>
          <w:lang w:eastAsia="zh-TW"/>
        </w:rPr>
        <w:t xml:space="preserve"> for, we can now see, the two mechanism are similar in a number of significant ways</w:t>
      </w:r>
      <w:r w:rsidR="00DB16B9" w:rsidRPr="002C088C">
        <w:rPr>
          <w:rFonts w:ascii="Garamond" w:eastAsia="PMingLiU" w:hAnsi="Garamond"/>
          <w:sz w:val="24"/>
          <w:szCs w:val="24"/>
          <w:lang w:eastAsia="zh-TW"/>
        </w:rPr>
        <w:t>.</w:t>
      </w:r>
      <w:r w:rsidR="0040769B">
        <w:rPr>
          <w:rFonts w:ascii="Garamond" w:eastAsia="PMingLiU" w:hAnsi="Garamond"/>
          <w:sz w:val="24"/>
          <w:szCs w:val="24"/>
          <w:lang w:eastAsia="zh-TW"/>
        </w:rPr>
        <w:t xml:space="preserve"> First, </w:t>
      </w:r>
      <w:r w:rsidR="0037694B">
        <w:rPr>
          <w:rFonts w:ascii="Garamond" w:eastAsia="PMingLiU" w:hAnsi="Garamond"/>
          <w:sz w:val="24"/>
          <w:szCs w:val="24"/>
          <w:lang w:eastAsia="zh-TW"/>
        </w:rPr>
        <w:t xml:space="preserve">and most fundamentally, </w:t>
      </w:r>
      <w:r w:rsidR="00F26168" w:rsidRPr="002C088C">
        <w:rPr>
          <w:rFonts w:ascii="Garamond" w:eastAsia="PMingLiU" w:hAnsi="Garamond"/>
          <w:sz w:val="24"/>
          <w:szCs w:val="24"/>
          <w:lang w:eastAsia="zh-TW"/>
        </w:rPr>
        <w:t xml:space="preserve">the </w:t>
      </w:r>
      <w:r w:rsidR="00FE3ED1" w:rsidRPr="002C088C">
        <w:rPr>
          <w:rFonts w:ascii="Garamond" w:eastAsia="PMingLiU" w:hAnsi="Garamond"/>
          <w:sz w:val="24"/>
          <w:szCs w:val="24"/>
          <w:lang w:eastAsia="zh-TW"/>
        </w:rPr>
        <w:t xml:space="preserve">in camera order is </w:t>
      </w:r>
      <w:r w:rsidR="0037694B">
        <w:rPr>
          <w:rFonts w:ascii="Garamond" w:eastAsia="PMingLiU" w:hAnsi="Garamond"/>
          <w:sz w:val="24"/>
          <w:szCs w:val="24"/>
          <w:lang w:eastAsia="zh-TW"/>
        </w:rPr>
        <w:t xml:space="preserve">– like PII – </w:t>
      </w:r>
      <w:r w:rsidR="00FE3ED1" w:rsidRPr="002C088C">
        <w:rPr>
          <w:rFonts w:ascii="Garamond" w:eastAsia="PMingLiU" w:hAnsi="Garamond"/>
          <w:sz w:val="24"/>
          <w:szCs w:val="24"/>
          <w:lang w:eastAsia="zh-TW"/>
        </w:rPr>
        <w:t>a m</w:t>
      </w:r>
      <w:r w:rsidR="00A35093" w:rsidRPr="002C088C">
        <w:rPr>
          <w:rFonts w:ascii="Garamond" w:eastAsia="PMingLiU" w:hAnsi="Garamond"/>
          <w:sz w:val="24"/>
          <w:szCs w:val="24"/>
          <w:lang w:eastAsia="zh-TW"/>
        </w:rPr>
        <w:t xml:space="preserve">ethod by the courts are able to protect </w:t>
      </w:r>
      <w:r w:rsidR="003A5993" w:rsidRPr="002C088C">
        <w:rPr>
          <w:rFonts w:ascii="Garamond" w:eastAsia="PMingLiU" w:hAnsi="Garamond"/>
          <w:sz w:val="24"/>
          <w:szCs w:val="24"/>
          <w:lang w:eastAsia="zh-TW"/>
        </w:rPr>
        <w:t>the public interest agains</w:t>
      </w:r>
      <w:r w:rsidR="0071280C" w:rsidRPr="002C088C">
        <w:rPr>
          <w:rFonts w:ascii="Garamond" w:eastAsia="PMingLiU" w:hAnsi="Garamond"/>
          <w:sz w:val="24"/>
          <w:szCs w:val="24"/>
          <w:lang w:eastAsia="zh-TW"/>
        </w:rPr>
        <w:t>t the harm which would</w:t>
      </w:r>
      <w:r w:rsidR="00DB16B9" w:rsidRPr="002C088C">
        <w:rPr>
          <w:rFonts w:ascii="Garamond" w:eastAsia="PMingLiU" w:hAnsi="Garamond"/>
          <w:sz w:val="24"/>
          <w:szCs w:val="24"/>
          <w:lang w:eastAsia="zh-TW"/>
        </w:rPr>
        <w:t xml:space="preserve"> otherwise</w:t>
      </w:r>
      <w:r w:rsidR="0071280C" w:rsidRPr="002C088C">
        <w:rPr>
          <w:rFonts w:ascii="Garamond" w:eastAsia="PMingLiU" w:hAnsi="Garamond"/>
          <w:sz w:val="24"/>
          <w:szCs w:val="24"/>
          <w:lang w:eastAsia="zh-TW"/>
        </w:rPr>
        <w:t xml:space="preserve"> be caused by the disclosure</w:t>
      </w:r>
      <w:r w:rsidR="00DB16B9" w:rsidRPr="002C088C">
        <w:rPr>
          <w:rFonts w:ascii="Garamond" w:eastAsia="PMingLiU" w:hAnsi="Garamond"/>
          <w:sz w:val="24"/>
          <w:szCs w:val="24"/>
          <w:lang w:eastAsia="zh-TW"/>
        </w:rPr>
        <w:t xml:space="preserve"> of certain information</w:t>
      </w:r>
      <w:r w:rsidR="006C3019" w:rsidRPr="002C088C">
        <w:rPr>
          <w:rFonts w:ascii="Garamond" w:eastAsia="PMingLiU" w:hAnsi="Garamond"/>
          <w:sz w:val="24"/>
          <w:szCs w:val="24"/>
          <w:lang w:eastAsia="zh-TW"/>
        </w:rPr>
        <w:t xml:space="preserve"> as part of the </w:t>
      </w:r>
      <w:r w:rsidR="00EA433B" w:rsidRPr="002C088C">
        <w:rPr>
          <w:rFonts w:ascii="Garamond" w:eastAsia="PMingLiU" w:hAnsi="Garamond"/>
          <w:sz w:val="24"/>
          <w:szCs w:val="24"/>
          <w:lang w:eastAsia="zh-TW"/>
        </w:rPr>
        <w:t>legal</w:t>
      </w:r>
      <w:r w:rsidR="006C3019" w:rsidRPr="002C088C">
        <w:rPr>
          <w:rFonts w:ascii="Garamond" w:eastAsia="PMingLiU" w:hAnsi="Garamond"/>
          <w:sz w:val="24"/>
          <w:szCs w:val="24"/>
          <w:lang w:eastAsia="zh-TW"/>
        </w:rPr>
        <w:t xml:space="preserve"> process. </w:t>
      </w:r>
      <w:r w:rsidR="00C05877">
        <w:rPr>
          <w:rFonts w:ascii="Garamond" w:eastAsia="PMingLiU" w:hAnsi="Garamond"/>
          <w:sz w:val="24"/>
          <w:szCs w:val="24"/>
          <w:lang w:eastAsia="zh-TW"/>
        </w:rPr>
        <w:t>Second, and again l</w:t>
      </w:r>
      <w:r w:rsidR="00ED3564" w:rsidRPr="002C088C">
        <w:rPr>
          <w:rFonts w:ascii="Garamond" w:eastAsia="PMingLiU" w:hAnsi="Garamond"/>
          <w:sz w:val="24"/>
          <w:szCs w:val="24"/>
          <w:lang w:eastAsia="zh-TW"/>
        </w:rPr>
        <w:t xml:space="preserve">ike </w:t>
      </w:r>
      <w:r w:rsidR="007C6D7B" w:rsidRPr="002C088C">
        <w:rPr>
          <w:rFonts w:ascii="Garamond" w:eastAsia="PMingLiU" w:hAnsi="Garamond"/>
          <w:sz w:val="24"/>
          <w:szCs w:val="24"/>
          <w:lang w:eastAsia="zh-TW"/>
        </w:rPr>
        <w:t xml:space="preserve">PII, the </w:t>
      </w:r>
      <w:r w:rsidR="00C3005A" w:rsidRPr="002C088C">
        <w:rPr>
          <w:rFonts w:ascii="Garamond" w:eastAsia="PMingLiU" w:hAnsi="Garamond"/>
          <w:sz w:val="24"/>
          <w:szCs w:val="24"/>
          <w:lang w:eastAsia="zh-TW"/>
        </w:rPr>
        <w:t xml:space="preserve">making of an in camera order will, it seems, often </w:t>
      </w:r>
      <w:r w:rsidR="00146A0C" w:rsidRPr="002C088C">
        <w:rPr>
          <w:rFonts w:ascii="Garamond" w:eastAsia="PMingLiU" w:hAnsi="Garamond"/>
          <w:sz w:val="24"/>
          <w:szCs w:val="24"/>
          <w:lang w:eastAsia="zh-TW"/>
        </w:rPr>
        <w:t>– perhaps always –</w:t>
      </w:r>
      <w:r w:rsidR="00796BC9" w:rsidRPr="002C088C">
        <w:rPr>
          <w:rFonts w:ascii="Garamond" w:eastAsia="PMingLiU" w:hAnsi="Garamond"/>
          <w:sz w:val="24"/>
          <w:szCs w:val="24"/>
          <w:lang w:eastAsia="zh-TW"/>
        </w:rPr>
        <w:t xml:space="preserve"> </w:t>
      </w:r>
      <w:r w:rsidR="00C3005A" w:rsidRPr="002C088C">
        <w:rPr>
          <w:rFonts w:ascii="Garamond" w:eastAsia="PMingLiU" w:hAnsi="Garamond"/>
          <w:sz w:val="24"/>
          <w:szCs w:val="24"/>
          <w:lang w:eastAsia="zh-TW"/>
        </w:rPr>
        <w:t xml:space="preserve">be prompted by </w:t>
      </w:r>
      <w:r w:rsidR="00146A0C" w:rsidRPr="002C088C">
        <w:rPr>
          <w:rFonts w:ascii="Garamond" w:eastAsia="PMingLiU" w:hAnsi="Garamond"/>
          <w:sz w:val="24"/>
          <w:szCs w:val="24"/>
          <w:lang w:eastAsia="zh-TW"/>
        </w:rPr>
        <w:t xml:space="preserve">a Ministerial certificate </w:t>
      </w:r>
      <w:r w:rsidR="00A2509E" w:rsidRPr="002C088C">
        <w:rPr>
          <w:rFonts w:ascii="Garamond" w:eastAsia="PMingLiU" w:hAnsi="Garamond"/>
          <w:sz w:val="24"/>
          <w:szCs w:val="24"/>
          <w:lang w:eastAsia="zh-TW"/>
        </w:rPr>
        <w:t xml:space="preserve">which </w:t>
      </w:r>
      <w:r w:rsidR="006E059D" w:rsidRPr="002C088C">
        <w:rPr>
          <w:rFonts w:ascii="Garamond" w:eastAsia="PMingLiU" w:hAnsi="Garamond"/>
          <w:sz w:val="24"/>
          <w:szCs w:val="24"/>
          <w:lang w:eastAsia="zh-TW"/>
        </w:rPr>
        <w:t xml:space="preserve">communicates </w:t>
      </w:r>
      <w:r w:rsidR="00EF4EE2" w:rsidRPr="002C088C">
        <w:rPr>
          <w:rFonts w:ascii="Garamond" w:eastAsia="PMingLiU" w:hAnsi="Garamond"/>
          <w:sz w:val="24"/>
          <w:szCs w:val="24"/>
          <w:lang w:eastAsia="zh-TW"/>
        </w:rPr>
        <w:t xml:space="preserve">to the courts the executive’s belief that the balance of the public interest </w:t>
      </w:r>
      <w:r w:rsidR="00AA1F50" w:rsidRPr="002C088C">
        <w:rPr>
          <w:rFonts w:ascii="Garamond" w:eastAsia="PMingLiU" w:hAnsi="Garamond"/>
          <w:sz w:val="24"/>
          <w:szCs w:val="24"/>
          <w:lang w:eastAsia="zh-TW"/>
        </w:rPr>
        <w:t>requires the procedural mechanism to be employed.</w:t>
      </w:r>
      <w:r w:rsidR="008026E2">
        <w:rPr>
          <w:rFonts w:ascii="Garamond" w:eastAsia="PMingLiU" w:hAnsi="Garamond"/>
          <w:sz w:val="24"/>
          <w:szCs w:val="24"/>
          <w:lang w:eastAsia="zh-TW"/>
        </w:rPr>
        <w:t xml:space="preserve"> </w:t>
      </w:r>
      <w:r w:rsidR="004D1CF2">
        <w:rPr>
          <w:rFonts w:ascii="Garamond" w:eastAsia="PMingLiU" w:hAnsi="Garamond"/>
          <w:sz w:val="24"/>
          <w:szCs w:val="24"/>
          <w:lang w:eastAsia="zh-TW"/>
        </w:rPr>
        <w:t xml:space="preserve">Such certificates were, as we have seen, </w:t>
      </w:r>
      <w:r w:rsidR="00850362">
        <w:rPr>
          <w:rFonts w:ascii="Garamond" w:eastAsia="PMingLiU" w:hAnsi="Garamond"/>
          <w:sz w:val="24"/>
          <w:szCs w:val="24"/>
          <w:lang w:eastAsia="zh-TW"/>
        </w:rPr>
        <w:t xml:space="preserve">mentioned in both </w:t>
      </w:r>
      <w:r w:rsidR="00E65DD4">
        <w:rPr>
          <w:rFonts w:ascii="Garamond" w:eastAsia="PMingLiU" w:hAnsi="Garamond"/>
          <w:sz w:val="24"/>
          <w:szCs w:val="24"/>
          <w:lang w:eastAsia="zh-TW"/>
        </w:rPr>
        <w:t xml:space="preserve">the </w:t>
      </w:r>
      <w:r w:rsidR="00E65DD4">
        <w:rPr>
          <w:rFonts w:ascii="Garamond" w:eastAsia="PMingLiU" w:hAnsi="Garamond"/>
          <w:i/>
          <w:sz w:val="24"/>
          <w:szCs w:val="24"/>
          <w:lang w:eastAsia="zh-TW"/>
        </w:rPr>
        <w:t xml:space="preserve">Amin </w:t>
      </w:r>
      <w:r w:rsidR="00E65DD4">
        <w:rPr>
          <w:rFonts w:ascii="Garamond" w:eastAsia="PMingLiU" w:hAnsi="Garamond"/>
          <w:sz w:val="24"/>
          <w:szCs w:val="24"/>
          <w:lang w:eastAsia="zh-TW"/>
        </w:rPr>
        <w:t xml:space="preserve">case and in </w:t>
      </w:r>
      <w:r w:rsidR="00E65DD4">
        <w:rPr>
          <w:rFonts w:ascii="Garamond" w:eastAsia="PMingLiU" w:hAnsi="Garamond"/>
          <w:i/>
          <w:sz w:val="24"/>
          <w:szCs w:val="24"/>
          <w:lang w:eastAsia="zh-TW"/>
        </w:rPr>
        <w:t xml:space="preserve">ex parte </w:t>
      </w:r>
      <w:r w:rsidR="00E65DD4" w:rsidRPr="00E65DD4">
        <w:rPr>
          <w:rFonts w:ascii="Garamond" w:eastAsia="PMingLiU" w:hAnsi="Garamond"/>
          <w:sz w:val="24"/>
          <w:szCs w:val="24"/>
          <w:lang w:eastAsia="zh-TW"/>
        </w:rPr>
        <w:t>A</w:t>
      </w:r>
      <w:r w:rsidR="00B165C8">
        <w:rPr>
          <w:rFonts w:ascii="Garamond" w:eastAsia="PMingLiU" w:hAnsi="Garamond"/>
          <w:sz w:val="24"/>
          <w:szCs w:val="24"/>
          <w:lang w:eastAsia="zh-TW"/>
        </w:rPr>
        <w:t xml:space="preserve"> as </w:t>
      </w:r>
      <w:r w:rsidR="00E70F32">
        <w:rPr>
          <w:rFonts w:ascii="Garamond" w:eastAsia="PMingLiU" w:hAnsi="Garamond"/>
          <w:sz w:val="24"/>
          <w:szCs w:val="24"/>
          <w:lang w:eastAsia="zh-TW"/>
        </w:rPr>
        <w:t>motivating the making of an in camera order</w:t>
      </w:r>
      <w:r w:rsidR="009F6C9F">
        <w:rPr>
          <w:rFonts w:ascii="Garamond" w:eastAsia="PMingLiU" w:hAnsi="Garamond"/>
          <w:sz w:val="24"/>
          <w:szCs w:val="24"/>
          <w:lang w:eastAsia="zh-TW"/>
        </w:rPr>
        <w:t>.</w:t>
      </w:r>
    </w:p>
    <w:p w:rsidR="00206D99" w:rsidRDefault="00206D99" w:rsidP="000C2DB7">
      <w:pPr>
        <w:spacing w:after="0" w:line="480" w:lineRule="auto"/>
        <w:jc w:val="both"/>
        <w:rPr>
          <w:rFonts w:ascii="Garamond" w:eastAsia="PMingLiU" w:hAnsi="Garamond"/>
          <w:sz w:val="24"/>
          <w:szCs w:val="24"/>
          <w:lang w:eastAsia="zh-TW"/>
        </w:rPr>
      </w:pPr>
    </w:p>
    <w:p w:rsidR="002912EE" w:rsidRPr="00C31D90" w:rsidRDefault="005A263D" w:rsidP="00BB393C">
      <w:pPr>
        <w:spacing w:after="0" w:line="480" w:lineRule="auto"/>
        <w:jc w:val="both"/>
        <w:rPr>
          <w:rFonts w:ascii="Garamond" w:eastAsia="PMingLiU" w:hAnsi="Garamond"/>
          <w:sz w:val="24"/>
          <w:szCs w:val="24"/>
          <w:lang w:eastAsia="zh-TW"/>
        </w:rPr>
      </w:pPr>
      <w:r w:rsidRPr="00E65DD4">
        <w:rPr>
          <w:rFonts w:ascii="Garamond" w:eastAsia="PMingLiU" w:hAnsi="Garamond"/>
          <w:sz w:val="24"/>
          <w:szCs w:val="24"/>
          <w:lang w:eastAsia="zh-TW"/>
        </w:rPr>
        <w:lastRenderedPageBreak/>
        <w:t>Given</w:t>
      </w:r>
      <w:r>
        <w:rPr>
          <w:rFonts w:ascii="Garamond" w:eastAsia="PMingLiU" w:hAnsi="Garamond"/>
          <w:sz w:val="24"/>
          <w:szCs w:val="24"/>
          <w:lang w:eastAsia="zh-TW"/>
        </w:rPr>
        <w:t xml:space="preserve"> </w:t>
      </w:r>
      <w:r w:rsidR="003A3ECE">
        <w:rPr>
          <w:rFonts w:ascii="Garamond" w:eastAsia="PMingLiU" w:hAnsi="Garamond"/>
          <w:sz w:val="24"/>
          <w:szCs w:val="24"/>
          <w:lang w:eastAsia="zh-TW"/>
        </w:rPr>
        <w:t>that the two mechanisms share these fundamentals</w:t>
      </w:r>
      <w:r>
        <w:rPr>
          <w:rFonts w:ascii="Garamond" w:eastAsia="PMingLiU" w:hAnsi="Garamond"/>
          <w:sz w:val="24"/>
          <w:szCs w:val="24"/>
          <w:lang w:eastAsia="zh-TW"/>
        </w:rPr>
        <w:t xml:space="preserve"> there is, on</w:t>
      </w:r>
      <w:r w:rsidR="008026E2">
        <w:rPr>
          <w:rFonts w:ascii="Garamond" w:eastAsia="PMingLiU" w:hAnsi="Garamond"/>
          <w:sz w:val="24"/>
          <w:szCs w:val="24"/>
          <w:lang w:eastAsia="zh-TW"/>
        </w:rPr>
        <w:t xml:space="preserve"> both </w:t>
      </w:r>
      <w:r w:rsidR="006E549F">
        <w:rPr>
          <w:rFonts w:ascii="Garamond" w:eastAsia="PMingLiU" w:hAnsi="Garamond"/>
          <w:sz w:val="24"/>
          <w:szCs w:val="24"/>
          <w:lang w:eastAsia="zh-TW"/>
        </w:rPr>
        <w:t xml:space="preserve">points, a compelling logic </w:t>
      </w:r>
      <w:r w:rsidR="006D49B1">
        <w:rPr>
          <w:rFonts w:ascii="Garamond" w:eastAsia="PMingLiU" w:hAnsi="Garamond"/>
          <w:sz w:val="24"/>
          <w:szCs w:val="24"/>
          <w:lang w:eastAsia="zh-TW"/>
        </w:rPr>
        <w:t xml:space="preserve">for </w:t>
      </w:r>
      <w:r w:rsidR="00272DB9">
        <w:rPr>
          <w:rFonts w:ascii="Garamond" w:eastAsia="PMingLiU" w:hAnsi="Garamond"/>
          <w:sz w:val="24"/>
          <w:szCs w:val="24"/>
          <w:lang w:eastAsia="zh-TW"/>
        </w:rPr>
        <w:t xml:space="preserve">transposing to the </w:t>
      </w:r>
      <w:r w:rsidR="005E1882">
        <w:rPr>
          <w:rFonts w:ascii="Garamond" w:eastAsia="PMingLiU" w:hAnsi="Garamond"/>
          <w:sz w:val="24"/>
          <w:szCs w:val="24"/>
          <w:lang w:eastAsia="zh-TW"/>
        </w:rPr>
        <w:t xml:space="preserve">context of </w:t>
      </w:r>
      <w:r w:rsidR="0047087C">
        <w:rPr>
          <w:rFonts w:ascii="Garamond" w:eastAsia="PMingLiU" w:hAnsi="Garamond"/>
          <w:sz w:val="24"/>
          <w:szCs w:val="24"/>
          <w:lang w:eastAsia="zh-TW"/>
        </w:rPr>
        <w:t>in camera trials</w:t>
      </w:r>
      <w:r w:rsidR="006D49B1">
        <w:rPr>
          <w:rFonts w:ascii="Garamond" w:eastAsia="PMingLiU" w:hAnsi="Garamond"/>
          <w:sz w:val="24"/>
          <w:szCs w:val="24"/>
          <w:lang w:eastAsia="zh-TW"/>
        </w:rPr>
        <w:t xml:space="preserve"> </w:t>
      </w:r>
      <w:r w:rsidR="00767D44">
        <w:rPr>
          <w:rFonts w:ascii="Garamond" w:eastAsia="PMingLiU" w:hAnsi="Garamond"/>
          <w:sz w:val="24"/>
          <w:szCs w:val="24"/>
          <w:lang w:eastAsia="zh-TW"/>
        </w:rPr>
        <w:t xml:space="preserve">both </w:t>
      </w:r>
      <w:r w:rsidR="006D49B1">
        <w:rPr>
          <w:rFonts w:ascii="Garamond" w:eastAsia="PMingLiU" w:hAnsi="Garamond"/>
          <w:sz w:val="24"/>
          <w:szCs w:val="24"/>
          <w:lang w:eastAsia="zh-TW"/>
        </w:rPr>
        <w:t xml:space="preserve">the </w:t>
      </w:r>
      <w:r w:rsidR="00FF3C78">
        <w:rPr>
          <w:rFonts w:ascii="Garamond" w:eastAsia="PMingLiU" w:hAnsi="Garamond"/>
          <w:sz w:val="24"/>
          <w:szCs w:val="24"/>
          <w:lang w:eastAsia="zh-TW"/>
        </w:rPr>
        <w:t xml:space="preserve">substantive law and </w:t>
      </w:r>
      <w:r w:rsidR="00346E55">
        <w:rPr>
          <w:rFonts w:ascii="Garamond" w:eastAsia="PMingLiU" w:hAnsi="Garamond"/>
          <w:sz w:val="24"/>
          <w:szCs w:val="24"/>
          <w:lang w:eastAsia="zh-TW"/>
        </w:rPr>
        <w:t xml:space="preserve">the </w:t>
      </w:r>
      <w:r w:rsidR="00505051">
        <w:rPr>
          <w:rFonts w:ascii="Garamond" w:eastAsia="PMingLiU" w:hAnsi="Garamond"/>
          <w:sz w:val="24"/>
          <w:szCs w:val="24"/>
          <w:lang w:eastAsia="zh-TW"/>
        </w:rPr>
        <w:t xml:space="preserve">procedural </w:t>
      </w:r>
      <w:r w:rsidR="00FF3C78">
        <w:rPr>
          <w:rFonts w:ascii="Garamond" w:eastAsia="PMingLiU" w:hAnsi="Garamond"/>
          <w:sz w:val="24"/>
          <w:szCs w:val="24"/>
          <w:lang w:eastAsia="zh-TW"/>
        </w:rPr>
        <w:t xml:space="preserve">practice </w:t>
      </w:r>
      <w:r w:rsidR="0054592D">
        <w:rPr>
          <w:rFonts w:ascii="Garamond" w:eastAsia="PMingLiU" w:hAnsi="Garamond"/>
          <w:sz w:val="24"/>
          <w:szCs w:val="24"/>
          <w:lang w:eastAsia="zh-TW"/>
        </w:rPr>
        <w:t xml:space="preserve">which has developed in the </w:t>
      </w:r>
      <w:r w:rsidR="00CF0C42">
        <w:rPr>
          <w:rFonts w:ascii="Garamond" w:eastAsia="PMingLiU" w:hAnsi="Garamond"/>
          <w:sz w:val="24"/>
          <w:szCs w:val="24"/>
          <w:lang w:eastAsia="zh-TW"/>
        </w:rPr>
        <w:t xml:space="preserve">context of PII. </w:t>
      </w:r>
      <w:r w:rsidR="00E3487D">
        <w:rPr>
          <w:rFonts w:ascii="Garamond" w:eastAsia="PMingLiU" w:hAnsi="Garamond"/>
          <w:sz w:val="24"/>
          <w:szCs w:val="24"/>
          <w:lang w:eastAsia="zh-TW"/>
        </w:rPr>
        <w:t xml:space="preserve">The benefits of doing so </w:t>
      </w:r>
      <w:r w:rsidR="00915A08">
        <w:rPr>
          <w:rFonts w:ascii="Garamond" w:eastAsia="PMingLiU" w:hAnsi="Garamond"/>
          <w:sz w:val="24"/>
          <w:szCs w:val="24"/>
          <w:lang w:eastAsia="zh-TW"/>
        </w:rPr>
        <w:t xml:space="preserve">can be </w:t>
      </w:r>
      <w:r w:rsidR="00F12A6B">
        <w:rPr>
          <w:rFonts w:ascii="Garamond" w:eastAsia="PMingLiU" w:hAnsi="Garamond"/>
          <w:sz w:val="24"/>
          <w:szCs w:val="24"/>
          <w:lang w:eastAsia="zh-TW"/>
        </w:rPr>
        <w:t xml:space="preserve">demonstrated briefly by reference to </w:t>
      </w:r>
      <w:r w:rsidR="0095660A">
        <w:rPr>
          <w:rFonts w:ascii="Garamond" w:eastAsia="PMingLiU" w:hAnsi="Garamond"/>
          <w:sz w:val="24"/>
          <w:szCs w:val="24"/>
          <w:lang w:eastAsia="zh-TW"/>
        </w:rPr>
        <w:t>one of the ways in</w:t>
      </w:r>
      <w:r w:rsidR="00F12A6B">
        <w:rPr>
          <w:rFonts w:ascii="Garamond" w:eastAsia="PMingLiU" w:hAnsi="Garamond"/>
          <w:sz w:val="24"/>
          <w:szCs w:val="24"/>
          <w:lang w:eastAsia="zh-TW"/>
        </w:rPr>
        <w:t xml:space="preserve"> which </w:t>
      </w:r>
      <w:r w:rsidR="00B06F63">
        <w:rPr>
          <w:rFonts w:ascii="Garamond" w:eastAsia="PMingLiU" w:hAnsi="Garamond"/>
          <w:sz w:val="24"/>
          <w:szCs w:val="24"/>
          <w:lang w:eastAsia="zh-TW"/>
        </w:rPr>
        <w:t xml:space="preserve">the practice of making an in camera order has </w:t>
      </w:r>
      <w:r w:rsidR="00C17F36">
        <w:rPr>
          <w:rFonts w:ascii="Garamond" w:eastAsia="PMingLiU" w:hAnsi="Garamond"/>
          <w:sz w:val="24"/>
          <w:szCs w:val="24"/>
          <w:lang w:eastAsia="zh-TW"/>
        </w:rPr>
        <w:t xml:space="preserve">implicitly </w:t>
      </w:r>
      <w:r w:rsidR="00A51D8E">
        <w:rPr>
          <w:rFonts w:ascii="Garamond" w:eastAsia="PMingLiU" w:hAnsi="Garamond"/>
          <w:sz w:val="24"/>
          <w:szCs w:val="24"/>
          <w:lang w:eastAsia="zh-TW"/>
        </w:rPr>
        <w:t>adopted the current</w:t>
      </w:r>
      <w:r w:rsidR="00B24E23">
        <w:rPr>
          <w:rFonts w:ascii="Garamond" w:eastAsia="PMingLiU" w:hAnsi="Garamond"/>
          <w:sz w:val="24"/>
          <w:szCs w:val="24"/>
          <w:lang w:eastAsia="zh-TW"/>
        </w:rPr>
        <w:t xml:space="preserve">, rather than past, practice </w:t>
      </w:r>
      <w:r w:rsidR="00287659">
        <w:rPr>
          <w:rFonts w:ascii="Garamond" w:eastAsia="PMingLiU" w:hAnsi="Garamond"/>
          <w:sz w:val="24"/>
          <w:szCs w:val="24"/>
          <w:lang w:eastAsia="zh-TW"/>
        </w:rPr>
        <w:t>of</w:t>
      </w:r>
      <w:r w:rsidR="00B24E23">
        <w:rPr>
          <w:rFonts w:ascii="Garamond" w:eastAsia="PMingLiU" w:hAnsi="Garamond"/>
          <w:sz w:val="24"/>
          <w:szCs w:val="24"/>
          <w:lang w:eastAsia="zh-TW"/>
        </w:rPr>
        <w:t xml:space="preserve"> PII</w:t>
      </w:r>
      <w:r w:rsidR="00D22F49">
        <w:rPr>
          <w:rFonts w:ascii="Garamond" w:eastAsia="PMingLiU" w:hAnsi="Garamond"/>
          <w:sz w:val="24"/>
          <w:szCs w:val="24"/>
          <w:lang w:eastAsia="zh-TW"/>
        </w:rPr>
        <w:t xml:space="preserve">. It was noted above that </w:t>
      </w:r>
      <w:r w:rsidR="00B746A9">
        <w:rPr>
          <w:rFonts w:ascii="Garamond" w:eastAsia="PMingLiU" w:hAnsi="Garamond"/>
          <w:sz w:val="24"/>
          <w:szCs w:val="24"/>
          <w:lang w:eastAsia="zh-TW"/>
        </w:rPr>
        <w:t xml:space="preserve">for much of the twentieth century </w:t>
      </w:r>
      <w:r w:rsidR="00D162AE">
        <w:rPr>
          <w:rFonts w:ascii="Garamond" w:eastAsia="PMingLiU" w:hAnsi="Garamond"/>
          <w:sz w:val="24"/>
          <w:szCs w:val="24"/>
          <w:lang w:eastAsia="zh-TW"/>
        </w:rPr>
        <w:t xml:space="preserve">the </w:t>
      </w:r>
      <w:r w:rsidR="00BB393C">
        <w:rPr>
          <w:rFonts w:ascii="Garamond" w:eastAsia="PMingLiU" w:hAnsi="Garamond"/>
          <w:sz w:val="24"/>
          <w:szCs w:val="24"/>
          <w:lang w:eastAsia="zh-TW"/>
        </w:rPr>
        <w:t>courts responded to the executive’s</w:t>
      </w:r>
      <w:r w:rsidR="000619AB">
        <w:rPr>
          <w:rFonts w:ascii="Garamond" w:eastAsia="PMingLiU" w:hAnsi="Garamond"/>
          <w:sz w:val="24"/>
          <w:szCs w:val="24"/>
          <w:lang w:eastAsia="zh-TW"/>
        </w:rPr>
        <w:t xml:space="preserve"> </w:t>
      </w:r>
      <w:r w:rsidR="00F02607">
        <w:rPr>
          <w:rFonts w:ascii="Garamond" w:eastAsia="PMingLiU" w:hAnsi="Garamond"/>
          <w:sz w:val="24"/>
          <w:szCs w:val="24"/>
          <w:lang w:eastAsia="zh-TW"/>
        </w:rPr>
        <w:t>assessment that the balance of the public i</w:t>
      </w:r>
      <w:r w:rsidR="00BE267B">
        <w:rPr>
          <w:rFonts w:ascii="Garamond" w:eastAsia="PMingLiU" w:hAnsi="Garamond"/>
          <w:sz w:val="24"/>
          <w:szCs w:val="24"/>
          <w:lang w:eastAsia="zh-TW"/>
        </w:rPr>
        <w:t xml:space="preserve">nterest required PII </w:t>
      </w:r>
      <w:r w:rsidR="004F733A">
        <w:rPr>
          <w:rFonts w:ascii="Garamond" w:eastAsia="PMingLiU" w:hAnsi="Garamond"/>
          <w:sz w:val="24"/>
          <w:szCs w:val="24"/>
          <w:lang w:eastAsia="zh-TW"/>
        </w:rPr>
        <w:t xml:space="preserve">to be granted by simply nodding along to that assessment. Only with the decision in </w:t>
      </w:r>
      <w:r w:rsidR="004E1636" w:rsidRPr="006B4F31">
        <w:rPr>
          <w:rFonts w:ascii="Garamond" w:eastAsia="PMingLiU" w:hAnsi="Garamond"/>
          <w:i/>
          <w:iCs/>
          <w:sz w:val="24"/>
          <w:szCs w:val="24"/>
          <w:lang w:eastAsia="zh-TW"/>
        </w:rPr>
        <w:t xml:space="preserve">Conway v </w:t>
      </w:r>
      <w:proofErr w:type="spellStart"/>
      <w:r w:rsidR="004E1636" w:rsidRPr="006B4F31">
        <w:rPr>
          <w:rFonts w:ascii="Garamond" w:eastAsia="PMingLiU" w:hAnsi="Garamond"/>
          <w:i/>
          <w:iCs/>
          <w:sz w:val="24"/>
          <w:szCs w:val="24"/>
          <w:lang w:eastAsia="zh-TW"/>
        </w:rPr>
        <w:t>Rimmer</w:t>
      </w:r>
      <w:proofErr w:type="spellEnd"/>
      <w:r w:rsidR="006B4F31">
        <w:rPr>
          <w:rStyle w:val="FootnoteReference"/>
          <w:rFonts w:ascii="Garamond" w:eastAsia="PMingLiU" w:hAnsi="Garamond"/>
          <w:sz w:val="24"/>
          <w:szCs w:val="24"/>
          <w:lang w:eastAsia="zh-TW"/>
        </w:rPr>
        <w:footnoteReference w:id="57"/>
      </w:r>
      <w:r w:rsidR="004E1636">
        <w:rPr>
          <w:rFonts w:ascii="Garamond" w:eastAsia="PMingLiU" w:hAnsi="Garamond"/>
          <w:sz w:val="24"/>
          <w:szCs w:val="24"/>
          <w:lang w:eastAsia="zh-TW"/>
        </w:rPr>
        <w:t xml:space="preserve"> </w:t>
      </w:r>
      <w:r w:rsidR="00DA52A7">
        <w:rPr>
          <w:rFonts w:ascii="Garamond" w:eastAsia="PMingLiU" w:hAnsi="Garamond"/>
          <w:sz w:val="24"/>
          <w:szCs w:val="24"/>
          <w:lang w:eastAsia="zh-TW"/>
        </w:rPr>
        <w:t>did the courts assume for themselves the</w:t>
      </w:r>
      <w:r w:rsidR="007670F9">
        <w:rPr>
          <w:rFonts w:ascii="Garamond" w:eastAsia="PMingLiU" w:hAnsi="Garamond"/>
          <w:sz w:val="24"/>
          <w:szCs w:val="24"/>
          <w:lang w:eastAsia="zh-TW"/>
        </w:rPr>
        <w:t xml:space="preserve"> right </w:t>
      </w:r>
      <w:r w:rsidR="000D1F05">
        <w:rPr>
          <w:rFonts w:ascii="Garamond" w:eastAsia="PMingLiU" w:hAnsi="Garamond"/>
          <w:sz w:val="24"/>
          <w:szCs w:val="24"/>
          <w:lang w:eastAsia="zh-TW"/>
        </w:rPr>
        <w:t xml:space="preserve">to </w:t>
      </w:r>
      <w:r w:rsidR="009A1CA7">
        <w:rPr>
          <w:rFonts w:ascii="Garamond" w:eastAsia="PMingLiU" w:hAnsi="Garamond"/>
          <w:sz w:val="24"/>
          <w:szCs w:val="24"/>
          <w:lang w:eastAsia="zh-TW"/>
        </w:rPr>
        <w:t xml:space="preserve">review the government’s </w:t>
      </w:r>
      <w:r w:rsidR="00BA51FA">
        <w:rPr>
          <w:rFonts w:ascii="Garamond" w:eastAsia="PMingLiU" w:hAnsi="Garamond"/>
          <w:sz w:val="24"/>
          <w:szCs w:val="24"/>
          <w:lang w:eastAsia="zh-TW"/>
        </w:rPr>
        <w:t>assessment of</w:t>
      </w:r>
      <w:r w:rsidR="007F78A9">
        <w:rPr>
          <w:rFonts w:ascii="Garamond" w:eastAsia="PMingLiU" w:hAnsi="Garamond"/>
          <w:sz w:val="24"/>
          <w:szCs w:val="24"/>
          <w:lang w:eastAsia="zh-TW"/>
        </w:rPr>
        <w:t xml:space="preserve"> w</w:t>
      </w:r>
      <w:r w:rsidR="009E5757">
        <w:rPr>
          <w:rFonts w:ascii="Garamond" w:eastAsia="PMingLiU" w:hAnsi="Garamond"/>
          <w:sz w:val="24"/>
          <w:szCs w:val="24"/>
          <w:lang w:eastAsia="zh-TW"/>
        </w:rPr>
        <w:t>hat the public interest required</w:t>
      </w:r>
      <w:r w:rsidR="000D1F05">
        <w:rPr>
          <w:rFonts w:ascii="Garamond" w:eastAsia="PMingLiU" w:hAnsi="Garamond"/>
          <w:sz w:val="24"/>
          <w:szCs w:val="24"/>
          <w:lang w:eastAsia="zh-TW"/>
        </w:rPr>
        <w:t xml:space="preserve"> and so</w:t>
      </w:r>
      <w:r w:rsidR="00095276">
        <w:rPr>
          <w:rFonts w:ascii="Garamond" w:eastAsia="PMingLiU" w:hAnsi="Garamond"/>
          <w:sz w:val="24"/>
          <w:szCs w:val="24"/>
          <w:lang w:eastAsia="zh-TW"/>
        </w:rPr>
        <w:t xml:space="preserve"> – potentially – </w:t>
      </w:r>
      <w:r w:rsidR="000D1F05">
        <w:rPr>
          <w:rFonts w:ascii="Garamond" w:eastAsia="PMingLiU" w:hAnsi="Garamond"/>
          <w:sz w:val="24"/>
          <w:szCs w:val="24"/>
          <w:lang w:eastAsia="zh-TW"/>
        </w:rPr>
        <w:t xml:space="preserve">to </w:t>
      </w:r>
      <w:r w:rsidR="00804A11">
        <w:rPr>
          <w:rFonts w:ascii="Garamond" w:eastAsia="PMingLiU" w:hAnsi="Garamond"/>
          <w:sz w:val="24"/>
          <w:szCs w:val="24"/>
          <w:lang w:eastAsia="zh-TW"/>
        </w:rPr>
        <w:t xml:space="preserve">disagree with </w:t>
      </w:r>
      <w:r w:rsidR="009A0EF6">
        <w:rPr>
          <w:rFonts w:ascii="Garamond" w:eastAsia="PMingLiU" w:hAnsi="Garamond"/>
          <w:sz w:val="24"/>
          <w:szCs w:val="24"/>
          <w:lang w:eastAsia="zh-TW"/>
        </w:rPr>
        <w:t>the executive’s position</w:t>
      </w:r>
      <w:r w:rsidR="00095276">
        <w:rPr>
          <w:rFonts w:ascii="Garamond" w:eastAsia="PMingLiU" w:hAnsi="Garamond"/>
          <w:sz w:val="24"/>
          <w:szCs w:val="24"/>
          <w:lang w:eastAsia="zh-TW"/>
        </w:rPr>
        <w:t xml:space="preserve"> as to where the balance between the public interest in disclosure and that </w:t>
      </w:r>
      <w:r w:rsidR="002C0B5A">
        <w:rPr>
          <w:rFonts w:ascii="Garamond" w:eastAsia="PMingLiU" w:hAnsi="Garamond"/>
          <w:sz w:val="24"/>
          <w:szCs w:val="24"/>
          <w:lang w:eastAsia="zh-TW"/>
        </w:rPr>
        <w:t>in non-</w:t>
      </w:r>
      <w:r w:rsidR="002D6DCC">
        <w:rPr>
          <w:rFonts w:ascii="Garamond" w:eastAsia="PMingLiU" w:hAnsi="Garamond"/>
          <w:sz w:val="24"/>
          <w:szCs w:val="24"/>
          <w:lang w:eastAsia="zh-TW"/>
        </w:rPr>
        <w:t>disclosure</w:t>
      </w:r>
      <w:r w:rsidR="00721159">
        <w:rPr>
          <w:rFonts w:ascii="Garamond" w:eastAsia="PMingLiU" w:hAnsi="Garamond"/>
          <w:sz w:val="24"/>
          <w:szCs w:val="24"/>
          <w:lang w:eastAsia="zh-TW"/>
        </w:rPr>
        <w:t xml:space="preserve"> lay</w:t>
      </w:r>
      <w:r w:rsidR="009A0EF6">
        <w:rPr>
          <w:rFonts w:ascii="Garamond" w:eastAsia="PMingLiU" w:hAnsi="Garamond"/>
          <w:sz w:val="24"/>
          <w:szCs w:val="24"/>
          <w:lang w:eastAsia="zh-TW"/>
        </w:rPr>
        <w:t>.</w:t>
      </w:r>
      <w:r w:rsidR="00E07C9F">
        <w:rPr>
          <w:rFonts w:ascii="Garamond" w:eastAsia="PMingLiU" w:hAnsi="Garamond"/>
          <w:sz w:val="24"/>
          <w:szCs w:val="24"/>
          <w:lang w:eastAsia="zh-TW"/>
        </w:rPr>
        <w:t xml:space="preserve"> </w:t>
      </w:r>
      <w:r w:rsidR="00410DAD">
        <w:rPr>
          <w:rFonts w:ascii="Garamond" w:eastAsia="PMingLiU" w:hAnsi="Garamond"/>
          <w:sz w:val="24"/>
          <w:szCs w:val="24"/>
          <w:lang w:eastAsia="zh-TW"/>
        </w:rPr>
        <w:t>It seems</w:t>
      </w:r>
      <w:r w:rsidR="00691577">
        <w:rPr>
          <w:rFonts w:ascii="Garamond" w:eastAsia="PMingLiU" w:hAnsi="Garamond"/>
          <w:sz w:val="24"/>
          <w:szCs w:val="24"/>
          <w:lang w:eastAsia="zh-TW"/>
        </w:rPr>
        <w:t xml:space="preserve"> clear that, by implicit analogy with PII, the courts have taken </w:t>
      </w:r>
      <w:r w:rsidR="002E3119">
        <w:rPr>
          <w:rFonts w:ascii="Garamond" w:eastAsia="PMingLiU" w:hAnsi="Garamond"/>
          <w:sz w:val="24"/>
          <w:szCs w:val="24"/>
          <w:lang w:eastAsia="zh-TW"/>
        </w:rPr>
        <w:t>the sa</w:t>
      </w:r>
      <w:r w:rsidR="00FA529E">
        <w:rPr>
          <w:rFonts w:ascii="Garamond" w:eastAsia="PMingLiU" w:hAnsi="Garamond"/>
          <w:sz w:val="24"/>
          <w:szCs w:val="24"/>
          <w:lang w:eastAsia="zh-TW"/>
        </w:rPr>
        <w:t>me approach to the making an in camera order: it is ultimately for them, a</w:t>
      </w:r>
      <w:r w:rsidR="002E6954">
        <w:rPr>
          <w:rFonts w:ascii="Garamond" w:eastAsia="PMingLiU" w:hAnsi="Garamond"/>
          <w:sz w:val="24"/>
          <w:szCs w:val="24"/>
          <w:lang w:eastAsia="zh-TW"/>
        </w:rPr>
        <w:t>nd not the executive, to decide</w:t>
      </w:r>
      <w:r w:rsidR="00FA529E">
        <w:rPr>
          <w:rFonts w:ascii="Garamond" w:eastAsia="PMingLiU" w:hAnsi="Garamond"/>
          <w:sz w:val="24"/>
          <w:szCs w:val="24"/>
          <w:lang w:eastAsia="zh-TW"/>
        </w:rPr>
        <w:t xml:space="preserve"> whether or not the balance of the public interest requires such a thing. </w:t>
      </w:r>
      <w:r w:rsidR="00291EA6">
        <w:rPr>
          <w:rFonts w:ascii="Garamond" w:eastAsia="PMingLiU" w:hAnsi="Garamond"/>
          <w:sz w:val="24"/>
          <w:szCs w:val="24"/>
          <w:lang w:eastAsia="zh-TW"/>
        </w:rPr>
        <w:t>This is an unambiguous good – not only substantively, but</w:t>
      </w:r>
      <w:r w:rsidR="00576CA9">
        <w:rPr>
          <w:rFonts w:ascii="Garamond" w:eastAsia="PMingLiU" w:hAnsi="Garamond"/>
          <w:sz w:val="24"/>
          <w:szCs w:val="24"/>
          <w:lang w:eastAsia="zh-TW"/>
        </w:rPr>
        <w:t xml:space="preserve"> </w:t>
      </w:r>
      <w:r w:rsidR="001C6529">
        <w:rPr>
          <w:rFonts w:ascii="Garamond" w:eastAsia="PMingLiU" w:hAnsi="Garamond"/>
          <w:sz w:val="24"/>
          <w:szCs w:val="24"/>
          <w:lang w:eastAsia="zh-TW"/>
        </w:rPr>
        <w:t xml:space="preserve">also </w:t>
      </w:r>
      <w:r w:rsidR="00B96143">
        <w:rPr>
          <w:rFonts w:ascii="Garamond" w:eastAsia="PMingLiU" w:hAnsi="Garamond"/>
          <w:sz w:val="24"/>
          <w:szCs w:val="24"/>
          <w:lang w:eastAsia="zh-TW"/>
        </w:rPr>
        <w:t xml:space="preserve">because it shows how the </w:t>
      </w:r>
      <w:r w:rsidR="00EE6B8C">
        <w:rPr>
          <w:rFonts w:ascii="Garamond" w:eastAsia="PMingLiU" w:hAnsi="Garamond"/>
          <w:sz w:val="24"/>
          <w:szCs w:val="24"/>
          <w:lang w:eastAsia="zh-TW"/>
        </w:rPr>
        <w:t xml:space="preserve">recognition of a </w:t>
      </w:r>
      <w:r w:rsidR="00373E52">
        <w:rPr>
          <w:rFonts w:ascii="Garamond" w:eastAsia="PMingLiU" w:hAnsi="Garamond"/>
          <w:sz w:val="24"/>
          <w:szCs w:val="24"/>
          <w:lang w:eastAsia="zh-TW"/>
        </w:rPr>
        <w:t>continuity between</w:t>
      </w:r>
      <w:r w:rsidR="00786C0F">
        <w:rPr>
          <w:rFonts w:ascii="Garamond" w:eastAsia="PMingLiU" w:hAnsi="Garamond"/>
          <w:sz w:val="24"/>
          <w:szCs w:val="24"/>
          <w:lang w:eastAsia="zh-TW"/>
        </w:rPr>
        <w:t xml:space="preserve"> PII and in</w:t>
      </w:r>
      <w:r w:rsidR="00850D47">
        <w:rPr>
          <w:rFonts w:ascii="Garamond" w:eastAsia="PMingLiU" w:hAnsi="Garamond"/>
          <w:sz w:val="24"/>
          <w:szCs w:val="24"/>
          <w:lang w:eastAsia="zh-TW"/>
        </w:rPr>
        <w:t xml:space="preserve"> camera trials </w:t>
      </w:r>
      <w:r w:rsidR="00C1461D">
        <w:rPr>
          <w:rFonts w:ascii="Garamond" w:eastAsia="PMingLiU" w:hAnsi="Garamond"/>
          <w:sz w:val="24"/>
          <w:szCs w:val="24"/>
          <w:lang w:eastAsia="zh-TW"/>
        </w:rPr>
        <w:t>leads</w:t>
      </w:r>
      <w:r w:rsidR="00850D47">
        <w:rPr>
          <w:rFonts w:ascii="Garamond" w:eastAsia="PMingLiU" w:hAnsi="Garamond"/>
          <w:sz w:val="24"/>
          <w:szCs w:val="24"/>
          <w:lang w:eastAsia="zh-TW"/>
        </w:rPr>
        <w:t xml:space="preserve"> the courts to </w:t>
      </w:r>
      <w:r w:rsidR="00DA36FA">
        <w:rPr>
          <w:rFonts w:ascii="Garamond" w:eastAsia="PMingLiU" w:hAnsi="Garamond"/>
          <w:sz w:val="24"/>
          <w:szCs w:val="24"/>
          <w:lang w:eastAsia="zh-TW"/>
        </w:rPr>
        <w:t>apply to the latter the limitations they have developed in the context of the form</w:t>
      </w:r>
      <w:r w:rsidR="00C761FD">
        <w:rPr>
          <w:rFonts w:ascii="Garamond" w:eastAsia="PMingLiU" w:hAnsi="Garamond"/>
          <w:sz w:val="24"/>
          <w:szCs w:val="24"/>
          <w:lang w:eastAsia="zh-TW"/>
        </w:rPr>
        <w:t xml:space="preserve">er rather than </w:t>
      </w:r>
      <w:r w:rsidR="00C31D90">
        <w:rPr>
          <w:rFonts w:ascii="Garamond" w:eastAsia="PMingLiU" w:hAnsi="Garamond"/>
          <w:sz w:val="24"/>
          <w:szCs w:val="24"/>
          <w:lang w:eastAsia="zh-TW"/>
        </w:rPr>
        <w:t xml:space="preserve">developing new, and </w:t>
      </w:r>
      <w:r w:rsidR="004A0046">
        <w:rPr>
          <w:rFonts w:ascii="Garamond" w:eastAsia="PMingLiU" w:hAnsi="Garamond"/>
          <w:sz w:val="24"/>
          <w:szCs w:val="24"/>
          <w:lang w:eastAsia="zh-TW"/>
        </w:rPr>
        <w:t>potentially</w:t>
      </w:r>
      <w:r w:rsidR="00C31D90">
        <w:rPr>
          <w:rFonts w:ascii="Garamond" w:eastAsia="PMingLiU" w:hAnsi="Garamond"/>
          <w:sz w:val="24"/>
          <w:szCs w:val="24"/>
          <w:lang w:eastAsia="zh-TW"/>
        </w:rPr>
        <w:t xml:space="preserve"> weaker, </w:t>
      </w:r>
      <w:r w:rsidR="00291AC0">
        <w:rPr>
          <w:rFonts w:ascii="Garamond" w:eastAsia="PMingLiU" w:hAnsi="Garamond"/>
          <w:sz w:val="24"/>
          <w:szCs w:val="24"/>
          <w:lang w:eastAsia="zh-TW"/>
        </w:rPr>
        <w:t>procedural protections.</w:t>
      </w:r>
      <w:r w:rsidR="000871CB">
        <w:rPr>
          <w:rFonts w:ascii="Garamond" w:eastAsia="PMingLiU" w:hAnsi="Garamond"/>
          <w:sz w:val="24"/>
          <w:szCs w:val="24"/>
          <w:lang w:eastAsia="zh-TW"/>
        </w:rPr>
        <w:t xml:space="preserve"> </w:t>
      </w:r>
      <w:r w:rsidR="003E7F72">
        <w:rPr>
          <w:rFonts w:ascii="Garamond" w:eastAsia="PMingLiU" w:hAnsi="Garamond"/>
          <w:sz w:val="24"/>
          <w:szCs w:val="24"/>
          <w:lang w:eastAsia="zh-TW"/>
        </w:rPr>
        <w:t xml:space="preserve">While the courts may have sometimes failed to adequately </w:t>
      </w:r>
      <w:r w:rsidR="00ED5BA7">
        <w:rPr>
          <w:rFonts w:ascii="Garamond" w:eastAsia="PMingLiU" w:hAnsi="Garamond"/>
          <w:sz w:val="24"/>
          <w:szCs w:val="24"/>
          <w:lang w:eastAsia="zh-TW"/>
        </w:rPr>
        <w:t xml:space="preserve">distinguish the </w:t>
      </w:r>
      <w:r w:rsidR="004F6CD6">
        <w:rPr>
          <w:rFonts w:ascii="Garamond" w:eastAsia="PMingLiU" w:hAnsi="Garamond"/>
          <w:sz w:val="24"/>
          <w:szCs w:val="24"/>
          <w:lang w:eastAsia="zh-TW"/>
        </w:rPr>
        <w:t xml:space="preserve">two mechanisms, </w:t>
      </w:r>
      <w:r w:rsidR="009E645F">
        <w:rPr>
          <w:rFonts w:ascii="Garamond" w:eastAsia="PMingLiU" w:hAnsi="Garamond"/>
          <w:sz w:val="24"/>
          <w:szCs w:val="24"/>
          <w:lang w:eastAsia="zh-TW"/>
        </w:rPr>
        <w:t xml:space="preserve">this is a significantly lesser </w:t>
      </w:r>
      <w:r w:rsidR="005E43C0">
        <w:rPr>
          <w:rFonts w:ascii="Garamond" w:eastAsia="PMingLiU" w:hAnsi="Garamond"/>
          <w:sz w:val="24"/>
          <w:szCs w:val="24"/>
          <w:lang w:eastAsia="zh-TW"/>
        </w:rPr>
        <w:t xml:space="preserve">failing than would be their artificial separation and the </w:t>
      </w:r>
      <w:r w:rsidR="00DF35FE">
        <w:rPr>
          <w:rFonts w:ascii="Garamond" w:eastAsia="PMingLiU" w:hAnsi="Garamond"/>
          <w:sz w:val="24"/>
          <w:szCs w:val="24"/>
          <w:lang w:eastAsia="zh-TW"/>
        </w:rPr>
        <w:t>consequent development of w</w:t>
      </w:r>
      <w:r w:rsidR="00CD243A">
        <w:rPr>
          <w:rFonts w:ascii="Garamond" w:eastAsia="PMingLiU" w:hAnsi="Garamond"/>
          <w:sz w:val="24"/>
          <w:szCs w:val="24"/>
          <w:lang w:eastAsia="zh-TW"/>
        </w:rPr>
        <w:t xml:space="preserve">eaker procedural protections in relation to </w:t>
      </w:r>
      <w:r w:rsidR="00AC5360">
        <w:rPr>
          <w:rFonts w:ascii="Garamond" w:eastAsia="PMingLiU" w:hAnsi="Garamond"/>
          <w:sz w:val="24"/>
          <w:szCs w:val="24"/>
          <w:lang w:eastAsia="zh-TW"/>
        </w:rPr>
        <w:t>in camera trials</w:t>
      </w:r>
      <w:r w:rsidR="00CD243A">
        <w:rPr>
          <w:rFonts w:ascii="Garamond" w:eastAsia="PMingLiU" w:hAnsi="Garamond"/>
          <w:sz w:val="24"/>
          <w:szCs w:val="24"/>
          <w:lang w:eastAsia="zh-TW"/>
        </w:rPr>
        <w:t xml:space="preserve"> than </w:t>
      </w:r>
      <w:r w:rsidR="00A4546B">
        <w:rPr>
          <w:rFonts w:ascii="Garamond" w:eastAsia="PMingLiU" w:hAnsi="Garamond"/>
          <w:sz w:val="24"/>
          <w:szCs w:val="24"/>
          <w:lang w:eastAsia="zh-TW"/>
        </w:rPr>
        <w:t>have</w:t>
      </w:r>
      <w:r w:rsidR="003F4E56">
        <w:rPr>
          <w:rFonts w:ascii="Garamond" w:eastAsia="PMingLiU" w:hAnsi="Garamond"/>
          <w:sz w:val="24"/>
          <w:szCs w:val="24"/>
          <w:lang w:eastAsia="zh-TW"/>
        </w:rPr>
        <w:t xml:space="preserve"> been developed over time for the use of PII.</w:t>
      </w:r>
      <w:r w:rsidR="00CD243A">
        <w:rPr>
          <w:rFonts w:ascii="Garamond" w:eastAsia="PMingLiU" w:hAnsi="Garamond"/>
          <w:sz w:val="24"/>
          <w:szCs w:val="24"/>
          <w:lang w:eastAsia="zh-TW"/>
        </w:rPr>
        <w:t xml:space="preserve"> </w:t>
      </w:r>
    </w:p>
    <w:p w:rsidR="002912EE" w:rsidRDefault="002912EE" w:rsidP="000C2DB7">
      <w:pPr>
        <w:spacing w:after="0" w:line="480" w:lineRule="auto"/>
        <w:jc w:val="both"/>
        <w:rPr>
          <w:rFonts w:ascii="Garamond" w:hAnsi="Garamond"/>
          <w:sz w:val="24"/>
          <w:szCs w:val="24"/>
        </w:rPr>
      </w:pPr>
    </w:p>
    <w:p w:rsidR="00001388" w:rsidRPr="002C088C" w:rsidRDefault="00E1663C" w:rsidP="000C2DB7">
      <w:pPr>
        <w:spacing w:after="0" w:line="480" w:lineRule="auto"/>
        <w:jc w:val="both"/>
        <w:rPr>
          <w:rFonts w:ascii="Garamond" w:hAnsi="Garamond"/>
          <w:sz w:val="24"/>
          <w:szCs w:val="24"/>
        </w:rPr>
      </w:pPr>
      <w:r>
        <w:rPr>
          <w:rFonts w:ascii="Garamond" w:hAnsi="Garamond"/>
          <w:sz w:val="24"/>
          <w:szCs w:val="24"/>
        </w:rPr>
        <w:t>A final point about</w:t>
      </w:r>
      <w:r w:rsidR="00311B29">
        <w:rPr>
          <w:rFonts w:ascii="Garamond" w:hAnsi="Garamond"/>
          <w:sz w:val="24"/>
          <w:szCs w:val="24"/>
        </w:rPr>
        <w:t xml:space="preserve"> </w:t>
      </w:r>
      <w:r w:rsidR="001A3D67">
        <w:rPr>
          <w:rFonts w:ascii="Garamond" w:hAnsi="Garamond"/>
          <w:sz w:val="24"/>
          <w:szCs w:val="24"/>
        </w:rPr>
        <w:t>the</w:t>
      </w:r>
      <w:r>
        <w:rPr>
          <w:rFonts w:ascii="Garamond" w:hAnsi="Garamond"/>
          <w:sz w:val="24"/>
          <w:szCs w:val="24"/>
        </w:rPr>
        <w:t xml:space="preserve"> </w:t>
      </w:r>
      <w:r w:rsidR="00463CAB">
        <w:rPr>
          <w:rFonts w:ascii="Garamond" w:hAnsi="Garamond"/>
          <w:sz w:val="24"/>
          <w:szCs w:val="24"/>
        </w:rPr>
        <w:t>commonalities between PII and in camera trials</w:t>
      </w:r>
      <w:r>
        <w:rPr>
          <w:rFonts w:ascii="Garamond" w:hAnsi="Garamond"/>
          <w:sz w:val="24"/>
          <w:szCs w:val="24"/>
        </w:rPr>
        <w:t xml:space="preserve">: </w:t>
      </w:r>
      <w:r w:rsidR="00390DEC" w:rsidRPr="002C088C">
        <w:rPr>
          <w:rFonts w:ascii="Garamond" w:hAnsi="Garamond"/>
          <w:sz w:val="24"/>
          <w:szCs w:val="24"/>
        </w:rPr>
        <w:t xml:space="preserve">the two mechanisms are linked </w:t>
      </w:r>
      <w:r w:rsidR="004154B6">
        <w:rPr>
          <w:rFonts w:ascii="Garamond" w:hAnsi="Garamond"/>
          <w:sz w:val="24"/>
          <w:szCs w:val="24"/>
        </w:rPr>
        <w:t xml:space="preserve">not only by their </w:t>
      </w:r>
      <w:r w:rsidR="004D3FA6">
        <w:rPr>
          <w:rFonts w:ascii="Garamond" w:hAnsi="Garamond"/>
          <w:sz w:val="24"/>
          <w:szCs w:val="24"/>
        </w:rPr>
        <w:t xml:space="preserve">aim and the circumstances which will prompt their use, but </w:t>
      </w:r>
      <w:r w:rsidR="001F3F09">
        <w:rPr>
          <w:rFonts w:ascii="Garamond" w:hAnsi="Garamond"/>
          <w:sz w:val="24"/>
          <w:szCs w:val="24"/>
        </w:rPr>
        <w:t xml:space="preserve">also </w:t>
      </w:r>
      <w:r w:rsidR="008561EC">
        <w:rPr>
          <w:rFonts w:ascii="Garamond" w:hAnsi="Garamond"/>
          <w:sz w:val="24"/>
          <w:szCs w:val="24"/>
        </w:rPr>
        <w:t>by the fact</w:t>
      </w:r>
      <w:r w:rsidR="001F3F09">
        <w:rPr>
          <w:rFonts w:ascii="Garamond" w:hAnsi="Garamond"/>
          <w:sz w:val="24"/>
          <w:szCs w:val="24"/>
        </w:rPr>
        <w:t xml:space="preserve"> that </w:t>
      </w:r>
      <w:r w:rsidR="00390DEC" w:rsidRPr="002C088C">
        <w:rPr>
          <w:rFonts w:ascii="Garamond" w:hAnsi="Garamond"/>
          <w:sz w:val="24"/>
          <w:szCs w:val="24"/>
        </w:rPr>
        <w:t xml:space="preserve">each </w:t>
      </w:r>
      <w:r w:rsidR="00EA36A8" w:rsidRPr="002C088C">
        <w:rPr>
          <w:rFonts w:ascii="Garamond" w:hAnsi="Garamond"/>
          <w:sz w:val="24"/>
          <w:szCs w:val="24"/>
        </w:rPr>
        <w:t xml:space="preserve">represents an exercise of the same legal power. </w:t>
      </w:r>
      <w:r w:rsidR="004A16D6" w:rsidRPr="002C088C">
        <w:rPr>
          <w:rFonts w:ascii="Garamond" w:hAnsi="Garamond"/>
          <w:sz w:val="24"/>
          <w:szCs w:val="24"/>
        </w:rPr>
        <w:t>That is,</w:t>
      </w:r>
      <w:r w:rsidR="008E4311" w:rsidRPr="002C088C">
        <w:rPr>
          <w:rFonts w:ascii="Garamond" w:hAnsi="Garamond"/>
          <w:sz w:val="24"/>
          <w:szCs w:val="24"/>
        </w:rPr>
        <w:t xml:space="preserve"> </w:t>
      </w:r>
      <w:r w:rsidR="00001388" w:rsidRPr="002C088C">
        <w:rPr>
          <w:rFonts w:ascii="Garamond" w:hAnsi="Garamond"/>
          <w:sz w:val="24"/>
          <w:szCs w:val="24"/>
        </w:rPr>
        <w:t xml:space="preserve">when a judge accepts a </w:t>
      </w:r>
      <w:r w:rsidR="00001388" w:rsidRPr="002C088C">
        <w:rPr>
          <w:rFonts w:ascii="Garamond" w:hAnsi="Garamond"/>
          <w:sz w:val="24"/>
          <w:szCs w:val="24"/>
        </w:rPr>
        <w:lastRenderedPageBreak/>
        <w:t>claim of PII, and therefore permits the non-disclosure of sensitive material in evidence</w:t>
      </w:r>
      <w:r w:rsidR="00EB66FF">
        <w:rPr>
          <w:rFonts w:ascii="Garamond" w:hAnsi="Garamond"/>
          <w:sz w:val="24"/>
          <w:szCs w:val="24"/>
        </w:rPr>
        <w:t xml:space="preserve"> with a view to the protection of the public interest</w:t>
      </w:r>
      <w:r w:rsidR="00001388" w:rsidRPr="002C088C">
        <w:rPr>
          <w:rFonts w:ascii="Garamond" w:hAnsi="Garamond"/>
          <w:sz w:val="24"/>
          <w:szCs w:val="24"/>
        </w:rPr>
        <w:t xml:space="preserve">, the power which he exercises is not </w:t>
      </w:r>
      <w:r w:rsidR="002D3AF1">
        <w:rPr>
          <w:rFonts w:ascii="Garamond" w:hAnsi="Garamond"/>
          <w:sz w:val="24"/>
          <w:szCs w:val="24"/>
        </w:rPr>
        <w:t xml:space="preserve">in any sense </w:t>
      </w:r>
      <w:r w:rsidR="00001388" w:rsidRPr="002C088C">
        <w:rPr>
          <w:rFonts w:ascii="Garamond" w:hAnsi="Garamond"/>
          <w:sz w:val="24"/>
          <w:szCs w:val="24"/>
        </w:rPr>
        <w:t xml:space="preserve">conferred on him by the principles of PII, which instead determine </w:t>
      </w:r>
      <w:r w:rsidR="00001388" w:rsidRPr="002C088C">
        <w:rPr>
          <w:rFonts w:ascii="Garamond" w:hAnsi="Garamond"/>
          <w:i/>
          <w:sz w:val="24"/>
          <w:szCs w:val="24"/>
        </w:rPr>
        <w:t xml:space="preserve">how </w:t>
      </w:r>
      <w:r w:rsidR="00001388" w:rsidRPr="002C088C">
        <w:rPr>
          <w:rFonts w:ascii="Garamond" w:hAnsi="Garamond"/>
          <w:iCs/>
          <w:sz w:val="24"/>
          <w:szCs w:val="24"/>
        </w:rPr>
        <w:t xml:space="preserve">and </w:t>
      </w:r>
      <w:r w:rsidR="00001388" w:rsidRPr="002C088C">
        <w:rPr>
          <w:rFonts w:ascii="Garamond" w:hAnsi="Garamond"/>
          <w:i/>
          <w:sz w:val="24"/>
          <w:szCs w:val="24"/>
        </w:rPr>
        <w:t xml:space="preserve">when </w:t>
      </w:r>
      <w:r w:rsidR="00001388" w:rsidRPr="002C088C">
        <w:rPr>
          <w:rFonts w:ascii="Garamond" w:hAnsi="Garamond"/>
          <w:sz w:val="24"/>
          <w:szCs w:val="24"/>
        </w:rPr>
        <w:t xml:space="preserve">that power can and should be exercised (as well as, conversely, when it cannot). The point has been made by the Supreme Court that when the courts developed the principles of PII, they were exercising their “inherent power in controlling </w:t>
      </w:r>
      <w:r w:rsidR="00AD44A7">
        <w:rPr>
          <w:rFonts w:ascii="Garamond" w:hAnsi="Garamond"/>
          <w:sz w:val="24"/>
          <w:szCs w:val="24"/>
        </w:rPr>
        <w:t>[their]</w:t>
      </w:r>
      <w:r w:rsidR="00001388" w:rsidRPr="002C088C">
        <w:rPr>
          <w:rFonts w:ascii="Garamond" w:hAnsi="Garamond"/>
          <w:sz w:val="24"/>
          <w:szCs w:val="24"/>
        </w:rPr>
        <w:t xml:space="preserve"> own procedures by deciding the scope of disclosure in cases involving confidential material.”</w:t>
      </w:r>
      <w:r w:rsidR="00001388" w:rsidRPr="002C088C">
        <w:rPr>
          <w:rStyle w:val="FootnoteReference"/>
          <w:rFonts w:ascii="Garamond" w:hAnsi="Garamond"/>
          <w:sz w:val="24"/>
          <w:szCs w:val="24"/>
        </w:rPr>
        <w:footnoteReference w:id="58"/>
      </w:r>
      <w:r w:rsidR="00001388" w:rsidRPr="002C088C">
        <w:rPr>
          <w:rFonts w:ascii="Garamond" w:hAnsi="Garamond"/>
          <w:sz w:val="24"/>
          <w:szCs w:val="24"/>
        </w:rPr>
        <w:t xml:space="preserve"> </w:t>
      </w:r>
      <w:r w:rsidR="00017A91">
        <w:rPr>
          <w:rFonts w:ascii="Garamond" w:hAnsi="Garamond"/>
          <w:sz w:val="24"/>
          <w:szCs w:val="24"/>
        </w:rPr>
        <w:t xml:space="preserve">Though statute may recognise the possibility of PII being claimed, no statute creates that possibility. </w:t>
      </w:r>
      <w:r w:rsidR="00001388" w:rsidRPr="002C088C">
        <w:rPr>
          <w:rFonts w:ascii="Garamond" w:eastAsia="PMingLiU" w:hAnsi="Garamond" w:hint="eastAsia"/>
          <w:sz w:val="24"/>
          <w:szCs w:val="24"/>
          <w:lang w:eastAsia="zh-TW"/>
        </w:rPr>
        <w:t>Similarly</w:t>
      </w:r>
      <w:r w:rsidR="00001388" w:rsidRPr="002C088C">
        <w:rPr>
          <w:rFonts w:ascii="Garamond" w:hAnsi="Garamond"/>
          <w:sz w:val="24"/>
          <w:szCs w:val="24"/>
        </w:rPr>
        <w:t>, in the in camera cases, the courts seem to be of the opinion that the orders being made are made under the inherent jurisdiction which the courts enjoy by virtue of their status as courts rather than on the basis of any statutory</w:t>
      </w:r>
      <w:r w:rsidR="00972D84">
        <w:rPr>
          <w:rFonts w:ascii="Garamond" w:hAnsi="Garamond"/>
          <w:sz w:val="24"/>
          <w:szCs w:val="24"/>
        </w:rPr>
        <w:t xml:space="preserve"> or other</w:t>
      </w:r>
      <w:r w:rsidR="00001388" w:rsidRPr="002C088C">
        <w:rPr>
          <w:rFonts w:ascii="Garamond" w:hAnsi="Garamond"/>
          <w:sz w:val="24"/>
          <w:szCs w:val="24"/>
        </w:rPr>
        <w:t xml:space="preserve"> authority. The point is addressed directly only in </w:t>
      </w:r>
      <w:r w:rsidR="00001388" w:rsidRPr="002C088C">
        <w:rPr>
          <w:rFonts w:ascii="Garamond" w:hAnsi="Garamond"/>
          <w:i/>
          <w:iCs/>
          <w:sz w:val="24"/>
          <w:szCs w:val="24"/>
        </w:rPr>
        <w:t>Wang Yam</w:t>
      </w:r>
      <w:r w:rsidR="00001388" w:rsidRPr="002C088C">
        <w:rPr>
          <w:rFonts w:ascii="Garamond" w:hAnsi="Garamond"/>
          <w:sz w:val="24"/>
          <w:szCs w:val="24"/>
        </w:rPr>
        <w:t>, where it was held that though the jurisdiction is acknowledged in the Criminal Procedure Rules, it derives neither from either those Rules, nor from the Official Secrets Act 1920.</w:t>
      </w:r>
      <w:r w:rsidR="00001388" w:rsidRPr="002C088C">
        <w:rPr>
          <w:rStyle w:val="FootnoteReference"/>
          <w:rFonts w:ascii="Garamond" w:hAnsi="Garamond"/>
          <w:sz w:val="24"/>
          <w:szCs w:val="24"/>
        </w:rPr>
        <w:footnoteReference w:id="59"/>
      </w:r>
      <w:r w:rsidR="00001388" w:rsidRPr="002C088C">
        <w:rPr>
          <w:rFonts w:ascii="Garamond" w:hAnsi="Garamond"/>
          <w:sz w:val="24"/>
          <w:szCs w:val="24"/>
        </w:rPr>
        <w:t xml:space="preserve"> Instead, said the Lord Chief Justice, “</w:t>
      </w:r>
      <w:proofErr w:type="spellStart"/>
      <w:r w:rsidR="00001388" w:rsidRPr="002C088C">
        <w:rPr>
          <w:rFonts w:ascii="Garamond" w:hAnsi="Garamond"/>
          <w:sz w:val="24"/>
          <w:szCs w:val="24"/>
        </w:rPr>
        <w:t>Ouseley</w:t>
      </w:r>
      <w:proofErr w:type="spellEnd"/>
      <w:r w:rsidR="00001388" w:rsidRPr="002C088C">
        <w:rPr>
          <w:rFonts w:ascii="Garamond" w:hAnsi="Garamond"/>
          <w:sz w:val="24"/>
          <w:szCs w:val="24"/>
        </w:rPr>
        <w:t xml:space="preserve"> J rightly held in his public judgment that he had an inherent power to exclude the press and the public where the interests of justice required it”.</w:t>
      </w:r>
      <w:r w:rsidR="00001388" w:rsidRPr="002C088C">
        <w:rPr>
          <w:rStyle w:val="FootnoteReference"/>
          <w:rFonts w:ascii="Garamond" w:hAnsi="Garamond"/>
          <w:sz w:val="24"/>
          <w:szCs w:val="24"/>
        </w:rPr>
        <w:footnoteReference w:id="60"/>
      </w:r>
      <w:r w:rsidR="00001388" w:rsidRPr="002C088C">
        <w:rPr>
          <w:rFonts w:ascii="Garamond" w:hAnsi="Garamond"/>
          <w:sz w:val="24"/>
          <w:szCs w:val="24"/>
        </w:rPr>
        <w:t xml:space="preserve"> The reference to the 1920 Act is a reference to the provision in that statue which permits the prosecution to apply, in the course of proceedings under the Act or its 1913 counterpart to have the public excluded from the hearing where “the publication of any evidence to be given or of any statement to be made in the course of the proceedings would be prejudicial to the national safety”</w:t>
      </w:r>
      <w:r w:rsidR="00001388" w:rsidRPr="002C088C">
        <w:rPr>
          <w:rStyle w:val="FootnoteReference"/>
          <w:rFonts w:ascii="Garamond" w:hAnsi="Garamond"/>
          <w:sz w:val="24"/>
          <w:szCs w:val="24"/>
        </w:rPr>
        <w:footnoteReference w:id="61"/>
      </w:r>
      <w:r w:rsidR="00001388" w:rsidRPr="002C088C">
        <w:rPr>
          <w:rFonts w:ascii="Garamond" w:hAnsi="Garamond"/>
          <w:sz w:val="24"/>
          <w:szCs w:val="24"/>
        </w:rPr>
        <w:t xml:space="preserve"> Other statutory provisions </w:t>
      </w:r>
      <w:r w:rsidR="00001388" w:rsidRPr="002C088C">
        <w:rPr>
          <w:rFonts w:ascii="Garamond" w:hAnsi="Garamond"/>
          <w:sz w:val="24"/>
          <w:szCs w:val="24"/>
        </w:rPr>
        <w:lastRenderedPageBreak/>
        <w:t>recognise, without themselves creating, a power to exclude the public:</w:t>
      </w:r>
      <w:r w:rsidR="00D85E6D" w:rsidRPr="002C088C">
        <w:rPr>
          <w:rFonts w:ascii="Garamond" w:hAnsi="Garamond"/>
          <w:sz w:val="24"/>
          <w:szCs w:val="24"/>
        </w:rPr>
        <w:t xml:space="preserve"> the</w:t>
      </w:r>
      <w:r w:rsidR="00001388" w:rsidRPr="002C088C">
        <w:rPr>
          <w:rFonts w:ascii="Garamond" w:hAnsi="Garamond"/>
          <w:sz w:val="24"/>
          <w:szCs w:val="24"/>
        </w:rPr>
        <w:t xml:space="preserve"> Administration of Justice Act 1960 exempts, from the general rule that it is not a contempt of court to publish information relating to proceedings before a court sitting in private, those situations in which “the court sits in private for reasons of national security during that part of the proceedings about which the information in question is published.”</w:t>
      </w:r>
      <w:r w:rsidR="00001388" w:rsidRPr="002C088C">
        <w:rPr>
          <w:rStyle w:val="FootnoteReference"/>
          <w:rFonts w:ascii="Garamond" w:hAnsi="Garamond"/>
          <w:sz w:val="24"/>
          <w:szCs w:val="24"/>
        </w:rPr>
        <w:footnoteReference w:id="62"/>
      </w:r>
      <w:r w:rsidR="00001388" w:rsidRPr="002C088C">
        <w:rPr>
          <w:rFonts w:ascii="Garamond" w:hAnsi="Garamond"/>
          <w:sz w:val="24"/>
          <w:szCs w:val="24"/>
        </w:rPr>
        <w:t xml:space="preserve"> The significance of the decision in </w:t>
      </w:r>
      <w:r w:rsidR="00001388" w:rsidRPr="002C088C">
        <w:rPr>
          <w:rFonts w:ascii="Garamond" w:hAnsi="Garamond"/>
          <w:i/>
          <w:iCs/>
          <w:sz w:val="24"/>
          <w:szCs w:val="24"/>
        </w:rPr>
        <w:t>Wang Yam</w:t>
      </w:r>
      <w:r w:rsidR="00001388" w:rsidRPr="002C088C">
        <w:rPr>
          <w:rFonts w:ascii="Garamond" w:hAnsi="Garamond"/>
          <w:sz w:val="24"/>
          <w:szCs w:val="24"/>
        </w:rPr>
        <w:t xml:space="preserve">, however, is to confirm that these statutory creations and recognitions of a power to hold an </w:t>
      </w:r>
      <w:r w:rsidR="00001388" w:rsidRPr="002C088C">
        <w:rPr>
          <w:rFonts w:ascii="Garamond" w:hAnsi="Garamond"/>
          <w:iCs/>
          <w:sz w:val="24"/>
          <w:szCs w:val="24"/>
        </w:rPr>
        <w:t>in camera</w:t>
      </w:r>
      <w:r w:rsidR="00001388" w:rsidRPr="002C088C">
        <w:rPr>
          <w:rFonts w:ascii="Garamond" w:hAnsi="Garamond"/>
          <w:i/>
          <w:sz w:val="24"/>
          <w:szCs w:val="24"/>
        </w:rPr>
        <w:t xml:space="preserve"> </w:t>
      </w:r>
      <w:r w:rsidR="00001388" w:rsidRPr="002C088C">
        <w:rPr>
          <w:rFonts w:ascii="Garamond" w:hAnsi="Garamond"/>
          <w:sz w:val="24"/>
          <w:szCs w:val="24"/>
        </w:rPr>
        <w:t>trial are of no direct relevance to the phenomenon described here, which is instead explicitly based upon the inherent jurisdiction of the courts and which lacks the limits imposed by the formulation of any actual or hypothetical statutory authorisation for ordering such a trial.</w:t>
      </w:r>
      <w:r w:rsidR="00001388" w:rsidRPr="002C088C">
        <w:rPr>
          <w:rStyle w:val="FootnoteReference"/>
          <w:rFonts w:ascii="Garamond" w:hAnsi="Garamond"/>
          <w:sz w:val="24"/>
          <w:szCs w:val="24"/>
        </w:rPr>
        <w:footnoteReference w:id="63"/>
      </w:r>
      <w:r w:rsidR="00001388" w:rsidRPr="002C088C">
        <w:rPr>
          <w:rFonts w:ascii="Garamond" w:hAnsi="Garamond"/>
          <w:sz w:val="24"/>
          <w:szCs w:val="24"/>
        </w:rPr>
        <w:t xml:space="preserve"> This jurisdiction </w:t>
      </w:r>
      <w:r w:rsidR="0073421D">
        <w:rPr>
          <w:rFonts w:ascii="Garamond" w:eastAsia="PMingLiU" w:hAnsi="Garamond"/>
          <w:sz w:val="24"/>
          <w:szCs w:val="24"/>
          <w:lang w:eastAsia="zh-TW"/>
        </w:rPr>
        <w:t>has</w:t>
      </w:r>
      <w:r w:rsidR="00001388" w:rsidRPr="002C088C">
        <w:rPr>
          <w:rFonts w:ascii="Garamond" w:eastAsia="PMingLiU" w:hAnsi="Garamond" w:hint="eastAsia"/>
          <w:sz w:val="24"/>
          <w:szCs w:val="24"/>
          <w:lang w:eastAsia="zh-TW"/>
        </w:rPr>
        <w:t xml:space="preserve"> </w:t>
      </w:r>
      <w:r w:rsidR="00001388" w:rsidRPr="002C088C">
        <w:rPr>
          <w:rFonts w:ascii="Garamond" w:eastAsia="PMingLiU" w:hAnsi="Garamond"/>
          <w:sz w:val="24"/>
          <w:szCs w:val="24"/>
          <w:lang w:eastAsia="zh-TW"/>
        </w:rPr>
        <w:t>itself</w:t>
      </w:r>
      <w:r w:rsidR="0073421D">
        <w:rPr>
          <w:rFonts w:ascii="Garamond" w:eastAsia="PMingLiU" w:hAnsi="Garamond"/>
          <w:sz w:val="24"/>
          <w:szCs w:val="24"/>
          <w:lang w:eastAsia="zh-TW"/>
        </w:rPr>
        <w:t xml:space="preserve"> been stated to be</w:t>
      </w:r>
      <w:r w:rsidR="00001388" w:rsidRPr="002C088C">
        <w:rPr>
          <w:rFonts w:ascii="Garamond" w:eastAsia="PMingLiU" w:hAnsi="Garamond"/>
          <w:sz w:val="24"/>
          <w:szCs w:val="24"/>
          <w:lang w:eastAsia="zh-TW"/>
        </w:rPr>
        <w:t xml:space="preserve"> </w:t>
      </w:r>
      <w:r w:rsidR="00001388" w:rsidRPr="002C088C">
        <w:rPr>
          <w:rFonts w:ascii="Garamond" w:eastAsia="PMingLiU" w:hAnsi="Garamond" w:hint="eastAsia"/>
          <w:sz w:val="24"/>
          <w:szCs w:val="24"/>
          <w:lang w:eastAsia="zh-TW"/>
        </w:rPr>
        <w:t>a feature of neither statute nor common law; it derives</w:t>
      </w:r>
      <w:r w:rsidR="00001388" w:rsidRPr="002C088C">
        <w:rPr>
          <w:rFonts w:ascii="Garamond" w:eastAsia="PMingLiU" w:hAnsi="Garamond"/>
          <w:sz w:val="24"/>
          <w:szCs w:val="24"/>
          <w:lang w:eastAsia="zh-TW"/>
        </w:rPr>
        <w:t xml:space="preserve"> instead</w:t>
      </w:r>
      <w:r w:rsidR="00001388" w:rsidRPr="002C088C">
        <w:rPr>
          <w:rFonts w:ascii="Garamond" w:eastAsia="PMingLiU" w:hAnsi="Garamond" w:hint="eastAsia"/>
          <w:sz w:val="24"/>
          <w:szCs w:val="24"/>
          <w:lang w:eastAsia="zh-TW"/>
        </w:rPr>
        <w:t xml:space="preserve"> </w:t>
      </w:r>
      <w:r w:rsidR="00001388" w:rsidRPr="002C088C">
        <w:rPr>
          <w:rFonts w:ascii="Garamond" w:hAnsi="Garamond"/>
          <w:sz w:val="24"/>
          <w:szCs w:val="24"/>
        </w:rPr>
        <w:t>“from the very nature of the court as a court of law”</w:t>
      </w:r>
      <w:r w:rsidR="00001388" w:rsidRPr="002C088C">
        <w:rPr>
          <w:rStyle w:val="FootnoteReference"/>
          <w:rFonts w:ascii="Garamond" w:hAnsi="Garamond"/>
          <w:sz w:val="24"/>
          <w:szCs w:val="24"/>
        </w:rPr>
        <w:footnoteReference w:id="64"/>
      </w:r>
      <w:r w:rsidR="00001388" w:rsidRPr="002C088C">
        <w:rPr>
          <w:rFonts w:ascii="Garamond" w:eastAsia="PMingLiU" w:hAnsi="Garamond" w:hint="eastAsia"/>
          <w:sz w:val="24"/>
          <w:szCs w:val="24"/>
          <w:lang w:eastAsia="zh-TW"/>
        </w:rPr>
        <w:t xml:space="preserve"> and</w:t>
      </w:r>
      <w:r w:rsidR="00001388" w:rsidRPr="002C088C">
        <w:rPr>
          <w:rFonts w:ascii="Garamond" w:hAnsi="Garamond"/>
          <w:sz w:val="24"/>
          <w:szCs w:val="24"/>
        </w:rPr>
        <w:t xml:space="preserve"> has as its key feature that it “is exercisable as part of the administration of justice. It is part of procedural law, both civil and criminal, and not of substantive law; it is invoked in relation to the process of litigation”</w:t>
      </w:r>
      <w:r w:rsidR="00001388" w:rsidRPr="002C088C">
        <w:rPr>
          <w:rStyle w:val="FootnoteReference"/>
          <w:rFonts w:ascii="Garamond" w:hAnsi="Garamond"/>
          <w:sz w:val="24"/>
          <w:szCs w:val="24"/>
        </w:rPr>
        <w:footnoteReference w:id="65"/>
      </w:r>
      <w:r w:rsidR="00001388" w:rsidRPr="002C088C">
        <w:rPr>
          <w:rFonts w:ascii="Garamond" w:hAnsi="Garamond"/>
          <w:sz w:val="24"/>
          <w:szCs w:val="24"/>
        </w:rPr>
        <w:t xml:space="preserve"> Not only, therefore, do the different procedural mechanisms at issue have the same broad objective – they seek in their own ways to protect the public interest against the harm that would be caused by the disclosure of sensitive information – but they </w:t>
      </w:r>
      <w:r w:rsidR="00B66F34" w:rsidRPr="002C088C">
        <w:rPr>
          <w:rFonts w:ascii="Garamond" w:hAnsi="Garamond"/>
          <w:sz w:val="24"/>
          <w:szCs w:val="24"/>
        </w:rPr>
        <w:t xml:space="preserve">also </w:t>
      </w:r>
      <w:r w:rsidR="00001388" w:rsidRPr="002C088C">
        <w:rPr>
          <w:rFonts w:ascii="Garamond" w:hAnsi="Garamond"/>
          <w:sz w:val="24"/>
          <w:szCs w:val="24"/>
        </w:rPr>
        <w:t>represent exercise</w:t>
      </w:r>
      <w:r w:rsidR="00001388" w:rsidRPr="002C088C">
        <w:rPr>
          <w:rFonts w:ascii="Garamond" w:eastAsia="PMingLiU" w:hAnsi="Garamond" w:hint="eastAsia"/>
          <w:sz w:val="24"/>
          <w:szCs w:val="24"/>
          <w:lang w:eastAsia="zh-TW"/>
        </w:rPr>
        <w:t>s</w:t>
      </w:r>
      <w:r w:rsidR="00001388" w:rsidRPr="002C088C">
        <w:rPr>
          <w:rFonts w:ascii="Garamond" w:hAnsi="Garamond"/>
          <w:sz w:val="24"/>
          <w:szCs w:val="24"/>
        </w:rPr>
        <w:t xml:space="preserve"> of the same underlying </w:t>
      </w:r>
      <w:r w:rsidR="00083B5E" w:rsidRPr="002C088C">
        <w:rPr>
          <w:rFonts w:ascii="Garamond" w:hAnsi="Garamond"/>
          <w:sz w:val="24"/>
          <w:szCs w:val="24"/>
        </w:rPr>
        <w:t>legal authorit</w:t>
      </w:r>
      <w:r w:rsidR="00654DFE" w:rsidRPr="002C088C">
        <w:rPr>
          <w:rFonts w:ascii="Garamond" w:hAnsi="Garamond"/>
          <w:sz w:val="24"/>
          <w:szCs w:val="24"/>
        </w:rPr>
        <w:t>y.</w:t>
      </w:r>
      <w:r w:rsidR="0075315E" w:rsidRPr="002C088C">
        <w:rPr>
          <w:rFonts w:ascii="Garamond" w:hAnsi="Garamond"/>
          <w:sz w:val="24"/>
          <w:szCs w:val="24"/>
        </w:rPr>
        <w:t xml:space="preserve"> They are both examples of the courts using their inherent jurisdiction in </w:t>
      </w:r>
      <w:r w:rsidR="00632372" w:rsidRPr="002C088C">
        <w:rPr>
          <w:rFonts w:ascii="Garamond" w:hAnsi="Garamond"/>
          <w:sz w:val="24"/>
          <w:szCs w:val="24"/>
        </w:rPr>
        <w:t>a manner calculated</w:t>
      </w:r>
      <w:r w:rsidR="00824468" w:rsidRPr="002C088C">
        <w:rPr>
          <w:rFonts w:ascii="Garamond" w:hAnsi="Garamond"/>
          <w:sz w:val="24"/>
          <w:szCs w:val="24"/>
        </w:rPr>
        <w:t xml:space="preserve"> to protect the public interest against the disclosure of sensitive material.</w:t>
      </w:r>
    </w:p>
    <w:p w:rsidR="003B0CE0" w:rsidRDefault="003B0CE0" w:rsidP="003B0CE0">
      <w:pPr>
        <w:spacing w:after="0" w:line="480" w:lineRule="auto"/>
        <w:rPr>
          <w:rFonts w:ascii="Garamond" w:eastAsia="PMingLiU" w:hAnsi="Garamond"/>
          <w:sz w:val="24"/>
          <w:szCs w:val="24"/>
          <w:lang w:eastAsia="zh-TW"/>
        </w:rPr>
      </w:pPr>
    </w:p>
    <w:p w:rsidR="00DA2A86" w:rsidRPr="003B0CE0" w:rsidRDefault="003B0CE0" w:rsidP="003B0CE0">
      <w:pPr>
        <w:spacing w:after="0" w:line="480" w:lineRule="auto"/>
        <w:jc w:val="center"/>
        <w:rPr>
          <w:rFonts w:ascii="Garamond" w:hAnsi="Garamond"/>
          <w:sz w:val="24"/>
          <w:szCs w:val="24"/>
        </w:rPr>
      </w:pPr>
      <w:r w:rsidRPr="003B0CE0">
        <w:rPr>
          <w:rFonts w:ascii="Garamond" w:eastAsia="PMingLiU" w:hAnsi="Garamond"/>
          <w:sz w:val="24"/>
          <w:szCs w:val="24"/>
          <w:lang w:eastAsia="zh-TW"/>
        </w:rPr>
        <w:t xml:space="preserve">III. </w:t>
      </w:r>
      <w:r w:rsidR="00DA2A86" w:rsidRPr="003B0CE0">
        <w:rPr>
          <w:rFonts w:ascii="Garamond" w:hAnsi="Garamond"/>
          <w:sz w:val="24"/>
          <w:szCs w:val="24"/>
        </w:rPr>
        <w:t>Degrees of sensitivity: the coexistence of PII and ‘secret trials’</w:t>
      </w:r>
    </w:p>
    <w:p w:rsidR="00DA2A86" w:rsidRPr="002C088C" w:rsidRDefault="00DA2A86" w:rsidP="000C2DB7">
      <w:pPr>
        <w:tabs>
          <w:tab w:val="left" w:pos="6664"/>
        </w:tabs>
        <w:spacing w:after="0" w:line="480" w:lineRule="auto"/>
        <w:jc w:val="both"/>
        <w:rPr>
          <w:rFonts w:ascii="Garamond" w:eastAsia="PMingLiU" w:hAnsi="Garamond"/>
          <w:sz w:val="24"/>
          <w:szCs w:val="24"/>
          <w:lang w:eastAsia="zh-TW"/>
        </w:rPr>
      </w:pPr>
    </w:p>
    <w:p w:rsidR="00DF5709" w:rsidRPr="002C088C" w:rsidRDefault="00CA601D" w:rsidP="000C2DB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lastRenderedPageBreak/>
        <w:t xml:space="preserve">Notwithstanding these continuities and the picture which emerges </w:t>
      </w:r>
      <w:r w:rsidR="00E5519A" w:rsidRPr="002C088C">
        <w:rPr>
          <w:rFonts w:ascii="Garamond" w:eastAsia="PMingLiU" w:hAnsi="Garamond"/>
          <w:sz w:val="24"/>
          <w:szCs w:val="24"/>
          <w:lang w:eastAsia="zh-TW"/>
        </w:rPr>
        <w:t xml:space="preserve">of two parallel and analogous </w:t>
      </w:r>
      <w:r w:rsidR="00F23AFF" w:rsidRPr="002C088C">
        <w:rPr>
          <w:rFonts w:ascii="Garamond" w:eastAsia="PMingLiU" w:hAnsi="Garamond"/>
          <w:sz w:val="24"/>
          <w:szCs w:val="24"/>
          <w:lang w:eastAsia="zh-TW"/>
        </w:rPr>
        <w:t>procedural</w:t>
      </w:r>
      <w:r w:rsidR="00E5519A" w:rsidRPr="002C088C">
        <w:rPr>
          <w:rFonts w:ascii="Garamond" w:eastAsia="PMingLiU" w:hAnsi="Garamond"/>
          <w:sz w:val="24"/>
          <w:szCs w:val="24"/>
          <w:lang w:eastAsia="zh-TW"/>
        </w:rPr>
        <w:t xml:space="preserve"> mechanisms</w:t>
      </w:r>
      <w:r w:rsidR="00987C5F" w:rsidRPr="002C088C">
        <w:rPr>
          <w:rFonts w:ascii="Garamond" w:eastAsia="PMingLiU" w:hAnsi="Garamond"/>
          <w:sz w:val="24"/>
          <w:szCs w:val="24"/>
          <w:lang w:eastAsia="zh-TW"/>
        </w:rPr>
        <w:t xml:space="preserve">, the </w:t>
      </w:r>
      <w:r w:rsidR="00BB652B">
        <w:rPr>
          <w:rFonts w:ascii="Garamond" w:eastAsia="PMingLiU" w:hAnsi="Garamond"/>
          <w:sz w:val="24"/>
          <w:szCs w:val="24"/>
          <w:lang w:eastAsia="zh-TW"/>
        </w:rPr>
        <w:t xml:space="preserve">implicit </w:t>
      </w:r>
      <w:r w:rsidR="00987C5F" w:rsidRPr="002C088C">
        <w:rPr>
          <w:rFonts w:ascii="Garamond" w:eastAsia="PMingLiU" w:hAnsi="Garamond"/>
          <w:sz w:val="24"/>
          <w:szCs w:val="24"/>
          <w:lang w:eastAsia="zh-TW"/>
        </w:rPr>
        <w:t>conflation of the two phenomena</w:t>
      </w:r>
      <w:r w:rsidR="00557159" w:rsidRPr="002C088C">
        <w:rPr>
          <w:rFonts w:ascii="Garamond" w:eastAsia="PMingLiU" w:hAnsi="Garamond"/>
          <w:sz w:val="24"/>
          <w:szCs w:val="24"/>
          <w:lang w:eastAsia="zh-TW"/>
        </w:rPr>
        <w:t xml:space="preserve"> implied</w:t>
      </w:r>
      <w:r w:rsidR="001B051A">
        <w:rPr>
          <w:rFonts w:ascii="Garamond" w:eastAsia="PMingLiU" w:hAnsi="Garamond"/>
          <w:sz w:val="24"/>
          <w:szCs w:val="24"/>
          <w:lang w:eastAsia="zh-TW"/>
        </w:rPr>
        <w:t xml:space="preserve"> both</w:t>
      </w:r>
      <w:r w:rsidR="00557159" w:rsidRPr="002C088C">
        <w:rPr>
          <w:rFonts w:ascii="Garamond" w:eastAsia="PMingLiU" w:hAnsi="Garamond"/>
          <w:sz w:val="24"/>
          <w:szCs w:val="24"/>
          <w:lang w:eastAsia="zh-TW"/>
        </w:rPr>
        <w:t xml:space="preserve"> by </w:t>
      </w:r>
      <w:proofErr w:type="spellStart"/>
      <w:r w:rsidR="00F47B8D" w:rsidRPr="002C088C">
        <w:rPr>
          <w:rFonts w:ascii="Garamond" w:eastAsia="PMingLiU" w:hAnsi="Garamond"/>
          <w:sz w:val="24"/>
          <w:szCs w:val="24"/>
          <w:lang w:eastAsia="zh-TW"/>
        </w:rPr>
        <w:t>Ousel</w:t>
      </w:r>
      <w:r w:rsidR="00E26C9F" w:rsidRPr="002C088C">
        <w:rPr>
          <w:rFonts w:ascii="Garamond" w:eastAsia="PMingLiU" w:hAnsi="Garamond"/>
          <w:sz w:val="24"/>
          <w:szCs w:val="24"/>
          <w:lang w:eastAsia="zh-TW"/>
        </w:rPr>
        <w:t>e</w:t>
      </w:r>
      <w:r w:rsidR="00F47B8D" w:rsidRPr="002C088C">
        <w:rPr>
          <w:rFonts w:ascii="Garamond" w:eastAsia="PMingLiU" w:hAnsi="Garamond"/>
          <w:sz w:val="24"/>
          <w:szCs w:val="24"/>
          <w:lang w:eastAsia="zh-TW"/>
        </w:rPr>
        <w:t>y</w:t>
      </w:r>
      <w:proofErr w:type="spellEnd"/>
      <w:r w:rsidR="00F47B8D" w:rsidRPr="002C088C">
        <w:rPr>
          <w:rFonts w:ascii="Garamond" w:eastAsia="PMingLiU" w:hAnsi="Garamond"/>
          <w:sz w:val="24"/>
          <w:szCs w:val="24"/>
          <w:lang w:eastAsia="zh-TW"/>
        </w:rPr>
        <w:t xml:space="preserve"> J’s </w:t>
      </w:r>
      <w:r w:rsidR="00557159" w:rsidRPr="002C088C">
        <w:rPr>
          <w:rFonts w:ascii="Garamond" w:eastAsia="PMingLiU" w:hAnsi="Garamond"/>
          <w:sz w:val="24"/>
          <w:szCs w:val="24"/>
          <w:lang w:eastAsia="zh-TW"/>
        </w:rPr>
        <w:t>reference</w:t>
      </w:r>
      <w:r w:rsidR="00F47B8D" w:rsidRPr="002C088C">
        <w:rPr>
          <w:rFonts w:ascii="Garamond" w:eastAsia="PMingLiU" w:hAnsi="Garamond"/>
          <w:sz w:val="24"/>
          <w:szCs w:val="24"/>
          <w:lang w:eastAsia="zh-TW"/>
        </w:rPr>
        <w:t>,</w:t>
      </w:r>
      <w:r w:rsidR="00557159" w:rsidRPr="002C088C">
        <w:rPr>
          <w:rFonts w:ascii="Garamond" w:eastAsia="PMingLiU" w:hAnsi="Garamond"/>
          <w:sz w:val="24"/>
          <w:szCs w:val="24"/>
          <w:lang w:eastAsia="zh-TW"/>
        </w:rPr>
        <w:t xml:space="preserve"> in t</w:t>
      </w:r>
      <w:r w:rsidR="00F47B8D" w:rsidRPr="002C088C">
        <w:rPr>
          <w:rFonts w:ascii="Garamond" w:eastAsia="PMingLiU" w:hAnsi="Garamond"/>
          <w:sz w:val="24"/>
          <w:szCs w:val="24"/>
          <w:lang w:eastAsia="zh-TW"/>
        </w:rPr>
        <w:t xml:space="preserve">he </w:t>
      </w:r>
      <w:r w:rsidR="00814132">
        <w:rPr>
          <w:rFonts w:ascii="Garamond" w:eastAsia="PMingLiU" w:hAnsi="Garamond"/>
          <w:sz w:val="24"/>
          <w:szCs w:val="24"/>
          <w:lang w:eastAsia="zh-TW"/>
        </w:rPr>
        <w:t>context of an in camera order</w:t>
      </w:r>
      <w:r w:rsidR="0013263E">
        <w:rPr>
          <w:rFonts w:ascii="Garamond" w:eastAsia="PMingLiU" w:hAnsi="Garamond"/>
          <w:sz w:val="24"/>
          <w:szCs w:val="24"/>
          <w:lang w:eastAsia="zh-TW"/>
        </w:rPr>
        <w:t>,</w:t>
      </w:r>
      <w:r w:rsidR="00557159" w:rsidRPr="002C088C">
        <w:rPr>
          <w:rFonts w:ascii="Garamond" w:eastAsia="PMingLiU" w:hAnsi="Garamond"/>
          <w:sz w:val="24"/>
          <w:szCs w:val="24"/>
          <w:lang w:eastAsia="zh-TW"/>
        </w:rPr>
        <w:t xml:space="preserve"> to a ‘PII certificate’</w:t>
      </w:r>
      <w:r w:rsidR="00F36994" w:rsidRPr="002C088C">
        <w:rPr>
          <w:rFonts w:ascii="Garamond" w:eastAsia="PMingLiU" w:hAnsi="Garamond"/>
          <w:sz w:val="24"/>
          <w:szCs w:val="24"/>
          <w:lang w:eastAsia="zh-TW"/>
        </w:rPr>
        <w:t>,</w:t>
      </w:r>
      <w:r w:rsidR="00D871B7">
        <w:rPr>
          <w:rFonts w:ascii="Garamond" w:eastAsia="PMingLiU" w:hAnsi="Garamond"/>
          <w:sz w:val="24"/>
          <w:szCs w:val="24"/>
          <w:lang w:eastAsia="zh-TW"/>
        </w:rPr>
        <w:t xml:space="preserve"> as well as the earlier use</w:t>
      </w:r>
      <w:r w:rsidR="009F116F">
        <w:rPr>
          <w:rFonts w:ascii="Garamond" w:eastAsia="PMingLiU" w:hAnsi="Garamond"/>
          <w:sz w:val="24"/>
          <w:szCs w:val="24"/>
          <w:lang w:eastAsia="zh-TW"/>
        </w:rPr>
        <w:t xml:space="preserve"> </w:t>
      </w:r>
      <w:r w:rsidR="00D871B7">
        <w:rPr>
          <w:rFonts w:ascii="Garamond" w:eastAsia="PMingLiU" w:hAnsi="Garamond"/>
          <w:sz w:val="24"/>
          <w:szCs w:val="24"/>
          <w:lang w:eastAsia="zh-TW"/>
        </w:rPr>
        <w:t xml:space="preserve">in the </w:t>
      </w:r>
      <w:r w:rsidR="00D871B7">
        <w:rPr>
          <w:rFonts w:ascii="Garamond" w:eastAsia="PMingLiU" w:hAnsi="Garamond"/>
          <w:i/>
          <w:sz w:val="24"/>
          <w:szCs w:val="24"/>
          <w:lang w:eastAsia="zh-TW"/>
        </w:rPr>
        <w:t>Amin</w:t>
      </w:r>
      <w:r w:rsidR="008F418D">
        <w:rPr>
          <w:rFonts w:ascii="Garamond" w:eastAsia="PMingLiU" w:hAnsi="Garamond"/>
          <w:sz w:val="24"/>
          <w:szCs w:val="24"/>
          <w:lang w:eastAsia="zh-TW"/>
        </w:rPr>
        <w:t xml:space="preserve"> litigation</w:t>
      </w:r>
      <w:r w:rsidR="00D871B7">
        <w:rPr>
          <w:rFonts w:ascii="Garamond" w:eastAsia="PMingLiU" w:hAnsi="Garamond"/>
          <w:sz w:val="24"/>
          <w:szCs w:val="24"/>
          <w:lang w:eastAsia="zh-TW"/>
        </w:rPr>
        <w:t xml:space="preserve"> of the same phrase,</w:t>
      </w:r>
      <w:r w:rsidR="00987C5F" w:rsidRPr="002C088C">
        <w:rPr>
          <w:rFonts w:ascii="Garamond" w:eastAsia="PMingLiU" w:hAnsi="Garamond"/>
          <w:sz w:val="24"/>
          <w:szCs w:val="24"/>
          <w:lang w:eastAsia="zh-TW"/>
        </w:rPr>
        <w:t xml:space="preserve"> must b</w:t>
      </w:r>
      <w:r w:rsidR="005A63DC" w:rsidRPr="002C088C">
        <w:rPr>
          <w:rFonts w:ascii="Garamond" w:eastAsia="PMingLiU" w:hAnsi="Garamond"/>
          <w:sz w:val="24"/>
          <w:szCs w:val="24"/>
          <w:lang w:eastAsia="zh-TW"/>
        </w:rPr>
        <w:t xml:space="preserve">e resisted. </w:t>
      </w:r>
      <w:r w:rsidR="0002357A" w:rsidRPr="002C088C">
        <w:rPr>
          <w:rFonts w:ascii="Garamond" w:eastAsia="PMingLiU" w:hAnsi="Garamond"/>
          <w:sz w:val="24"/>
          <w:szCs w:val="24"/>
          <w:lang w:eastAsia="zh-TW"/>
        </w:rPr>
        <w:t>First of all,</w:t>
      </w:r>
      <w:r w:rsidR="005A63DC" w:rsidRPr="002C088C">
        <w:rPr>
          <w:rFonts w:ascii="Garamond" w:eastAsia="PMingLiU" w:hAnsi="Garamond"/>
          <w:sz w:val="24"/>
          <w:szCs w:val="24"/>
          <w:lang w:eastAsia="zh-TW"/>
        </w:rPr>
        <w:t xml:space="preserve"> </w:t>
      </w:r>
      <w:r w:rsidR="00CB695A" w:rsidRPr="002C088C">
        <w:rPr>
          <w:rFonts w:ascii="Garamond" w:eastAsia="PMingLiU" w:hAnsi="Garamond"/>
          <w:sz w:val="24"/>
          <w:szCs w:val="24"/>
          <w:lang w:eastAsia="zh-TW"/>
        </w:rPr>
        <w:t>t</w:t>
      </w:r>
      <w:r w:rsidR="008D72B4" w:rsidRPr="002C088C">
        <w:rPr>
          <w:rFonts w:ascii="Garamond" w:eastAsia="PMingLiU" w:hAnsi="Garamond"/>
          <w:sz w:val="24"/>
          <w:szCs w:val="24"/>
          <w:lang w:eastAsia="zh-TW"/>
        </w:rPr>
        <w:t xml:space="preserve">he vocabulary of PII </w:t>
      </w:r>
      <w:r w:rsidR="00546A41" w:rsidRPr="002C088C">
        <w:rPr>
          <w:rFonts w:ascii="Garamond" w:eastAsia="PMingLiU" w:hAnsi="Garamond"/>
          <w:sz w:val="24"/>
          <w:szCs w:val="24"/>
          <w:lang w:eastAsia="zh-TW"/>
        </w:rPr>
        <w:t xml:space="preserve">is </w:t>
      </w:r>
      <w:r w:rsidR="008D72B4" w:rsidRPr="002C088C">
        <w:rPr>
          <w:rFonts w:ascii="Garamond" w:eastAsia="PMingLiU" w:hAnsi="Garamond"/>
          <w:sz w:val="24"/>
          <w:szCs w:val="24"/>
          <w:lang w:eastAsia="zh-TW"/>
        </w:rPr>
        <w:t xml:space="preserve">sufficiently well-established in reference to </w:t>
      </w:r>
      <w:r w:rsidR="008E40DE" w:rsidRPr="002C088C">
        <w:rPr>
          <w:rFonts w:ascii="Garamond" w:eastAsia="PMingLiU" w:hAnsi="Garamond"/>
          <w:sz w:val="24"/>
          <w:szCs w:val="24"/>
          <w:lang w:eastAsia="zh-TW"/>
        </w:rPr>
        <w:t>the specific phenomenon of materia</w:t>
      </w:r>
      <w:r w:rsidR="00D52EA4" w:rsidRPr="002C088C">
        <w:rPr>
          <w:rFonts w:ascii="Garamond" w:eastAsia="PMingLiU" w:hAnsi="Garamond"/>
          <w:sz w:val="24"/>
          <w:szCs w:val="24"/>
          <w:lang w:eastAsia="zh-TW"/>
        </w:rPr>
        <w:t>l’s non-disclosure in evidence that</w:t>
      </w:r>
      <w:r w:rsidR="008E40DE" w:rsidRPr="002C088C">
        <w:rPr>
          <w:rFonts w:ascii="Garamond" w:eastAsia="PMingLiU" w:hAnsi="Garamond"/>
          <w:sz w:val="24"/>
          <w:szCs w:val="24"/>
          <w:lang w:eastAsia="zh-TW"/>
        </w:rPr>
        <w:t xml:space="preserve"> its </w:t>
      </w:r>
      <w:r w:rsidR="00F06115" w:rsidRPr="002C088C">
        <w:rPr>
          <w:rFonts w:ascii="Garamond" w:eastAsia="PMingLiU" w:hAnsi="Garamond"/>
          <w:sz w:val="24"/>
          <w:szCs w:val="24"/>
          <w:lang w:eastAsia="zh-TW"/>
        </w:rPr>
        <w:t xml:space="preserve">transplantation to </w:t>
      </w:r>
      <w:r w:rsidR="004C50A4" w:rsidRPr="002C088C">
        <w:rPr>
          <w:rFonts w:ascii="Garamond" w:eastAsia="PMingLiU" w:hAnsi="Garamond"/>
          <w:sz w:val="24"/>
          <w:szCs w:val="24"/>
          <w:lang w:eastAsia="zh-TW"/>
        </w:rPr>
        <w:t xml:space="preserve">the context </w:t>
      </w:r>
      <w:r w:rsidR="009D3BF9" w:rsidRPr="002C088C">
        <w:rPr>
          <w:rFonts w:ascii="Garamond" w:eastAsia="PMingLiU" w:hAnsi="Garamond"/>
          <w:sz w:val="24"/>
          <w:szCs w:val="24"/>
          <w:lang w:eastAsia="zh-TW"/>
        </w:rPr>
        <w:t xml:space="preserve">of in camera trials to </w:t>
      </w:r>
      <w:r w:rsidR="00A86C3F" w:rsidRPr="002C088C">
        <w:rPr>
          <w:rFonts w:ascii="Garamond" w:eastAsia="PMingLiU" w:hAnsi="Garamond"/>
          <w:sz w:val="24"/>
          <w:szCs w:val="24"/>
          <w:lang w:eastAsia="zh-TW"/>
        </w:rPr>
        <w:t>obscures</w:t>
      </w:r>
      <w:r w:rsidR="00163BB6" w:rsidRPr="002C088C">
        <w:rPr>
          <w:rFonts w:ascii="Garamond" w:eastAsia="PMingLiU" w:hAnsi="Garamond"/>
          <w:sz w:val="24"/>
          <w:szCs w:val="24"/>
          <w:lang w:eastAsia="zh-TW"/>
        </w:rPr>
        <w:t xml:space="preserve"> more than it </w:t>
      </w:r>
      <w:r w:rsidR="00A86C3F" w:rsidRPr="002C088C">
        <w:rPr>
          <w:rFonts w:ascii="Garamond" w:eastAsia="PMingLiU" w:hAnsi="Garamond"/>
          <w:sz w:val="24"/>
          <w:szCs w:val="24"/>
          <w:lang w:eastAsia="zh-TW"/>
        </w:rPr>
        <w:t xml:space="preserve">illuminates, </w:t>
      </w:r>
      <w:r w:rsidR="00C959F6" w:rsidRPr="002C088C">
        <w:rPr>
          <w:rFonts w:ascii="Garamond" w:eastAsia="PMingLiU" w:hAnsi="Garamond"/>
          <w:sz w:val="24"/>
          <w:szCs w:val="24"/>
          <w:lang w:eastAsia="zh-TW"/>
        </w:rPr>
        <w:t xml:space="preserve">potentially </w:t>
      </w:r>
      <w:r w:rsidR="001838A6" w:rsidRPr="002C088C">
        <w:rPr>
          <w:rFonts w:ascii="Garamond" w:eastAsia="PMingLiU" w:hAnsi="Garamond"/>
          <w:sz w:val="24"/>
          <w:szCs w:val="24"/>
          <w:lang w:eastAsia="zh-TW"/>
        </w:rPr>
        <w:t xml:space="preserve">obstructing </w:t>
      </w:r>
      <w:r w:rsidR="00C959F6" w:rsidRPr="002C088C">
        <w:rPr>
          <w:rFonts w:ascii="Garamond" w:eastAsia="PMingLiU" w:hAnsi="Garamond"/>
          <w:sz w:val="24"/>
          <w:szCs w:val="24"/>
          <w:lang w:eastAsia="zh-TW"/>
        </w:rPr>
        <w:t>a sufficiently granular treatment of the issues</w:t>
      </w:r>
      <w:r w:rsidR="00163BB6" w:rsidRPr="002C088C">
        <w:rPr>
          <w:rFonts w:ascii="Garamond" w:eastAsia="PMingLiU" w:hAnsi="Garamond"/>
          <w:sz w:val="24"/>
          <w:szCs w:val="24"/>
          <w:lang w:eastAsia="zh-TW"/>
        </w:rPr>
        <w:t xml:space="preserve">. </w:t>
      </w:r>
      <w:r w:rsidR="001E2DB7">
        <w:rPr>
          <w:rFonts w:ascii="Garamond" w:eastAsia="PMingLiU" w:hAnsi="Garamond"/>
          <w:sz w:val="24"/>
          <w:szCs w:val="24"/>
          <w:lang w:eastAsia="zh-TW"/>
        </w:rPr>
        <w:t xml:space="preserve">But further, as this </w:t>
      </w:r>
      <w:proofErr w:type="gramStart"/>
      <w:r w:rsidR="00C42157" w:rsidRPr="002C088C">
        <w:rPr>
          <w:rFonts w:ascii="Garamond" w:eastAsia="PMingLiU" w:hAnsi="Garamond"/>
          <w:sz w:val="24"/>
          <w:szCs w:val="24"/>
          <w:lang w:eastAsia="zh-TW"/>
        </w:rPr>
        <w:t>section</w:t>
      </w:r>
      <w:r w:rsidR="003C6056" w:rsidRPr="002C088C">
        <w:rPr>
          <w:rFonts w:ascii="Garamond" w:eastAsia="PMingLiU" w:hAnsi="Garamond"/>
          <w:sz w:val="24"/>
          <w:szCs w:val="24"/>
          <w:lang w:eastAsia="zh-TW"/>
        </w:rPr>
        <w:t>s</w:t>
      </w:r>
      <w:proofErr w:type="gramEnd"/>
      <w:r w:rsidR="00C42157" w:rsidRPr="002C088C">
        <w:rPr>
          <w:rFonts w:ascii="Garamond" w:eastAsia="PMingLiU" w:hAnsi="Garamond"/>
          <w:sz w:val="24"/>
          <w:szCs w:val="24"/>
          <w:lang w:eastAsia="zh-TW"/>
        </w:rPr>
        <w:t xml:space="preserve"> considers, the </w:t>
      </w:r>
      <w:r w:rsidR="000E3DB0" w:rsidRPr="002C088C">
        <w:rPr>
          <w:rFonts w:ascii="Garamond" w:eastAsia="PMingLiU" w:hAnsi="Garamond"/>
          <w:sz w:val="24"/>
          <w:szCs w:val="24"/>
          <w:lang w:eastAsia="zh-TW"/>
        </w:rPr>
        <w:t xml:space="preserve">continuity between the two </w:t>
      </w:r>
      <w:r w:rsidR="006B266D" w:rsidRPr="002C088C">
        <w:rPr>
          <w:rFonts w:ascii="Garamond" w:eastAsia="PMingLiU" w:hAnsi="Garamond"/>
          <w:sz w:val="24"/>
          <w:szCs w:val="24"/>
          <w:lang w:eastAsia="zh-TW"/>
        </w:rPr>
        <w:t>procedural mechanism</w:t>
      </w:r>
      <w:r w:rsidR="00FA3C50" w:rsidRPr="002C088C">
        <w:rPr>
          <w:rFonts w:ascii="Garamond" w:eastAsia="PMingLiU" w:hAnsi="Garamond"/>
          <w:sz w:val="24"/>
          <w:szCs w:val="24"/>
          <w:lang w:eastAsia="zh-TW"/>
        </w:rPr>
        <w:t>s</w:t>
      </w:r>
      <w:r w:rsidR="000E3DB0" w:rsidRPr="002C088C">
        <w:rPr>
          <w:rFonts w:ascii="Garamond" w:eastAsia="PMingLiU" w:hAnsi="Garamond"/>
          <w:sz w:val="24"/>
          <w:szCs w:val="24"/>
          <w:lang w:eastAsia="zh-TW"/>
        </w:rPr>
        <w:t xml:space="preserve"> </w:t>
      </w:r>
      <w:r w:rsidR="00666755" w:rsidRPr="002C088C">
        <w:rPr>
          <w:rFonts w:ascii="Garamond" w:eastAsia="PMingLiU" w:hAnsi="Garamond"/>
          <w:sz w:val="24"/>
          <w:szCs w:val="24"/>
          <w:lang w:eastAsia="zh-TW"/>
        </w:rPr>
        <w:t xml:space="preserve">must be balanced against a </w:t>
      </w:r>
      <w:r w:rsidR="00671971" w:rsidRPr="002C088C">
        <w:rPr>
          <w:rFonts w:ascii="Garamond" w:eastAsia="PMingLiU" w:hAnsi="Garamond"/>
          <w:sz w:val="24"/>
          <w:szCs w:val="24"/>
          <w:lang w:eastAsia="zh-TW"/>
        </w:rPr>
        <w:t xml:space="preserve">series of distinctions </w:t>
      </w:r>
      <w:r w:rsidR="002077F9" w:rsidRPr="002C088C">
        <w:rPr>
          <w:rFonts w:ascii="Garamond" w:eastAsia="PMingLiU" w:hAnsi="Garamond"/>
          <w:sz w:val="24"/>
          <w:szCs w:val="24"/>
          <w:lang w:eastAsia="zh-TW"/>
        </w:rPr>
        <w:t xml:space="preserve">between them which </w:t>
      </w:r>
      <w:r w:rsidR="002421CA">
        <w:rPr>
          <w:rFonts w:ascii="Garamond" w:eastAsia="PMingLiU" w:hAnsi="Garamond"/>
          <w:sz w:val="24"/>
          <w:szCs w:val="24"/>
          <w:lang w:eastAsia="zh-TW"/>
        </w:rPr>
        <w:t xml:space="preserve">ultimately </w:t>
      </w:r>
      <w:r w:rsidR="007E2067">
        <w:rPr>
          <w:rFonts w:ascii="Garamond" w:eastAsia="PMingLiU" w:hAnsi="Garamond"/>
          <w:sz w:val="24"/>
          <w:szCs w:val="24"/>
          <w:lang w:eastAsia="zh-TW"/>
        </w:rPr>
        <w:t xml:space="preserve">demonstrate </w:t>
      </w:r>
      <w:r w:rsidR="00A51007" w:rsidRPr="002C088C">
        <w:rPr>
          <w:rFonts w:ascii="Garamond" w:eastAsia="PMingLiU" w:hAnsi="Garamond"/>
          <w:sz w:val="24"/>
          <w:szCs w:val="24"/>
          <w:lang w:eastAsia="zh-TW"/>
        </w:rPr>
        <w:t xml:space="preserve">the </w:t>
      </w:r>
      <w:r w:rsidR="00687309" w:rsidRPr="002C088C">
        <w:rPr>
          <w:rFonts w:ascii="Garamond" w:eastAsia="PMingLiU" w:hAnsi="Garamond"/>
          <w:sz w:val="24"/>
          <w:szCs w:val="24"/>
          <w:lang w:eastAsia="zh-TW"/>
        </w:rPr>
        <w:t xml:space="preserve">necessity of </w:t>
      </w:r>
      <w:r w:rsidR="005F69E8">
        <w:rPr>
          <w:rFonts w:ascii="Garamond" w:eastAsia="PMingLiU" w:hAnsi="Garamond"/>
          <w:sz w:val="24"/>
          <w:szCs w:val="24"/>
          <w:lang w:eastAsia="zh-TW"/>
        </w:rPr>
        <w:t>k</w:t>
      </w:r>
      <w:r w:rsidR="00227DBD">
        <w:rPr>
          <w:rFonts w:ascii="Garamond" w:eastAsia="PMingLiU" w:hAnsi="Garamond"/>
          <w:sz w:val="24"/>
          <w:szCs w:val="24"/>
          <w:lang w:eastAsia="zh-TW"/>
        </w:rPr>
        <w:t>eeping th</w:t>
      </w:r>
      <w:r w:rsidR="000411BA">
        <w:rPr>
          <w:rFonts w:ascii="Garamond" w:eastAsia="PMingLiU" w:hAnsi="Garamond"/>
          <w:sz w:val="24"/>
          <w:szCs w:val="24"/>
          <w:lang w:eastAsia="zh-TW"/>
        </w:rPr>
        <w:t>em</w:t>
      </w:r>
      <w:r w:rsidR="008C50FF">
        <w:rPr>
          <w:rFonts w:ascii="Garamond" w:eastAsia="PMingLiU" w:hAnsi="Garamond"/>
          <w:sz w:val="24"/>
          <w:szCs w:val="24"/>
          <w:lang w:eastAsia="zh-TW"/>
        </w:rPr>
        <w:t xml:space="preserve"> analytically</w:t>
      </w:r>
      <w:r w:rsidR="000411BA">
        <w:rPr>
          <w:rFonts w:ascii="Garamond" w:eastAsia="PMingLiU" w:hAnsi="Garamond"/>
          <w:sz w:val="24"/>
          <w:szCs w:val="24"/>
          <w:lang w:eastAsia="zh-TW"/>
        </w:rPr>
        <w:t xml:space="preserve"> </w:t>
      </w:r>
      <w:r w:rsidR="005F69E8">
        <w:rPr>
          <w:rFonts w:ascii="Garamond" w:eastAsia="PMingLiU" w:hAnsi="Garamond"/>
          <w:sz w:val="24"/>
          <w:szCs w:val="24"/>
          <w:lang w:eastAsia="zh-TW"/>
        </w:rPr>
        <w:t>separate</w:t>
      </w:r>
      <w:r w:rsidR="00FA0F23">
        <w:rPr>
          <w:rFonts w:ascii="Garamond" w:eastAsia="PMingLiU" w:hAnsi="Garamond"/>
          <w:sz w:val="24"/>
          <w:szCs w:val="24"/>
          <w:lang w:eastAsia="zh-TW"/>
        </w:rPr>
        <w:t>.</w:t>
      </w:r>
      <w:r w:rsidR="00687309" w:rsidRPr="002C088C">
        <w:rPr>
          <w:rFonts w:ascii="Garamond" w:eastAsia="PMingLiU" w:hAnsi="Garamond"/>
          <w:sz w:val="24"/>
          <w:szCs w:val="24"/>
          <w:lang w:eastAsia="zh-TW"/>
        </w:rPr>
        <w:t xml:space="preserve"> These </w:t>
      </w:r>
      <w:r w:rsidR="00B97DA7">
        <w:rPr>
          <w:rFonts w:ascii="Garamond" w:eastAsia="PMingLiU" w:hAnsi="Garamond"/>
          <w:sz w:val="24"/>
          <w:szCs w:val="24"/>
          <w:lang w:eastAsia="zh-TW"/>
        </w:rPr>
        <w:t>d</w:t>
      </w:r>
      <w:r w:rsidR="001A4586">
        <w:rPr>
          <w:rFonts w:ascii="Garamond" w:eastAsia="PMingLiU" w:hAnsi="Garamond"/>
          <w:sz w:val="24"/>
          <w:szCs w:val="24"/>
          <w:lang w:eastAsia="zh-TW"/>
        </w:rPr>
        <w:t>istinctions</w:t>
      </w:r>
      <w:r w:rsidR="00687309" w:rsidRPr="002C088C">
        <w:rPr>
          <w:rFonts w:ascii="Garamond" w:eastAsia="PMingLiU" w:hAnsi="Garamond"/>
          <w:sz w:val="24"/>
          <w:szCs w:val="24"/>
          <w:lang w:eastAsia="zh-TW"/>
        </w:rPr>
        <w:t xml:space="preserve"> </w:t>
      </w:r>
      <w:r w:rsidR="00F01915" w:rsidRPr="002C088C">
        <w:rPr>
          <w:rFonts w:ascii="Garamond" w:eastAsia="PMingLiU" w:hAnsi="Garamond"/>
          <w:sz w:val="24"/>
          <w:szCs w:val="24"/>
          <w:lang w:eastAsia="zh-TW"/>
        </w:rPr>
        <w:t xml:space="preserve">relate both </w:t>
      </w:r>
      <w:r w:rsidR="00EE2CC5" w:rsidRPr="002C088C">
        <w:rPr>
          <w:rFonts w:ascii="Garamond" w:eastAsia="PMingLiU" w:hAnsi="Garamond"/>
          <w:sz w:val="24"/>
          <w:szCs w:val="24"/>
          <w:lang w:eastAsia="zh-TW"/>
        </w:rPr>
        <w:t xml:space="preserve">to the </w:t>
      </w:r>
      <w:r w:rsidR="007A0C3C">
        <w:rPr>
          <w:rFonts w:ascii="Garamond" w:eastAsia="PMingLiU" w:hAnsi="Garamond"/>
          <w:sz w:val="24"/>
          <w:szCs w:val="24"/>
          <w:lang w:eastAsia="zh-TW"/>
        </w:rPr>
        <w:t xml:space="preserve">form </w:t>
      </w:r>
      <w:r w:rsidR="00EE2CC5" w:rsidRPr="002C088C">
        <w:rPr>
          <w:rFonts w:ascii="Garamond" w:eastAsia="PMingLiU" w:hAnsi="Garamond"/>
          <w:sz w:val="24"/>
          <w:szCs w:val="24"/>
          <w:lang w:eastAsia="zh-TW"/>
        </w:rPr>
        <w:t>of non-</w:t>
      </w:r>
      <w:r w:rsidR="00841E18" w:rsidRPr="002C088C">
        <w:rPr>
          <w:rFonts w:ascii="Garamond" w:eastAsia="PMingLiU" w:hAnsi="Garamond"/>
          <w:sz w:val="24"/>
          <w:szCs w:val="24"/>
          <w:lang w:eastAsia="zh-TW"/>
        </w:rPr>
        <w:t>disclosure</w:t>
      </w:r>
      <w:r w:rsidR="00C86BCB" w:rsidRPr="002C088C">
        <w:rPr>
          <w:rFonts w:ascii="Garamond" w:eastAsia="PMingLiU" w:hAnsi="Garamond"/>
          <w:sz w:val="24"/>
          <w:szCs w:val="24"/>
          <w:lang w:eastAsia="zh-TW"/>
        </w:rPr>
        <w:t xml:space="preserve"> to which each of the mechanisms gives effect</w:t>
      </w:r>
      <w:r w:rsidR="00EE2CC5" w:rsidRPr="002C088C">
        <w:rPr>
          <w:rFonts w:ascii="Garamond" w:eastAsia="PMingLiU" w:hAnsi="Garamond"/>
          <w:sz w:val="24"/>
          <w:szCs w:val="24"/>
          <w:lang w:eastAsia="zh-TW"/>
        </w:rPr>
        <w:t xml:space="preserve"> </w:t>
      </w:r>
      <w:r w:rsidR="005956D3" w:rsidRPr="002C088C">
        <w:rPr>
          <w:rFonts w:ascii="Garamond" w:eastAsia="PMingLiU" w:hAnsi="Garamond"/>
          <w:sz w:val="24"/>
          <w:szCs w:val="24"/>
          <w:lang w:eastAsia="zh-TW"/>
        </w:rPr>
        <w:t xml:space="preserve">and </w:t>
      </w:r>
      <w:r w:rsidR="00DD4CB4">
        <w:rPr>
          <w:rFonts w:ascii="Garamond" w:eastAsia="PMingLiU" w:hAnsi="Garamond"/>
          <w:sz w:val="24"/>
          <w:szCs w:val="24"/>
          <w:lang w:eastAsia="zh-TW"/>
        </w:rPr>
        <w:t xml:space="preserve">to </w:t>
      </w:r>
      <w:r w:rsidR="00693544">
        <w:rPr>
          <w:rFonts w:ascii="Garamond" w:eastAsia="PMingLiU" w:hAnsi="Garamond"/>
          <w:sz w:val="24"/>
          <w:szCs w:val="24"/>
          <w:lang w:eastAsia="zh-TW"/>
        </w:rPr>
        <w:t xml:space="preserve">their </w:t>
      </w:r>
      <w:r w:rsidR="00F239DC">
        <w:rPr>
          <w:rFonts w:ascii="Garamond" w:eastAsia="PMingLiU" w:hAnsi="Garamond"/>
          <w:sz w:val="24"/>
          <w:szCs w:val="24"/>
          <w:lang w:eastAsia="zh-TW"/>
        </w:rPr>
        <w:t>d</w:t>
      </w:r>
      <w:r w:rsidR="00E67BFB" w:rsidRPr="002C088C">
        <w:rPr>
          <w:rFonts w:ascii="Garamond" w:eastAsia="PMingLiU" w:hAnsi="Garamond"/>
          <w:sz w:val="24"/>
          <w:szCs w:val="24"/>
          <w:lang w:eastAsia="zh-TW"/>
        </w:rPr>
        <w:t xml:space="preserve">iffering </w:t>
      </w:r>
      <w:r w:rsidR="00504380" w:rsidRPr="002C088C">
        <w:rPr>
          <w:rFonts w:ascii="Garamond" w:eastAsia="PMingLiU" w:hAnsi="Garamond"/>
          <w:sz w:val="24"/>
          <w:szCs w:val="24"/>
          <w:lang w:eastAsia="zh-TW"/>
        </w:rPr>
        <w:t>relationship with constitutional principle</w:t>
      </w:r>
      <w:r w:rsidR="00662088">
        <w:rPr>
          <w:rFonts w:ascii="Garamond" w:eastAsia="PMingLiU" w:hAnsi="Garamond"/>
          <w:sz w:val="24"/>
          <w:szCs w:val="24"/>
          <w:lang w:eastAsia="zh-TW"/>
        </w:rPr>
        <w:t>.</w:t>
      </w:r>
    </w:p>
    <w:p w:rsidR="005F1524" w:rsidRPr="002C088C" w:rsidRDefault="005F1524" w:rsidP="000C2DB7">
      <w:pPr>
        <w:pStyle w:val="ListParagraph"/>
        <w:spacing w:after="0" w:line="480" w:lineRule="auto"/>
        <w:jc w:val="both"/>
        <w:rPr>
          <w:rFonts w:ascii="Garamond" w:hAnsi="Garamond"/>
          <w:b/>
          <w:bCs/>
          <w:sz w:val="24"/>
          <w:szCs w:val="24"/>
        </w:rPr>
      </w:pPr>
    </w:p>
    <w:p w:rsidR="00FC15E8" w:rsidRPr="002C088C" w:rsidRDefault="00AA431A" w:rsidP="000C2DB7">
      <w:pPr>
        <w:spacing w:after="0" w:line="480" w:lineRule="auto"/>
        <w:jc w:val="both"/>
        <w:rPr>
          <w:rFonts w:ascii="Garamond" w:eastAsia="PMingLiU" w:hAnsi="Garamond"/>
          <w:sz w:val="24"/>
          <w:szCs w:val="24"/>
          <w:lang w:eastAsia="zh-TW"/>
        </w:rPr>
      </w:pPr>
      <w:r>
        <w:rPr>
          <w:rFonts w:ascii="Garamond" w:eastAsia="PMingLiU" w:hAnsi="Garamond"/>
          <w:sz w:val="24"/>
          <w:szCs w:val="24"/>
          <w:lang w:eastAsia="zh-TW"/>
        </w:rPr>
        <w:t>On this first point – the different forms of non-disclosure at issue – it is clear that to treat the</w:t>
      </w:r>
      <w:r w:rsidR="007B013F" w:rsidRPr="002C088C">
        <w:rPr>
          <w:rFonts w:ascii="Garamond" w:eastAsia="PMingLiU" w:hAnsi="Garamond"/>
          <w:sz w:val="24"/>
          <w:szCs w:val="24"/>
          <w:lang w:eastAsia="zh-TW"/>
        </w:rPr>
        <w:t xml:space="preserve"> different procedural me</w:t>
      </w:r>
      <w:r w:rsidR="00B76694" w:rsidRPr="002C088C">
        <w:rPr>
          <w:rFonts w:ascii="Garamond" w:eastAsia="PMingLiU" w:hAnsi="Garamond"/>
          <w:sz w:val="24"/>
          <w:szCs w:val="24"/>
          <w:lang w:eastAsia="zh-TW"/>
        </w:rPr>
        <w:t xml:space="preserve">chanisms </w:t>
      </w:r>
      <w:r w:rsidR="00495716" w:rsidRPr="002C088C">
        <w:rPr>
          <w:rFonts w:ascii="Garamond" w:eastAsia="PMingLiU" w:hAnsi="Garamond"/>
          <w:sz w:val="24"/>
          <w:szCs w:val="24"/>
          <w:lang w:eastAsia="zh-TW"/>
        </w:rPr>
        <w:t xml:space="preserve">as </w:t>
      </w:r>
      <w:r w:rsidR="00680031" w:rsidRPr="002C088C">
        <w:rPr>
          <w:rFonts w:ascii="Garamond" w:eastAsia="PMingLiU" w:hAnsi="Garamond"/>
          <w:sz w:val="24"/>
          <w:szCs w:val="24"/>
          <w:lang w:eastAsia="zh-TW"/>
        </w:rPr>
        <w:t>parallel phenomena</w:t>
      </w:r>
      <w:r w:rsidR="00495716" w:rsidRPr="002C088C">
        <w:rPr>
          <w:rFonts w:ascii="Garamond" w:eastAsia="PMingLiU" w:hAnsi="Garamond"/>
          <w:sz w:val="24"/>
          <w:szCs w:val="24"/>
          <w:lang w:eastAsia="zh-TW"/>
        </w:rPr>
        <w:t xml:space="preserve"> </w:t>
      </w:r>
      <w:r w:rsidR="00115AAC">
        <w:rPr>
          <w:rFonts w:ascii="Garamond" w:eastAsia="PMingLiU" w:hAnsi="Garamond"/>
          <w:sz w:val="24"/>
          <w:szCs w:val="24"/>
          <w:lang w:eastAsia="zh-TW"/>
        </w:rPr>
        <w:t>brings into focus</w:t>
      </w:r>
      <w:r w:rsidR="009F0C3E">
        <w:rPr>
          <w:rFonts w:ascii="Garamond" w:eastAsia="PMingLiU" w:hAnsi="Garamond"/>
          <w:sz w:val="24"/>
          <w:szCs w:val="24"/>
          <w:lang w:eastAsia="zh-TW"/>
        </w:rPr>
        <w:t xml:space="preserve"> the manner</w:t>
      </w:r>
      <w:r w:rsidR="00495716" w:rsidRPr="002C088C">
        <w:rPr>
          <w:rFonts w:ascii="Garamond" w:eastAsia="PMingLiU" w:hAnsi="Garamond"/>
          <w:sz w:val="24"/>
          <w:szCs w:val="24"/>
          <w:lang w:eastAsia="zh-TW"/>
        </w:rPr>
        <w:t xml:space="preserve"> in which the law </w:t>
      </w:r>
      <w:r w:rsidR="0081503B">
        <w:rPr>
          <w:rFonts w:ascii="Garamond" w:eastAsia="PMingLiU" w:hAnsi="Garamond"/>
          <w:sz w:val="24"/>
          <w:szCs w:val="24"/>
          <w:lang w:eastAsia="zh-TW"/>
        </w:rPr>
        <w:t>responds</w:t>
      </w:r>
      <w:r w:rsidR="00495716" w:rsidRPr="002C088C">
        <w:rPr>
          <w:rFonts w:ascii="Garamond" w:eastAsia="PMingLiU" w:hAnsi="Garamond"/>
          <w:sz w:val="24"/>
          <w:szCs w:val="24"/>
          <w:lang w:eastAsia="zh-TW"/>
        </w:rPr>
        <w:t xml:space="preserve"> to the fact th</w:t>
      </w:r>
      <w:r w:rsidR="00B76694" w:rsidRPr="002C088C">
        <w:rPr>
          <w:rFonts w:ascii="Garamond" w:eastAsia="PMingLiU" w:hAnsi="Garamond"/>
          <w:sz w:val="24"/>
          <w:szCs w:val="24"/>
          <w:lang w:eastAsia="zh-TW"/>
        </w:rPr>
        <w:t xml:space="preserve">at what exactly the public interest will require </w:t>
      </w:r>
      <w:r w:rsidR="00495716" w:rsidRPr="002C088C">
        <w:rPr>
          <w:rFonts w:ascii="Garamond" w:eastAsia="PMingLiU" w:hAnsi="Garamond"/>
          <w:sz w:val="24"/>
          <w:szCs w:val="24"/>
          <w:lang w:eastAsia="zh-TW"/>
        </w:rPr>
        <w:t>(</w:t>
      </w:r>
      <w:r w:rsidR="00B76694" w:rsidRPr="002C088C">
        <w:rPr>
          <w:rFonts w:ascii="Garamond" w:eastAsia="PMingLiU" w:hAnsi="Garamond"/>
          <w:sz w:val="24"/>
          <w:szCs w:val="24"/>
          <w:lang w:eastAsia="zh-TW"/>
        </w:rPr>
        <w:t>in terms of information being withheld from public view</w:t>
      </w:r>
      <w:r w:rsidR="00495716" w:rsidRPr="002C088C">
        <w:rPr>
          <w:rFonts w:ascii="Garamond" w:eastAsia="PMingLiU" w:hAnsi="Garamond"/>
          <w:sz w:val="24"/>
          <w:szCs w:val="24"/>
          <w:lang w:eastAsia="zh-TW"/>
        </w:rPr>
        <w:t>)</w:t>
      </w:r>
      <w:r w:rsidR="00B76694" w:rsidRPr="002C088C">
        <w:rPr>
          <w:rFonts w:ascii="Garamond" w:eastAsia="PMingLiU" w:hAnsi="Garamond"/>
          <w:sz w:val="24"/>
          <w:szCs w:val="24"/>
          <w:lang w:eastAsia="zh-TW"/>
        </w:rPr>
        <w:t xml:space="preserve"> </w:t>
      </w:r>
      <w:r w:rsidR="00D7625A">
        <w:rPr>
          <w:rFonts w:ascii="Garamond" w:eastAsia="PMingLiU" w:hAnsi="Garamond"/>
          <w:sz w:val="24"/>
          <w:szCs w:val="24"/>
          <w:lang w:eastAsia="zh-TW"/>
        </w:rPr>
        <w:t>might vary</w:t>
      </w:r>
      <w:r w:rsidR="003A7FCC" w:rsidRPr="002C088C">
        <w:rPr>
          <w:rFonts w:ascii="Garamond" w:eastAsia="PMingLiU" w:hAnsi="Garamond"/>
          <w:sz w:val="24"/>
          <w:szCs w:val="24"/>
          <w:lang w:eastAsia="zh-TW"/>
        </w:rPr>
        <w:t xml:space="preserve"> according to the nature of the material </w:t>
      </w:r>
      <w:r w:rsidR="001B50D7" w:rsidRPr="002C088C">
        <w:rPr>
          <w:rFonts w:ascii="Garamond" w:eastAsia="PMingLiU" w:hAnsi="Garamond"/>
          <w:sz w:val="24"/>
          <w:szCs w:val="24"/>
          <w:lang w:eastAsia="zh-TW"/>
        </w:rPr>
        <w:t xml:space="preserve">or information in question and </w:t>
      </w:r>
      <w:r w:rsidR="006F0B4C" w:rsidRPr="002C088C">
        <w:rPr>
          <w:rFonts w:ascii="Garamond" w:eastAsia="PMingLiU" w:hAnsi="Garamond"/>
          <w:sz w:val="24"/>
          <w:szCs w:val="24"/>
          <w:lang w:eastAsia="zh-TW"/>
        </w:rPr>
        <w:t>t</w:t>
      </w:r>
      <w:r w:rsidR="00AC5501" w:rsidRPr="002C088C">
        <w:rPr>
          <w:rFonts w:ascii="Garamond" w:eastAsia="PMingLiU" w:hAnsi="Garamond"/>
          <w:sz w:val="24"/>
          <w:szCs w:val="24"/>
          <w:lang w:eastAsia="zh-TW"/>
        </w:rPr>
        <w:t xml:space="preserve">he specific basis of </w:t>
      </w:r>
      <w:r w:rsidR="009774E9">
        <w:rPr>
          <w:rFonts w:ascii="Garamond" w:eastAsia="PMingLiU" w:hAnsi="Garamond"/>
          <w:sz w:val="24"/>
          <w:szCs w:val="24"/>
          <w:lang w:eastAsia="zh-TW"/>
        </w:rPr>
        <w:t xml:space="preserve">its sensitivity. </w:t>
      </w:r>
      <w:r w:rsidR="00C25921">
        <w:rPr>
          <w:rFonts w:ascii="Garamond" w:eastAsia="PMingLiU" w:hAnsi="Garamond"/>
          <w:sz w:val="24"/>
          <w:szCs w:val="24"/>
          <w:lang w:eastAsia="zh-TW"/>
        </w:rPr>
        <w:t xml:space="preserve">It does so </w:t>
      </w:r>
      <w:r w:rsidR="00094ADD">
        <w:rPr>
          <w:rFonts w:ascii="Garamond" w:eastAsia="PMingLiU" w:hAnsi="Garamond"/>
          <w:sz w:val="24"/>
          <w:szCs w:val="24"/>
          <w:lang w:eastAsia="zh-TW"/>
        </w:rPr>
        <w:t xml:space="preserve">by implementing </w:t>
      </w:r>
      <w:r w:rsidR="00D46255" w:rsidRPr="002C088C">
        <w:rPr>
          <w:rFonts w:ascii="Garamond" w:eastAsia="PMingLiU" w:hAnsi="Garamond"/>
          <w:sz w:val="24"/>
          <w:szCs w:val="24"/>
          <w:lang w:eastAsia="zh-TW"/>
        </w:rPr>
        <w:t>a form of ‘price discrimination’ as regards the lev</w:t>
      </w:r>
      <w:r w:rsidR="00FF136D">
        <w:rPr>
          <w:rFonts w:ascii="Garamond" w:eastAsia="PMingLiU" w:hAnsi="Garamond"/>
          <w:sz w:val="24"/>
          <w:szCs w:val="24"/>
          <w:lang w:eastAsia="zh-TW"/>
        </w:rPr>
        <w:t>el of secrecy which applies to given</w:t>
      </w:r>
      <w:r w:rsidR="005958EB">
        <w:rPr>
          <w:rFonts w:ascii="Garamond" w:eastAsia="PMingLiU" w:hAnsi="Garamond"/>
          <w:sz w:val="24"/>
          <w:szCs w:val="24"/>
          <w:lang w:eastAsia="zh-TW"/>
        </w:rPr>
        <w:t xml:space="preserve"> material</w:t>
      </w:r>
      <w:r w:rsidR="00D46255" w:rsidRPr="002C088C">
        <w:rPr>
          <w:rFonts w:ascii="Garamond" w:eastAsia="PMingLiU" w:hAnsi="Garamond"/>
          <w:sz w:val="24"/>
          <w:szCs w:val="24"/>
          <w:lang w:eastAsia="zh-TW"/>
        </w:rPr>
        <w:t>.</w:t>
      </w:r>
      <w:r w:rsidR="003A7FCC" w:rsidRPr="002C088C">
        <w:rPr>
          <w:rFonts w:ascii="Garamond" w:eastAsia="PMingLiU" w:hAnsi="Garamond"/>
          <w:sz w:val="24"/>
          <w:szCs w:val="24"/>
          <w:lang w:eastAsia="zh-TW"/>
        </w:rPr>
        <w:t xml:space="preserve"> </w:t>
      </w:r>
      <w:r w:rsidR="009E6A66" w:rsidRPr="002C088C">
        <w:rPr>
          <w:rFonts w:ascii="Garamond" w:eastAsia="PMingLiU" w:hAnsi="Garamond"/>
          <w:sz w:val="24"/>
          <w:szCs w:val="24"/>
          <w:lang w:eastAsia="zh-TW"/>
        </w:rPr>
        <w:t>Th</w:t>
      </w:r>
      <w:r w:rsidR="00313140" w:rsidRPr="002C088C">
        <w:rPr>
          <w:rFonts w:ascii="Garamond" w:eastAsia="PMingLiU" w:hAnsi="Garamond"/>
          <w:sz w:val="24"/>
          <w:szCs w:val="24"/>
          <w:lang w:eastAsia="zh-TW"/>
        </w:rPr>
        <w:t xml:space="preserve">e point can be made as follows: once it is seen that </w:t>
      </w:r>
      <w:r w:rsidR="001854FA" w:rsidRPr="002C088C">
        <w:rPr>
          <w:rFonts w:ascii="Garamond" w:eastAsia="PMingLiU" w:hAnsi="Garamond"/>
          <w:sz w:val="24"/>
          <w:szCs w:val="24"/>
          <w:lang w:eastAsia="zh-TW"/>
        </w:rPr>
        <w:t xml:space="preserve">both PII and in camera orders </w:t>
      </w:r>
      <w:r w:rsidR="005E5719" w:rsidRPr="002C088C">
        <w:rPr>
          <w:rFonts w:ascii="Garamond" w:eastAsia="PMingLiU" w:hAnsi="Garamond"/>
          <w:sz w:val="24"/>
          <w:szCs w:val="24"/>
          <w:lang w:eastAsia="zh-TW"/>
        </w:rPr>
        <w:t xml:space="preserve">are available, </w:t>
      </w:r>
      <w:r w:rsidR="007B5B82" w:rsidRPr="002C088C">
        <w:rPr>
          <w:rFonts w:ascii="Garamond" w:eastAsia="PMingLiU" w:hAnsi="Garamond"/>
          <w:sz w:val="24"/>
          <w:szCs w:val="24"/>
          <w:lang w:eastAsia="zh-TW"/>
        </w:rPr>
        <w:t>it may not</w:t>
      </w:r>
      <w:r w:rsidR="00DD1AAB" w:rsidRPr="002C088C">
        <w:rPr>
          <w:rFonts w:ascii="Garamond" w:eastAsia="PMingLiU" w:hAnsi="Garamond"/>
          <w:sz w:val="24"/>
          <w:szCs w:val="24"/>
          <w:lang w:eastAsia="zh-TW"/>
        </w:rPr>
        <w:t xml:space="preserve"> be</w:t>
      </w:r>
      <w:r w:rsidR="009E6A66" w:rsidRPr="002C088C">
        <w:rPr>
          <w:rFonts w:ascii="Garamond" w:eastAsia="PMingLiU" w:hAnsi="Garamond"/>
          <w:sz w:val="24"/>
          <w:szCs w:val="24"/>
          <w:lang w:eastAsia="zh-TW"/>
        </w:rPr>
        <w:t xml:space="preserve"> immediately clear why prosecuting author</w:t>
      </w:r>
      <w:r w:rsidR="006056A8" w:rsidRPr="002C088C">
        <w:rPr>
          <w:rFonts w:ascii="Garamond" w:eastAsia="PMingLiU" w:hAnsi="Garamond"/>
          <w:sz w:val="24"/>
          <w:szCs w:val="24"/>
          <w:lang w:eastAsia="zh-TW"/>
        </w:rPr>
        <w:t xml:space="preserve">ities would ever wish to claim </w:t>
      </w:r>
      <w:r w:rsidR="00986F61" w:rsidRPr="002C088C">
        <w:rPr>
          <w:rFonts w:ascii="Garamond" w:eastAsia="PMingLiU" w:hAnsi="Garamond"/>
          <w:sz w:val="24"/>
          <w:szCs w:val="24"/>
          <w:lang w:eastAsia="zh-TW"/>
        </w:rPr>
        <w:t>the former</w:t>
      </w:r>
      <w:r w:rsidR="009E6A66" w:rsidRPr="002C088C">
        <w:rPr>
          <w:rFonts w:ascii="Garamond" w:eastAsia="PMingLiU" w:hAnsi="Garamond"/>
          <w:sz w:val="24"/>
          <w:szCs w:val="24"/>
          <w:lang w:eastAsia="zh-TW"/>
        </w:rPr>
        <w:t>: the in camera hearing and associated reporting restrictions evidenced by the cases described above would seem to do all of the work done</w:t>
      </w:r>
      <w:r w:rsidR="00AD5CDE" w:rsidRPr="002C088C">
        <w:rPr>
          <w:rFonts w:ascii="Garamond" w:eastAsia="PMingLiU" w:hAnsi="Garamond"/>
          <w:sz w:val="24"/>
          <w:szCs w:val="24"/>
          <w:lang w:eastAsia="zh-TW"/>
        </w:rPr>
        <w:t xml:space="preserve"> by </w:t>
      </w:r>
      <w:r w:rsidR="009E6A66" w:rsidRPr="002C088C">
        <w:rPr>
          <w:rFonts w:ascii="Garamond" w:eastAsia="PMingLiU" w:hAnsi="Garamond"/>
          <w:sz w:val="24"/>
          <w:szCs w:val="24"/>
          <w:lang w:eastAsia="zh-TW"/>
        </w:rPr>
        <w:t xml:space="preserve">PII in preventing the material from becoming known to the public but, crucially, </w:t>
      </w:r>
      <w:r w:rsidR="00976FA0" w:rsidRPr="002C088C">
        <w:rPr>
          <w:rFonts w:ascii="Garamond" w:eastAsia="PMingLiU" w:hAnsi="Garamond"/>
          <w:sz w:val="24"/>
          <w:szCs w:val="24"/>
          <w:lang w:eastAsia="zh-TW"/>
        </w:rPr>
        <w:t xml:space="preserve">without </w:t>
      </w:r>
      <w:r w:rsidR="009E6A66" w:rsidRPr="002C088C">
        <w:rPr>
          <w:rFonts w:ascii="Garamond" w:eastAsia="PMingLiU" w:hAnsi="Garamond"/>
          <w:sz w:val="24"/>
          <w:szCs w:val="24"/>
          <w:lang w:eastAsia="zh-TW"/>
        </w:rPr>
        <w:t>preventing it from being put before and relied upon by the court. That is,</w:t>
      </w:r>
      <w:r w:rsidR="006A2D32" w:rsidRPr="002C088C">
        <w:rPr>
          <w:rFonts w:ascii="Garamond" w:eastAsia="PMingLiU" w:hAnsi="Garamond"/>
          <w:sz w:val="24"/>
          <w:szCs w:val="24"/>
          <w:lang w:eastAsia="zh-TW"/>
        </w:rPr>
        <w:t xml:space="preserve"> as compared to PII, </w:t>
      </w:r>
      <w:r w:rsidR="009E6A66" w:rsidRPr="002C088C">
        <w:rPr>
          <w:rFonts w:ascii="Garamond" w:eastAsia="PMingLiU" w:hAnsi="Garamond"/>
          <w:sz w:val="24"/>
          <w:szCs w:val="24"/>
          <w:lang w:eastAsia="zh-TW"/>
        </w:rPr>
        <w:t>in camera orders allow the prosecut</w:t>
      </w:r>
      <w:r w:rsidR="00364407" w:rsidRPr="002C088C">
        <w:rPr>
          <w:rFonts w:ascii="Garamond" w:eastAsia="PMingLiU" w:hAnsi="Garamond"/>
          <w:sz w:val="24"/>
          <w:szCs w:val="24"/>
          <w:lang w:eastAsia="zh-TW"/>
        </w:rPr>
        <w:t xml:space="preserve">ion to </w:t>
      </w:r>
      <w:r w:rsidR="004E6FAB" w:rsidRPr="002C088C">
        <w:rPr>
          <w:rFonts w:ascii="Garamond" w:eastAsia="PMingLiU" w:hAnsi="Garamond"/>
          <w:sz w:val="24"/>
          <w:szCs w:val="24"/>
          <w:lang w:eastAsia="zh-TW"/>
        </w:rPr>
        <w:t>e</w:t>
      </w:r>
      <w:r w:rsidR="00044C24" w:rsidRPr="002C088C">
        <w:rPr>
          <w:rFonts w:ascii="Garamond" w:eastAsia="PMingLiU" w:hAnsi="Garamond"/>
          <w:sz w:val="24"/>
          <w:szCs w:val="24"/>
          <w:lang w:eastAsia="zh-TW"/>
        </w:rPr>
        <w:t xml:space="preserve">at its cake </w:t>
      </w:r>
      <w:r w:rsidR="00044C24" w:rsidRPr="002C088C">
        <w:rPr>
          <w:rFonts w:ascii="Garamond" w:eastAsia="PMingLiU" w:hAnsi="Garamond"/>
          <w:sz w:val="24"/>
          <w:szCs w:val="24"/>
          <w:lang w:eastAsia="zh-TW"/>
        </w:rPr>
        <w:lastRenderedPageBreak/>
        <w:t>and</w:t>
      </w:r>
      <w:r w:rsidR="00407009">
        <w:rPr>
          <w:rFonts w:ascii="Garamond" w:eastAsia="PMingLiU" w:hAnsi="Garamond"/>
          <w:sz w:val="24"/>
          <w:szCs w:val="24"/>
          <w:lang w:eastAsia="zh-TW"/>
        </w:rPr>
        <w:t xml:space="preserve"> yet still</w:t>
      </w:r>
      <w:r w:rsidR="00044C24" w:rsidRPr="002C088C">
        <w:rPr>
          <w:rFonts w:ascii="Garamond" w:eastAsia="PMingLiU" w:hAnsi="Garamond"/>
          <w:sz w:val="24"/>
          <w:szCs w:val="24"/>
          <w:lang w:eastAsia="zh-TW"/>
        </w:rPr>
        <w:t xml:space="preserve"> have it, never having to choose between bringing the prosecution and disclosing the material whose disclosure is incompatible with the public interest. </w:t>
      </w:r>
    </w:p>
    <w:p w:rsidR="00FC15E8" w:rsidRPr="002C088C" w:rsidRDefault="00FC15E8" w:rsidP="000C2DB7">
      <w:pPr>
        <w:spacing w:after="0" w:line="480" w:lineRule="auto"/>
        <w:jc w:val="both"/>
        <w:rPr>
          <w:rFonts w:ascii="Garamond" w:eastAsia="PMingLiU" w:hAnsi="Garamond"/>
          <w:sz w:val="24"/>
          <w:szCs w:val="24"/>
          <w:lang w:eastAsia="zh-TW"/>
        </w:rPr>
      </w:pPr>
    </w:p>
    <w:p w:rsidR="006A28C3" w:rsidRPr="002C088C" w:rsidRDefault="0043388E" w:rsidP="000C2DB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 xml:space="preserve">But this differentiation </w:t>
      </w:r>
      <w:r w:rsidR="00FF7323" w:rsidRPr="002C088C">
        <w:rPr>
          <w:rFonts w:ascii="Garamond" w:eastAsia="PMingLiU" w:hAnsi="Garamond"/>
          <w:sz w:val="24"/>
          <w:szCs w:val="24"/>
          <w:lang w:eastAsia="zh-TW"/>
        </w:rPr>
        <w:t xml:space="preserve">in the level and form of (non-)disclosure associated with each mechanism </w:t>
      </w:r>
      <w:r w:rsidRPr="002C088C">
        <w:rPr>
          <w:rFonts w:ascii="Garamond" w:eastAsia="PMingLiU" w:hAnsi="Garamond"/>
          <w:sz w:val="24"/>
          <w:szCs w:val="24"/>
          <w:lang w:eastAsia="zh-TW"/>
        </w:rPr>
        <w:t>reflects the fact that there may exist</w:t>
      </w:r>
      <w:r w:rsidR="00085C25" w:rsidRPr="002C088C">
        <w:rPr>
          <w:rFonts w:ascii="Garamond" w:eastAsia="PMingLiU" w:hAnsi="Garamond"/>
          <w:sz w:val="24"/>
          <w:szCs w:val="24"/>
          <w:lang w:eastAsia="zh-TW"/>
        </w:rPr>
        <w:t xml:space="preserve"> (at least</w:t>
      </w:r>
      <w:r w:rsidR="005E3EF8" w:rsidRPr="002C088C">
        <w:rPr>
          <w:rFonts w:ascii="Garamond" w:eastAsia="PMingLiU" w:hAnsi="Garamond"/>
          <w:sz w:val="24"/>
          <w:szCs w:val="24"/>
          <w:lang w:eastAsia="zh-TW"/>
        </w:rPr>
        <w:t>)</w:t>
      </w:r>
      <w:r w:rsidRPr="002C088C">
        <w:rPr>
          <w:rFonts w:ascii="Garamond" w:eastAsia="PMingLiU" w:hAnsi="Garamond"/>
          <w:sz w:val="24"/>
          <w:szCs w:val="24"/>
          <w:lang w:eastAsia="zh-TW"/>
        </w:rPr>
        <w:t xml:space="preserve"> </w:t>
      </w:r>
      <w:r w:rsidR="009E6A66" w:rsidRPr="002C088C">
        <w:rPr>
          <w:rFonts w:ascii="Garamond" w:eastAsia="PMingLiU" w:hAnsi="Garamond"/>
          <w:sz w:val="24"/>
          <w:szCs w:val="24"/>
          <w:lang w:eastAsia="zh-TW"/>
        </w:rPr>
        <w:t>two categories of sensitive material – one of which</w:t>
      </w:r>
      <w:r w:rsidR="00243E50" w:rsidRPr="002C088C">
        <w:rPr>
          <w:rFonts w:ascii="Garamond" w:eastAsia="PMingLiU" w:hAnsi="Garamond"/>
          <w:sz w:val="24"/>
          <w:szCs w:val="24"/>
          <w:lang w:eastAsia="zh-TW"/>
        </w:rPr>
        <w:t>, compatibly with the public interest,</w:t>
      </w:r>
      <w:r w:rsidR="009E6A66" w:rsidRPr="002C088C">
        <w:rPr>
          <w:rFonts w:ascii="Garamond" w:eastAsia="PMingLiU" w:hAnsi="Garamond"/>
          <w:sz w:val="24"/>
          <w:szCs w:val="24"/>
          <w:lang w:eastAsia="zh-TW"/>
        </w:rPr>
        <w:t xml:space="preserve"> can be put before the court and the defendant but not the public (and so </w:t>
      </w:r>
      <w:r w:rsidR="00F5288F" w:rsidRPr="002C088C">
        <w:rPr>
          <w:rFonts w:ascii="Garamond" w:eastAsia="PMingLiU" w:hAnsi="Garamond"/>
          <w:sz w:val="24"/>
          <w:szCs w:val="24"/>
          <w:lang w:eastAsia="zh-TW"/>
        </w:rPr>
        <w:t xml:space="preserve">can, compatibly with the public interest, be </w:t>
      </w:r>
      <w:r w:rsidR="00405198" w:rsidRPr="002C088C">
        <w:rPr>
          <w:rFonts w:ascii="Garamond" w:eastAsia="PMingLiU" w:hAnsi="Garamond"/>
          <w:sz w:val="24"/>
          <w:szCs w:val="24"/>
          <w:lang w:eastAsia="zh-TW"/>
        </w:rPr>
        <w:t xml:space="preserve">aired </w:t>
      </w:r>
      <w:r w:rsidR="009E6A66" w:rsidRPr="002C088C">
        <w:rPr>
          <w:rFonts w:ascii="Garamond" w:eastAsia="PMingLiU" w:hAnsi="Garamond"/>
          <w:iCs/>
          <w:sz w:val="24"/>
          <w:szCs w:val="24"/>
          <w:lang w:eastAsia="zh-TW"/>
        </w:rPr>
        <w:t>in camera</w:t>
      </w:r>
      <w:r w:rsidR="005E6C07" w:rsidRPr="002C088C">
        <w:rPr>
          <w:rFonts w:ascii="Garamond" w:eastAsia="PMingLiU" w:hAnsi="Garamond"/>
          <w:iCs/>
          <w:sz w:val="24"/>
          <w:szCs w:val="24"/>
          <w:lang w:eastAsia="zh-TW"/>
        </w:rPr>
        <w:t xml:space="preserve"> but only in camera</w:t>
      </w:r>
      <w:r w:rsidR="009E6A66" w:rsidRPr="002C088C">
        <w:rPr>
          <w:rFonts w:ascii="Garamond" w:eastAsia="PMingLiU" w:hAnsi="Garamond"/>
          <w:sz w:val="24"/>
          <w:szCs w:val="24"/>
          <w:lang w:eastAsia="zh-TW"/>
        </w:rPr>
        <w:t>) and another which the public interest requires is kept also from the defendant (and whose non-disclosure would not render the trial unfair or impos</w:t>
      </w:r>
      <w:r w:rsidR="00FA08B2" w:rsidRPr="002C088C">
        <w:rPr>
          <w:rFonts w:ascii="Garamond" w:eastAsia="PMingLiU" w:hAnsi="Garamond"/>
          <w:sz w:val="24"/>
          <w:szCs w:val="24"/>
          <w:lang w:eastAsia="zh-TW"/>
        </w:rPr>
        <w:t xml:space="preserve">sible). The availability of PII, that is, </w:t>
      </w:r>
      <w:r w:rsidR="009E6A66" w:rsidRPr="002C088C">
        <w:rPr>
          <w:rFonts w:ascii="Garamond" w:eastAsia="PMingLiU" w:hAnsi="Garamond"/>
          <w:sz w:val="24"/>
          <w:szCs w:val="24"/>
          <w:lang w:eastAsia="zh-TW"/>
        </w:rPr>
        <w:t xml:space="preserve">would serve to deal with material </w:t>
      </w:r>
      <w:r w:rsidR="00204DC2" w:rsidRPr="002C088C">
        <w:rPr>
          <w:rFonts w:ascii="Garamond" w:eastAsia="PMingLiU" w:hAnsi="Garamond"/>
          <w:sz w:val="24"/>
          <w:szCs w:val="24"/>
          <w:lang w:eastAsia="zh-TW"/>
        </w:rPr>
        <w:t>which is of</w:t>
      </w:r>
      <w:r w:rsidR="009E6A66" w:rsidRPr="002C088C">
        <w:rPr>
          <w:rFonts w:ascii="Garamond" w:eastAsia="PMingLiU" w:hAnsi="Garamond"/>
          <w:sz w:val="24"/>
          <w:szCs w:val="24"/>
          <w:lang w:eastAsia="zh-TW"/>
        </w:rPr>
        <w:t xml:space="preserve"> even greater sensitivity than that which justifies the making of an in camera </w:t>
      </w:r>
      <w:r w:rsidR="00C2682E" w:rsidRPr="002C088C">
        <w:rPr>
          <w:rFonts w:ascii="Garamond" w:eastAsia="PMingLiU" w:hAnsi="Garamond"/>
          <w:sz w:val="24"/>
          <w:szCs w:val="24"/>
          <w:lang w:eastAsia="zh-TW"/>
        </w:rPr>
        <w:t>order</w:t>
      </w:r>
      <w:r w:rsidR="00123956" w:rsidRPr="002C088C">
        <w:rPr>
          <w:rFonts w:ascii="Garamond" w:eastAsia="PMingLiU" w:hAnsi="Garamond"/>
          <w:sz w:val="24"/>
          <w:szCs w:val="24"/>
          <w:lang w:eastAsia="zh-TW"/>
        </w:rPr>
        <w:t xml:space="preserve">, or whose sensitivity </w:t>
      </w:r>
      <w:r w:rsidR="00986254" w:rsidRPr="002C088C">
        <w:rPr>
          <w:rFonts w:ascii="Garamond" w:eastAsia="PMingLiU" w:hAnsi="Garamond"/>
          <w:sz w:val="24"/>
          <w:szCs w:val="24"/>
          <w:lang w:eastAsia="zh-TW"/>
        </w:rPr>
        <w:t xml:space="preserve">is of such a nature </w:t>
      </w:r>
      <w:r w:rsidR="00123956" w:rsidRPr="002C088C">
        <w:rPr>
          <w:rFonts w:ascii="Garamond" w:eastAsia="PMingLiU" w:hAnsi="Garamond"/>
          <w:sz w:val="24"/>
          <w:szCs w:val="24"/>
          <w:lang w:eastAsia="zh-TW"/>
        </w:rPr>
        <w:t xml:space="preserve">as </w:t>
      </w:r>
      <w:r w:rsidR="00285F77" w:rsidRPr="002C088C">
        <w:rPr>
          <w:rFonts w:ascii="Garamond" w:eastAsia="PMingLiU" w:hAnsi="Garamond"/>
          <w:sz w:val="24"/>
          <w:szCs w:val="24"/>
          <w:lang w:eastAsia="zh-TW"/>
        </w:rPr>
        <w:t xml:space="preserve">to render </w:t>
      </w:r>
      <w:r w:rsidR="00FF6263" w:rsidRPr="002C088C">
        <w:rPr>
          <w:rFonts w:ascii="Garamond" w:eastAsia="PMingLiU" w:hAnsi="Garamond"/>
          <w:sz w:val="24"/>
          <w:szCs w:val="24"/>
          <w:lang w:eastAsia="zh-TW"/>
        </w:rPr>
        <w:t>it</w:t>
      </w:r>
      <w:r w:rsidR="00986254" w:rsidRPr="002C088C">
        <w:rPr>
          <w:rFonts w:ascii="Garamond" w:eastAsia="PMingLiU" w:hAnsi="Garamond"/>
          <w:sz w:val="24"/>
          <w:szCs w:val="24"/>
          <w:lang w:eastAsia="zh-TW"/>
        </w:rPr>
        <w:t xml:space="preserve"> unsuitable for </w:t>
      </w:r>
      <w:r w:rsidR="000841D6" w:rsidRPr="002C088C">
        <w:rPr>
          <w:rFonts w:ascii="Garamond" w:eastAsia="PMingLiU" w:hAnsi="Garamond"/>
          <w:sz w:val="24"/>
          <w:szCs w:val="24"/>
          <w:lang w:eastAsia="zh-TW"/>
        </w:rPr>
        <w:t>disclosure even to</w:t>
      </w:r>
      <w:r w:rsidR="00055465" w:rsidRPr="002C088C">
        <w:rPr>
          <w:rFonts w:ascii="Garamond" w:eastAsia="PMingLiU" w:hAnsi="Garamond"/>
          <w:sz w:val="24"/>
          <w:szCs w:val="24"/>
          <w:lang w:eastAsia="zh-TW"/>
        </w:rPr>
        <w:t xml:space="preserve"> the </w:t>
      </w:r>
      <w:r w:rsidR="00226D49">
        <w:rPr>
          <w:rFonts w:ascii="Garamond" w:eastAsia="PMingLiU" w:hAnsi="Garamond"/>
          <w:sz w:val="24"/>
          <w:szCs w:val="24"/>
          <w:lang w:eastAsia="zh-TW"/>
        </w:rPr>
        <w:t>defendant</w:t>
      </w:r>
      <w:r w:rsidR="00660006">
        <w:rPr>
          <w:rFonts w:ascii="Garamond" w:eastAsia="PMingLiU" w:hAnsi="Garamond"/>
          <w:sz w:val="24"/>
          <w:szCs w:val="24"/>
          <w:lang w:eastAsia="zh-TW"/>
        </w:rPr>
        <w:t>. A</w:t>
      </w:r>
      <w:r w:rsidR="00055465" w:rsidRPr="002C088C">
        <w:rPr>
          <w:rFonts w:ascii="Garamond" w:eastAsia="PMingLiU" w:hAnsi="Garamond"/>
          <w:sz w:val="24"/>
          <w:szCs w:val="24"/>
          <w:lang w:eastAsia="zh-TW"/>
        </w:rPr>
        <w:t xml:space="preserve">n example may be information about the source of police intelligence, disclosure </w:t>
      </w:r>
      <w:r w:rsidR="000D7CC7" w:rsidRPr="002C088C">
        <w:rPr>
          <w:rFonts w:ascii="Garamond" w:eastAsia="PMingLiU" w:hAnsi="Garamond"/>
          <w:sz w:val="24"/>
          <w:szCs w:val="24"/>
          <w:lang w:eastAsia="zh-TW"/>
        </w:rPr>
        <w:t xml:space="preserve">of which to the defendants in a criminal trial </w:t>
      </w:r>
      <w:r w:rsidR="00704C17" w:rsidRPr="002C088C">
        <w:rPr>
          <w:rFonts w:ascii="Garamond" w:eastAsia="PMingLiU" w:hAnsi="Garamond"/>
          <w:sz w:val="24"/>
          <w:szCs w:val="24"/>
          <w:lang w:eastAsia="zh-TW"/>
        </w:rPr>
        <w:t xml:space="preserve">would </w:t>
      </w:r>
      <w:r w:rsidR="00061678" w:rsidRPr="002C088C">
        <w:rPr>
          <w:rFonts w:ascii="Garamond" w:eastAsia="PMingLiU" w:hAnsi="Garamond"/>
          <w:sz w:val="24"/>
          <w:szCs w:val="24"/>
          <w:lang w:eastAsia="zh-TW"/>
        </w:rPr>
        <w:t xml:space="preserve">potentially put human informants or </w:t>
      </w:r>
      <w:r w:rsidR="00C56050" w:rsidRPr="002C088C">
        <w:rPr>
          <w:rFonts w:ascii="Garamond" w:eastAsia="PMingLiU" w:hAnsi="Garamond"/>
          <w:sz w:val="24"/>
          <w:szCs w:val="24"/>
          <w:lang w:eastAsia="zh-TW"/>
        </w:rPr>
        <w:t xml:space="preserve">future intelligence </w:t>
      </w:r>
      <w:r w:rsidR="000E3699" w:rsidRPr="002C088C">
        <w:rPr>
          <w:rFonts w:ascii="Garamond" w:eastAsia="PMingLiU" w:hAnsi="Garamond"/>
          <w:sz w:val="24"/>
          <w:szCs w:val="24"/>
          <w:lang w:eastAsia="zh-TW"/>
        </w:rPr>
        <w:t xml:space="preserve">at risk, </w:t>
      </w:r>
      <w:r w:rsidR="002C4524" w:rsidRPr="002C088C">
        <w:rPr>
          <w:rFonts w:ascii="Garamond" w:eastAsia="PMingLiU" w:hAnsi="Garamond"/>
          <w:sz w:val="24"/>
          <w:szCs w:val="24"/>
          <w:lang w:eastAsia="zh-TW"/>
        </w:rPr>
        <w:t xml:space="preserve">and which </w:t>
      </w:r>
      <w:r w:rsidR="00DF5C23" w:rsidRPr="002C088C">
        <w:rPr>
          <w:rFonts w:ascii="Garamond" w:eastAsia="PMingLiU" w:hAnsi="Garamond"/>
          <w:sz w:val="24"/>
          <w:szCs w:val="24"/>
          <w:lang w:eastAsia="zh-TW"/>
        </w:rPr>
        <w:t xml:space="preserve">is as such the frequent basis of claims for PII. </w:t>
      </w:r>
      <w:r w:rsidR="004300F6" w:rsidRPr="002C088C">
        <w:rPr>
          <w:rFonts w:ascii="Garamond" w:eastAsia="PMingLiU" w:hAnsi="Garamond"/>
          <w:sz w:val="24"/>
          <w:szCs w:val="24"/>
          <w:lang w:eastAsia="zh-TW"/>
        </w:rPr>
        <w:t xml:space="preserve">It is highly unlikely </w:t>
      </w:r>
      <w:r w:rsidR="00974107" w:rsidRPr="002C088C">
        <w:rPr>
          <w:rFonts w:ascii="Garamond" w:eastAsia="PMingLiU" w:hAnsi="Garamond"/>
          <w:sz w:val="24"/>
          <w:szCs w:val="24"/>
          <w:lang w:eastAsia="zh-TW"/>
        </w:rPr>
        <w:t xml:space="preserve">that </w:t>
      </w:r>
      <w:r w:rsidR="00ED027B" w:rsidRPr="002C088C">
        <w:rPr>
          <w:rFonts w:ascii="Garamond" w:eastAsia="PMingLiU" w:hAnsi="Garamond"/>
          <w:sz w:val="24"/>
          <w:szCs w:val="24"/>
          <w:lang w:eastAsia="zh-TW"/>
        </w:rPr>
        <w:t xml:space="preserve">such </w:t>
      </w:r>
      <w:r w:rsidR="00D939F8" w:rsidRPr="002C088C">
        <w:rPr>
          <w:rFonts w:ascii="Garamond" w:eastAsia="PMingLiU" w:hAnsi="Garamond"/>
          <w:sz w:val="24"/>
          <w:szCs w:val="24"/>
          <w:lang w:eastAsia="zh-TW"/>
        </w:rPr>
        <w:t xml:space="preserve">information </w:t>
      </w:r>
      <w:r w:rsidR="001F0A6C">
        <w:rPr>
          <w:rFonts w:ascii="Garamond" w:eastAsia="PMingLiU" w:hAnsi="Garamond"/>
          <w:sz w:val="24"/>
          <w:szCs w:val="24"/>
          <w:lang w:eastAsia="zh-TW"/>
        </w:rPr>
        <w:t xml:space="preserve">could be </w:t>
      </w:r>
      <w:r w:rsidR="00D939F8" w:rsidRPr="002C088C">
        <w:rPr>
          <w:rFonts w:ascii="Garamond" w:eastAsia="PMingLiU" w:hAnsi="Garamond"/>
          <w:sz w:val="24"/>
          <w:szCs w:val="24"/>
          <w:lang w:eastAsia="zh-TW"/>
        </w:rPr>
        <w:t xml:space="preserve">disclosed </w:t>
      </w:r>
      <w:r w:rsidR="002E35A8" w:rsidRPr="002C088C">
        <w:rPr>
          <w:rFonts w:ascii="Garamond" w:eastAsia="PMingLiU" w:hAnsi="Garamond"/>
          <w:sz w:val="24"/>
          <w:szCs w:val="24"/>
          <w:lang w:eastAsia="zh-TW"/>
        </w:rPr>
        <w:t xml:space="preserve">even </w:t>
      </w:r>
      <w:r w:rsidR="003031A1">
        <w:rPr>
          <w:rFonts w:ascii="Garamond" w:eastAsia="PMingLiU" w:hAnsi="Garamond"/>
          <w:sz w:val="24"/>
          <w:szCs w:val="24"/>
          <w:lang w:eastAsia="zh-TW"/>
        </w:rPr>
        <w:t>as part of in camera proceedings</w:t>
      </w:r>
      <w:r w:rsidR="002E35A8" w:rsidRPr="002C088C">
        <w:rPr>
          <w:rFonts w:ascii="Garamond" w:eastAsia="PMingLiU" w:hAnsi="Garamond"/>
          <w:sz w:val="24"/>
          <w:szCs w:val="24"/>
          <w:lang w:eastAsia="zh-TW"/>
        </w:rPr>
        <w:t xml:space="preserve">: </w:t>
      </w:r>
      <w:r w:rsidR="00D44D77" w:rsidRPr="002C088C">
        <w:rPr>
          <w:rFonts w:ascii="Garamond" w:eastAsia="PMingLiU" w:hAnsi="Garamond"/>
          <w:sz w:val="24"/>
          <w:szCs w:val="24"/>
          <w:lang w:eastAsia="zh-TW"/>
        </w:rPr>
        <w:t>thoug</w:t>
      </w:r>
      <w:r w:rsidR="00E45FB1" w:rsidRPr="002C088C">
        <w:rPr>
          <w:rFonts w:ascii="Garamond" w:eastAsia="PMingLiU" w:hAnsi="Garamond"/>
          <w:sz w:val="24"/>
          <w:szCs w:val="24"/>
          <w:lang w:eastAsia="zh-TW"/>
        </w:rPr>
        <w:t xml:space="preserve">h </w:t>
      </w:r>
      <w:r w:rsidR="003031A1">
        <w:rPr>
          <w:rFonts w:ascii="Garamond" w:eastAsia="PMingLiU" w:hAnsi="Garamond"/>
          <w:sz w:val="24"/>
          <w:szCs w:val="24"/>
          <w:lang w:eastAsia="zh-TW"/>
        </w:rPr>
        <w:t>this would allow</w:t>
      </w:r>
      <w:r w:rsidR="00261E1D">
        <w:rPr>
          <w:rFonts w:ascii="Garamond" w:eastAsia="PMingLiU" w:hAnsi="Garamond"/>
          <w:sz w:val="24"/>
          <w:szCs w:val="24"/>
          <w:lang w:eastAsia="zh-TW"/>
        </w:rPr>
        <w:t xml:space="preserve"> us</w:t>
      </w:r>
      <w:r w:rsidR="00BB252B">
        <w:rPr>
          <w:rFonts w:ascii="Garamond" w:eastAsia="PMingLiU" w:hAnsi="Garamond"/>
          <w:sz w:val="24"/>
          <w:szCs w:val="24"/>
          <w:lang w:eastAsia="zh-TW"/>
        </w:rPr>
        <w:t>e</w:t>
      </w:r>
      <w:r w:rsidR="00261E1D">
        <w:rPr>
          <w:rFonts w:ascii="Garamond" w:eastAsia="PMingLiU" w:hAnsi="Garamond"/>
          <w:sz w:val="24"/>
          <w:szCs w:val="24"/>
          <w:lang w:eastAsia="zh-TW"/>
        </w:rPr>
        <w:t xml:space="preserve"> of it</w:t>
      </w:r>
      <w:r w:rsidR="003031A1">
        <w:rPr>
          <w:rFonts w:ascii="Garamond" w:eastAsia="PMingLiU" w:hAnsi="Garamond"/>
          <w:sz w:val="24"/>
          <w:szCs w:val="24"/>
          <w:lang w:eastAsia="zh-TW"/>
        </w:rPr>
        <w:t xml:space="preserve"> to be made use </w:t>
      </w:r>
      <w:r w:rsidR="00C33358">
        <w:rPr>
          <w:rFonts w:ascii="Garamond" w:eastAsia="PMingLiU" w:hAnsi="Garamond"/>
          <w:sz w:val="24"/>
          <w:szCs w:val="24"/>
          <w:lang w:eastAsia="zh-TW"/>
        </w:rPr>
        <w:t>the courts</w:t>
      </w:r>
      <w:r w:rsidR="00E45FB1" w:rsidRPr="002C088C">
        <w:rPr>
          <w:rFonts w:ascii="Garamond" w:eastAsia="PMingLiU" w:hAnsi="Garamond"/>
          <w:sz w:val="24"/>
          <w:szCs w:val="24"/>
          <w:lang w:eastAsia="zh-TW"/>
        </w:rPr>
        <w:t xml:space="preserve"> </w:t>
      </w:r>
      <w:r w:rsidR="00261E1D">
        <w:rPr>
          <w:rFonts w:ascii="Garamond" w:eastAsia="PMingLiU" w:hAnsi="Garamond"/>
          <w:sz w:val="24"/>
          <w:szCs w:val="24"/>
          <w:lang w:eastAsia="zh-TW"/>
        </w:rPr>
        <w:t xml:space="preserve">without going so far as to disclose it to </w:t>
      </w:r>
      <w:r w:rsidR="002D2C6A" w:rsidRPr="002C088C">
        <w:rPr>
          <w:rFonts w:ascii="Garamond" w:eastAsia="PMingLiU" w:hAnsi="Garamond"/>
          <w:sz w:val="24"/>
          <w:szCs w:val="24"/>
          <w:lang w:eastAsia="zh-TW"/>
        </w:rPr>
        <w:t xml:space="preserve">the </w:t>
      </w:r>
      <w:r w:rsidR="00674D4D" w:rsidRPr="002C088C">
        <w:rPr>
          <w:rFonts w:ascii="Garamond" w:eastAsia="PMingLiU" w:hAnsi="Garamond"/>
          <w:sz w:val="24"/>
          <w:szCs w:val="24"/>
          <w:lang w:eastAsia="zh-TW"/>
        </w:rPr>
        <w:t xml:space="preserve">public at large, the </w:t>
      </w:r>
      <w:r w:rsidR="007C2033">
        <w:rPr>
          <w:rFonts w:ascii="Garamond" w:eastAsia="PMingLiU" w:hAnsi="Garamond"/>
          <w:sz w:val="24"/>
          <w:szCs w:val="24"/>
          <w:lang w:eastAsia="zh-TW"/>
        </w:rPr>
        <w:t xml:space="preserve">precise </w:t>
      </w:r>
      <w:r w:rsidR="00674D4D" w:rsidRPr="002C088C">
        <w:rPr>
          <w:rFonts w:ascii="Garamond" w:eastAsia="PMingLiU" w:hAnsi="Garamond"/>
          <w:sz w:val="24"/>
          <w:szCs w:val="24"/>
          <w:lang w:eastAsia="zh-TW"/>
        </w:rPr>
        <w:t xml:space="preserve">nature of its sensitivity </w:t>
      </w:r>
      <w:r w:rsidR="00FE6872" w:rsidRPr="002C088C">
        <w:rPr>
          <w:rFonts w:ascii="Garamond" w:eastAsia="PMingLiU" w:hAnsi="Garamond"/>
          <w:sz w:val="24"/>
          <w:szCs w:val="24"/>
          <w:lang w:eastAsia="zh-TW"/>
        </w:rPr>
        <w:t xml:space="preserve">is </w:t>
      </w:r>
      <w:r w:rsidR="00D23D2C" w:rsidRPr="002C088C">
        <w:rPr>
          <w:rFonts w:ascii="Garamond" w:eastAsia="PMingLiU" w:hAnsi="Garamond"/>
          <w:sz w:val="24"/>
          <w:szCs w:val="24"/>
          <w:lang w:eastAsia="zh-TW"/>
        </w:rPr>
        <w:t>such that even</w:t>
      </w:r>
      <w:r w:rsidR="004D2496">
        <w:rPr>
          <w:rFonts w:ascii="Garamond" w:eastAsia="PMingLiU" w:hAnsi="Garamond"/>
          <w:sz w:val="24"/>
          <w:szCs w:val="24"/>
          <w:lang w:eastAsia="zh-TW"/>
        </w:rPr>
        <w:t xml:space="preserve"> this</w:t>
      </w:r>
      <w:r w:rsidR="00D23D2C" w:rsidRPr="002C088C">
        <w:rPr>
          <w:rFonts w:ascii="Garamond" w:eastAsia="PMingLiU" w:hAnsi="Garamond"/>
          <w:sz w:val="24"/>
          <w:szCs w:val="24"/>
          <w:lang w:eastAsia="zh-TW"/>
        </w:rPr>
        <w:t xml:space="preserve"> limited disclosure would be </w:t>
      </w:r>
      <w:r w:rsidR="00A44862" w:rsidRPr="002C088C">
        <w:rPr>
          <w:rFonts w:ascii="Garamond" w:eastAsia="PMingLiU" w:hAnsi="Garamond"/>
          <w:sz w:val="24"/>
          <w:szCs w:val="24"/>
          <w:lang w:eastAsia="zh-TW"/>
        </w:rPr>
        <w:t>contrary to the public interest.</w:t>
      </w:r>
      <w:r w:rsidR="00A054B0">
        <w:rPr>
          <w:rFonts w:ascii="Garamond" w:eastAsia="PMingLiU" w:hAnsi="Garamond"/>
          <w:sz w:val="24"/>
          <w:szCs w:val="24"/>
          <w:lang w:eastAsia="zh-TW"/>
        </w:rPr>
        <w:t xml:space="preserve"> This can be contrasted with material which, though its dissemination to the public at large i</w:t>
      </w:r>
      <w:r w:rsidR="00620EA8">
        <w:rPr>
          <w:rFonts w:ascii="Garamond" w:eastAsia="PMingLiU" w:hAnsi="Garamond"/>
          <w:sz w:val="24"/>
          <w:szCs w:val="24"/>
          <w:lang w:eastAsia="zh-TW"/>
        </w:rPr>
        <w:t>s</w:t>
      </w:r>
      <w:r w:rsidR="00A054B0">
        <w:rPr>
          <w:rFonts w:ascii="Garamond" w:eastAsia="PMingLiU" w:hAnsi="Garamond"/>
          <w:sz w:val="24"/>
          <w:szCs w:val="24"/>
          <w:lang w:eastAsia="zh-TW"/>
        </w:rPr>
        <w:t xml:space="preserve"> considered to be contrary to the public interest, is already known to the defendants –</w:t>
      </w:r>
      <w:r w:rsidR="0059633B">
        <w:rPr>
          <w:rFonts w:ascii="Garamond" w:eastAsia="PMingLiU" w:hAnsi="Garamond"/>
          <w:sz w:val="24"/>
          <w:szCs w:val="24"/>
          <w:lang w:eastAsia="zh-TW"/>
        </w:rPr>
        <w:t xml:space="preserve"> possibly because</w:t>
      </w:r>
      <w:r w:rsidR="0067302D">
        <w:rPr>
          <w:rFonts w:ascii="Garamond" w:eastAsia="PMingLiU" w:hAnsi="Garamond"/>
          <w:sz w:val="24"/>
          <w:szCs w:val="24"/>
          <w:lang w:eastAsia="zh-TW"/>
        </w:rPr>
        <w:t xml:space="preserve">, as </w:t>
      </w:r>
      <w:r w:rsidR="003D7A87">
        <w:rPr>
          <w:rFonts w:ascii="Garamond" w:eastAsia="PMingLiU" w:hAnsi="Garamond"/>
          <w:sz w:val="24"/>
          <w:szCs w:val="24"/>
          <w:lang w:eastAsia="zh-TW"/>
        </w:rPr>
        <w:t>was</w:t>
      </w:r>
      <w:r w:rsidR="0067302D">
        <w:rPr>
          <w:rFonts w:ascii="Garamond" w:eastAsia="PMingLiU" w:hAnsi="Garamond"/>
          <w:sz w:val="24"/>
          <w:szCs w:val="24"/>
          <w:lang w:eastAsia="zh-TW"/>
        </w:rPr>
        <w:t xml:space="preserve"> the case in both </w:t>
      </w:r>
      <w:r w:rsidR="0067302D">
        <w:rPr>
          <w:rFonts w:ascii="Garamond" w:eastAsia="PMingLiU" w:hAnsi="Garamond"/>
          <w:i/>
          <w:iCs/>
          <w:sz w:val="24"/>
          <w:szCs w:val="24"/>
          <w:lang w:eastAsia="zh-TW"/>
        </w:rPr>
        <w:t xml:space="preserve">Wang Yam </w:t>
      </w:r>
      <w:r w:rsidR="0067302D">
        <w:rPr>
          <w:rFonts w:ascii="Garamond" w:eastAsia="PMingLiU" w:hAnsi="Garamond"/>
          <w:sz w:val="24"/>
          <w:szCs w:val="24"/>
          <w:lang w:eastAsia="zh-TW"/>
        </w:rPr>
        <w:t xml:space="preserve">and </w:t>
      </w:r>
      <w:proofErr w:type="spellStart"/>
      <w:r w:rsidR="0067302D">
        <w:rPr>
          <w:rFonts w:ascii="Garamond" w:eastAsia="PMingLiU" w:hAnsi="Garamond"/>
          <w:i/>
          <w:iCs/>
          <w:sz w:val="24"/>
          <w:szCs w:val="24"/>
          <w:lang w:eastAsia="zh-TW"/>
        </w:rPr>
        <w:t>Incedal</w:t>
      </w:r>
      <w:proofErr w:type="spellEnd"/>
      <w:r w:rsidR="003325D7">
        <w:rPr>
          <w:rFonts w:ascii="Garamond" w:eastAsia="PMingLiU" w:hAnsi="Garamond"/>
          <w:sz w:val="24"/>
          <w:szCs w:val="24"/>
          <w:lang w:eastAsia="zh-TW"/>
        </w:rPr>
        <w:t>, it</w:t>
      </w:r>
      <w:r w:rsidR="0059633B">
        <w:rPr>
          <w:rFonts w:ascii="Garamond" w:eastAsia="PMingLiU" w:hAnsi="Garamond"/>
          <w:sz w:val="24"/>
          <w:szCs w:val="24"/>
          <w:lang w:eastAsia="zh-TW"/>
        </w:rPr>
        <w:t xml:space="preserve"> forms part of the</w:t>
      </w:r>
      <w:r w:rsidR="00B6286D">
        <w:rPr>
          <w:rFonts w:ascii="Garamond" w:eastAsia="PMingLiU" w:hAnsi="Garamond"/>
          <w:sz w:val="24"/>
          <w:szCs w:val="24"/>
          <w:lang w:eastAsia="zh-TW"/>
        </w:rPr>
        <w:t xml:space="preserve"> defence w</w:t>
      </w:r>
      <w:r w:rsidR="005649F5">
        <w:rPr>
          <w:rFonts w:ascii="Garamond" w:eastAsia="PMingLiU" w:hAnsi="Garamond"/>
          <w:sz w:val="24"/>
          <w:szCs w:val="24"/>
          <w:lang w:eastAsia="zh-TW"/>
        </w:rPr>
        <w:t xml:space="preserve">hich they wish to offer to the charges </w:t>
      </w:r>
      <w:r w:rsidR="00857B65">
        <w:rPr>
          <w:rFonts w:ascii="Garamond" w:eastAsia="PMingLiU" w:hAnsi="Garamond"/>
          <w:sz w:val="24"/>
          <w:szCs w:val="24"/>
          <w:lang w:eastAsia="zh-TW"/>
        </w:rPr>
        <w:t>faced</w:t>
      </w:r>
      <w:r w:rsidR="005649F5">
        <w:rPr>
          <w:rFonts w:ascii="Garamond" w:eastAsia="PMingLiU" w:hAnsi="Garamond"/>
          <w:sz w:val="24"/>
          <w:szCs w:val="24"/>
          <w:lang w:eastAsia="zh-TW"/>
        </w:rPr>
        <w:t>.</w:t>
      </w:r>
      <w:r w:rsidR="0059633B">
        <w:rPr>
          <w:rFonts w:ascii="Garamond" w:eastAsia="PMingLiU" w:hAnsi="Garamond"/>
          <w:sz w:val="24"/>
          <w:szCs w:val="24"/>
          <w:lang w:eastAsia="zh-TW"/>
        </w:rPr>
        <w:t xml:space="preserve"> </w:t>
      </w:r>
      <w:r w:rsidR="003325D7">
        <w:rPr>
          <w:rFonts w:ascii="Garamond" w:eastAsia="PMingLiU" w:hAnsi="Garamond"/>
          <w:sz w:val="24"/>
          <w:szCs w:val="24"/>
          <w:lang w:eastAsia="zh-TW"/>
        </w:rPr>
        <w:t>I</w:t>
      </w:r>
      <w:r w:rsidR="005617B9">
        <w:rPr>
          <w:rFonts w:ascii="Garamond" w:eastAsia="PMingLiU" w:hAnsi="Garamond"/>
          <w:sz w:val="24"/>
          <w:szCs w:val="24"/>
          <w:lang w:eastAsia="zh-TW"/>
        </w:rPr>
        <w:t xml:space="preserve">n </w:t>
      </w:r>
      <w:r w:rsidR="003325D7">
        <w:rPr>
          <w:rFonts w:ascii="Garamond" w:eastAsia="PMingLiU" w:hAnsi="Garamond"/>
          <w:sz w:val="24"/>
          <w:szCs w:val="24"/>
          <w:lang w:eastAsia="zh-TW"/>
        </w:rPr>
        <w:t xml:space="preserve">that case not only would the material’s exclusion be in </w:t>
      </w:r>
      <w:r w:rsidR="00CE5EBB">
        <w:rPr>
          <w:rFonts w:ascii="Garamond" w:eastAsia="PMingLiU" w:hAnsi="Garamond"/>
          <w:sz w:val="24"/>
          <w:szCs w:val="24"/>
          <w:lang w:eastAsia="zh-TW"/>
        </w:rPr>
        <w:t>direct</w:t>
      </w:r>
      <w:r w:rsidR="003325D7">
        <w:rPr>
          <w:rFonts w:ascii="Garamond" w:eastAsia="PMingLiU" w:hAnsi="Garamond"/>
          <w:sz w:val="24"/>
          <w:szCs w:val="24"/>
          <w:lang w:eastAsia="zh-TW"/>
        </w:rPr>
        <w:t xml:space="preserve"> tension with constitutional principle (see next section) but it would in fact be wholly illogical. </w:t>
      </w:r>
      <w:r w:rsidR="007A0DA7">
        <w:rPr>
          <w:rFonts w:ascii="Garamond" w:eastAsia="PMingLiU" w:hAnsi="Garamond"/>
          <w:sz w:val="24"/>
          <w:szCs w:val="24"/>
          <w:lang w:eastAsia="zh-TW"/>
        </w:rPr>
        <w:t xml:space="preserve"> </w:t>
      </w:r>
    </w:p>
    <w:p w:rsidR="00C42BB4" w:rsidRPr="002C088C" w:rsidRDefault="00C42BB4" w:rsidP="000C2DB7">
      <w:pPr>
        <w:spacing w:after="0" w:line="480" w:lineRule="auto"/>
        <w:jc w:val="both"/>
        <w:rPr>
          <w:rFonts w:ascii="Garamond" w:eastAsia="PMingLiU" w:hAnsi="Garamond"/>
          <w:sz w:val="24"/>
          <w:szCs w:val="24"/>
          <w:lang w:eastAsia="zh-TW"/>
        </w:rPr>
      </w:pPr>
    </w:p>
    <w:p w:rsidR="006A28C3" w:rsidRPr="002C088C" w:rsidRDefault="00925295" w:rsidP="000C2DB7">
      <w:pPr>
        <w:spacing w:after="0" w:line="480" w:lineRule="auto"/>
        <w:jc w:val="both"/>
        <w:rPr>
          <w:sz w:val="24"/>
          <w:szCs w:val="24"/>
        </w:rPr>
      </w:pPr>
      <w:r w:rsidRPr="002C088C">
        <w:rPr>
          <w:rFonts w:ascii="Garamond" w:eastAsia="PMingLiU" w:hAnsi="Garamond"/>
          <w:sz w:val="24"/>
          <w:szCs w:val="24"/>
          <w:lang w:eastAsia="zh-TW"/>
        </w:rPr>
        <w:t xml:space="preserve">This logic of </w:t>
      </w:r>
      <w:r w:rsidR="00032F42" w:rsidRPr="002C088C">
        <w:rPr>
          <w:rFonts w:ascii="Garamond" w:eastAsia="PMingLiU" w:hAnsi="Garamond"/>
          <w:sz w:val="24"/>
          <w:szCs w:val="24"/>
          <w:lang w:eastAsia="zh-TW"/>
        </w:rPr>
        <w:t>differential sensitivity</w:t>
      </w:r>
      <w:r w:rsidR="002F67DE" w:rsidRPr="002C088C">
        <w:rPr>
          <w:rFonts w:ascii="Garamond" w:eastAsia="PMingLiU" w:hAnsi="Garamond"/>
          <w:sz w:val="24"/>
          <w:szCs w:val="24"/>
          <w:lang w:eastAsia="zh-TW"/>
        </w:rPr>
        <w:t xml:space="preserve"> – and the</w:t>
      </w:r>
      <w:r w:rsidR="00EA684C">
        <w:rPr>
          <w:rFonts w:ascii="Garamond" w:eastAsia="PMingLiU" w:hAnsi="Garamond"/>
          <w:sz w:val="24"/>
          <w:szCs w:val="24"/>
          <w:lang w:eastAsia="zh-TW"/>
        </w:rPr>
        <w:t xml:space="preserve"> co</w:t>
      </w:r>
      <w:r w:rsidR="00CF7E05">
        <w:rPr>
          <w:rFonts w:ascii="Garamond" w:eastAsia="PMingLiU" w:hAnsi="Garamond"/>
          <w:sz w:val="24"/>
          <w:szCs w:val="24"/>
          <w:lang w:eastAsia="zh-TW"/>
        </w:rPr>
        <w:t>nsequent</w:t>
      </w:r>
      <w:r w:rsidR="002F67DE" w:rsidRPr="002C088C">
        <w:rPr>
          <w:rFonts w:ascii="Garamond" w:eastAsia="PMingLiU" w:hAnsi="Garamond"/>
          <w:sz w:val="24"/>
          <w:szCs w:val="24"/>
          <w:lang w:eastAsia="zh-TW"/>
        </w:rPr>
        <w:t xml:space="preserve"> </w:t>
      </w:r>
      <w:r w:rsidR="00C33D49">
        <w:rPr>
          <w:rFonts w:ascii="Garamond" w:eastAsia="PMingLiU" w:hAnsi="Garamond"/>
          <w:sz w:val="24"/>
          <w:szCs w:val="24"/>
          <w:lang w:eastAsia="zh-TW"/>
        </w:rPr>
        <w:t xml:space="preserve">need to have </w:t>
      </w:r>
      <w:r w:rsidR="0052660E" w:rsidRPr="002C088C">
        <w:rPr>
          <w:rFonts w:ascii="Garamond" w:eastAsia="PMingLiU" w:hAnsi="Garamond"/>
          <w:sz w:val="24"/>
          <w:szCs w:val="24"/>
          <w:lang w:eastAsia="zh-TW"/>
        </w:rPr>
        <w:t>available</w:t>
      </w:r>
      <w:r w:rsidR="002F67DE" w:rsidRPr="002C088C">
        <w:rPr>
          <w:rFonts w:ascii="Garamond" w:eastAsia="PMingLiU" w:hAnsi="Garamond"/>
          <w:sz w:val="24"/>
          <w:szCs w:val="24"/>
          <w:lang w:eastAsia="zh-TW"/>
        </w:rPr>
        <w:t xml:space="preserve"> a multiplicity of mechanism</w:t>
      </w:r>
      <w:r w:rsidR="0052660E">
        <w:rPr>
          <w:rFonts w:ascii="Garamond" w:eastAsia="PMingLiU" w:hAnsi="Garamond"/>
          <w:sz w:val="24"/>
          <w:szCs w:val="24"/>
          <w:lang w:eastAsia="zh-TW"/>
        </w:rPr>
        <w:t xml:space="preserve">s capable of </w:t>
      </w:r>
      <w:r w:rsidR="00D753D4">
        <w:rPr>
          <w:rFonts w:ascii="Garamond" w:eastAsia="PMingLiU" w:hAnsi="Garamond"/>
          <w:sz w:val="24"/>
          <w:szCs w:val="24"/>
          <w:lang w:eastAsia="zh-TW"/>
        </w:rPr>
        <w:t>reflecting</w:t>
      </w:r>
      <w:r w:rsidR="0058664E" w:rsidRPr="002C088C">
        <w:rPr>
          <w:rFonts w:ascii="Garamond" w:eastAsia="PMingLiU" w:hAnsi="Garamond"/>
          <w:sz w:val="24"/>
          <w:szCs w:val="24"/>
          <w:lang w:eastAsia="zh-TW"/>
        </w:rPr>
        <w:t xml:space="preserve"> </w:t>
      </w:r>
      <w:r w:rsidR="00D753D4">
        <w:rPr>
          <w:rFonts w:ascii="Garamond" w:eastAsia="PMingLiU" w:hAnsi="Garamond"/>
          <w:sz w:val="24"/>
          <w:szCs w:val="24"/>
          <w:lang w:eastAsia="zh-TW"/>
        </w:rPr>
        <w:t>the difference in question</w:t>
      </w:r>
      <w:r w:rsidR="0058664E" w:rsidRPr="002C088C">
        <w:rPr>
          <w:rFonts w:ascii="Garamond" w:eastAsia="PMingLiU" w:hAnsi="Garamond"/>
          <w:sz w:val="24"/>
          <w:szCs w:val="24"/>
          <w:lang w:eastAsia="zh-TW"/>
        </w:rPr>
        <w:t xml:space="preserve"> –</w:t>
      </w:r>
      <w:r w:rsidR="00032F42" w:rsidRPr="002C088C">
        <w:rPr>
          <w:rFonts w:ascii="Garamond" w:eastAsia="PMingLiU" w:hAnsi="Garamond"/>
          <w:sz w:val="24"/>
          <w:szCs w:val="24"/>
          <w:lang w:eastAsia="zh-TW"/>
        </w:rPr>
        <w:t xml:space="preserve"> </w:t>
      </w:r>
      <w:r w:rsidR="00637B01" w:rsidRPr="002C088C">
        <w:rPr>
          <w:rFonts w:ascii="Garamond" w:eastAsia="PMingLiU" w:hAnsi="Garamond"/>
          <w:sz w:val="24"/>
          <w:szCs w:val="24"/>
          <w:lang w:eastAsia="zh-TW"/>
        </w:rPr>
        <w:t>is</w:t>
      </w:r>
      <w:r w:rsidR="00073876" w:rsidRPr="002C088C">
        <w:rPr>
          <w:rFonts w:ascii="Garamond" w:eastAsia="PMingLiU" w:hAnsi="Garamond"/>
          <w:sz w:val="24"/>
          <w:szCs w:val="24"/>
          <w:lang w:eastAsia="zh-TW"/>
        </w:rPr>
        <w:t xml:space="preserve"> of particular importance in the </w:t>
      </w:r>
      <w:r w:rsidR="00073876" w:rsidRPr="002C088C">
        <w:rPr>
          <w:rFonts w:ascii="Garamond" w:eastAsia="PMingLiU" w:hAnsi="Garamond"/>
          <w:sz w:val="24"/>
          <w:szCs w:val="24"/>
          <w:lang w:eastAsia="zh-TW"/>
        </w:rPr>
        <w:lastRenderedPageBreak/>
        <w:t xml:space="preserve">context of material whose </w:t>
      </w:r>
      <w:r w:rsidR="0039661B" w:rsidRPr="002C088C">
        <w:rPr>
          <w:rFonts w:ascii="Garamond" w:eastAsia="PMingLiU" w:hAnsi="Garamond"/>
          <w:sz w:val="24"/>
          <w:szCs w:val="24"/>
          <w:lang w:eastAsia="zh-TW"/>
        </w:rPr>
        <w:t xml:space="preserve">disclosure to the public interest would be </w:t>
      </w:r>
      <w:r w:rsidR="00637B01" w:rsidRPr="002C088C">
        <w:rPr>
          <w:rFonts w:ascii="Garamond" w:eastAsia="PMingLiU" w:hAnsi="Garamond"/>
          <w:sz w:val="24"/>
          <w:szCs w:val="24"/>
          <w:lang w:eastAsia="zh-TW"/>
        </w:rPr>
        <w:t xml:space="preserve">contrary to the public interest but </w:t>
      </w:r>
      <w:r w:rsidR="0003593F" w:rsidRPr="002C088C">
        <w:rPr>
          <w:rFonts w:ascii="Garamond" w:eastAsia="PMingLiU" w:hAnsi="Garamond"/>
          <w:sz w:val="24"/>
          <w:szCs w:val="24"/>
          <w:lang w:eastAsia="zh-TW"/>
        </w:rPr>
        <w:t>whose disclosur</w:t>
      </w:r>
      <w:r w:rsidR="002E33BD" w:rsidRPr="002C088C">
        <w:rPr>
          <w:rFonts w:ascii="Garamond" w:eastAsia="PMingLiU" w:hAnsi="Garamond"/>
          <w:sz w:val="24"/>
          <w:szCs w:val="24"/>
          <w:lang w:eastAsia="zh-TW"/>
        </w:rPr>
        <w:t>e is a necessary element of the fairness of the trial process (a point discussed</w:t>
      </w:r>
      <w:r w:rsidR="00A77CEB" w:rsidRPr="002C088C">
        <w:rPr>
          <w:rFonts w:ascii="Garamond" w:eastAsia="PMingLiU" w:hAnsi="Garamond"/>
          <w:sz w:val="24"/>
          <w:szCs w:val="24"/>
          <w:lang w:eastAsia="zh-TW"/>
        </w:rPr>
        <w:t xml:space="preserve"> further in the next section).</w:t>
      </w:r>
      <w:r w:rsidR="00157380" w:rsidRPr="002C088C">
        <w:rPr>
          <w:rFonts w:ascii="Garamond" w:hAnsi="Garamond"/>
          <w:sz w:val="24"/>
          <w:szCs w:val="24"/>
        </w:rPr>
        <w:t xml:space="preserve"> </w:t>
      </w:r>
      <w:r w:rsidR="009767D9" w:rsidRPr="002C088C">
        <w:rPr>
          <w:rFonts w:ascii="Garamond" w:hAnsi="Garamond"/>
          <w:sz w:val="24"/>
          <w:szCs w:val="24"/>
        </w:rPr>
        <w:t xml:space="preserve"> </w:t>
      </w:r>
      <w:r w:rsidR="00663C92" w:rsidRPr="002C088C">
        <w:rPr>
          <w:rFonts w:ascii="Garamond" w:hAnsi="Garamond"/>
          <w:sz w:val="24"/>
          <w:szCs w:val="24"/>
        </w:rPr>
        <w:t xml:space="preserve">Were PII </w:t>
      </w:r>
      <w:r w:rsidR="004A5BBD" w:rsidRPr="002C088C">
        <w:rPr>
          <w:rFonts w:ascii="Garamond" w:hAnsi="Garamond"/>
          <w:sz w:val="24"/>
          <w:szCs w:val="24"/>
        </w:rPr>
        <w:t>the</w:t>
      </w:r>
      <w:r w:rsidR="00663C92" w:rsidRPr="002C088C">
        <w:rPr>
          <w:rFonts w:ascii="Garamond" w:hAnsi="Garamond"/>
          <w:sz w:val="24"/>
          <w:szCs w:val="24"/>
        </w:rPr>
        <w:t xml:space="preserve"> </w:t>
      </w:r>
      <w:r w:rsidR="004A5BBD" w:rsidRPr="002C088C">
        <w:rPr>
          <w:rFonts w:ascii="Garamond" w:hAnsi="Garamond"/>
          <w:sz w:val="24"/>
          <w:szCs w:val="24"/>
        </w:rPr>
        <w:t>sole</w:t>
      </w:r>
      <w:r w:rsidR="0057054B" w:rsidRPr="002C088C">
        <w:rPr>
          <w:rFonts w:ascii="Garamond" w:hAnsi="Garamond"/>
          <w:sz w:val="24"/>
          <w:szCs w:val="24"/>
        </w:rPr>
        <w:t xml:space="preserve"> available</w:t>
      </w:r>
      <w:r w:rsidR="004A5BBD" w:rsidRPr="002C088C">
        <w:rPr>
          <w:rFonts w:ascii="Garamond" w:hAnsi="Garamond"/>
          <w:sz w:val="24"/>
          <w:szCs w:val="24"/>
        </w:rPr>
        <w:t xml:space="preserve"> mechanism </w:t>
      </w:r>
      <w:r w:rsidR="00663C92" w:rsidRPr="002C088C">
        <w:rPr>
          <w:rFonts w:ascii="Garamond" w:hAnsi="Garamond"/>
          <w:sz w:val="24"/>
          <w:szCs w:val="24"/>
        </w:rPr>
        <w:t xml:space="preserve">by which the public interest </w:t>
      </w:r>
      <w:r w:rsidR="0057054B" w:rsidRPr="002C088C">
        <w:rPr>
          <w:rFonts w:ascii="Garamond" w:hAnsi="Garamond"/>
          <w:sz w:val="24"/>
          <w:szCs w:val="24"/>
        </w:rPr>
        <w:t>might be pr</w:t>
      </w:r>
      <w:r w:rsidR="0028035D" w:rsidRPr="002C088C">
        <w:rPr>
          <w:rFonts w:ascii="Garamond" w:hAnsi="Garamond"/>
          <w:sz w:val="24"/>
          <w:szCs w:val="24"/>
        </w:rPr>
        <w:t xml:space="preserve">otected against disclosure, the prosecution would be faced with </w:t>
      </w:r>
      <w:r w:rsidR="00A050C1" w:rsidRPr="002C088C">
        <w:rPr>
          <w:rFonts w:ascii="Garamond" w:hAnsi="Garamond"/>
          <w:sz w:val="24"/>
          <w:szCs w:val="24"/>
        </w:rPr>
        <w:t>an unenviable</w:t>
      </w:r>
      <w:r w:rsidR="009F4D2D" w:rsidRPr="002C088C">
        <w:rPr>
          <w:rFonts w:ascii="Garamond" w:hAnsi="Garamond"/>
          <w:sz w:val="24"/>
          <w:szCs w:val="24"/>
        </w:rPr>
        <w:t xml:space="preserve"> dilemma: either to risk </w:t>
      </w:r>
      <w:r w:rsidR="004137A7">
        <w:rPr>
          <w:rFonts w:ascii="Garamond" w:hAnsi="Garamond"/>
          <w:sz w:val="24"/>
          <w:szCs w:val="24"/>
        </w:rPr>
        <w:t xml:space="preserve">(what it believes to be) </w:t>
      </w:r>
      <w:r w:rsidR="009F4D2D" w:rsidRPr="002C088C">
        <w:rPr>
          <w:rFonts w:ascii="Garamond" w:hAnsi="Garamond"/>
          <w:sz w:val="24"/>
          <w:szCs w:val="24"/>
        </w:rPr>
        <w:t xml:space="preserve">harm to </w:t>
      </w:r>
      <w:r w:rsidR="00022EF7" w:rsidRPr="002C088C">
        <w:rPr>
          <w:rFonts w:ascii="Garamond" w:hAnsi="Garamond"/>
          <w:sz w:val="24"/>
          <w:szCs w:val="24"/>
        </w:rPr>
        <w:t>the public inte</w:t>
      </w:r>
      <w:r w:rsidR="006758AD" w:rsidRPr="002C088C">
        <w:rPr>
          <w:rFonts w:ascii="Garamond" w:hAnsi="Garamond"/>
          <w:sz w:val="24"/>
          <w:szCs w:val="24"/>
        </w:rPr>
        <w:t xml:space="preserve">rest by ceding to the disclosure of the material in question in order to ensure the fairness of the trial, </w:t>
      </w:r>
      <w:r w:rsidR="007268B2" w:rsidRPr="002C088C">
        <w:rPr>
          <w:rFonts w:ascii="Garamond" w:hAnsi="Garamond"/>
          <w:sz w:val="24"/>
          <w:szCs w:val="24"/>
        </w:rPr>
        <w:t xml:space="preserve">or to </w:t>
      </w:r>
      <w:r w:rsidR="00C015F8" w:rsidRPr="002C088C">
        <w:rPr>
          <w:rFonts w:ascii="Garamond" w:hAnsi="Garamond"/>
          <w:sz w:val="24"/>
          <w:szCs w:val="24"/>
        </w:rPr>
        <w:t xml:space="preserve">insist upon the public interest </w:t>
      </w:r>
      <w:r w:rsidR="00DF14F0" w:rsidRPr="002C088C">
        <w:rPr>
          <w:rFonts w:ascii="Garamond" w:hAnsi="Garamond"/>
          <w:sz w:val="24"/>
          <w:szCs w:val="24"/>
        </w:rPr>
        <w:t xml:space="preserve">in non-disclosure and </w:t>
      </w:r>
      <w:r w:rsidR="00FE6A50" w:rsidRPr="002C088C">
        <w:rPr>
          <w:rFonts w:ascii="Garamond" w:hAnsi="Garamond"/>
          <w:sz w:val="24"/>
          <w:szCs w:val="24"/>
        </w:rPr>
        <w:t>abandon the prosecution</w:t>
      </w:r>
      <w:r w:rsidR="002C0A44" w:rsidRPr="002C088C">
        <w:rPr>
          <w:rFonts w:ascii="Garamond" w:hAnsi="Garamond"/>
          <w:sz w:val="24"/>
          <w:szCs w:val="24"/>
        </w:rPr>
        <w:t xml:space="preserve">. </w:t>
      </w:r>
      <w:r w:rsidR="00354410" w:rsidRPr="002C088C">
        <w:rPr>
          <w:rFonts w:ascii="Garamond" w:hAnsi="Garamond"/>
          <w:sz w:val="24"/>
          <w:szCs w:val="24"/>
        </w:rPr>
        <w:t xml:space="preserve">The availability of the in camera order </w:t>
      </w:r>
      <w:r w:rsidR="00871A60" w:rsidRPr="002C088C">
        <w:rPr>
          <w:rFonts w:ascii="Garamond" w:hAnsi="Garamond"/>
          <w:sz w:val="24"/>
          <w:szCs w:val="24"/>
        </w:rPr>
        <w:t xml:space="preserve">neatly evades the dilemma: the material can be used but without </w:t>
      </w:r>
      <w:r w:rsidR="0072344C" w:rsidRPr="002C088C">
        <w:rPr>
          <w:rFonts w:ascii="Garamond" w:hAnsi="Garamond"/>
          <w:sz w:val="24"/>
          <w:szCs w:val="24"/>
        </w:rPr>
        <w:t xml:space="preserve">being disclosed to the public at large, </w:t>
      </w:r>
      <w:r w:rsidR="001A3870" w:rsidRPr="002C088C">
        <w:rPr>
          <w:rFonts w:ascii="Garamond" w:hAnsi="Garamond"/>
          <w:sz w:val="24"/>
          <w:szCs w:val="24"/>
        </w:rPr>
        <w:t xml:space="preserve">ensuring that neither does an unfairness result nor is the public interest harmed by the </w:t>
      </w:r>
      <w:r w:rsidR="007D6CD2" w:rsidRPr="002C088C">
        <w:rPr>
          <w:rFonts w:ascii="Garamond" w:hAnsi="Garamond"/>
          <w:sz w:val="24"/>
          <w:szCs w:val="24"/>
        </w:rPr>
        <w:t xml:space="preserve">cessation of a prosecution </w:t>
      </w:r>
      <w:r w:rsidR="004507F6" w:rsidRPr="002C088C">
        <w:rPr>
          <w:rFonts w:ascii="Garamond" w:hAnsi="Garamond"/>
          <w:sz w:val="24"/>
          <w:szCs w:val="24"/>
        </w:rPr>
        <w:t xml:space="preserve">which would otherwise take place. </w:t>
      </w:r>
      <w:r w:rsidR="00852F23" w:rsidRPr="002C088C">
        <w:rPr>
          <w:rFonts w:ascii="Garamond" w:hAnsi="Garamond"/>
          <w:sz w:val="24"/>
          <w:szCs w:val="24"/>
        </w:rPr>
        <w:t xml:space="preserve">Prosecution will be impossible only where the </w:t>
      </w:r>
      <w:r w:rsidR="00EE7A33" w:rsidRPr="002C088C">
        <w:rPr>
          <w:rFonts w:ascii="Garamond" w:hAnsi="Garamond"/>
          <w:sz w:val="24"/>
          <w:szCs w:val="24"/>
        </w:rPr>
        <w:t>material</w:t>
      </w:r>
      <w:r w:rsidR="00EE72AB" w:rsidRPr="002C088C">
        <w:rPr>
          <w:rFonts w:ascii="Garamond" w:hAnsi="Garamond"/>
          <w:sz w:val="24"/>
          <w:szCs w:val="24"/>
        </w:rPr>
        <w:t xml:space="preserve"> in question</w:t>
      </w:r>
      <w:r w:rsidR="00EE7A33" w:rsidRPr="002C088C">
        <w:rPr>
          <w:rFonts w:ascii="Garamond" w:hAnsi="Garamond"/>
          <w:sz w:val="24"/>
          <w:szCs w:val="24"/>
        </w:rPr>
        <w:t xml:space="preserve"> cannot be d</w:t>
      </w:r>
      <w:r w:rsidR="00120D30" w:rsidRPr="002C088C">
        <w:rPr>
          <w:rFonts w:ascii="Garamond" w:hAnsi="Garamond"/>
          <w:sz w:val="24"/>
          <w:szCs w:val="24"/>
        </w:rPr>
        <w:t>isclosed even</w:t>
      </w:r>
      <w:r w:rsidR="00272A5B" w:rsidRPr="002C088C">
        <w:rPr>
          <w:rFonts w:ascii="Garamond" w:hAnsi="Garamond"/>
          <w:sz w:val="24"/>
          <w:szCs w:val="24"/>
        </w:rPr>
        <w:t xml:space="preserve"> to the defendants or where the making of an in camera order would itself be contrary to constitutional principle.</w:t>
      </w:r>
    </w:p>
    <w:p w:rsidR="00B63EB1" w:rsidRPr="002C088C" w:rsidRDefault="00B63EB1" w:rsidP="000C2DB7">
      <w:pPr>
        <w:spacing w:after="0" w:line="480" w:lineRule="auto"/>
        <w:jc w:val="both"/>
        <w:rPr>
          <w:rFonts w:ascii="Garamond" w:eastAsia="PMingLiU" w:hAnsi="Garamond"/>
          <w:sz w:val="24"/>
          <w:szCs w:val="24"/>
          <w:lang w:eastAsia="zh-TW"/>
        </w:rPr>
      </w:pPr>
    </w:p>
    <w:p w:rsidR="00347B8D" w:rsidRPr="002C088C" w:rsidRDefault="00B63EB1" w:rsidP="000C2DB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As this sketch demonstrates, there is a compelling</w:t>
      </w:r>
      <w:r w:rsidR="009E6EE2" w:rsidRPr="002C088C">
        <w:rPr>
          <w:rFonts w:ascii="Garamond" w:eastAsia="PMingLiU" w:hAnsi="Garamond"/>
          <w:sz w:val="24"/>
          <w:szCs w:val="24"/>
          <w:lang w:eastAsia="zh-TW"/>
        </w:rPr>
        <w:t xml:space="preserve"> internal</w:t>
      </w:r>
      <w:r w:rsidR="00EB1335" w:rsidRPr="002C088C">
        <w:rPr>
          <w:rFonts w:ascii="Garamond" w:eastAsia="PMingLiU" w:hAnsi="Garamond"/>
          <w:sz w:val="24"/>
          <w:szCs w:val="24"/>
          <w:lang w:eastAsia="zh-TW"/>
        </w:rPr>
        <w:t xml:space="preserve"> logic to the coexistence of the two</w:t>
      </w:r>
      <w:r w:rsidR="009E6A66" w:rsidRPr="002C088C">
        <w:rPr>
          <w:rFonts w:ascii="Garamond" w:eastAsia="PMingLiU" w:hAnsi="Garamond"/>
          <w:sz w:val="24"/>
          <w:szCs w:val="24"/>
          <w:lang w:eastAsia="zh-TW"/>
        </w:rPr>
        <w:t xml:space="preserve"> </w:t>
      </w:r>
      <w:r w:rsidR="00D97061" w:rsidRPr="002C088C">
        <w:rPr>
          <w:rFonts w:ascii="Garamond" w:eastAsia="PMingLiU" w:hAnsi="Garamond"/>
          <w:sz w:val="24"/>
          <w:szCs w:val="24"/>
          <w:lang w:eastAsia="zh-TW"/>
        </w:rPr>
        <w:t xml:space="preserve">procedural mechanisms – PII and the in camera order – </w:t>
      </w:r>
      <w:r w:rsidR="009E6A66" w:rsidRPr="002C088C">
        <w:rPr>
          <w:rFonts w:ascii="Garamond" w:eastAsia="PMingLiU" w:hAnsi="Garamond"/>
          <w:sz w:val="24"/>
          <w:szCs w:val="24"/>
          <w:lang w:eastAsia="zh-TW"/>
        </w:rPr>
        <w:t xml:space="preserve">within the courts’ arsenal, </w:t>
      </w:r>
      <w:r w:rsidR="009F07EF" w:rsidRPr="002C088C">
        <w:rPr>
          <w:rFonts w:ascii="Garamond" w:eastAsia="PMingLiU" w:hAnsi="Garamond"/>
          <w:sz w:val="24"/>
          <w:szCs w:val="24"/>
          <w:lang w:eastAsia="zh-TW"/>
        </w:rPr>
        <w:t>where they are available to be</w:t>
      </w:r>
      <w:r w:rsidR="009E6A66" w:rsidRPr="002C088C">
        <w:rPr>
          <w:rFonts w:ascii="Garamond" w:eastAsia="PMingLiU" w:hAnsi="Garamond"/>
          <w:sz w:val="24"/>
          <w:szCs w:val="24"/>
          <w:lang w:eastAsia="zh-TW"/>
        </w:rPr>
        <w:t xml:space="preserve"> drawn</w:t>
      </w:r>
      <w:r w:rsidR="00D24D8E" w:rsidRPr="002C088C">
        <w:rPr>
          <w:rFonts w:ascii="Garamond" w:eastAsia="PMingLiU" w:hAnsi="Garamond"/>
          <w:sz w:val="24"/>
          <w:szCs w:val="24"/>
          <w:lang w:eastAsia="zh-TW"/>
        </w:rPr>
        <w:t xml:space="preserve"> – and combined –</w:t>
      </w:r>
      <w:r w:rsidR="001E5597" w:rsidRPr="002C088C">
        <w:rPr>
          <w:rFonts w:ascii="Garamond" w:eastAsia="PMingLiU" w:hAnsi="Garamond"/>
          <w:sz w:val="24"/>
          <w:szCs w:val="24"/>
          <w:lang w:eastAsia="zh-TW"/>
        </w:rPr>
        <w:t xml:space="preserve"> on as necessary according to the nature and extent of the sensitivity of the material </w:t>
      </w:r>
      <w:r w:rsidR="00AD73F0" w:rsidRPr="002C088C">
        <w:rPr>
          <w:rFonts w:ascii="Garamond" w:eastAsia="PMingLiU" w:hAnsi="Garamond"/>
          <w:sz w:val="24"/>
          <w:szCs w:val="24"/>
          <w:lang w:eastAsia="zh-TW"/>
        </w:rPr>
        <w:t>whose disclosure would harm the public interest.</w:t>
      </w:r>
      <w:r w:rsidR="008E5A1E" w:rsidRPr="002C088C">
        <w:rPr>
          <w:rFonts w:ascii="Garamond" w:eastAsia="PMingLiU" w:hAnsi="Garamond"/>
          <w:sz w:val="24"/>
          <w:szCs w:val="24"/>
          <w:lang w:eastAsia="zh-TW"/>
        </w:rPr>
        <w:t xml:space="preserve"> </w:t>
      </w:r>
      <w:r w:rsidR="0062357A" w:rsidRPr="002C088C">
        <w:rPr>
          <w:rFonts w:ascii="Garamond" w:eastAsia="PMingLiU" w:hAnsi="Garamond"/>
          <w:sz w:val="24"/>
          <w:szCs w:val="24"/>
          <w:lang w:eastAsia="zh-TW"/>
        </w:rPr>
        <w:t>And it need not be thought that</w:t>
      </w:r>
      <w:r w:rsidR="00FC1CD3" w:rsidRPr="002C088C">
        <w:rPr>
          <w:rFonts w:ascii="Garamond" w:eastAsia="PMingLiU" w:hAnsi="Garamond"/>
          <w:sz w:val="24"/>
          <w:szCs w:val="24"/>
          <w:lang w:eastAsia="zh-TW"/>
        </w:rPr>
        <w:t xml:space="preserve"> these two methods of exercising the </w:t>
      </w:r>
      <w:r w:rsidR="00535C5C" w:rsidRPr="002C088C">
        <w:rPr>
          <w:rFonts w:ascii="Garamond" w:eastAsia="PMingLiU" w:hAnsi="Garamond"/>
          <w:sz w:val="24"/>
          <w:szCs w:val="24"/>
          <w:lang w:eastAsia="zh-TW"/>
        </w:rPr>
        <w:t>inherent jurisdiction with a view to protecting the public interest against dis</w:t>
      </w:r>
      <w:r w:rsidR="00D22863" w:rsidRPr="002C088C">
        <w:rPr>
          <w:rFonts w:ascii="Garamond" w:eastAsia="PMingLiU" w:hAnsi="Garamond"/>
          <w:sz w:val="24"/>
          <w:szCs w:val="24"/>
          <w:lang w:eastAsia="zh-TW"/>
        </w:rPr>
        <w:t>closure exhaust the possibility</w:t>
      </w:r>
      <w:r w:rsidR="0062357A" w:rsidRPr="002C088C">
        <w:rPr>
          <w:rFonts w:ascii="Garamond" w:eastAsia="PMingLiU" w:hAnsi="Garamond"/>
          <w:sz w:val="24"/>
          <w:szCs w:val="24"/>
          <w:lang w:eastAsia="zh-TW"/>
        </w:rPr>
        <w:t>: were</w:t>
      </w:r>
      <w:r w:rsidR="008E5A1E" w:rsidRPr="002C088C">
        <w:rPr>
          <w:rFonts w:ascii="Garamond" w:eastAsia="PMingLiU" w:hAnsi="Garamond"/>
          <w:sz w:val="24"/>
          <w:szCs w:val="24"/>
          <w:lang w:eastAsia="zh-TW"/>
        </w:rPr>
        <w:t xml:space="preserve"> </w:t>
      </w:r>
      <w:r w:rsidR="0062357A" w:rsidRPr="002C088C">
        <w:rPr>
          <w:rFonts w:ascii="Garamond" w:eastAsia="PMingLiU" w:hAnsi="Garamond"/>
          <w:sz w:val="24"/>
          <w:szCs w:val="24"/>
          <w:lang w:eastAsia="zh-TW"/>
        </w:rPr>
        <w:t>ano</w:t>
      </w:r>
      <w:r w:rsidR="008E5A1E" w:rsidRPr="002C088C">
        <w:rPr>
          <w:rFonts w:ascii="Garamond" w:eastAsia="PMingLiU" w:hAnsi="Garamond"/>
          <w:sz w:val="24"/>
          <w:szCs w:val="24"/>
          <w:lang w:eastAsia="zh-TW"/>
        </w:rPr>
        <w:t xml:space="preserve">ther permutation </w:t>
      </w:r>
      <w:r w:rsidR="00587184" w:rsidRPr="002C088C">
        <w:rPr>
          <w:rFonts w:ascii="Garamond" w:eastAsia="PMingLiU" w:hAnsi="Garamond"/>
          <w:sz w:val="24"/>
          <w:szCs w:val="24"/>
          <w:lang w:eastAsia="zh-TW"/>
        </w:rPr>
        <w:t xml:space="preserve">of disclosure and non-disclosure </w:t>
      </w:r>
      <w:r w:rsidR="0062357A" w:rsidRPr="002C088C">
        <w:rPr>
          <w:rFonts w:ascii="Garamond" w:eastAsia="PMingLiU" w:hAnsi="Garamond"/>
          <w:sz w:val="24"/>
          <w:szCs w:val="24"/>
          <w:lang w:eastAsia="zh-TW"/>
        </w:rPr>
        <w:t>asked of the court</w:t>
      </w:r>
      <w:r w:rsidR="008E5A1E" w:rsidRPr="002C088C">
        <w:rPr>
          <w:rFonts w:ascii="Garamond" w:eastAsia="PMingLiU" w:hAnsi="Garamond"/>
          <w:sz w:val="24"/>
          <w:szCs w:val="24"/>
          <w:lang w:eastAsia="zh-TW"/>
        </w:rPr>
        <w:t>,</w:t>
      </w:r>
      <w:r w:rsidR="00587184" w:rsidRPr="002C088C">
        <w:rPr>
          <w:rFonts w:ascii="Garamond" w:eastAsia="PMingLiU" w:hAnsi="Garamond"/>
          <w:sz w:val="24"/>
          <w:szCs w:val="24"/>
          <w:lang w:eastAsia="zh-TW"/>
        </w:rPr>
        <w:t xml:space="preserve"> </w:t>
      </w:r>
      <w:r w:rsidR="00017A9B" w:rsidRPr="002C088C">
        <w:rPr>
          <w:rFonts w:ascii="Garamond" w:eastAsia="PMingLiU" w:hAnsi="Garamond"/>
          <w:sz w:val="24"/>
          <w:szCs w:val="24"/>
          <w:lang w:eastAsia="zh-TW"/>
        </w:rPr>
        <w:t>some other procedural</w:t>
      </w:r>
      <w:r w:rsidR="008E5A1E" w:rsidRPr="002C088C">
        <w:rPr>
          <w:rFonts w:ascii="Garamond" w:eastAsia="PMingLiU" w:hAnsi="Garamond"/>
          <w:sz w:val="24"/>
          <w:szCs w:val="24"/>
          <w:lang w:eastAsia="zh-TW"/>
        </w:rPr>
        <w:t xml:space="preserve"> m</w:t>
      </w:r>
      <w:r w:rsidR="00587184" w:rsidRPr="002C088C">
        <w:rPr>
          <w:rFonts w:ascii="Garamond" w:eastAsia="PMingLiU" w:hAnsi="Garamond"/>
          <w:sz w:val="24"/>
          <w:szCs w:val="24"/>
          <w:lang w:eastAsia="zh-TW"/>
        </w:rPr>
        <w:t>echanism might</w:t>
      </w:r>
      <w:r w:rsidR="003234A0" w:rsidRPr="002C088C">
        <w:rPr>
          <w:rFonts w:ascii="Garamond" w:eastAsia="PMingLiU" w:hAnsi="Garamond"/>
          <w:sz w:val="24"/>
          <w:szCs w:val="24"/>
          <w:lang w:eastAsia="zh-TW"/>
        </w:rPr>
        <w:t>, the account offered here suggests,</w:t>
      </w:r>
      <w:r w:rsidR="00587184" w:rsidRPr="002C088C">
        <w:rPr>
          <w:rFonts w:ascii="Garamond" w:eastAsia="PMingLiU" w:hAnsi="Garamond"/>
          <w:sz w:val="24"/>
          <w:szCs w:val="24"/>
          <w:lang w:eastAsia="zh-TW"/>
        </w:rPr>
        <w:t xml:space="preserve"> be employed</w:t>
      </w:r>
      <w:r w:rsidR="004F2051" w:rsidRPr="002C088C">
        <w:rPr>
          <w:rFonts w:ascii="Garamond" w:eastAsia="PMingLiU" w:hAnsi="Garamond"/>
          <w:sz w:val="24"/>
          <w:szCs w:val="24"/>
          <w:lang w:eastAsia="zh-TW"/>
        </w:rPr>
        <w:t xml:space="preserve"> if to do</w:t>
      </w:r>
      <w:r w:rsidR="00FA4409" w:rsidRPr="002C088C">
        <w:rPr>
          <w:rFonts w:ascii="Garamond" w:eastAsia="PMingLiU" w:hAnsi="Garamond"/>
          <w:sz w:val="24"/>
          <w:szCs w:val="24"/>
          <w:lang w:eastAsia="zh-TW"/>
        </w:rPr>
        <w:t xml:space="preserve"> so were</w:t>
      </w:r>
      <w:r w:rsidR="0056193F" w:rsidRPr="002C088C">
        <w:rPr>
          <w:rFonts w:ascii="Garamond" w:eastAsia="PMingLiU" w:hAnsi="Garamond"/>
          <w:sz w:val="24"/>
          <w:szCs w:val="24"/>
          <w:lang w:eastAsia="zh-TW"/>
        </w:rPr>
        <w:t xml:space="preserve"> </w:t>
      </w:r>
      <w:r w:rsidR="00FA4409" w:rsidRPr="002C088C">
        <w:rPr>
          <w:rFonts w:ascii="Garamond" w:eastAsia="PMingLiU" w:hAnsi="Garamond"/>
          <w:sz w:val="24"/>
          <w:szCs w:val="24"/>
          <w:lang w:eastAsia="zh-TW"/>
        </w:rPr>
        <w:t>possible from the point of view of</w:t>
      </w:r>
      <w:r w:rsidR="00EC508B" w:rsidRPr="002C088C">
        <w:rPr>
          <w:rFonts w:ascii="Garamond" w:eastAsia="PMingLiU" w:hAnsi="Garamond"/>
          <w:sz w:val="24"/>
          <w:szCs w:val="24"/>
          <w:lang w:eastAsia="zh-TW"/>
        </w:rPr>
        <w:t xml:space="preserve"> the</w:t>
      </w:r>
      <w:r w:rsidR="00FA4409" w:rsidRPr="002C088C">
        <w:rPr>
          <w:rFonts w:ascii="Garamond" w:eastAsia="PMingLiU" w:hAnsi="Garamond"/>
          <w:sz w:val="24"/>
          <w:szCs w:val="24"/>
          <w:lang w:eastAsia="zh-TW"/>
        </w:rPr>
        <w:t xml:space="preserve"> </w:t>
      </w:r>
      <w:r w:rsidR="00353A14" w:rsidRPr="002C088C">
        <w:rPr>
          <w:rFonts w:ascii="Garamond" w:eastAsia="PMingLiU" w:hAnsi="Garamond"/>
          <w:sz w:val="24"/>
          <w:szCs w:val="24"/>
          <w:lang w:eastAsia="zh-TW"/>
        </w:rPr>
        <w:t>constitutional principle</w:t>
      </w:r>
      <w:r w:rsidR="00D931D9" w:rsidRPr="002C088C">
        <w:rPr>
          <w:rFonts w:ascii="Garamond" w:eastAsia="PMingLiU" w:hAnsi="Garamond"/>
          <w:sz w:val="24"/>
          <w:szCs w:val="24"/>
          <w:lang w:eastAsia="zh-TW"/>
        </w:rPr>
        <w:t xml:space="preserve"> to which we now turn.</w:t>
      </w:r>
      <w:r w:rsidR="00AD268F" w:rsidRPr="002C088C">
        <w:rPr>
          <w:rFonts w:ascii="Garamond" w:eastAsia="PMingLiU" w:hAnsi="Garamond"/>
          <w:sz w:val="24"/>
          <w:szCs w:val="24"/>
          <w:lang w:eastAsia="zh-TW"/>
        </w:rPr>
        <w:t xml:space="preserve"> </w:t>
      </w:r>
      <w:r w:rsidR="00230B11">
        <w:rPr>
          <w:rFonts w:ascii="Garamond" w:eastAsia="PMingLiU" w:hAnsi="Garamond"/>
          <w:sz w:val="24"/>
          <w:szCs w:val="24"/>
          <w:lang w:eastAsia="zh-TW"/>
        </w:rPr>
        <w:t>If t</w:t>
      </w:r>
      <w:r w:rsidR="00260DF8">
        <w:rPr>
          <w:rFonts w:ascii="Garamond" w:eastAsia="PMingLiU" w:hAnsi="Garamond"/>
          <w:sz w:val="24"/>
          <w:szCs w:val="24"/>
          <w:lang w:eastAsia="zh-TW"/>
        </w:rPr>
        <w:t xml:space="preserve">he category of </w:t>
      </w:r>
      <w:r w:rsidR="001423BE">
        <w:rPr>
          <w:rFonts w:ascii="Garamond" w:eastAsia="PMingLiU" w:hAnsi="Garamond"/>
          <w:sz w:val="24"/>
          <w:szCs w:val="24"/>
          <w:lang w:eastAsia="zh-TW"/>
        </w:rPr>
        <w:t xml:space="preserve">procedural mechanisms which </w:t>
      </w:r>
      <w:r w:rsidR="009A39A4">
        <w:rPr>
          <w:rFonts w:ascii="Garamond" w:eastAsia="PMingLiU" w:hAnsi="Garamond"/>
          <w:sz w:val="24"/>
          <w:szCs w:val="24"/>
          <w:lang w:eastAsia="zh-TW"/>
        </w:rPr>
        <w:t xml:space="preserve">employ the courts’ inherent jurisdiction </w:t>
      </w:r>
      <w:r w:rsidR="003302C4">
        <w:rPr>
          <w:rFonts w:ascii="Garamond" w:eastAsia="PMingLiU" w:hAnsi="Garamond"/>
          <w:sz w:val="24"/>
          <w:szCs w:val="24"/>
          <w:lang w:eastAsia="zh-TW"/>
        </w:rPr>
        <w:t>to pro</w:t>
      </w:r>
      <w:r w:rsidR="00E13457">
        <w:rPr>
          <w:rFonts w:ascii="Garamond" w:eastAsia="PMingLiU" w:hAnsi="Garamond"/>
          <w:sz w:val="24"/>
          <w:szCs w:val="24"/>
          <w:lang w:eastAsia="zh-TW"/>
        </w:rPr>
        <w:t>tect the public interest is not</w:t>
      </w:r>
      <w:r w:rsidR="00230B11">
        <w:rPr>
          <w:rFonts w:ascii="Garamond" w:eastAsia="PMingLiU" w:hAnsi="Garamond"/>
          <w:sz w:val="24"/>
          <w:szCs w:val="24"/>
          <w:lang w:eastAsia="zh-TW"/>
        </w:rPr>
        <w:t xml:space="preserve"> </w:t>
      </w:r>
      <w:r w:rsidR="003302C4">
        <w:rPr>
          <w:rFonts w:ascii="Garamond" w:eastAsia="PMingLiU" w:hAnsi="Garamond"/>
          <w:sz w:val="24"/>
          <w:szCs w:val="24"/>
          <w:lang w:eastAsia="zh-TW"/>
        </w:rPr>
        <w:t xml:space="preserve">closed </w:t>
      </w:r>
      <w:r w:rsidR="00230B11">
        <w:rPr>
          <w:rFonts w:ascii="Garamond" w:eastAsia="PMingLiU" w:hAnsi="Garamond"/>
          <w:sz w:val="24"/>
          <w:szCs w:val="24"/>
          <w:lang w:eastAsia="zh-TW"/>
        </w:rPr>
        <w:t xml:space="preserve">then there is </w:t>
      </w:r>
      <w:r w:rsidR="00C178EE">
        <w:rPr>
          <w:rFonts w:ascii="Garamond" w:eastAsia="PMingLiU" w:hAnsi="Garamond"/>
          <w:sz w:val="24"/>
          <w:szCs w:val="24"/>
          <w:lang w:eastAsia="zh-TW"/>
        </w:rPr>
        <w:t xml:space="preserve">further </w:t>
      </w:r>
      <w:r w:rsidR="00222A31">
        <w:rPr>
          <w:rFonts w:ascii="Garamond" w:eastAsia="PMingLiU" w:hAnsi="Garamond"/>
          <w:sz w:val="24"/>
          <w:szCs w:val="24"/>
          <w:lang w:eastAsia="zh-TW"/>
        </w:rPr>
        <w:t xml:space="preserve">reason for desiring that the limiting </w:t>
      </w:r>
      <w:r w:rsidR="0085625F">
        <w:rPr>
          <w:rFonts w:ascii="Garamond" w:eastAsia="PMingLiU" w:hAnsi="Garamond"/>
          <w:sz w:val="24"/>
          <w:szCs w:val="24"/>
          <w:lang w:eastAsia="zh-TW"/>
        </w:rPr>
        <w:t xml:space="preserve">rules arising out of the context of </w:t>
      </w:r>
      <w:r w:rsidR="0081283C">
        <w:rPr>
          <w:rFonts w:ascii="Garamond" w:eastAsia="PMingLiU" w:hAnsi="Garamond"/>
          <w:sz w:val="24"/>
          <w:szCs w:val="24"/>
          <w:lang w:eastAsia="zh-TW"/>
        </w:rPr>
        <w:t xml:space="preserve">PII are </w:t>
      </w:r>
      <w:r w:rsidR="00E31E78">
        <w:rPr>
          <w:rFonts w:ascii="Garamond" w:eastAsia="PMingLiU" w:hAnsi="Garamond"/>
          <w:sz w:val="24"/>
          <w:szCs w:val="24"/>
          <w:lang w:eastAsia="zh-TW"/>
        </w:rPr>
        <w:t>transposed</w:t>
      </w:r>
      <w:r w:rsidR="0081283C">
        <w:rPr>
          <w:rFonts w:ascii="Garamond" w:eastAsia="PMingLiU" w:hAnsi="Garamond"/>
          <w:sz w:val="24"/>
          <w:szCs w:val="24"/>
          <w:lang w:eastAsia="zh-TW"/>
        </w:rPr>
        <w:t>, as far as</w:t>
      </w:r>
      <w:r w:rsidR="00243235">
        <w:rPr>
          <w:rFonts w:ascii="Garamond" w:eastAsia="PMingLiU" w:hAnsi="Garamond"/>
          <w:sz w:val="24"/>
          <w:szCs w:val="24"/>
          <w:lang w:eastAsia="zh-TW"/>
        </w:rPr>
        <w:t xml:space="preserve"> is</w:t>
      </w:r>
      <w:r w:rsidR="0081283C">
        <w:rPr>
          <w:rFonts w:ascii="Garamond" w:eastAsia="PMingLiU" w:hAnsi="Garamond"/>
          <w:sz w:val="24"/>
          <w:szCs w:val="24"/>
          <w:lang w:eastAsia="zh-TW"/>
        </w:rPr>
        <w:t xml:space="preserve"> possible, </w:t>
      </w:r>
      <w:r w:rsidR="002A423A">
        <w:rPr>
          <w:rFonts w:ascii="Garamond" w:eastAsia="PMingLiU" w:hAnsi="Garamond"/>
          <w:sz w:val="24"/>
          <w:szCs w:val="24"/>
          <w:lang w:eastAsia="zh-TW"/>
        </w:rPr>
        <w:t xml:space="preserve">to </w:t>
      </w:r>
      <w:r w:rsidR="00CC767B">
        <w:rPr>
          <w:rFonts w:ascii="Garamond" w:eastAsia="PMingLiU" w:hAnsi="Garamond"/>
          <w:sz w:val="24"/>
          <w:szCs w:val="24"/>
          <w:lang w:eastAsia="zh-TW"/>
        </w:rPr>
        <w:t xml:space="preserve">novel </w:t>
      </w:r>
      <w:r w:rsidR="000B6CEC">
        <w:rPr>
          <w:rFonts w:ascii="Garamond" w:eastAsia="PMingLiU" w:hAnsi="Garamond"/>
          <w:sz w:val="24"/>
          <w:szCs w:val="24"/>
          <w:lang w:eastAsia="zh-TW"/>
        </w:rPr>
        <w:t>exercises of that jurisdiction</w:t>
      </w:r>
      <w:r w:rsidR="005A2412">
        <w:rPr>
          <w:rFonts w:ascii="Garamond" w:eastAsia="PMingLiU" w:hAnsi="Garamond"/>
          <w:sz w:val="24"/>
          <w:szCs w:val="24"/>
          <w:lang w:eastAsia="zh-TW"/>
        </w:rPr>
        <w:t>.</w:t>
      </w:r>
    </w:p>
    <w:p w:rsidR="00551FBB" w:rsidRPr="002C088C" w:rsidRDefault="00551FBB" w:rsidP="000C2DB7">
      <w:pPr>
        <w:spacing w:after="0" w:line="480" w:lineRule="auto"/>
        <w:jc w:val="both"/>
        <w:rPr>
          <w:rFonts w:ascii="Garamond" w:eastAsia="PMingLiU" w:hAnsi="Garamond"/>
          <w:sz w:val="24"/>
          <w:szCs w:val="24"/>
          <w:lang w:eastAsia="zh-TW"/>
        </w:rPr>
      </w:pPr>
    </w:p>
    <w:p w:rsidR="00B05A7C" w:rsidRPr="005826B8" w:rsidRDefault="005826B8" w:rsidP="005826B8">
      <w:pPr>
        <w:spacing w:after="0" w:line="480" w:lineRule="auto"/>
        <w:jc w:val="center"/>
        <w:rPr>
          <w:rFonts w:ascii="Garamond" w:eastAsia="PMingLiU" w:hAnsi="Garamond"/>
          <w:bCs/>
          <w:sz w:val="24"/>
          <w:szCs w:val="24"/>
          <w:lang w:eastAsia="zh-TW"/>
        </w:rPr>
      </w:pPr>
      <w:r w:rsidRPr="005826B8">
        <w:rPr>
          <w:rFonts w:ascii="Garamond" w:eastAsia="PMingLiU" w:hAnsi="Garamond"/>
          <w:bCs/>
          <w:sz w:val="24"/>
          <w:szCs w:val="24"/>
          <w:lang w:eastAsia="zh-TW"/>
        </w:rPr>
        <w:lastRenderedPageBreak/>
        <w:t>IV.</w:t>
      </w:r>
      <w:r>
        <w:rPr>
          <w:rFonts w:ascii="Garamond" w:eastAsia="PMingLiU" w:hAnsi="Garamond"/>
          <w:bCs/>
          <w:sz w:val="24"/>
          <w:szCs w:val="24"/>
          <w:lang w:eastAsia="zh-TW"/>
        </w:rPr>
        <w:t xml:space="preserve"> </w:t>
      </w:r>
      <w:r w:rsidR="00311314" w:rsidRPr="005826B8">
        <w:rPr>
          <w:rFonts w:ascii="Garamond" w:eastAsia="PMingLiU" w:hAnsi="Garamond"/>
          <w:bCs/>
          <w:sz w:val="24"/>
          <w:szCs w:val="24"/>
          <w:lang w:eastAsia="zh-TW"/>
        </w:rPr>
        <w:t>PII, ‘</w:t>
      </w:r>
      <w:r w:rsidR="00B05A7C" w:rsidRPr="005826B8">
        <w:rPr>
          <w:rFonts w:ascii="Garamond" w:eastAsia="PMingLiU" w:hAnsi="Garamond"/>
          <w:bCs/>
          <w:sz w:val="24"/>
          <w:szCs w:val="24"/>
          <w:lang w:eastAsia="zh-TW"/>
        </w:rPr>
        <w:t>secret trials</w:t>
      </w:r>
      <w:r w:rsidR="00311314" w:rsidRPr="005826B8">
        <w:rPr>
          <w:rFonts w:ascii="Garamond" w:eastAsia="PMingLiU" w:hAnsi="Garamond"/>
          <w:bCs/>
          <w:sz w:val="24"/>
          <w:szCs w:val="24"/>
          <w:lang w:eastAsia="zh-TW"/>
        </w:rPr>
        <w:t xml:space="preserve">’, and </w:t>
      </w:r>
      <w:r w:rsidR="00177F7C" w:rsidRPr="005826B8">
        <w:rPr>
          <w:rFonts w:ascii="Garamond" w:eastAsia="PMingLiU" w:hAnsi="Garamond"/>
          <w:bCs/>
          <w:sz w:val="24"/>
          <w:szCs w:val="24"/>
          <w:lang w:eastAsia="zh-TW"/>
        </w:rPr>
        <w:t>constitutional principle</w:t>
      </w:r>
    </w:p>
    <w:p w:rsidR="003B5920" w:rsidRPr="002C088C" w:rsidRDefault="003B5920" w:rsidP="000C2DB7">
      <w:pPr>
        <w:spacing w:after="0" w:line="480" w:lineRule="auto"/>
        <w:jc w:val="both"/>
        <w:rPr>
          <w:rFonts w:ascii="Garamond" w:eastAsia="PMingLiU" w:hAnsi="Garamond"/>
          <w:sz w:val="24"/>
          <w:szCs w:val="24"/>
          <w:lang w:eastAsia="zh-TW"/>
        </w:rPr>
      </w:pPr>
    </w:p>
    <w:p w:rsidR="00E845DF" w:rsidRPr="002C088C" w:rsidRDefault="00026105" w:rsidP="000C2DB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T</w:t>
      </w:r>
      <w:r w:rsidR="00136D8F" w:rsidRPr="002C088C">
        <w:rPr>
          <w:rFonts w:ascii="Garamond" w:eastAsia="PMingLiU" w:hAnsi="Garamond"/>
          <w:sz w:val="24"/>
          <w:szCs w:val="24"/>
          <w:lang w:eastAsia="zh-TW"/>
        </w:rPr>
        <w:t xml:space="preserve">hat the two mechanisms respond to variations in the sensitivity of material with different degrees of </w:t>
      </w:r>
      <w:r w:rsidR="002B406B">
        <w:rPr>
          <w:rFonts w:ascii="Garamond" w:eastAsia="PMingLiU" w:hAnsi="Garamond"/>
          <w:sz w:val="24"/>
          <w:szCs w:val="24"/>
          <w:lang w:eastAsia="zh-TW"/>
        </w:rPr>
        <w:t>(non-)disclosure</w:t>
      </w:r>
      <w:r w:rsidR="00D83586" w:rsidRPr="002C088C">
        <w:rPr>
          <w:rFonts w:ascii="Garamond" w:eastAsia="PMingLiU" w:hAnsi="Garamond"/>
          <w:sz w:val="24"/>
          <w:szCs w:val="24"/>
          <w:lang w:eastAsia="zh-TW"/>
        </w:rPr>
        <w:t xml:space="preserve"> </w:t>
      </w:r>
      <w:r w:rsidR="00D036E2" w:rsidRPr="002C088C">
        <w:rPr>
          <w:rFonts w:ascii="Garamond" w:eastAsia="PMingLiU" w:hAnsi="Garamond"/>
          <w:sz w:val="24"/>
          <w:szCs w:val="24"/>
          <w:lang w:eastAsia="zh-TW"/>
        </w:rPr>
        <w:t>is relevant</w:t>
      </w:r>
      <w:r w:rsidR="0011009E">
        <w:rPr>
          <w:rFonts w:ascii="Garamond" w:eastAsia="PMingLiU" w:hAnsi="Garamond"/>
          <w:sz w:val="24"/>
          <w:szCs w:val="24"/>
          <w:lang w:eastAsia="zh-TW"/>
        </w:rPr>
        <w:t xml:space="preserve"> also</w:t>
      </w:r>
      <w:r w:rsidR="00D036E2" w:rsidRPr="002C088C">
        <w:rPr>
          <w:rFonts w:ascii="Garamond" w:eastAsia="PMingLiU" w:hAnsi="Garamond"/>
          <w:sz w:val="24"/>
          <w:szCs w:val="24"/>
          <w:lang w:eastAsia="zh-TW"/>
        </w:rPr>
        <w:t xml:space="preserve"> to their relationship with the constitutional principles which </w:t>
      </w:r>
      <w:r w:rsidR="007D7C03">
        <w:rPr>
          <w:rFonts w:ascii="Garamond" w:eastAsia="PMingLiU" w:hAnsi="Garamond"/>
          <w:sz w:val="24"/>
          <w:szCs w:val="24"/>
          <w:lang w:eastAsia="zh-TW"/>
        </w:rPr>
        <w:t>structure</w:t>
      </w:r>
      <w:r w:rsidR="00D036E2" w:rsidRPr="002C088C">
        <w:rPr>
          <w:rFonts w:ascii="Garamond" w:eastAsia="PMingLiU" w:hAnsi="Garamond"/>
          <w:sz w:val="24"/>
          <w:szCs w:val="24"/>
          <w:lang w:eastAsia="zh-TW"/>
        </w:rPr>
        <w:t xml:space="preserve"> the </w:t>
      </w:r>
      <w:r w:rsidR="00AE0C50" w:rsidRPr="002C088C">
        <w:rPr>
          <w:rFonts w:ascii="Garamond" w:eastAsia="PMingLiU" w:hAnsi="Garamond"/>
          <w:sz w:val="24"/>
          <w:szCs w:val="24"/>
          <w:lang w:eastAsia="zh-TW"/>
        </w:rPr>
        <w:t>courts’ ability to innovate procedurally.</w:t>
      </w:r>
      <w:r w:rsidR="00136D8F" w:rsidRPr="002C088C">
        <w:rPr>
          <w:rFonts w:ascii="Garamond" w:eastAsia="PMingLiU" w:hAnsi="Garamond"/>
          <w:sz w:val="24"/>
          <w:szCs w:val="24"/>
          <w:lang w:eastAsia="zh-TW"/>
        </w:rPr>
        <w:t xml:space="preserve"> </w:t>
      </w:r>
      <w:r w:rsidR="00E845DF" w:rsidRPr="002C088C">
        <w:rPr>
          <w:rFonts w:ascii="Garamond" w:eastAsia="PMingLiU" w:hAnsi="Garamond"/>
          <w:sz w:val="24"/>
          <w:szCs w:val="24"/>
          <w:lang w:eastAsia="zh-TW"/>
        </w:rPr>
        <w:t xml:space="preserve">The first relevant </w:t>
      </w:r>
      <w:r w:rsidR="003A187F" w:rsidRPr="002C088C">
        <w:rPr>
          <w:rFonts w:ascii="Garamond" w:eastAsia="PMingLiU" w:hAnsi="Garamond"/>
          <w:sz w:val="24"/>
          <w:szCs w:val="24"/>
          <w:lang w:eastAsia="zh-TW"/>
        </w:rPr>
        <w:t xml:space="preserve">constitutional </w:t>
      </w:r>
      <w:r w:rsidR="00E845DF" w:rsidRPr="002C088C">
        <w:rPr>
          <w:rFonts w:ascii="Garamond" w:eastAsia="PMingLiU" w:hAnsi="Garamond"/>
          <w:sz w:val="24"/>
          <w:szCs w:val="24"/>
          <w:lang w:eastAsia="zh-TW"/>
        </w:rPr>
        <w:t>principle is that of open justice</w:t>
      </w:r>
      <w:proofErr w:type="gramStart"/>
      <w:r w:rsidR="00E845DF" w:rsidRPr="002C088C">
        <w:rPr>
          <w:rFonts w:ascii="Garamond" w:eastAsia="PMingLiU" w:hAnsi="Garamond"/>
          <w:sz w:val="24"/>
          <w:szCs w:val="24"/>
          <w:lang w:eastAsia="zh-TW"/>
        </w:rPr>
        <w:t>,</w:t>
      </w:r>
      <w:proofErr w:type="gramEnd"/>
      <w:r w:rsidR="00E6620B" w:rsidRPr="002C088C">
        <w:rPr>
          <w:rStyle w:val="FootnoteReference"/>
          <w:rFonts w:ascii="Garamond" w:eastAsia="PMingLiU" w:hAnsi="Garamond"/>
          <w:sz w:val="24"/>
          <w:szCs w:val="24"/>
          <w:lang w:eastAsia="zh-TW"/>
        </w:rPr>
        <w:t xml:space="preserve"> </w:t>
      </w:r>
      <w:r w:rsidR="003A187F" w:rsidRPr="002C088C">
        <w:rPr>
          <w:rFonts w:ascii="Garamond" w:eastAsia="PMingLiU" w:hAnsi="Garamond"/>
          <w:sz w:val="24"/>
          <w:szCs w:val="24"/>
          <w:lang w:eastAsia="zh-TW"/>
        </w:rPr>
        <w:t>which</w:t>
      </w:r>
      <w:r w:rsidR="00C6315C">
        <w:rPr>
          <w:rFonts w:ascii="Garamond" w:eastAsia="PMingLiU" w:hAnsi="Garamond"/>
          <w:sz w:val="24"/>
          <w:szCs w:val="24"/>
          <w:lang w:eastAsia="zh-TW"/>
        </w:rPr>
        <w:t xml:space="preserve"> has been glossed in a leading recent Supreme Court decision as requiring that</w:t>
      </w:r>
      <w:r w:rsidR="003A187F" w:rsidRPr="002C088C">
        <w:rPr>
          <w:rFonts w:ascii="Garamond" w:eastAsia="PMingLiU" w:hAnsi="Garamond"/>
          <w:sz w:val="24"/>
          <w:szCs w:val="24"/>
          <w:lang w:eastAsia="zh-TW"/>
        </w:rPr>
        <w:t xml:space="preserve"> </w:t>
      </w:r>
      <w:r w:rsidR="000A4C7C">
        <w:rPr>
          <w:rFonts w:ascii="Garamond" w:eastAsia="PMingLiU" w:hAnsi="Garamond"/>
          <w:sz w:val="24"/>
          <w:szCs w:val="24"/>
          <w:lang w:eastAsia="zh-TW"/>
        </w:rPr>
        <w:t>“judicial processes should be open to public scrutiny unless and to the that there are valid countervailing reasons.”</w:t>
      </w:r>
      <w:r w:rsidR="00312006" w:rsidRPr="002C088C">
        <w:rPr>
          <w:rStyle w:val="FootnoteReference"/>
          <w:rFonts w:ascii="Garamond" w:eastAsia="PMingLiU" w:hAnsi="Garamond"/>
          <w:sz w:val="24"/>
          <w:szCs w:val="24"/>
          <w:lang w:eastAsia="zh-TW"/>
        </w:rPr>
        <w:footnoteReference w:id="66"/>
      </w:r>
      <w:r w:rsidR="003A187F" w:rsidRPr="002C088C">
        <w:rPr>
          <w:rFonts w:ascii="Garamond" w:eastAsia="PMingLiU" w:hAnsi="Garamond"/>
          <w:sz w:val="24"/>
          <w:szCs w:val="24"/>
          <w:lang w:eastAsia="zh-TW"/>
        </w:rPr>
        <w:t xml:space="preserve"> </w:t>
      </w:r>
      <w:r w:rsidR="00FD6A59">
        <w:rPr>
          <w:rFonts w:ascii="Garamond" w:eastAsia="PMingLiU" w:hAnsi="Garamond"/>
          <w:sz w:val="24"/>
          <w:szCs w:val="24"/>
          <w:lang w:eastAsia="zh-TW"/>
        </w:rPr>
        <w:t xml:space="preserve">It is necessary to insist however, that </w:t>
      </w:r>
      <w:r w:rsidR="00736D7F">
        <w:rPr>
          <w:rFonts w:ascii="Garamond" w:eastAsia="PMingLiU" w:hAnsi="Garamond"/>
          <w:sz w:val="24"/>
          <w:szCs w:val="24"/>
          <w:lang w:eastAsia="zh-TW"/>
        </w:rPr>
        <w:t xml:space="preserve">the principle itself </w:t>
      </w:r>
      <w:r w:rsidR="00EE6159">
        <w:rPr>
          <w:rFonts w:ascii="Garamond" w:eastAsia="PMingLiU" w:hAnsi="Garamond"/>
          <w:sz w:val="24"/>
          <w:szCs w:val="24"/>
          <w:lang w:eastAsia="zh-TW"/>
        </w:rPr>
        <w:t xml:space="preserve">is captured by the first half of this definition: where there are valid countervailing reasons, we are dealing with a justified </w:t>
      </w:r>
      <w:r w:rsidR="00A36CA3">
        <w:rPr>
          <w:rFonts w:ascii="Garamond" w:eastAsia="PMingLiU" w:hAnsi="Garamond"/>
          <w:sz w:val="24"/>
          <w:szCs w:val="24"/>
          <w:lang w:eastAsia="zh-TW"/>
        </w:rPr>
        <w:t xml:space="preserve">interference with or departure from the constitutional principle, but the interference or departure is no less real because justified. </w:t>
      </w:r>
      <w:r w:rsidR="00F570B5" w:rsidRPr="002C088C">
        <w:rPr>
          <w:rFonts w:ascii="Garamond" w:eastAsia="PMingLiU" w:hAnsi="Garamond"/>
          <w:sz w:val="24"/>
          <w:szCs w:val="24"/>
          <w:lang w:eastAsia="zh-TW"/>
        </w:rPr>
        <w:t xml:space="preserve">The courts </w:t>
      </w:r>
      <w:r w:rsidR="000A5F3E" w:rsidRPr="002C088C">
        <w:rPr>
          <w:rFonts w:ascii="Garamond" w:eastAsia="PMingLiU" w:hAnsi="Garamond"/>
          <w:sz w:val="24"/>
          <w:szCs w:val="24"/>
          <w:lang w:eastAsia="zh-TW"/>
        </w:rPr>
        <w:t xml:space="preserve">seem – though without great clarity – to </w:t>
      </w:r>
      <w:r w:rsidR="00F570B5" w:rsidRPr="002C088C">
        <w:rPr>
          <w:rFonts w:ascii="Garamond" w:eastAsia="PMingLiU" w:hAnsi="Garamond"/>
          <w:sz w:val="24"/>
          <w:szCs w:val="24"/>
          <w:lang w:eastAsia="zh-TW"/>
        </w:rPr>
        <w:t>have taken that view that PII is not p</w:t>
      </w:r>
      <w:r w:rsidR="00461211" w:rsidRPr="002C088C">
        <w:rPr>
          <w:rFonts w:ascii="Garamond" w:eastAsia="PMingLiU" w:hAnsi="Garamond"/>
          <w:sz w:val="24"/>
          <w:szCs w:val="24"/>
          <w:lang w:eastAsia="zh-TW"/>
        </w:rPr>
        <w:t xml:space="preserve">er se a breach of open justice. In </w:t>
      </w:r>
      <w:r w:rsidR="00461211" w:rsidRPr="002C088C">
        <w:rPr>
          <w:rFonts w:ascii="Garamond" w:eastAsia="PMingLiU" w:hAnsi="Garamond"/>
          <w:i/>
          <w:sz w:val="24"/>
          <w:szCs w:val="24"/>
          <w:lang w:eastAsia="zh-TW"/>
        </w:rPr>
        <w:t>Al Raw</w:t>
      </w:r>
      <w:r w:rsidR="00A47083" w:rsidRPr="002C088C">
        <w:rPr>
          <w:rFonts w:ascii="Garamond" w:eastAsia="PMingLiU" w:hAnsi="Garamond"/>
          <w:i/>
          <w:sz w:val="24"/>
          <w:szCs w:val="24"/>
          <w:lang w:eastAsia="zh-TW"/>
        </w:rPr>
        <w:t>i</w:t>
      </w:r>
      <w:r w:rsidR="00461211" w:rsidRPr="002C088C">
        <w:rPr>
          <w:rFonts w:ascii="Garamond" w:eastAsia="PMingLiU" w:hAnsi="Garamond"/>
          <w:i/>
          <w:sz w:val="24"/>
          <w:szCs w:val="24"/>
          <w:lang w:eastAsia="zh-TW"/>
        </w:rPr>
        <w:t xml:space="preserve"> </w:t>
      </w:r>
      <w:r w:rsidR="00A47083" w:rsidRPr="002C088C">
        <w:rPr>
          <w:rFonts w:ascii="Garamond" w:eastAsia="PMingLiU" w:hAnsi="Garamond"/>
          <w:i/>
          <w:sz w:val="24"/>
          <w:szCs w:val="24"/>
          <w:lang w:eastAsia="zh-TW"/>
        </w:rPr>
        <w:t>v Security Services</w:t>
      </w:r>
      <w:r w:rsidR="006E2604">
        <w:rPr>
          <w:rFonts w:ascii="Garamond" w:eastAsia="PMingLiU" w:hAnsi="Garamond"/>
          <w:sz w:val="24"/>
          <w:szCs w:val="24"/>
          <w:lang w:eastAsia="zh-TW"/>
        </w:rPr>
        <w:t>, Lord Dyson noted that the PII process has evolved to permit the use special advocates and</w:t>
      </w:r>
      <w:r w:rsidR="00726F58" w:rsidRPr="002C088C">
        <w:rPr>
          <w:rFonts w:ascii="Garamond" w:eastAsia="PMingLiU" w:hAnsi="Garamond"/>
          <w:sz w:val="24"/>
          <w:szCs w:val="24"/>
          <w:lang w:eastAsia="zh-TW"/>
        </w:rPr>
        <w:t xml:space="preserve"> that </w:t>
      </w:r>
      <w:r w:rsidR="002628A5" w:rsidRPr="002C088C">
        <w:rPr>
          <w:rFonts w:ascii="Garamond" w:eastAsia="PMingLiU" w:hAnsi="Garamond"/>
          <w:sz w:val="24"/>
          <w:szCs w:val="24"/>
          <w:lang w:eastAsia="zh-TW"/>
        </w:rPr>
        <w:t>“</w:t>
      </w:r>
      <w:r w:rsidR="009179D7">
        <w:rPr>
          <w:rFonts w:ascii="Garamond" w:eastAsia="PMingLiU" w:hAnsi="Garamond"/>
          <w:sz w:val="24"/>
          <w:szCs w:val="24"/>
          <w:lang w:eastAsia="zh-TW"/>
        </w:rPr>
        <w:t xml:space="preserve">[t]here can be no objections to the use of special advocates </w:t>
      </w:r>
      <w:r w:rsidR="007D45C2">
        <w:rPr>
          <w:rFonts w:ascii="Garamond" w:eastAsia="PMingLiU" w:hAnsi="Garamond"/>
          <w:sz w:val="24"/>
          <w:szCs w:val="24"/>
          <w:lang w:eastAsia="zh-TW"/>
        </w:rPr>
        <w:t>for that purpose, since the PII process fully respects the principles of open justice and natural justice</w:t>
      </w:r>
      <w:r w:rsidR="002628A5" w:rsidRPr="002C088C">
        <w:rPr>
          <w:rFonts w:ascii="Garamond" w:eastAsia="PMingLiU" w:hAnsi="Garamond"/>
          <w:sz w:val="24"/>
          <w:szCs w:val="24"/>
          <w:lang w:eastAsia="zh-TW"/>
        </w:rPr>
        <w:t>”</w:t>
      </w:r>
      <w:r w:rsidR="00726F58" w:rsidRPr="002C088C">
        <w:rPr>
          <w:rFonts w:ascii="Garamond" w:eastAsia="PMingLiU" w:hAnsi="Garamond"/>
          <w:sz w:val="24"/>
          <w:szCs w:val="24"/>
          <w:lang w:eastAsia="zh-TW"/>
        </w:rPr>
        <w:t>.</w:t>
      </w:r>
      <w:r w:rsidR="002628A5" w:rsidRPr="002C088C">
        <w:rPr>
          <w:rStyle w:val="FootnoteReference"/>
          <w:rFonts w:ascii="Garamond" w:eastAsia="PMingLiU" w:hAnsi="Garamond"/>
          <w:sz w:val="24"/>
          <w:szCs w:val="24"/>
          <w:lang w:eastAsia="zh-TW"/>
        </w:rPr>
        <w:footnoteReference w:id="67"/>
      </w:r>
      <w:r w:rsidR="00726F58" w:rsidRPr="002C088C">
        <w:rPr>
          <w:rFonts w:ascii="Garamond" w:eastAsia="PMingLiU" w:hAnsi="Garamond"/>
          <w:sz w:val="24"/>
          <w:szCs w:val="24"/>
          <w:lang w:eastAsia="zh-TW"/>
        </w:rPr>
        <w:t xml:space="preserve"> </w:t>
      </w:r>
      <w:r w:rsidR="00986B36" w:rsidRPr="002C088C">
        <w:rPr>
          <w:rFonts w:ascii="Garamond" w:eastAsia="PMingLiU" w:hAnsi="Garamond"/>
          <w:sz w:val="24"/>
          <w:szCs w:val="24"/>
          <w:lang w:eastAsia="zh-TW"/>
        </w:rPr>
        <w:t xml:space="preserve">There is perhaps an ambiguity in Lord Dyson’s words – is he referring to the process by which a decision on whether the public interest in non-disclosure outweighs than in disclosure or the fact of non-disclosure itself? </w:t>
      </w:r>
      <w:r w:rsidR="00E455B0">
        <w:rPr>
          <w:rFonts w:ascii="Garamond" w:eastAsia="PMingLiU" w:hAnsi="Garamond"/>
          <w:sz w:val="24"/>
          <w:szCs w:val="24"/>
          <w:lang w:eastAsia="zh-TW"/>
        </w:rPr>
        <w:t>Either way, it seems true that on the defi</w:t>
      </w:r>
      <w:r w:rsidR="004B3C06">
        <w:rPr>
          <w:rFonts w:ascii="Garamond" w:eastAsia="PMingLiU" w:hAnsi="Garamond"/>
          <w:sz w:val="24"/>
          <w:szCs w:val="24"/>
          <w:lang w:eastAsia="zh-TW"/>
        </w:rPr>
        <w:t>ni</w:t>
      </w:r>
      <w:r w:rsidR="00E455B0">
        <w:rPr>
          <w:rFonts w:ascii="Garamond" w:eastAsia="PMingLiU" w:hAnsi="Garamond"/>
          <w:sz w:val="24"/>
          <w:szCs w:val="24"/>
          <w:lang w:eastAsia="zh-TW"/>
        </w:rPr>
        <w:t xml:space="preserve">tion of open justice </w:t>
      </w:r>
      <w:r w:rsidR="004B3C06">
        <w:rPr>
          <w:rFonts w:ascii="Garamond" w:eastAsia="PMingLiU" w:hAnsi="Garamond"/>
          <w:sz w:val="24"/>
          <w:szCs w:val="24"/>
          <w:lang w:eastAsia="zh-TW"/>
        </w:rPr>
        <w:t xml:space="preserve">quoted above, </w:t>
      </w:r>
      <w:r w:rsidR="00986B36" w:rsidRPr="002C088C">
        <w:rPr>
          <w:rFonts w:ascii="Garamond" w:eastAsia="PMingLiU" w:hAnsi="Garamond"/>
          <w:sz w:val="24"/>
          <w:szCs w:val="24"/>
          <w:lang w:eastAsia="zh-TW"/>
        </w:rPr>
        <w:t>PII</w:t>
      </w:r>
      <w:r w:rsidR="004B3C06">
        <w:rPr>
          <w:rFonts w:ascii="Garamond" w:eastAsia="PMingLiU" w:hAnsi="Garamond"/>
          <w:sz w:val="24"/>
          <w:szCs w:val="24"/>
          <w:lang w:eastAsia="zh-TW"/>
        </w:rPr>
        <w:t xml:space="preserve"> is indeed compatible with it: it</w:t>
      </w:r>
      <w:r w:rsidR="00986B36" w:rsidRPr="002C088C">
        <w:rPr>
          <w:rFonts w:ascii="Garamond" w:eastAsia="PMingLiU" w:hAnsi="Garamond"/>
          <w:sz w:val="24"/>
          <w:szCs w:val="24"/>
          <w:lang w:eastAsia="zh-TW"/>
        </w:rPr>
        <w:t xml:space="preserve"> does </w:t>
      </w:r>
      <w:r w:rsidR="00D6610D">
        <w:rPr>
          <w:rFonts w:ascii="Garamond" w:eastAsia="PMingLiU" w:hAnsi="Garamond"/>
          <w:sz w:val="24"/>
          <w:szCs w:val="24"/>
          <w:lang w:eastAsia="zh-TW"/>
        </w:rPr>
        <w:t>not</w:t>
      </w:r>
      <w:r w:rsidR="00986B36" w:rsidRPr="002C088C">
        <w:rPr>
          <w:rFonts w:ascii="Garamond" w:eastAsia="PMingLiU" w:hAnsi="Garamond"/>
          <w:sz w:val="24"/>
          <w:szCs w:val="24"/>
          <w:lang w:eastAsia="zh-TW"/>
        </w:rPr>
        <w:t xml:space="preserve"> </w:t>
      </w:r>
      <w:r w:rsidR="0019177E">
        <w:rPr>
          <w:rFonts w:ascii="Garamond" w:eastAsia="PMingLiU" w:hAnsi="Garamond"/>
          <w:sz w:val="24"/>
          <w:szCs w:val="24"/>
          <w:lang w:eastAsia="zh-TW"/>
        </w:rPr>
        <w:t>result in</w:t>
      </w:r>
      <w:r w:rsidR="00986B36" w:rsidRPr="002C088C">
        <w:rPr>
          <w:rFonts w:ascii="Garamond" w:eastAsia="PMingLiU" w:hAnsi="Garamond"/>
          <w:sz w:val="24"/>
          <w:szCs w:val="24"/>
          <w:lang w:eastAsia="zh-TW"/>
        </w:rPr>
        <w:t xml:space="preserve"> the </w:t>
      </w:r>
      <w:r w:rsidR="00D2655E" w:rsidRPr="002C088C">
        <w:rPr>
          <w:rFonts w:ascii="Garamond" w:eastAsia="PMingLiU" w:hAnsi="Garamond"/>
          <w:sz w:val="24"/>
          <w:szCs w:val="24"/>
          <w:lang w:eastAsia="zh-TW"/>
        </w:rPr>
        <w:t>publication of closed judgments</w:t>
      </w:r>
      <w:r w:rsidR="001261F7" w:rsidRPr="002C088C">
        <w:rPr>
          <w:rFonts w:ascii="Garamond" w:eastAsia="PMingLiU" w:hAnsi="Garamond"/>
          <w:sz w:val="24"/>
          <w:szCs w:val="24"/>
          <w:lang w:eastAsia="zh-TW"/>
        </w:rPr>
        <w:t xml:space="preserve"> (unlike CMP)</w:t>
      </w:r>
      <w:r w:rsidR="00D2655E" w:rsidRPr="002C088C">
        <w:rPr>
          <w:rFonts w:ascii="Garamond" w:eastAsia="PMingLiU" w:hAnsi="Garamond"/>
          <w:sz w:val="24"/>
          <w:szCs w:val="24"/>
          <w:lang w:eastAsia="zh-TW"/>
        </w:rPr>
        <w:t xml:space="preserve"> nor </w:t>
      </w:r>
      <w:r w:rsidR="00FE7F99">
        <w:rPr>
          <w:rFonts w:ascii="Garamond" w:eastAsia="PMingLiU" w:hAnsi="Garamond"/>
          <w:sz w:val="24"/>
          <w:szCs w:val="24"/>
          <w:lang w:eastAsia="zh-TW"/>
        </w:rPr>
        <w:t>in</w:t>
      </w:r>
      <w:r w:rsidR="00D2655E" w:rsidRPr="002C088C">
        <w:rPr>
          <w:rFonts w:ascii="Garamond" w:eastAsia="PMingLiU" w:hAnsi="Garamond"/>
          <w:sz w:val="24"/>
          <w:szCs w:val="24"/>
          <w:lang w:eastAsia="zh-TW"/>
        </w:rPr>
        <w:t xml:space="preserve"> the exclusion of press and public from the </w:t>
      </w:r>
      <w:r w:rsidR="005C3FEE" w:rsidRPr="002C088C">
        <w:rPr>
          <w:rFonts w:ascii="Garamond" w:eastAsia="PMingLiU" w:hAnsi="Garamond"/>
          <w:sz w:val="24"/>
          <w:szCs w:val="24"/>
          <w:lang w:eastAsia="zh-TW"/>
        </w:rPr>
        <w:t xml:space="preserve">litigation process. </w:t>
      </w:r>
      <w:r w:rsidR="008603AA" w:rsidRPr="002C088C">
        <w:rPr>
          <w:rFonts w:ascii="Garamond" w:eastAsia="PMingLiU" w:hAnsi="Garamond"/>
          <w:sz w:val="24"/>
          <w:szCs w:val="24"/>
          <w:lang w:eastAsia="zh-TW"/>
        </w:rPr>
        <w:t>In camera trials, however,</w:t>
      </w:r>
      <w:r w:rsidR="00177575" w:rsidRPr="002C088C">
        <w:rPr>
          <w:rFonts w:ascii="Garamond" w:eastAsia="PMingLiU" w:hAnsi="Garamond"/>
          <w:sz w:val="24"/>
          <w:szCs w:val="24"/>
          <w:lang w:eastAsia="zh-TW"/>
        </w:rPr>
        <w:t xml:space="preserve"> by definition imply</w:t>
      </w:r>
      <w:r w:rsidR="008603AA" w:rsidRPr="002C088C">
        <w:rPr>
          <w:rFonts w:ascii="Garamond" w:eastAsia="PMingLiU" w:hAnsi="Garamond"/>
          <w:sz w:val="24"/>
          <w:szCs w:val="24"/>
          <w:lang w:eastAsia="zh-TW"/>
        </w:rPr>
        <w:t xml:space="preserve"> </w:t>
      </w:r>
      <w:r w:rsidR="00227B05" w:rsidRPr="002C088C">
        <w:rPr>
          <w:rFonts w:ascii="Garamond" w:eastAsia="PMingLiU" w:hAnsi="Garamond"/>
          <w:sz w:val="24"/>
          <w:szCs w:val="24"/>
          <w:lang w:eastAsia="zh-TW"/>
        </w:rPr>
        <w:t xml:space="preserve">the exclusion of the press and public </w:t>
      </w:r>
      <w:r w:rsidR="009834BA" w:rsidRPr="002C088C">
        <w:rPr>
          <w:rFonts w:ascii="Garamond" w:eastAsia="PMingLiU" w:hAnsi="Garamond"/>
          <w:sz w:val="24"/>
          <w:szCs w:val="24"/>
          <w:lang w:eastAsia="zh-TW"/>
        </w:rPr>
        <w:t>and so i</w:t>
      </w:r>
      <w:r w:rsidR="0043192E" w:rsidRPr="002C088C">
        <w:rPr>
          <w:rFonts w:ascii="Garamond" w:eastAsia="PMingLiU" w:hAnsi="Garamond"/>
          <w:sz w:val="24"/>
          <w:szCs w:val="24"/>
          <w:lang w:eastAsia="zh-TW"/>
        </w:rPr>
        <w:t>nvolve a</w:t>
      </w:r>
      <w:r w:rsidR="00974EDE" w:rsidRPr="002C088C">
        <w:rPr>
          <w:rFonts w:ascii="Garamond" w:eastAsia="PMingLiU" w:hAnsi="Garamond"/>
          <w:sz w:val="24"/>
          <w:szCs w:val="24"/>
          <w:lang w:eastAsia="zh-TW"/>
        </w:rPr>
        <w:t xml:space="preserve"> departure </w:t>
      </w:r>
      <w:r w:rsidR="009103F9" w:rsidRPr="002C088C">
        <w:rPr>
          <w:rFonts w:ascii="Garamond" w:eastAsia="PMingLiU" w:hAnsi="Garamond"/>
          <w:sz w:val="24"/>
          <w:szCs w:val="24"/>
          <w:lang w:eastAsia="zh-TW"/>
        </w:rPr>
        <w:t>from the principle of open justice, one which has been readily acknowledged by the courts</w:t>
      </w:r>
      <w:r w:rsidR="00984859">
        <w:rPr>
          <w:rFonts w:ascii="Garamond" w:eastAsia="PMingLiU" w:hAnsi="Garamond"/>
          <w:sz w:val="24"/>
          <w:szCs w:val="24"/>
          <w:lang w:eastAsia="zh-TW"/>
        </w:rPr>
        <w:t xml:space="preserve"> who have ordered them to take place</w:t>
      </w:r>
      <w:r w:rsidR="009103F9" w:rsidRPr="002C088C">
        <w:rPr>
          <w:rFonts w:ascii="Garamond" w:eastAsia="PMingLiU" w:hAnsi="Garamond"/>
          <w:sz w:val="24"/>
          <w:szCs w:val="24"/>
          <w:lang w:eastAsia="zh-TW"/>
        </w:rPr>
        <w:t>.</w:t>
      </w:r>
      <w:r w:rsidR="00E845DF" w:rsidRPr="002C088C">
        <w:rPr>
          <w:rStyle w:val="FootnoteReference"/>
          <w:rFonts w:ascii="Garamond" w:eastAsia="PMingLiU" w:hAnsi="Garamond"/>
          <w:sz w:val="24"/>
          <w:szCs w:val="24"/>
          <w:lang w:eastAsia="zh-TW"/>
        </w:rPr>
        <w:footnoteReference w:id="68"/>
      </w:r>
      <w:r w:rsidR="00E845DF" w:rsidRPr="002C088C">
        <w:rPr>
          <w:rFonts w:ascii="Garamond" w:eastAsia="PMingLiU" w:hAnsi="Garamond"/>
          <w:sz w:val="24"/>
          <w:szCs w:val="24"/>
          <w:lang w:eastAsia="zh-TW"/>
        </w:rPr>
        <w:t xml:space="preserve"> </w:t>
      </w:r>
    </w:p>
    <w:p w:rsidR="00E845DF" w:rsidRPr="002C088C" w:rsidRDefault="00E845DF" w:rsidP="000C2DB7">
      <w:pPr>
        <w:spacing w:after="0" w:line="480" w:lineRule="auto"/>
        <w:jc w:val="both"/>
        <w:rPr>
          <w:rFonts w:ascii="Garamond" w:eastAsia="PMingLiU" w:hAnsi="Garamond"/>
          <w:sz w:val="24"/>
          <w:szCs w:val="24"/>
          <w:lang w:eastAsia="zh-TW"/>
        </w:rPr>
      </w:pPr>
    </w:p>
    <w:p w:rsidR="00E31C62" w:rsidRPr="002C088C" w:rsidRDefault="00B268DF" w:rsidP="000C2DB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lastRenderedPageBreak/>
        <w:t>The consequence of this distinction is that</w:t>
      </w:r>
      <w:r w:rsidR="00C42866" w:rsidRPr="002C088C">
        <w:rPr>
          <w:rFonts w:ascii="Garamond" w:eastAsia="PMingLiU" w:hAnsi="Garamond"/>
          <w:sz w:val="24"/>
          <w:szCs w:val="24"/>
          <w:lang w:eastAsia="zh-TW"/>
        </w:rPr>
        <w:t xml:space="preserve"> t</w:t>
      </w:r>
      <w:r w:rsidR="009E6A66" w:rsidRPr="002C088C">
        <w:rPr>
          <w:rFonts w:ascii="Garamond" w:eastAsia="PMingLiU" w:hAnsi="Garamond"/>
          <w:sz w:val="24"/>
          <w:szCs w:val="24"/>
          <w:lang w:eastAsia="zh-TW"/>
        </w:rPr>
        <w:t xml:space="preserve">he </w:t>
      </w:r>
      <w:r w:rsidR="00780ADA" w:rsidRPr="002C088C">
        <w:rPr>
          <w:rFonts w:ascii="Garamond" w:eastAsia="PMingLiU" w:hAnsi="Garamond"/>
          <w:sz w:val="24"/>
          <w:szCs w:val="24"/>
          <w:lang w:eastAsia="zh-TW"/>
        </w:rPr>
        <w:t>threshold for the making of a</w:t>
      </w:r>
      <w:r w:rsidR="009E6A66" w:rsidRPr="002C088C">
        <w:rPr>
          <w:rFonts w:ascii="Garamond" w:eastAsia="PMingLiU" w:hAnsi="Garamond"/>
          <w:sz w:val="24"/>
          <w:szCs w:val="24"/>
          <w:lang w:eastAsia="zh-TW"/>
        </w:rPr>
        <w:t>n in camera order is</w:t>
      </w:r>
      <w:r w:rsidR="00A21F9F" w:rsidRPr="002C088C">
        <w:rPr>
          <w:rFonts w:ascii="Garamond" w:eastAsia="PMingLiU" w:hAnsi="Garamond"/>
          <w:sz w:val="24"/>
          <w:szCs w:val="24"/>
          <w:lang w:eastAsia="zh-TW"/>
        </w:rPr>
        <w:t>, the case law shows,</w:t>
      </w:r>
      <w:r w:rsidR="009E6A66" w:rsidRPr="002C088C">
        <w:rPr>
          <w:rFonts w:ascii="Garamond" w:eastAsia="PMingLiU" w:hAnsi="Garamond"/>
          <w:sz w:val="24"/>
          <w:szCs w:val="24"/>
          <w:lang w:eastAsia="zh-TW"/>
        </w:rPr>
        <w:t xml:space="preserve"> </w:t>
      </w:r>
      <w:r w:rsidR="006A27C1" w:rsidRPr="002C088C">
        <w:rPr>
          <w:rFonts w:ascii="Garamond" w:eastAsia="PMingLiU" w:hAnsi="Garamond"/>
          <w:sz w:val="24"/>
          <w:szCs w:val="24"/>
          <w:lang w:eastAsia="zh-TW"/>
        </w:rPr>
        <w:t>higher than that which applies to a</w:t>
      </w:r>
      <w:r w:rsidR="009E6A66" w:rsidRPr="002C088C">
        <w:rPr>
          <w:rFonts w:ascii="Garamond" w:eastAsia="PMingLiU" w:hAnsi="Garamond"/>
          <w:sz w:val="24"/>
          <w:szCs w:val="24"/>
          <w:lang w:eastAsia="zh-TW"/>
        </w:rPr>
        <w:t xml:space="preserve"> claim for </w:t>
      </w:r>
      <w:r w:rsidR="00F13A39" w:rsidRPr="002C088C">
        <w:rPr>
          <w:rFonts w:ascii="Garamond" w:eastAsia="PMingLiU" w:hAnsi="Garamond"/>
          <w:sz w:val="24"/>
          <w:szCs w:val="24"/>
          <w:lang w:eastAsia="zh-TW"/>
        </w:rPr>
        <w:t xml:space="preserve">PII, in which material is not disclosed </w:t>
      </w:r>
      <w:r w:rsidR="00F647E1" w:rsidRPr="002C088C">
        <w:rPr>
          <w:rFonts w:ascii="Garamond" w:eastAsia="PMingLiU" w:hAnsi="Garamond"/>
          <w:sz w:val="24"/>
          <w:szCs w:val="24"/>
          <w:lang w:eastAsia="zh-TW"/>
        </w:rPr>
        <w:t>in</w:t>
      </w:r>
      <w:r w:rsidR="00F13A39" w:rsidRPr="002C088C">
        <w:rPr>
          <w:rFonts w:ascii="Garamond" w:eastAsia="PMingLiU" w:hAnsi="Garamond"/>
          <w:sz w:val="24"/>
          <w:szCs w:val="24"/>
          <w:lang w:eastAsia="zh-TW"/>
        </w:rPr>
        <w:t xml:space="preserve"> proceedings</w:t>
      </w:r>
      <w:r w:rsidR="00956FB5" w:rsidRPr="002C088C">
        <w:rPr>
          <w:rFonts w:ascii="Garamond" w:eastAsia="PMingLiU" w:hAnsi="Garamond"/>
          <w:sz w:val="24"/>
          <w:szCs w:val="24"/>
          <w:lang w:eastAsia="zh-TW"/>
        </w:rPr>
        <w:t xml:space="preserve"> which nevertheless</w:t>
      </w:r>
      <w:r w:rsidR="00F13A39" w:rsidRPr="002C088C">
        <w:rPr>
          <w:rFonts w:ascii="Garamond" w:eastAsia="PMingLiU" w:hAnsi="Garamond"/>
          <w:sz w:val="24"/>
          <w:szCs w:val="24"/>
          <w:lang w:eastAsia="zh-TW"/>
        </w:rPr>
        <w:t xml:space="preserve"> remain open to the public</w:t>
      </w:r>
      <w:r w:rsidR="006A27C1" w:rsidRPr="002C088C">
        <w:rPr>
          <w:rFonts w:ascii="Garamond" w:eastAsia="PMingLiU" w:hAnsi="Garamond"/>
          <w:sz w:val="24"/>
          <w:szCs w:val="24"/>
          <w:lang w:eastAsia="zh-TW"/>
        </w:rPr>
        <w:t xml:space="preserve">. </w:t>
      </w:r>
      <w:r w:rsidR="009E6A66" w:rsidRPr="002C088C">
        <w:rPr>
          <w:rFonts w:ascii="Garamond" w:eastAsia="PMingLiU" w:hAnsi="Garamond"/>
          <w:sz w:val="24"/>
          <w:szCs w:val="24"/>
          <w:lang w:eastAsia="zh-TW"/>
        </w:rPr>
        <w:t xml:space="preserve">The difference is this: though PII can be successfully claimed wherever the public interest in disclosure is outweighed by that in non-disclosure (assuming that the fairness of a trial is not prejudiced by the non-disclosure of </w:t>
      </w:r>
      <w:r w:rsidR="003A1623" w:rsidRPr="002C088C">
        <w:rPr>
          <w:rFonts w:ascii="Garamond" w:eastAsia="PMingLiU" w:hAnsi="Garamond"/>
          <w:sz w:val="24"/>
          <w:szCs w:val="24"/>
          <w:lang w:eastAsia="zh-TW"/>
        </w:rPr>
        <w:t xml:space="preserve">the </w:t>
      </w:r>
      <w:r w:rsidR="009E6A66" w:rsidRPr="002C088C">
        <w:rPr>
          <w:rFonts w:ascii="Garamond" w:eastAsia="PMingLiU" w:hAnsi="Garamond"/>
          <w:sz w:val="24"/>
          <w:szCs w:val="24"/>
          <w:lang w:eastAsia="zh-TW"/>
        </w:rPr>
        <w:t>material in question),</w:t>
      </w:r>
      <w:r w:rsidR="009E6A66" w:rsidRPr="002C088C">
        <w:rPr>
          <w:rStyle w:val="FootnoteReference"/>
          <w:rFonts w:ascii="Garamond" w:eastAsia="PMingLiU" w:hAnsi="Garamond"/>
          <w:sz w:val="24"/>
          <w:szCs w:val="24"/>
          <w:lang w:eastAsia="zh-TW"/>
        </w:rPr>
        <w:footnoteReference w:id="69"/>
      </w:r>
      <w:r w:rsidR="009E6A66" w:rsidRPr="002C088C">
        <w:rPr>
          <w:rFonts w:ascii="Garamond" w:eastAsia="PMingLiU" w:hAnsi="Garamond"/>
          <w:sz w:val="24"/>
          <w:szCs w:val="24"/>
          <w:lang w:eastAsia="zh-TW"/>
        </w:rPr>
        <w:t xml:space="preserve"> an </w:t>
      </w:r>
      <w:r w:rsidR="009E6A66" w:rsidRPr="002C088C">
        <w:rPr>
          <w:rFonts w:ascii="Garamond" w:eastAsia="PMingLiU" w:hAnsi="Garamond"/>
          <w:iCs/>
          <w:sz w:val="24"/>
          <w:szCs w:val="24"/>
          <w:lang w:eastAsia="zh-TW"/>
        </w:rPr>
        <w:t xml:space="preserve">in camera </w:t>
      </w:r>
      <w:r w:rsidR="009E6A66" w:rsidRPr="002C088C">
        <w:rPr>
          <w:rFonts w:ascii="Garamond" w:eastAsia="PMingLiU" w:hAnsi="Garamond"/>
          <w:sz w:val="24"/>
          <w:szCs w:val="24"/>
          <w:lang w:eastAsia="zh-TW"/>
        </w:rPr>
        <w:t>order will be made only where to not do so would put at risk the administration of justice by, for example, “deterring the Crown from prosecuting a case where it otherwise should do so”.</w:t>
      </w:r>
      <w:r w:rsidR="009E6A66" w:rsidRPr="002C088C">
        <w:rPr>
          <w:rStyle w:val="FootnoteReference"/>
          <w:rFonts w:ascii="Garamond" w:eastAsia="PMingLiU" w:hAnsi="Garamond"/>
          <w:sz w:val="24"/>
          <w:szCs w:val="24"/>
          <w:lang w:eastAsia="zh-TW"/>
        </w:rPr>
        <w:footnoteReference w:id="70"/>
      </w:r>
      <w:r w:rsidR="009E6A66" w:rsidRPr="002C088C">
        <w:rPr>
          <w:rFonts w:ascii="Garamond" w:eastAsia="PMingLiU" w:hAnsi="Garamond"/>
          <w:sz w:val="24"/>
          <w:szCs w:val="24"/>
          <w:lang w:eastAsia="zh-TW"/>
        </w:rPr>
        <w:t xml:space="preserve"> </w:t>
      </w:r>
      <w:r w:rsidR="00AB4C83" w:rsidRPr="002C088C">
        <w:rPr>
          <w:rFonts w:ascii="Garamond" w:eastAsia="PMingLiU" w:hAnsi="Garamond"/>
          <w:sz w:val="24"/>
          <w:szCs w:val="24"/>
          <w:lang w:eastAsia="zh-TW"/>
        </w:rPr>
        <w:t>Unlike the non-disclosure of material in evidence, that is, an in camera</w:t>
      </w:r>
      <w:r w:rsidR="00D66137" w:rsidRPr="002C088C">
        <w:rPr>
          <w:rFonts w:ascii="Garamond" w:eastAsia="PMingLiU" w:hAnsi="Garamond"/>
          <w:sz w:val="24"/>
          <w:szCs w:val="24"/>
          <w:lang w:eastAsia="zh-TW"/>
        </w:rPr>
        <w:t xml:space="preserve"> order is inherently incompatible with</w:t>
      </w:r>
      <w:r w:rsidR="009E6A66" w:rsidRPr="002C088C">
        <w:rPr>
          <w:rFonts w:ascii="Garamond" w:eastAsia="PMingLiU" w:hAnsi="Garamond"/>
          <w:sz w:val="24"/>
          <w:szCs w:val="24"/>
          <w:lang w:eastAsia="zh-TW"/>
        </w:rPr>
        <w:t xml:space="preserve"> constitution</w:t>
      </w:r>
      <w:r w:rsidR="00535CCC" w:rsidRPr="002C088C">
        <w:rPr>
          <w:rFonts w:ascii="Garamond" w:eastAsia="PMingLiU" w:hAnsi="Garamond"/>
          <w:sz w:val="24"/>
          <w:szCs w:val="24"/>
          <w:lang w:eastAsia="zh-TW"/>
        </w:rPr>
        <w:t xml:space="preserve">al principle </w:t>
      </w:r>
      <w:r w:rsidR="006E4648" w:rsidRPr="002C088C">
        <w:rPr>
          <w:rFonts w:ascii="Garamond" w:eastAsia="PMingLiU" w:hAnsi="Garamond"/>
          <w:sz w:val="24"/>
          <w:szCs w:val="24"/>
          <w:lang w:eastAsia="zh-TW"/>
        </w:rPr>
        <w:t xml:space="preserve">(specifically, that of open justice) </w:t>
      </w:r>
      <w:r w:rsidR="00535CCC" w:rsidRPr="002C088C">
        <w:rPr>
          <w:rFonts w:ascii="Garamond" w:eastAsia="PMingLiU" w:hAnsi="Garamond"/>
          <w:sz w:val="24"/>
          <w:szCs w:val="24"/>
          <w:lang w:eastAsia="zh-TW"/>
        </w:rPr>
        <w:t xml:space="preserve">and so </w:t>
      </w:r>
      <w:r w:rsidR="00454300" w:rsidRPr="002C088C">
        <w:rPr>
          <w:rFonts w:ascii="Garamond" w:eastAsia="PMingLiU" w:hAnsi="Garamond"/>
          <w:sz w:val="24"/>
          <w:szCs w:val="24"/>
          <w:lang w:eastAsia="zh-TW"/>
        </w:rPr>
        <w:t>such orders</w:t>
      </w:r>
      <w:r w:rsidR="00535CCC" w:rsidRPr="002C088C">
        <w:rPr>
          <w:rFonts w:ascii="Garamond" w:eastAsia="PMingLiU" w:hAnsi="Garamond"/>
          <w:sz w:val="24"/>
          <w:szCs w:val="24"/>
          <w:lang w:eastAsia="zh-TW"/>
        </w:rPr>
        <w:t xml:space="preserve">, unlike </w:t>
      </w:r>
      <w:r w:rsidR="009E6A66" w:rsidRPr="002C088C">
        <w:rPr>
          <w:rFonts w:ascii="Garamond" w:eastAsia="PMingLiU" w:hAnsi="Garamond"/>
          <w:sz w:val="24"/>
          <w:szCs w:val="24"/>
          <w:lang w:eastAsia="zh-TW"/>
        </w:rPr>
        <w:t>PII, requires that some supervening constitutional principle (here, the principle “that the paramount object of the Court is to do justice”)</w:t>
      </w:r>
      <w:r w:rsidR="009E6A66" w:rsidRPr="002C088C">
        <w:rPr>
          <w:rStyle w:val="FootnoteReference"/>
          <w:rFonts w:ascii="Garamond" w:eastAsia="PMingLiU" w:hAnsi="Garamond"/>
          <w:sz w:val="24"/>
          <w:szCs w:val="24"/>
          <w:lang w:eastAsia="zh-TW"/>
        </w:rPr>
        <w:footnoteReference w:id="71"/>
      </w:r>
      <w:r w:rsidR="009E6A66" w:rsidRPr="002C088C">
        <w:rPr>
          <w:rFonts w:ascii="Garamond" w:eastAsia="PMingLiU" w:hAnsi="Garamond"/>
          <w:sz w:val="24"/>
          <w:szCs w:val="24"/>
          <w:lang w:eastAsia="zh-TW"/>
        </w:rPr>
        <w:t xml:space="preserve"> be at stake if </w:t>
      </w:r>
      <w:r w:rsidR="001026CE" w:rsidRPr="002C088C">
        <w:rPr>
          <w:rFonts w:ascii="Garamond" w:eastAsia="PMingLiU" w:hAnsi="Garamond"/>
          <w:sz w:val="24"/>
          <w:szCs w:val="24"/>
          <w:lang w:eastAsia="zh-TW"/>
        </w:rPr>
        <w:t>they are</w:t>
      </w:r>
      <w:r w:rsidR="009E6A66" w:rsidRPr="002C088C">
        <w:rPr>
          <w:rFonts w:ascii="Garamond" w:eastAsia="PMingLiU" w:hAnsi="Garamond"/>
          <w:sz w:val="24"/>
          <w:szCs w:val="24"/>
          <w:lang w:eastAsia="zh-TW"/>
        </w:rPr>
        <w:t xml:space="preserve"> </w:t>
      </w:r>
      <w:r w:rsidR="00535CCC" w:rsidRPr="002C088C">
        <w:rPr>
          <w:rFonts w:ascii="Garamond" w:eastAsia="PMingLiU" w:hAnsi="Garamond"/>
          <w:sz w:val="24"/>
          <w:szCs w:val="24"/>
          <w:lang w:eastAsia="zh-TW"/>
        </w:rPr>
        <w:t>to be made.</w:t>
      </w:r>
      <w:r w:rsidR="00BD3E79">
        <w:rPr>
          <w:rStyle w:val="FootnoteReference"/>
          <w:rFonts w:ascii="Garamond" w:eastAsia="PMingLiU" w:hAnsi="Garamond"/>
          <w:sz w:val="24"/>
          <w:szCs w:val="24"/>
          <w:lang w:eastAsia="zh-TW"/>
        </w:rPr>
        <w:footnoteReference w:id="72"/>
      </w:r>
      <w:r w:rsidR="009E6A66" w:rsidRPr="002C088C">
        <w:rPr>
          <w:rFonts w:ascii="Garamond" w:eastAsia="PMingLiU" w:hAnsi="Garamond"/>
          <w:sz w:val="24"/>
          <w:szCs w:val="24"/>
          <w:lang w:eastAsia="zh-TW"/>
        </w:rPr>
        <w:t xml:space="preserve"> </w:t>
      </w:r>
      <w:r w:rsidR="00CE4B20" w:rsidRPr="002C088C">
        <w:rPr>
          <w:rFonts w:ascii="Garamond" w:eastAsia="PMingLiU" w:hAnsi="Garamond"/>
          <w:sz w:val="24"/>
          <w:szCs w:val="24"/>
          <w:lang w:eastAsia="zh-TW"/>
        </w:rPr>
        <w:t xml:space="preserve">The same will be true of any other exercise </w:t>
      </w:r>
      <w:r w:rsidR="0025729C" w:rsidRPr="002C088C">
        <w:rPr>
          <w:rFonts w:ascii="Garamond" w:eastAsia="PMingLiU" w:hAnsi="Garamond"/>
          <w:sz w:val="24"/>
          <w:szCs w:val="24"/>
          <w:lang w:eastAsia="zh-TW"/>
        </w:rPr>
        <w:t>o</w:t>
      </w:r>
      <w:r w:rsidR="00CE4B20" w:rsidRPr="002C088C">
        <w:rPr>
          <w:rFonts w:ascii="Garamond" w:eastAsia="PMingLiU" w:hAnsi="Garamond"/>
          <w:sz w:val="24"/>
          <w:szCs w:val="24"/>
          <w:lang w:eastAsia="zh-TW"/>
        </w:rPr>
        <w:t xml:space="preserve">f the inherent jurisdiction similarly calculated to protect the public interest against harm caused by the disclosure </w:t>
      </w:r>
      <w:r w:rsidR="002C7D8D" w:rsidRPr="002C088C">
        <w:rPr>
          <w:rFonts w:ascii="Garamond" w:eastAsia="PMingLiU" w:hAnsi="Garamond"/>
          <w:sz w:val="24"/>
          <w:szCs w:val="24"/>
          <w:lang w:eastAsia="zh-TW"/>
        </w:rPr>
        <w:t>of sensitive material</w:t>
      </w:r>
      <w:r w:rsidR="00855518" w:rsidRPr="002C088C">
        <w:rPr>
          <w:rFonts w:ascii="Garamond" w:eastAsia="PMingLiU" w:hAnsi="Garamond"/>
          <w:sz w:val="24"/>
          <w:szCs w:val="24"/>
          <w:lang w:eastAsia="zh-TW"/>
        </w:rPr>
        <w:t xml:space="preserve">: the threshold at which it becomes </w:t>
      </w:r>
      <w:r w:rsidR="00112798" w:rsidRPr="002C088C">
        <w:rPr>
          <w:rFonts w:ascii="Garamond" w:eastAsia="PMingLiU" w:hAnsi="Garamond"/>
          <w:sz w:val="24"/>
          <w:szCs w:val="24"/>
          <w:lang w:eastAsia="zh-TW"/>
        </w:rPr>
        <w:t xml:space="preserve">possible is a function of its relationship with constitutional principle. </w:t>
      </w:r>
      <w:r w:rsidR="00FA2D65" w:rsidRPr="002C088C">
        <w:rPr>
          <w:rFonts w:ascii="Garamond" w:eastAsia="PMingLiU" w:hAnsi="Garamond"/>
          <w:sz w:val="24"/>
          <w:szCs w:val="24"/>
          <w:lang w:eastAsia="zh-TW"/>
        </w:rPr>
        <w:t xml:space="preserve">Where </w:t>
      </w:r>
      <w:r w:rsidR="000628A3" w:rsidRPr="002C088C">
        <w:rPr>
          <w:rFonts w:ascii="Garamond" w:eastAsia="PMingLiU" w:hAnsi="Garamond"/>
          <w:sz w:val="24"/>
          <w:szCs w:val="24"/>
          <w:lang w:eastAsia="zh-TW"/>
        </w:rPr>
        <w:t>constitutional</w:t>
      </w:r>
      <w:r w:rsidR="00EA7733">
        <w:rPr>
          <w:rFonts w:ascii="Garamond" w:eastAsia="PMingLiU" w:hAnsi="Garamond"/>
          <w:sz w:val="24"/>
          <w:szCs w:val="24"/>
          <w:lang w:eastAsia="zh-TW"/>
        </w:rPr>
        <w:t xml:space="preserve"> principle is not at stake</w:t>
      </w:r>
      <w:r w:rsidR="00725782" w:rsidRPr="002C088C">
        <w:rPr>
          <w:rFonts w:ascii="Garamond" w:eastAsia="PMingLiU" w:hAnsi="Garamond"/>
          <w:sz w:val="24"/>
          <w:szCs w:val="24"/>
          <w:lang w:eastAsia="zh-TW"/>
        </w:rPr>
        <w:t xml:space="preserve"> </w:t>
      </w:r>
      <w:r w:rsidR="007058CC" w:rsidRPr="002C088C">
        <w:rPr>
          <w:rFonts w:ascii="Garamond" w:eastAsia="PMingLiU" w:hAnsi="Garamond"/>
          <w:sz w:val="24"/>
          <w:szCs w:val="24"/>
          <w:lang w:eastAsia="zh-TW"/>
        </w:rPr>
        <w:t xml:space="preserve">the only question as to how the inherent jurisdiction might </w:t>
      </w:r>
      <w:r w:rsidR="003A4EC5" w:rsidRPr="002C088C">
        <w:rPr>
          <w:rFonts w:ascii="Garamond" w:eastAsia="PMingLiU" w:hAnsi="Garamond"/>
          <w:sz w:val="24"/>
          <w:szCs w:val="24"/>
          <w:lang w:eastAsia="zh-TW"/>
        </w:rPr>
        <w:t xml:space="preserve">be put to work </w:t>
      </w:r>
      <w:r w:rsidR="00A01A22">
        <w:rPr>
          <w:rFonts w:ascii="Garamond" w:eastAsia="PMingLiU" w:hAnsi="Garamond"/>
          <w:sz w:val="24"/>
          <w:szCs w:val="24"/>
          <w:lang w:eastAsia="zh-TW"/>
        </w:rPr>
        <w:t>seems to be</w:t>
      </w:r>
      <w:r w:rsidR="003A4EC5" w:rsidRPr="002C088C">
        <w:rPr>
          <w:rFonts w:ascii="Garamond" w:eastAsia="PMingLiU" w:hAnsi="Garamond"/>
          <w:sz w:val="24"/>
          <w:szCs w:val="24"/>
          <w:lang w:eastAsia="zh-TW"/>
        </w:rPr>
        <w:t xml:space="preserve"> that of where the balance of the public interest lies. </w:t>
      </w:r>
      <w:r w:rsidR="00FE53AE" w:rsidRPr="002C088C">
        <w:rPr>
          <w:rFonts w:ascii="Garamond" w:eastAsia="PMingLiU" w:hAnsi="Garamond"/>
          <w:sz w:val="24"/>
          <w:szCs w:val="24"/>
          <w:lang w:eastAsia="zh-TW"/>
        </w:rPr>
        <w:t>Where, inste</w:t>
      </w:r>
      <w:r w:rsidR="0052748E" w:rsidRPr="002C088C">
        <w:rPr>
          <w:rFonts w:ascii="Garamond" w:eastAsia="PMingLiU" w:hAnsi="Garamond"/>
          <w:sz w:val="24"/>
          <w:szCs w:val="24"/>
          <w:lang w:eastAsia="zh-TW"/>
        </w:rPr>
        <w:t>ad, constitutional principles</w:t>
      </w:r>
      <w:r w:rsidR="0007631C" w:rsidRPr="002C088C">
        <w:rPr>
          <w:rFonts w:ascii="Garamond" w:eastAsia="PMingLiU" w:hAnsi="Garamond"/>
          <w:sz w:val="24"/>
          <w:szCs w:val="24"/>
          <w:lang w:eastAsia="zh-TW"/>
        </w:rPr>
        <w:t xml:space="preserve"> are </w:t>
      </w:r>
      <w:r w:rsidR="001D7F02" w:rsidRPr="002C088C">
        <w:rPr>
          <w:rFonts w:ascii="Garamond" w:eastAsia="PMingLiU" w:hAnsi="Garamond"/>
          <w:sz w:val="24"/>
          <w:szCs w:val="24"/>
          <w:lang w:eastAsia="zh-TW"/>
        </w:rPr>
        <w:t xml:space="preserve">at stake, the courts </w:t>
      </w:r>
      <w:r w:rsidR="00546312">
        <w:rPr>
          <w:rFonts w:ascii="Garamond" w:eastAsia="PMingLiU" w:hAnsi="Garamond"/>
          <w:sz w:val="24"/>
          <w:szCs w:val="24"/>
          <w:lang w:eastAsia="zh-TW"/>
        </w:rPr>
        <w:t>appear</w:t>
      </w:r>
      <w:r w:rsidR="001D7F02" w:rsidRPr="002C088C">
        <w:rPr>
          <w:rFonts w:ascii="Garamond" w:eastAsia="PMingLiU" w:hAnsi="Garamond"/>
          <w:sz w:val="24"/>
          <w:szCs w:val="24"/>
          <w:lang w:eastAsia="zh-TW"/>
        </w:rPr>
        <w:t xml:space="preserve"> to fall back upon a</w:t>
      </w:r>
      <w:r w:rsidR="00C42EB3" w:rsidRPr="002C088C">
        <w:rPr>
          <w:rFonts w:ascii="Garamond" w:eastAsia="PMingLiU" w:hAnsi="Garamond"/>
          <w:sz w:val="24"/>
          <w:szCs w:val="24"/>
          <w:lang w:eastAsia="zh-TW"/>
        </w:rPr>
        <w:t xml:space="preserve"> </w:t>
      </w:r>
      <w:r w:rsidR="0010502A">
        <w:rPr>
          <w:rFonts w:ascii="Garamond" w:eastAsia="PMingLiU" w:hAnsi="Garamond"/>
          <w:sz w:val="24"/>
          <w:szCs w:val="24"/>
          <w:lang w:eastAsia="zh-TW"/>
        </w:rPr>
        <w:t>loose</w:t>
      </w:r>
      <w:r w:rsidR="001D7F02" w:rsidRPr="002C088C">
        <w:rPr>
          <w:rFonts w:ascii="Garamond" w:eastAsia="PMingLiU" w:hAnsi="Garamond"/>
          <w:sz w:val="24"/>
          <w:szCs w:val="24"/>
          <w:lang w:eastAsia="zh-TW"/>
        </w:rPr>
        <w:t xml:space="preserve"> hierarchy of </w:t>
      </w:r>
      <w:r w:rsidR="00FB0DEC" w:rsidRPr="002C088C">
        <w:rPr>
          <w:rFonts w:ascii="Garamond" w:eastAsia="PMingLiU" w:hAnsi="Garamond"/>
          <w:sz w:val="24"/>
          <w:szCs w:val="24"/>
          <w:lang w:eastAsia="zh-TW"/>
        </w:rPr>
        <w:t xml:space="preserve">such </w:t>
      </w:r>
      <w:r w:rsidR="001D7F02" w:rsidRPr="002C088C">
        <w:rPr>
          <w:rFonts w:ascii="Garamond" w:eastAsia="PMingLiU" w:hAnsi="Garamond"/>
          <w:sz w:val="24"/>
          <w:szCs w:val="24"/>
          <w:lang w:eastAsia="zh-TW"/>
        </w:rPr>
        <w:t>principle</w:t>
      </w:r>
      <w:r w:rsidR="00D242AA" w:rsidRPr="002C088C">
        <w:rPr>
          <w:rFonts w:ascii="Garamond" w:eastAsia="PMingLiU" w:hAnsi="Garamond"/>
          <w:sz w:val="24"/>
          <w:szCs w:val="24"/>
          <w:lang w:eastAsia="zh-TW"/>
        </w:rPr>
        <w:t>s</w:t>
      </w:r>
      <w:r w:rsidR="00FB0DEC" w:rsidRPr="002C088C">
        <w:rPr>
          <w:rFonts w:ascii="Garamond" w:eastAsia="PMingLiU" w:hAnsi="Garamond"/>
          <w:sz w:val="24"/>
          <w:szCs w:val="24"/>
          <w:lang w:eastAsia="zh-TW"/>
        </w:rPr>
        <w:t xml:space="preserve"> within which </w:t>
      </w:r>
      <w:r w:rsidR="00F31112" w:rsidRPr="002C088C">
        <w:rPr>
          <w:rFonts w:ascii="Garamond" w:eastAsia="PMingLiU" w:hAnsi="Garamond"/>
          <w:sz w:val="24"/>
          <w:szCs w:val="24"/>
          <w:lang w:eastAsia="zh-TW"/>
        </w:rPr>
        <w:t xml:space="preserve">open justice </w:t>
      </w:r>
      <w:r w:rsidR="00D96743" w:rsidRPr="002C088C">
        <w:rPr>
          <w:rFonts w:ascii="Garamond" w:eastAsia="PMingLiU" w:hAnsi="Garamond"/>
          <w:sz w:val="24"/>
          <w:szCs w:val="24"/>
          <w:lang w:eastAsia="zh-TW"/>
        </w:rPr>
        <w:t xml:space="preserve">is </w:t>
      </w:r>
      <w:r w:rsidR="004B5650" w:rsidRPr="002C088C">
        <w:rPr>
          <w:rFonts w:ascii="Garamond" w:eastAsia="PMingLiU" w:hAnsi="Garamond"/>
          <w:sz w:val="24"/>
          <w:szCs w:val="24"/>
          <w:lang w:eastAsia="zh-TW"/>
        </w:rPr>
        <w:t>subordinate to</w:t>
      </w:r>
      <w:r w:rsidR="00250767" w:rsidRPr="002C088C">
        <w:rPr>
          <w:rFonts w:ascii="Garamond" w:eastAsia="PMingLiU" w:hAnsi="Garamond"/>
          <w:sz w:val="24"/>
          <w:szCs w:val="24"/>
          <w:lang w:eastAsia="zh-TW"/>
        </w:rPr>
        <w:t xml:space="preserve"> a wider duty to </w:t>
      </w:r>
      <w:r w:rsidR="001E1C5C">
        <w:rPr>
          <w:rFonts w:ascii="Garamond" w:eastAsia="PMingLiU" w:hAnsi="Garamond"/>
          <w:sz w:val="24"/>
          <w:szCs w:val="24"/>
          <w:lang w:eastAsia="zh-TW"/>
        </w:rPr>
        <w:t xml:space="preserve">do </w:t>
      </w:r>
      <w:r w:rsidR="00250767" w:rsidRPr="002C088C">
        <w:rPr>
          <w:rFonts w:ascii="Garamond" w:eastAsia="PMingLiU" w:hAnsi="Garamond"/>
          <w:sz w:val="24"/>
          <w:szCs w:val="24"/>
          <w:lang w:eastAsia="zh-TW"/>
        </w:rPr>
        <w:t xml:space="preserve">justice and </w:t>
      </w:r>
      <w:r w:rsidR="00F838EF">
        <w:rPr>
          <w:rFonts w:ascii="Garamond" w:eastAsia="PMingLiU" w:hAnsi="Garamond"/>
          <w:sz w:val="24"/>
          <w:szCs w:val="24"/>
          <w:lang w:eastAsia="zh-TW"/>
        </w:rPr>
        <w:t>to which it will therefore give way</w:t>
      </w:r>
      <w:r w:rsidR="003D1B3B" w:rsidRPr="002C088C">
        <w:rPr>
          <w:rFonts w:ascii="Garamond" w:eastAsia="PMingLiU" w:hAnsi="Garamond"/>
          <w:sz w:val="24"/>
          <w:szCs w:val="24"/>
          <w:lang w:eastAsia="zh-TW"/>
        </w:rPr>
        <w:t xml:space="preserve"> if necessary.</w:t>
      </w:r>
      <w:r w:rsidR="00D96743" w:rsidRPr="002C088C">
        <w:rPr>
          <w:rFonts w:ascii="Garamond" w:eastAsia="PMingLiU" w:hAnsi="Garamond"/>
          <w:sz w:val="24"/>
          <w:szCs w:val="24"/>
          <w:lang w:eastAsia="zh-TW"/>
        </w:rPr>
        <w:t xml:space="preserve"> </w:t>
      </w:r>
    </w:p>
    <w:p w:rsidR="00A73BDE" w:rsidRPr="002C088C" w:rsidRDefault="00A73BDE" w:rsidP="000C2DB7">
      <w:pPr>
        <w:spacing w:after="0" w:line="480" w:lineRule="auto"/>
        <w:jc w:val="both"/>
        <w:rPr>
          <w:rFonts w:ascii="Garamond" w:eastAsia="PMingLiU" w:hAnsi="Garamond"/>
          <w:sz w:val="24"/>
          <w:szCs w:val="24"/>
          <w:lang w:eastAsia="zh-TW"/>
        </w:rPr>
      </w:pPr>
    </w:p>
    <w:p w:rsidR="00A7284E" w:rsidRPr="002C088C" w:rsidRDefault="00E31C62" w:rsidP="000C2DB7">
      <w:pPr>
        <w:spacing w:after="0" w:line="480" w:lineRule="auto"/>
        <w:jc w:val="both"/>
        <w:rPr>
          <w:rFonts w:ascii="Garamond" w:eastAsia="PMingLiU" w:hAnsi="Garamond"/>
          <w:sz w:val="24"/>
          <w:szCs w:val="24"/>
          <w:lang w:eastAsia="zh-TW"/>
        </w:rPr>
      </w:pPr>
      <w:r w:rsidRPr="002C088C">
        <w:rPr>
          <w:rFonts w:ascii="Garamond" w:eastAsia="PMingLiU" w:hAnsi="Garamond"/>
          <w:sz w:val="24"/>
          <w:szCs w:val="24"/>
          <w:lang w:eastAsia="zh-TW"/>
        </w:rPr>
        <w:t xml:space="preserve">Constitutional principle speaks not only to the </w:t>
      </w:r>
      <w:r w:rsidR="00C04AAC" w:rsidRPr="002C088C">
        <w:rPr>
          <w:rFonts w:ascii="Garamond" w:eastAsia="PMingLiU" w:hAnsi="Garamond"/>
          <w:sz w:val="24"/>
          <w:szCs w:val="24"/>
          <w:lang w:eastAsia="zh-TW"/>
        </w:rPr>
        <w:t xml:space="preserve">circumstances under which </w:t>
      </w:r>
      <w:r w:rsidR="00F327E0" w:rsidRPr="002C088C">
        <w:rPr>
          <w:rFonts w:ascii="Garamond" w:eastAsia="PMingLiU" w:hAnsi="Garamond"/>
          <w:sz w:val="24"/>
          <w:szCs w:val="24"/>
          <w:lang w:eastAsia="zh-TW"/>
        </w:rPr>
        <w:t>a given procedural mechan</w:t>
      </w:r>
      <w:r w:rsidR="004B5A71" w:rsidRPr="002C088C">
        <w:rPr>
          <w:rFonts w:ascii="Garamond" w:eastAsia="PMingLiU" w:hAnsi="Garamond"/>
          <w:sz w:val="24"/>
          <w:szCs w:val="24"/>
          <w:lang w:eastAsia="zh-TW"/>
        </w:rPr>
        <w:t xml:space="preserve">ism can </w:t>
      </w:r>
      <w:r w:rsidR="00196A0B" w:rsidRPr="002C088C">
        <w:rPr>
          <w:rFonts w:ascii="Garamond" w:eastAsia="PMingLiU" w:hAnsi="Garamond"/>
          <w:sz w:val="24"/>
          <w:szCs w:val="24"/>
          <w:lang w:eastAsia="zh-TW"/>
        </w:rPr>
        <w:t>be put to use</w:t>
      </w:r>
      <w:r w:rsidR="004B5A71" w:rsidRPr="002C088C">
        <w:rPr>
          <w:rFonts w:ascii="Garamond" w:eastAsia="PMingLiU" w:hAnsi="Garamond"/>
          <w:sz w:val="24"/>
          <w:szCs w:val="24"/>
          <w:lang w:eastAsia="zh-TW"/>
        </w:rPr>
        <w:t xml:space="preserve"> – what we might call its triggering conditions </w:t>
      </w:r>
      <w:r w:rsidR="00EC5162" w:rsidRPr="002C088C">
        <w:rPr>
          <w:rFonts w:ascii="Garamond" w:eastAsia="PMingLiU" w:hAnsi="Garamond"/>
          <w:sz w:val="24"/>
          <w:szCs w:val="24"/>
          <w:lang w:eastAsia="zh-TW"/>
        </w:rPr>
        <w:t>–</w:t>
      </w:r>
      <w:r w:rsidR="004B5A71" w:rsidRPr="002C088C">
        <w:rPr>
          <w:rFonts w:ascii="Garamond" w:eastAsia="PMingLiU" w:hAnsi="Garamond"/>
          <w:sz w:val="24"/>
          <w:szCs w:val="24"/>
          <w:lang w:eastAsia="zh-TW"/>
        </w:rPr>
        <w:t xml:space="preserve"> </w:t>
      </w:r>
      <w:r w:rsidR="00EC5162" w:rsidRPr="002C088C">
        <w:rPr>
          <w:rFonts w:ascii="Garamond" w:eastAsia="PMingLiU" w:hAnsi="Garamond"/>
          <w:sz w:val="24"/>
          <w:szCs w:val="24"/>
          <w:lang w:eastAsia="zh-TW"/>
        </w:rPr>
        <w:t xml:space="preserve">but also to </w:t>
      </w:r>
      <w:r w:rsidR="00E05A44" w:rsidRPr="002C088C">
        <w:rPr>
          <w:rFonts w:ascii="Garamond" w:eastAsia="PMingLiU" w:hAnsi="Garamond"/>
          <w:sz w:val="24"/>
          <w:szCs w:val="24"/>
          <w:lang w:eastAsia="zh-TW"/>
        </w:rPr>
        <w:t xml:space="preserve">the </w:t>
      </w:r>
      <w:r w:rsidR="00E05A44" w:rsidRPr="002C088C">
        <w:rPr>
          <w:rFonts w:ascii="Garamond" w:eastAsia="PMingLiU" w:hAnsi="Garamond"/>
          <w:sz w:val="24"/>
          <w:szCs w:val="24"/>
          <w:lang w:eastAsia="zh-TW"/>
        </w:rPr>
        <w:lastRenderedPageBreak/>
        <w:t xml:space="preserve">limits upon </w:t>
      </w:r>
      <w:r w:rsidR="009B31D6" w:rsidRPr="002C088C">
        <w:rPr>
          <w:rFonts w:ascii="Garamond" w:eastAsia="PMingLiU" w:hAnsi="Garamond"/>
          <w:sz w:val="24"/>
          <w:szCs w:val="24"/>
          <w:lang w:eastAsia="zh-TW"/>
        </w:rPr>
        <w:t xml:space="preserve">the steps which might be taken to protect the public interest, which can now be seen to be those which exist upon the </w:t>
      </w:r>
      <w:r w:rsidR="00A375EC" w:rsidRPr="002C088C">
        <w:rPr>
          <w:rFonts w:ascii="Garamond" w:eastAsia="PMingLiU" w:hAnsi="Garamond"/>
          <w:sz w:val="24"/>
          <w:szCs w:val="24"/>
          <w:lang w:eastAsia="zh-TW"/>
        </w:rPr>
        <w:t>inherent jurisdiction generally.</w:t>
      </w:r>
      <w:r w:rsidR="002A4FF7" w:rsidRPr="002C088C">
        <w:rPr>
          <w:rFonts w:ascii="Garamond" w:eastAsia="PMingLiU" w:hAnsi="Garamond"/>
          <w:sz w:val="24"/>
          <w:szCs w:val="24"/>
          <w:lang w:eastAsia="zh-TW"/>
        </w:rPr>
        <w:t xml:space="preserve"> </w:t>
      </w:r>
      <w:r w:rsidR="00AD7475" w:rsidRPr="002C088C">
        <w:rPr>
          <w:rFonts w:ascii="Garamond" w:eastAsia="PMingLiU" w:hAnsi="Garamond"/>
          <w:sz w:val="24"/>
          <w:szCs w:val="24"/>
          <w:lang w:eastAsia="zh-TW"/>
        </w:rPr>
        <w:t>T</w:t>
      </w:r>
      <w:r w:rsidR="00112798" w:rsidRPr="002C088C">
        <w:rPr>
          <w:rFonts w:ascii="Garamond" w:eastAsia="PMingLiU" w:hAnsi="Garamond"/>
          <w:sz w:val="24"/>
          <w:szCs w:val="24"/>
          <w:lang w:eastAsia="zh-TW"/>
        </w:rPr>
        <w:t>he example of CMP – which</w:t>
      </w:r>
      <w:r w:rsidR="002A2B12" w:rsidRPr="002C088C">
        <w:rPr>
          <w:rFonts w:ascii="Garamond" w:eastAsia="PMingLiU" w:hAnsi="Garamond"/>
          <w:sz w:val="24"/>
          <w:szCs w:val="24"/>
          <w:lang w:eastAsia="zh-TW"/>
        </w:rPr>
        <w:t>, in</w:t>
      </w:r>
      <w:r w:rsidR="00B12760" w:rsidRPr="002C088C">
        <w:rPr>
          <w:rFonts w:ascii="Garamond" w:eastAsia="PMingLiU" w:hAnsi="Garamond"/>
          <w:sz w:val="24"/>
          <w:szCs w:val="24"/>
          <w:lang w:eastAsia="zh-TW"/>
        </w:rPr>
        <w:t xml:space="preserve"> undoing the equality of arms which would normally exist as between the parties,</w:t>
      </w:r>
      <w:r w:rsidR="00112798" w:rsidRPr="002C088C">
        <w:rPr>
          <w:rFonts w:ascii="Garamond" w:eastAsia="PMingLiU" w:hAnsi="Garamond"/>
          <w:sz w:val="24"/>
          <w:szCs w:val="24"/>
          <w:lang w:eastAsia="zh-TW"/>
        </w:rPr>
        <w:t xml:space="preserve"> represents a departure not merely from open justice but also from natural justice – </w:t>
      </w:r>
      <w:r w:rsidR="005D36B6" w:rsidRPr="002C088C">
        <w:rPr>
          <w:rFonts w:ascii="Garamond" w:eastAsia="PMingLiU" w:hAnsi="Garamond"/>
          <w:sz w:val="24"/>
          <w:szCs w:val="24"/>
          <w:lang w:eastAsia="zh-TW"/>
        </w:rPr>
        <w:t>shows,</w:t>
      </w:r>
      <w:r w:rsidR="00871D5A" w:rsidRPr="002C088C">
        <w:rPr>
          <w:rFonts w:ascii="Garamond" w:eastAsia="PMingLiU" w:hAnsi="Garamond"/>
          <w:sz w:val="24"/>
          <w:szCs w:val="24"/>
          <w:lang w:eastAsia="zh-TW"/>
        </w:rPr>
        <w:t xml:space="preserve"> for example, that</w:t>
      </w:r>
      <w:r w:rsidR="00401C3A" w:rsidRPr="002C088C">
        <w:rPr>
          <w:rFonts w:ascii="Garamond" w:eastAsia="PMingLiU" w:hAnsi="Garamond"/>
          <w:sz w:val="24"/>
          <w:szCs w:val="24"/>
          <w:lang w:eastAsia="zh-TW"/>
        </w:rPr>
        <w:t xml:space="preserve"> particular </w:t>
      </w:r>
      <w:r w:rsidR="001C323D" w:rsidRPr="002C088C">
        <w:rPr>
          <w:rFonts w:ascii="Garamond" w:eastAsia="PMingLiU" w:hAnsi="Garamond"/>
          <w:sz w:val="24"/>
          <w:szCs w:val="24"/>
          <w:lang w:eastAsia="zh-TW"/>
        </w:rPr>
        <w:t>mechanisms</w:t>
      </w:r>
      <w:r w:rsidR="00401C3A" w:rsidRPr="002C088C">
        <w:rPr>
          <w:rFonts w:ascii="Garamond" w:eastAsia="PMingLiU" w:hAnsi="Garamond"/>
          <w:sz w:val="24"/>
          <w:szCs w:val="24"/>
          <w:lang w:eastAsia="zh-TW"/>
        </w:rPr>
        <w:t>’</w:t>
      </w:r>
      <w:r w:rsidR="001C323D" w:rsidRPr="002C088C">
        <w:rPr>
          <w:rFonts w:ascii="Garamond" w:eastAsia="PMingLiU" w:hAnsi="Garamond"/>
          <w:sz w:val="24"/>
          <w:szCs w:val="24"/>
          <w:lang w:eastAsia="zh-TW"/>
        </w:rPr>
        <w:t xml:space="preserve"> relationship to constitutional principle </w:t>
      </w:r>
      <w:r w:rsidR="007558EE" w:rsidRPr="002C088C">
        <w:rPr>
          <w:rFonts w:ascii="Garamond" w:eastAsia="PMingLiU" w:hAnsi="Garamond"/>
          <w:sz w:val="24"/>
          <w:szCs w:val="24"/>
          <w:lang w:eastAsia="zh-TW"/>
        </w:rPr>
        <w:t>may be</w:t>
      </w:r>
      <w:r w:rsidR="001C323D" w:rsidRPr="002C088C">
        <w:rPr>
          <w:rFonts w:ascii="Garamond" w:eastAsia="PMingLiU" w:hAnsi="Garamond"/>
          <w:sz w:val="24"/>
          <w:szCs w:val="24"/>
          <w:lang w:eastAsia="zh-TW"/>
        </w:rPr>
        <w:t xml:space="preserve"> such as to prevent </w:t>
      </w:r>
      <w:r w:rsidR="009A69F3" w:rsidRPr="002C088C">
        <w:rPr>
          <w:rFonts w:ascii="Garamond" w:eastAsia="PMingLiU" w:hAnsi="Garamond"/>
          <w:sz w:val="24"/>
          <w:szCs w:val="24"/>
          <w:lang w:eastAsia="zh-TW"/>
        </w:rPr>
        <w:t>their employment</w:t>
      </w:r>
      <w:r w:rsidR="001C323D" w:rsidRPr="002C088C">
        <w:rPr>
          <w:rFonts w:ascii="Garamond" w:eastAsia="PMingLiU" w:hAnsi="Garamond"/>
          <w:sz w:val="24"/>
          <w:szCs w:val="24"/>
          <w:lang w:eastAsia="zh-TW"/>
        </w:rPr>
        <w:t xml:space="preserve"> except where Parliam</w:t>
      </w:r>
      <w:r w:rsidR="00333285" w:rsidRPr="002C088C">
        <w:rPr>
          <w:rFonts w:ascii="Garamond" w:eastAsia="PMingLiU" w:hAnsi="Garamond"/>
          <w:sz w:val="24"/>
          <w:szCs w:val="24"/>
          <w:lang w:eastAsia="zh-TW"/>
        </w:rPr>
        <w:t xml:space="preserve">ent has legislated to permit it, as is </w:t>
      </w:r>
      <w:r w:rsidR="002425F8">
        <w:rPr>
          <w:rFonts w:ascii="Garamond" w:eastAsia="PMingLiU" w:hAnsi="Garamond"/>
          <w:sz w:val="24"/>
          <w:szCs w:val="24"/>
          <w:lang w:eastAsia="zh-TW"/>
        </w:rPr>
        <w:t>has</w:t>
      </w:r>
      <w:r w:rsidR="00333285" w:rsidRPr="002C088C">
        <w:rPr>
          <w:rFonts w:ascii="Garamond" w:eastAsia="PMingLiU" w:hAnsi="Garamond"/>
          <w:sz w:val="24"/>
          <w:szCs w:val="24"/>
          <w:lang w:eastAsia="zh-TW"/>
        </w:rPr>
        <w:t xml:space="preserve"> with CMP.</w:t>
      </w:r>
      <w:r w:rsidR="004B3A3E">
        <w:rPr>
          <w:rStyle w:val="FootnoteReference"/>
          <w:rFonts w:ascii="Garamond" w:eastAsia="PMingLiU" w:hAnsi="Garamond"/>
          <w:sz w:val="24"/>
          <w:szCs w:val="24"/>
          <w:lang w:eastAsia="zh-TW"/>
        </w:rPr>
        <w:footnoteReference w:id="73"/>
      </w:r>
      <w:r w:rsidR="00333285" w:rsidRPr="002C088C">
        <w:rPr>
          <w:rFonts w:ascii="Garamond" w:eastAsia="PMingLiU" w:hAnsi="Garamond"/>
          <w:sz w:val="24"/>
          <w:szCs w:val="24"/>
          <w:lang w:eastAsia="zh-TW"/>
        </w:rPr>
        <w:t xml:space="preserve"> </w:t>
      </w:r>
      <w:r w:rsidR="000E01B8" w:rsidRPr="002C088C">
        <w:rPr>
          <w:rFonts w:ascii="Garamond" w:eastAsia="PMingLiU" w:hAnsi="Garamond"/>
          <w:sz w:val="24"/>
          <w:szCs w:val="24"/>
          <w:lang w:eastAsia="zh-TW"/>
        </w:rPr>
        <w:t xml:space="preserve">The principle of natural justice outranks that of open justice within the hierarchy of constitutional principle </w:t>
      </w:r>
      <w:r w:rsidR="00EF157B" w:rsidRPr="002C088C">
        <w:rPr>
          <w:rFonts w:ascii="Garamond" w:eastAsia="PMingLiU" w:hAnsi="Garamond"/>
          <w:sz w:val="24"/>
          <w:szCs w:val="24"/>
          <w:lang w:eastAsia="zh-TW"/>
        </w:rPr>
        <w:t xml:space="preserve">and </w:t>
      </w:r>
      <w:r w:rsidR="00F622B8" w:rsidRPr="002C088C">
        <w:rPr>
          <w:rFonts w:ascii="Garamond" w:eastAsia="PMingLiU" w:hAnsi="Garamond"/>
          <w:sz w:val="24"/>
          <w:szCs w:val="24"/>
          <w:lang w:eastAsia="zh-TW"/>
        </w:rPr>
        <w:t xml:space="preserve">cannot be departed </w:t>
      </w:r>
      <w:proofErr w:type="gramStart"/>
      <w:r w:rsidR="00F622B8" w:rsidRPr="002C088C">
        <w:rPr>
          <w:rFonts w:ascii="Garamond" w:eastAsia="PMingLiU" w:hAnsi="Garamond"/>
          <w:sz w:val="24"/>
          <w:szCs w:val="24"/>
          <w:lang w:eastAsia="zh-TW"/>
        </w:rPr>
        <w:t xml:space="preserve">from </w:t>
      </w:r>
      <w:r w:rsidR="00714E35" w:rsidRPr="002C088C">
        <w:rPr>
          <w:rFonts w:ascii="Garamond" w:eastAsia="PMingLiU" w:hAnsi="Garamond"/>
          <w:sz w:val="24"/>
          <w:szCs w:val="24"/>
          <w:lang w:eastAsia="zh-TW"/>
        </w:rPr>
        <w:t xml:space="preserve"> </w:t>
      </w:r>
      <w:r w:rsidR="00681213" w:rsidRPr="002C088C">
        <w:rPr>
          <w:rFonts w:ascii="Garamond" w:eastAsia="PMingLiU" w:hAnsi="Garamond"/>
          <w:sz w:val="24"/>
          <w:szCs w:val="24"/>
          <w:lang w:eastAsia="zh-TW"/>
        </w:rPr>
        <w:t>even</w:t>
      </w:r>
      <w:proofErr w:type="gramEnd"/>
      <w:r w:rsidR="00681213" w:rsidRPr="002C088C">
        <w:rPr>
          <w:rFonts w:ascii="Garamond" w:eastAsia="PMingLiU" w:hAnsi="Garamond"/>
          <w:sz w:val="24"/>
          <w:szCs w:val="24"/>
          <w:lang w:eastAsia="zh-TW"/>
        </w:rPr>
        <w:t xml:space="preserve"> where to do so w</w:t>
      </w:r>
      <w:r w:rsidR="006F4086" w:rsidRPr="002C088C">
        <w:rPr>
          <w:rFonts w:ascii="Garamond" w:eastAsia="PMingLiU" w:hAnsi="Garamond"/>
          <w:sz w:val="24"/>
          <w:szCs w:val="24"/>
          <w:lang w:eastAsia="zh-TW"/>
        </w:rPr>
        <w:t xml:space="preserve">ould be necessary to do justice. Or, perhaps more logically, </w:t>
      </w:r>
      <w:r w:rsidR="002C729F" w:rsidRPr="002C088C">
        <w:rPr>
          <w:rFonts w:ascii="Garamond" w:eastAsia="PMingLiU" w:hAnsi="Garamond"/>
          <w:sz w:val="24"/>
          <w:szCs w:val="24"/>
          <w:lang w:eastAsia="zh-TW"/>
        </w:rPr>
        <w:t xml:space="preserve">the </w:t>
      </w:r>
      <w:r w:rsidR="00B03800">
        <w:rPr>
          <w:rFonts w:ascii="Garamond" w:eastAsia="PMingLiU" w:hAnsi="Garamond"/>
          <w:sz w:val="24"/>
          <w:szCs w:val="24"/>
          <w:lang w:eastAsia="zh-TW"/>
        </w:rPr>
        <w:t>require</w:t>
      </w:r>
      <w:r w:rsidR="00054866">
        <w:rPr>
          <w:rFonts w:ascii="Garamond" w:eastAsia="PMingLiU" w:hAnsi="Garamond"/>
          <w:sz w:val="24"/>
          <w:szCs w:val="24"/>
          <w:lang w:eastAsia="zh-TW"/>
        </w:rPr>
        <w:t>ment to adhere to the principle</w:t>
      </w:r>
      <w:r w:rsidR="002C729F" w:rsidRPr="002C088C">
        <w:rPr>
          <w:rFonts w:ascii="Garamond" w:eastAsia="PMingLiU" w:hAnsi="Garamond"/>
          <w:sz w:val="24"/>
          <w:szCs w:val="24"/>
          <w:lang w:eastAsia="zh-TW"/>
        </w:rPr>
        <w:t xml:space="preserve"> of natural justice is </w:t>
      </w:r>
      <w:r w:rsidR="00560BB5">
        <w:rPr>
          <w:rFonts w:ascii="Garamond" w:eastAsia="PMingLiU" w:hAnsi="Garamond"/>
          <w:sz w:val="24"/>
          <w:szCs w:val="24"/>
          <w:lang w:eastAsia="zh-TW"/>
        </w:rPr>
        <w:t>but one facet</w:t>
      </w:r>
      <w:r w:rsidR="002C729F" w:rsidRPr="002C088C">
        <w:rPr>
          <w:rFonts w:ascii="Garamond" w:eastAsia="PMingLiU" w:hAnsi="Garamond"/>
          <w:sz w:val="24"/>
          <w:szCs w:val="24"/>
          <w:lang w:eastAsia="zh-TW"/>
        </w:rPr>
        <w:t xml:space="preserve"> </w:t>
      </w:r>
      <w:r w:rsidR="009E78BF" w:rsidRPr="002C088C">
        <w:rPr>
          <w:rFonts w:ascii="Garamond" w:eastAsia="PMingLiU" w:hAnsi="Garamond"/>
          <w:sz w:val="24"/>
          <w:szCs w:val="24"/>
          <w:lang w:eastAsia="zh-TW"/>
        </w:rPr>
        <w:t xml:space="preserve">of the overarching requirement that justice be done, and </w:t>
      </w:r>
      <w:r w:rsidR="00E5420C" w:rsidRPr="002C088C">
        <w:rPr>
          <w:rFonts w:ascii="Garamond" w:eastAsia="PMingLiU" w:hAnsi="Garamond"/>
          <w:sz w:val="24"/>
          <w:szCs w:val="24"/>
          <w:lang w:eastAsia="zh-TW"/>
        </w:rPr>
        <w:t xml:space="preserve">so it is a contradiction in terms to </w:t>
      </w:r>
      <w:r w:rsidR="00436CCF" w:rsidRPr="002C088C">
        <w:rPr>
          <w:rFonts w:ascii="Garamond" w:eastAsia="PMingLiU" w:hAnsi="Garamond"/>
          <w:sz w:val="24"/>
          <w:szCs w:val="24"/>
          <w:lang w:eastAsia="zh-TW"/>
        </w:rPr>
        <w:t xml:space="preserve">talk of departing </w:t>
      </w:r>
      <w:r w:rsidR="006473D9" w:rsidRPr="002C088C">
        <w:rPr>
          <w:rFonts w:ascii="Garamond" w:eastAsia="PMingLiU" w:hAnsi="Garamond"/>
          <w:sz w:val="24"/>
          <w:szCs w:val="24"/>
          <w:lang w:eastAsia="zh-TW"/>
        </w:rPr>
        <w:t xml:space="preserve">from </w:t>
      </w:r>
      <w:r w:rsidR="00054866">
        <w:rPr>
          <w:rFonts w:ascii="Garamond" w:eastAsia="PMingLiU" w:hAnsi="Garamond"/>
          <w:sz w:val="24"/>
          <w:szCs w:val="24"/>
          <w:lang w:eastAsia="zh-TW"/>
        </w:rPr>
        <w:t>that</w:t>
      </w:r>
      <w:r w:rsidR="009D5602">
        <w:rPr>
          <w:rFonts w:ascii="Garamond" w:eastAsia="PMingLiU" w:hAnsi="Garamond"/>
          <w:sz w:val="24"/>
          <w:szCs w:val="24"/>
          <w:lang w:eastAsia="zh-TW"/>
        </w:rPr>
        <w:t xml:space="preserve"> principles</w:t>
      </w:r>
      <w:r w:rsidR="006473D9" w:rsidRPr="002C088C">
        <w:rPr>
          <w:rFonts w:ascii="Garamond" w:eastAsia="PMingLiU" w:hAnsi="Garamond"/>
          <w:sz w:val="24"/>
          <w:szCs w:val="24"/>
          <w:lang w:eastAsia="zh-TW"/>
        </w:rPr>
        <w:t xml:space="preserve"> in order to do justice. </w:t>
      </w:r>
      <w:r w:rsidR="008D34F5" w:rsidRPr="002C088C">
        <w:rPr>
          <w:rFonts w:ascii="Garamond" w:eastAsia="PMingLiU" w:hAnsi="Garamond"/>
          <w:sz w:val="24"/>
          <w:szCs w:val="24"/>
          <w:lang w:eastAsia="zh-TW"/>
        </w:rPr>
        <w:t>T</w:t>
      </w:r>
      <w:r w:rsidR="00E95D4C" w:rsidRPr="002C088C">
        <w:rPr>
          <w:rFonts w:ascii="Garamond" w:eastAsia="PMingLiU" w:hAnsi="Garamond"/>
          <w:sz w:val="24"/>
          <w:szCs w:val="24"/>
          <w:lang w:eastAsia="zh-TW"/>
        </w:rPr>
        <w:t xml:space="preserve">hat neither </w:t>
      </w:r>
      <w:r w:rsidR="005B51E9" w:rsidRPr="002C088C">
        <w:rPr>
          <w:rFonts w:ascii="Garamond" w:eastAsia="PMingLiU" w:hAnsi="Garamond"/>
          <w:sz w:val="24"/>
          <w:szCs w:val="24"/>
          <w:lang w:eastAsia="zh-TW"/>
        </w:rPr>
        <w:t xml:space="preserve">PII nor in camera trials of the sort at issue here </w:t>
      </w:r>
      <w:r w:rsidR="008D5440" w:rsidRPr="002C088C">
        <w:rPr>
          <w:rFonts w:ascii="Garamond" w:eastAsia="PMingLiU" w:hAnsi="Garamond"/>
          <w:sz w:val="24"/>
          <w:szCs w:val="24"/>
          <w:lang w:eastAsia="zh-TW"/>
        </w:rPr>
        <w:t xml:space="preserve">are </w:t>
      </w:r>
      <w:r w:rsidR="0050444F" w:rsidRPr="002C088C">
        <w:rPr>
          <w:rFonts w:ascii="Garamond" w:eastAsia="PMingLiU" w:hAnsi="Garamond"/>
          <w:sz w:val="24"/>
          <w:szCs w:val="24"/>
          <w:lang w:eastAsia="zh-TW"/>
        </w:rPr>
        <w:t xml:space="preserve">inherently incompatible with the dictates of </w:t>
      </w:r>
      <w:r w:rsidR="00023D58" w:rsidRPr="002C088C">
        <w:rPr>
          <w:rFonts w:ascii="Garamond" w:eastAsia="PMingLiU" w:hAnsi="Garamond"/>
          <w:sz w:val="24"/>
          <w:szCs w:val="24"/>
          <w:lang w:eastAsia="zh-TW"/>
        </w:rPr>
        <w:t xml:space="preserve">natural </w:t>
      </w:r>
      <w:r w:rsidR="00352ACC" w:rsidRPr="002C088C">
        <w:rPr>
          <w:rFonts w:ascii="Garamond" w:eastAsia="PMingLiU" w:hAnsi="Garamond"/>
          <w:sz w:val="24"/>
          <w:szCs w:val="24"/>
          <w:lang w:eastAsia="zh-TW"/>
        </w:rPr>
        <w:t>justice is reflected in the fact that in neither case do the courts look for statutory authority</w:t>
      </w:r>
      <w:r w:rsidR="00670D58" w:rsidRPr="002C088C">
        <w:rPr>
          <w:rFonts w:ascii="Garamond" w:eastAsia="PMingLiU" w:hAnsi="Garamond"/>
          <w:sz w:val="24"/>
          <w:szCs w:val="24"/>
          <w:lang w:eastAsia="zh-TW"/>
        </w:rPr>
        <w:t xml:space="preserve"> before giving effect to them; </w:t>
      </w:r>
      <w:r w:rsidR="009420AB">
        <w:rPr>
          <w:rFonts w:ascii="Garamond" w:eastAsia="PMingLiU" w:hAnsi="Garamond"/>
          <w:sz w:val="24"/>
          <w:szCs w:val="24"/>
          <w:lang w:eastAsia="zh-TW"/>
        </w:rPr>
        <w:t>such</w:t>
      </w:r>
      <w:r w:rsidR="00670D58" w:rsidRPr="002C088C">
        <w:rPr>
          <w:rFonts w:ascii="Garamond" w:eastAsia="PMingLiU" w:hAnsi="Garamond"/>
          <w:sz w:val="24"/>
          <w:szCs w:val="24"/>
          <w:lang w:eastAsia="zh-TW"/>
        </w:rPr>
        <w:t xml:space="preserve"> </w:t>
      </w:r>
      <w:r w:rsidR="00D31A92" w:rsidRPr="002C088C">
        <w:rPr>
          <w:rFonts w:ascii="Garamond" w:eastAsia="PMingLiU" w:hAnsi="Garamond"/>
          <w:sz w:val="24"/>
          <w:szCs w:val="24"/>
          <w:lang w:eastAsia="zh-TW"/>
        </w:rPr>
        <w:t xml:space="preserve">authority </w:t>
      </w:r>
      <w:r w:rsidR="002D5933" w:rsidRPr="002C088C">
        <w:rPr>
          <w:rFonts w:ascii="Garamond" w:eastAsia="PMingLiU" w:hAnsi="Garamond"/>
          <w:sz w:val="24"/>
          <w:szCs w:val="24"/>
          <w:lang w:eastAsia="zh-TW"/>
        </w:rPr>
        <w:t xml:space="preserve">being the only thing to which the </w:t>
      </w:r>
      <w:r w:rsidR="00AF51FA" w:rsidRPr="002C088C">
        <w:rPr>
          <w:rFonts w:ascii="Garamond" w:eastAsia="PMingLiU" w:hAnsi="Garamond"/>
          <w:sz w:val="24"/>
          <w:szCs w:val="24"/>
          <w:lang w:eastAsia="zh-TW"/>
        </w:rPr>
        <w:t xml:space="preserve">duty to do justice gives way. </w:t>
      </w:r>
    </w:p>
    <w:p w:rsidR="00A7284E" w:rsidRPr="002C088C" w:rsidRDefault="00A7284E" w:rsidP="000C2DB7">
      <w:pPr>
        <w:spacing w:after="0" w:line="480" w:lineRule="auto"/>
        <w:jc w:val="both"/>
        <w:rPr>
          <w:rFonts w:ascii="Garamond" w:eastAsia="PMingLiU" w:hAnsi="Garamond"/>
          <w:sz w:val="24"/>
          <w:szCs w:val="24"/>
          <w:lang w:eastAsia="zh-TW"/>
        </w:rPr>
      </w:pPr>
    </w:p>
    <w:p w:rsidR="0094340B" w:rsidRPr="002C088C" w:rsidRDefault="00657F63" w:rsidP="000C2DB7">
      <w:pPr>
        <w:spacing w:after="0" w:line="480" w:lineRule="auto"/>
        <w:jc w:val="both"/>
        <w:rPr>
          <w:rFonts w:ascii="Garamond" w:hAnsi="Garamond"/>
          <w:sz w:val="24"/>
          <w:szCs w:val="24"/>
        </w:rPr>
      </w:pPr>
      <w:r w:rsidRPr="002C088C">
        <w:rPr>
          <w:rFonts w:ascii="Garamond" w:eastAsia="PMingLiU" w:hAnsi="Garamond"/>
          <w:sz w:val="24"/>
          <w:szCs w:val="24"/>
          <w:lang w:eastAsia="zh-TW"/>
        </w:rPr>
        <w:t xml:space="preserve">This </w:t>
      </w:r>
      <w:r w:rsidR="00BB2A0A" w:rsidRPr="002C088C">
        <w:rPr>
          <w:rFonts w:ascii="Garamond" w:eastAsia="PMingLiU" w:hAnsi="Garamond"/>
          <w:sz w:val="24"/>
          <w:szCs w:val="24"/>
          <w:lang w:eastAsia="zh-TW"/>
        </w:rPr>
        <w:t>d</w:t>
      </w:r>
      <w:r w:rsidR="000A1882" w:rsidRPr="002C088C">
        <w:rPr>
          <w:rFonts w:ascii="Garamond" w:eastAsia="PMingLiU" w:hAnsi="Garamond"/>
          <w:sz w:val="24"/>
          <w:szCs w:val="24"/>
          <w:lang w:eastAsia="zh-TW"/>
        </w:rPr>
        <w:t>oes not mean,</w:t>
      </w:r>
      <w:r w:rsidR="00923FB5" w:rsidRPr="002C088C">
        <w:rPr>
          <w:rFonts w:ascii="Garamond" w:eastAsia="PMingLiU" w:hAnsi="Garamond"/>
          <w:sz w:val="24"/>
          <w:szCs w:val="24"/>
          <w:lang w:eastAsia="zh-TW"/>
        </w:rPr>
        <w:t xml:space="preserve"> however, that </w:t>
      </w:r>
      <w:r w:rsidR="00182DD0" w:rsidRPr="002C088C">
        <w:rPr>
          <w:rFonts w:ascii="Garamond" w:eastAsia="PMingLiU" w:hAnsi="Garamond"/>
          <w:sz w:val="24"/>
          <w:szCs w:val="24"/>
          <w:lang w:eastAsia="zh-TW"/>
        </w:rPr>
        <w:t>t</w:t>
      </w:r>
      <w:r w:rsidR="00740871" w:rsidRPr="002C088C">
        <w:rPr>
          <w:rFonts w:ascii="Garamond" w:eastAsia="PMingLiU" w:hAnsi="Garamond"/>
          <w:sz w:val="24"/>
          <w:szCs w:val="24"/>
          <w:lang w:eastAsia="zh-TW"/>
        </w:rPr>
        <w:t>he two procedural mechanisms</w:t>
      </w:r>
      <w:r w:rsidR="009C71D2" w:rsidRPr="002C088C">
        <w:rPr>
          <w:rFonts w:ascii="Garamond" w:eastAsia="PMingLiU" w:hAnsi="Garamond"/>
          <w:sz w:val="24"/>
          <w:szCs w:val="24"/>
          <w:lang w:eastAsia="zh-TW"/>
        </w:rPr>
        <w:t xml:space="preserve"> under discussion</w:t>
      </w:r>
      <w:r w:rsidR="00923FB5" w:rsidRPr="002C088C">
        <w:rPr>
          <w:rFonts w:ascii="Garamond" w:eastAsia="PMingLiU" w:hAnsi="Garamond"/>
          <w:sz w:val="24"/>
          <w:szCs w:val="24"/>
          <w:lang w:eastAsia="zh-TW"/>
        </w:rPr>
        <w:t xml:space="preserve"> will always </w:t>
      </w:r>
      <w:r w:rsidR="00C02D4C" w:rsidRPr="002C088C">
        <w:rPr>
          <w:rFonts w:ascii="Garamond" w:eastAsia="PMingLiU" w:hAnsi="Garamond"/>
          <w:sz w:val="24"/>
          <w:szCs w:val="24"/>
          <w:lang w:eastAsia="zh-TW"/>
        </w:rPr>
        <w:t xml:space="preserve">and everywhere </w:t>
      </w:r>
      <w:r w:rsidR="00923FB5" w:rsidRPr="002C088C">
        <w:rPr>
          <w:rFonts w:ascii="Garamond" w:eastAsia="PMingLiU" w:hAnsi="Garamond"/>
          <w:sz w:val="24"/>
          <w:szCs w:val="24"/>
          <w:lang w:eastAsia="zh-TW"/>
        </w:rPr>
        <w:t>be c</w:t>
      </w:r>
      <w:r w:rsidR="0070436D" w:rsidRPr="002C088C">
        <w:rPr>
          <w:rFonts w:ascii="Garamond" w:eastAsia="PMingLiU" w:hAnsi="Garamond"/>
          <w:sz w:val="24"/>
          <w:szCs w:val="24"/>
          <w:lang w:eastAsia="zh-TW"/>
        </w:rPr>
        <w:t>ompatible with natural justice</w:t>
      </w:r>
      <w:r w:rsidR="002F3525" w:rsidRPr="002C088C">
        <w:rPr>
          <w:rFonts w:ascii="Garamond" w:eastAsia="PMingLiU" w:hAnsi="Garamond"/>
          <w:sz w:val="24"/>
          <w:szCs w:val="24"/>
          <w:lang w:eastAsia="zh-TW"/>
        </w:rPr>
        <w:t xml:space="preserve">. </w:t>
      </w:r>
      <w:r w:rsidR="0070436D" w:rsidRPr="002C088C">
        <w:rPr>
          <w:rFonts w:ascii="Garamond" w:eastAsia="PMingLiU" w:hAnsi="Garamond"/>
          <w:sz w:val="24"/>
          <w:szCs w:val="24"/>
          <w:lang w:eastAsia="zh-TW"/>
        </w:rPr>
        <w:t xml:space="preserve"> </w:t>
      </w:r>
      <w:r w:rsidR="00E94BF5" w:rsidRPr="002C088C">
        <w:rPr>
          <w:rFonts w:ascii="Garamond" w:eastAsia="PMingLiU" w:hAnsi="Garamond"/>
          <w:sz w:val="24"/>
          <w:szCs w:val="24"/>
          <w:lang w:eastAsia="zh-TW"/>
        </w:rPr>
        <w:t xml:space="preserve">On the contrary, the </w:t>
      </w:r>
      <w:r w:rsidR="00CB29CC" w:rsidRPr="002C088C">
        <w:rPr>
          <w:rFonts w:ascii="Garamond" w:eastAsia="PMingLiU" w:hAnsi="Garamond"/>
          <w:sz w:val="24"/>
          <w:szCs w:val="24"/>
          <w:lang w:eastAsia="zh-TW"/>
        </w:rPr>
        <w:t>case law demonstrates that if their</w:t>
      </w:r>
      <w:r w:rsidR="0036533B" w:rsidRPr="002C088C">
        <w:rPr>
          <w:rFonts w:ascii="Garamond" w:eastAsia="PMingLiU" w:hAnsi="Garamond"/>
          <w:sz w:val="24"/>
          <w:szCs w:val="24"/>
          <w:lang w:eastAsia="zh-TW"/>
        </w:rPr>
        <w:t xml:space="preserve"> use will</w:t>
      </w:r>
      <w:r w:rsidR="00F31EB6">
        <w:rPr>
          <w:rFonts w:ascii="Garamond" w:eastAsia="PMingLiU" w:hAnsi="Garamond"/>
          <w:sz w:val="24"/>
          <w:szCs w:val="24"/>
          <w:lang w:eastAsia="zh-TW"/>
        </w:rPr>
        <w:t xml:space="preserve"> result in a trial being unfair</w:t>
      </w:r>
      <w:r w:rsidR="0036533B" w:rsidRPr="002C088C">
        <w:rPr>
          <w:rFonts w:ascii="Garamond" w:eastAsia="PMingLiU" w:hAnsi="Garamond"/>
          <w:sz w:val="24"/>
          <w:szCs w:val="24"/>
          <w:lang w:eastAsia="zh-TW"/>
        </w:rPr>
        <w:t xml:space="preserve"> </w:t>
      </w:r>
      <w:r w:rsidR="007A3A73" w:rsidRPr="002C088C">
        <w:rPr>
          <w:rFonts w:ascii="Garamond" w:eastAsia="PMingLiU" w:hAnsi="Garamond"/>
          <w:sz w:val="24"/>
          <w:szCs w:val="24"/>
          <w:lang w:eastAsia="zh-TW"/>
        </w:rPr>
        <w:t xml:space="preserve">the courts will not permit it. </w:t>
      </w:r>
      <w:r w:rsidR="00F15565" w:rsidRPr="002C088C">
        <w:rPr>
          <w:rFonts w:ascii="Garamond" w:eastAsia="PMingLiU" w:hAnsi="Garamond"/>
          <w:sz w:val="24"/>
          <w:szCs w:val="24"/>
          <w:lang w:eastAsia="zh-TW"/>
        </w:rPr>
        <w:t xml:space="preserve">In relation to </w:t>
      </w:r>
      <w:r w:rsidR="00917F68" w:rsidRPr="002C088C">
        <w:rPr>
          <w:rFonts w:ascii="Garamond" w:eastAsia="PMingLiU" w:hAnsi="Garamond"/>
          <w:sz w:val="24"/>
          <w:szCs w:val="24"/>
          <w:lang w:eastAsia="zh-TW"/>
        </w:rPr>
        <w:t xml:space="preserve">PII and </w:t>
      </w:r>
      <w:r w:rsidR="00F15565" w:rsidRPr="002C088C">
        <w:rPr>
          <w:rFonts w:ascii="Garamond" w:eastAsia="PMingLiU" w:hAnsi="Garamond"/>
          <w:sz w:val="24"/>
          <w:szCs w:val="24"/>
          <w:lang w:eastAsia="zh-TW"/>
        </w:rPr>
        <w:t>the</w:t>
      </w:r>
      <w:r w:rsidR="00762882" w:rsidRPr="002C088C">
        <w:rPr>
          <w:rFonts w:ascii="Garamond" w:eastAsia="PMingLiU" w:hAnsi="Garamond"/>
          <w:sz w:val="24"/>
          <w:szCs w:val="24"/>
          <w:lang w:eastAsia="zh-TW"/>
        </w:rPr>
        <w:t xml:space="preserve"> consequent</w:t>
      </w:r>
      <w:r w:rsidR="00F15565" w:rsidRPr="002C088C">
        <w:rPr>
          <w:rFonts w:ascii="Garamond" w:eastAsia="PMingLiU" w:hAnsi="Garamond"/>
          <w:sz w:val="24"/>
          <w:szCs w:val="24"/>
          <w:lang w:eastAsia="zh-TW"/>
        </w:rPr>
        <w:t xml:space="preserve"> non-disclosure of sensitive material in evidence, we have already noted Lord Bingham’s</w:t>
      </w:r>
      <w:r w:rsidR="006D2EE6" w:rsidRPr="002C088C">
        <w:rPr>
          <w:rFonts w:ascii="Garamond" w:eastAsia="PMingLiU" w:hAnsi="Garamond"/>
          <w:sz w:val="24"/>
          <w:szCs w:val="24"/>
          <w:lang w:eastAsia="zh-TW"/>
        </w:rPr>
        <w:t xml:space="preserve"> </w:t>
      </w:r>
      <w:r w:rsidR="00F15565" w:rsidRPr="002C088C">
        <w:rPr>
          <w:rFonts w:ascii="Garamond" w:eastAsia="PMingLiU" w:hAnsi="Garamond"/>
          <w:sz w:val="24"/>
          <w:szCs w:val="24"/>
          <w:lang w:eastAsia="zh-TW"/>
        </w:rPr>
        <w:t>elaboration</w:t>
      </w:r>
      <w:r w:rsidR="000D58FD" w:rsidRPr="002C088C">
        <w:rPr>
          <w:rFonts w:ascii="Garamond" w:eastAsia="PMingLiU" w:hAnsi="Garamond"/>
          <w:sz w:val="24"/>
          <w:szCs w:val="24"/>
          <w:lang w:eastAsia="zh-TW"/>
        </w:rPr>
        <w:t xml:space="preserve"> i</w:t>
      </w:r>
      <w:r w:rsidR="00331D42" w:rsidRPr="002C088C">
        <w:rPr>
          <w:rFonts w:ascii="Garamond" w:eastAsia="PMingLiU" w:hAnsi="Garamond"/>
          <w:sz w:val="24"/>
          <w:szCs w:val="24"/>
          <w:lang w:eastAsia="zh-TW"/>
        </w:rPr>
        <w:t>n the leading case</w:t>
      </w:r>
      <w:r w:rsidR="006E0B8A" w:rsidRPr="002C088C">
        <w:rPr>
          <w:rFonts w:ascii="Garamond" w:eastAsia="PMingLiU" w:hAnsi="Garamond"/>
          <w:sz w:val="24"/>
          <w:szCs w:val="24"/>
          <w:lang w:eastAsia="zh-TW"/>
        </w:rPr>
        <w:t xml:space="preserve"> on PII in criminal trials</w:t>
      </w:r>
      <w:r w:rsidR="00F15565" w:rsidRPr="002C088C">
        <w:rPr>
          <w:rFonts w:ascii="Garamond" w:eastAsia="PMingLiU" w:hAnsi="Garamond"/>
          <w:sz w:val="24"/>
          <w:szCs w:val="24"/>
          <w:lang w:eastAsia="zh-TW"/>
        </w:rPr>
        <w:t xml:space="preserve"> of the principle that, if the effect of non-disclosure would be to render the trial unfair “fuller disclosure should be ordered even if this leads or may lead the prosecution to discontinue the proceedings so as to avoid having to make disclosure.”</w:t>
      </w:r>
      <w:r w:rsidR="00F15565" w:rsidRPr="002C088C">
        <w:rPr>
          <w:rStyle w:val="FootnoteReference"/>
          <w:rFonts w:ascii="Garamond" w:eastAsia="PMingLiU" w:hAnsi="Garamond"/>
          <w:sz w:val="24"/>
          <w:szCs w:val="24"/>
          <w:lang w:eastAsia="zh-TW"/>
        </w:rPr>
        <w:footnoteReference w:id="74"/>
      </w:r>
      <w:r w:rsidR="00331D42" w:rsidRPr="002C088C">
        <w:rPr>
          <w:rFonts w:ascii="Garamond" w:eastAsia="PMingLiU" w:hAnsi="Garamond"/>
          <w:sz w:val="24"/>
          <w:szCs w:val="24"/>
          <w:lang w:eastAsia="zh-TW"/>
        </w:rPr>
        <w:t xml:space="preserve"> </w:t>
      </w:r>
      <w:r w:rsidR="00695A47" w:rsidRPr="002C088C">
        <w:rPr>
          <w:rFonts w:ascii="Garamond" w:eastAsia="PMingLiU" w:hAnsi="Garamond"/>
          <w:sz w:val="24"/>
          <w:szCs w:val="24"/>
          <w:lang w:eastAsia="zh-TW"/>
        </w:rPr>
        <w:t xml:space="preserve">We see </w:t>
      </w:r>
      <w:r w:rsidR="005C5D3C" w:rsidRPr="002C088C">
        <w:rPr>
          <w:rFonts w:ascii="Garamond" w:eastAsia="PMingLiU" w:hAnsi="Garamond"/>
          <w:sz w:val="24"/>
          <w:szCs w:val="24"/>
          <w:lang w:eastAsia="zh-TW"/>
        </w:rPr>
        <w:t>an</w:t>
      </w:r>
      <w:r w:rsidR="002765F8" w:rsidRPr="002C088C">
        <w:rPr>
          <w:rFonts w:ascii="Garamond" w:eastAsia="PMingLiU" w:hAnsi="Garamond"/>
          <w:sz w:val="24"/>
          <w:szCs w:val="24"/>
          <w:lang w:eastAsia="zh-TW"/>
        </w:rPr>
        <w:t xml:space="preserve"> awareness of the</w:t>
      </w:r>
      <w:r w:rsidR="00036ACA" w:rsidRPr="002C088C">
        <w:rPr>
          <w:rFonts w:ascii="Garamond" w:eastAsia="PMingLiU" w:hAnsi="Garamond"/>
          <w:sz w:val="24"/>
          <w:szCs w:val="24"/>
          <w:lang w:eastAsia="zh-TW"/>
        </w:rPr>
        <w:t xml:space="preserve"> same</w:t>
      </w:r>
      <w:r w:rsidR="002765F8" w:rsidRPr="002C088C">
        <w:rPr>
          <w:rFonts w:ascii="Garamond" w:eastAsia="PMingLiU" w:hAnsi="Garamond"/>
          <w:sz w:val="24"/>
          <w:szCs w:val="24"/>
          <w:lang w:eastAsia="zh-TW"/>
        </w:rPr>
        <w:t xml:space="preserve"> contingent possibility of</w:t>
      </w:r>
      <w:r w:rsidR="00A8592C" w:rsidRPr="002C088C">
        <w:rPr>
          <w:rFonts w:ascii="Garamond" w:eastAsia="PMingLiU" w:hAnsi="Garamond"/>
          <w:sz w:val="24"/>
          <w:szCs w:val="24"/>
          <w:lang w:eastAsia="zh-TW"/>
        </w:rPr>
        <w:t xml:space="preserve"> unfairness</w:t>
      </w:r>
      <w:r w:rsidR="000A48CF" w:rsidRPr="002C088C">
        <w:rPr>
          <w:rFonts w:ascii="Garamond" w:eastAsia="PMingLiU" w:hAnsi="Garamond"/>
          <w:sz w:val="24"/>
          <w:szCs w:val="24"/>
          <w:lang w:eastAsia="zh-TW"/>
        </w:rPr>
        <w:t xml:space="preserve"> – and the necessity of avoiding it –</w:t>
      </w:r>
      <w:r w:rsidR="00A8592C" w:rsidRPr="002C088C">
        <w:rPr>
          <w:rFonts w:ascii="Garamond" w:eastAsia="PMingLiU" w:hAnsi="Garamond"/>
          <w:sz w:val="24"/>
          <w:szCs w:val="24"/>
          <w:lang w:eastAsia="zh-TW"/>
        </w:rPr>
        <w:t xml:space="preserve"> </w:t>
      </w:r>
      <w:r w:rsidR="00695A47" w:rsidRPr="002C088C">
        <w:rPr>
          <w:rFonts w:ascii="Garamond" w:eastAsia="PMingLiU" w:hAnsi="Garamond"/>
          <w:sz w:val="24"/>
          <w:szCs w:val="24"/>
          <w:lang w:eastAsia="zh-TW"/>
        </w:rPr>
        <w:t xml:space="preserve">in </w:t>
      </w:r>
      <w:r w:rsidR="003143C8" w:rsidRPr="002C088C">
        <w:rPr>
          <w:rFonts w:ascii="Garamond" w:eastAsia="PMingLiU" w:hAnsi="Garamond"/>
          <w:sz w:val="24"/>
          <w:szCs w:val="24"/>
          <w:lang w:eastAsia="zh-TW"/>
        </w:rPr>
        <w:t>the emerging jurisprudence governing</w:t>
      </w:r>
      <w:r w:rsidR="00695A47" w:rsidRPr="002C088C">
        <w:rPr>
          <w:rFonts w:ascii="Garamond" w:eastAsia="PMingLiU" w:hAnsi="Garamond"/>
          <w:sz w:val="24"/>
          <w:szCs w:val="24"/>
          <w:lang w:eastAsia="zh-TW"/>
        </w:rPr>
        <w:t xml:space="preserve"> </w:t>
      </w:r>
      <w:r w:rsidR="00695A47" w:rsidRPr="002844D5">
        <w:rPr>
          <w:rFonts w:ascii="Garamond" w:eastAsia="PMingLiU" w:hAnsi="Garamond"/>
          <w:sz w:val="24"/>
          <w:szCs w:val="24"/>
          <w:lang w:eastAsia="zh-TW"/>
        </w:rPr>
        <w:t>in camera</w:t>
      </w:r>
      <w:r w:rsidR="00695A47" w:rsidRPr="002C088C">
        <w:rPr>
          <w:rFonts w:ascii="Garamond" w:eastAsia="PMingLiU" w:hAnsi="Garamond"/>
          <w:sz w:val="24"/>
          <w:szCs w:val="24"/>
          <w:lang w:eastAsia="zh-TW"/>
        </w:rPr>
        <w:t xml:space="preserve"> </w:t>
      </w:r>
      <w:r w:rsidR="00695A47" w:rsidRPr="002C088C">
        <w:rPr>
          <w:rFonts w:ascii="Garamond" w:eastAsia="PMingLiU" w:hAnsi="Garamond"/>
          <w:sz w:val="24"/>
          <w:szCs w:val="24"/>
          <w:lang w:eastAsia="zh-TW"/>
        </w:rPr>
        <w:lastRenderedPageBreak/>
        <w:t>orders</w:t>
      </w:r>
      <w:r w:rsidR="007D37CD" w:rsidRPr="002C088C">
        <w:rPr>
          <w:rFonts w:ascii="Garamond" w:eastAsia="PMingLiU" w:hAnsi="Garamond"/>
          <w:sz w:val="24"/>
          <w:szCs w:val="24"/>
          <w:lang w:eastAsia="zh-TW"/>
        </w:rPr>
        <w:t xml:space="preserve">. </w:t>
      </w:r>
      <w:r w:rsidR="00CE70B4" w:rsidRPr="002C088C">
        <w:rPr>
          <w:rFonts w:ascii="Garamond" w:eastAsia="PMingLiU" w:hAnsi="Garamond"/>
          <w:sz w:val="24"/>
          <w:szCs w:val="24"/>
          <w:lang w:eastAsia="zh-TW"/>
        </w:rPr>
        <w:t>I</w:t>
      </w:r>
      <w:r w:rsidR="00695A47" w:rsidRPr="002C088C">
        <w:rPr>
          <w:rFonts w:ascii="Garamond" w:hAnsi="Garamond"/>
          <w:sz w:val="24"/>
          <w:szCs w:val="24"/>
        </w:rPr>
        <w:t xml:space="preserve">n </w:t>
      </w:r>
      <w:r w:rsidR="00695A47" w:rsidRPr="002C088C">
        <w:rPr>
          <w:rFonts w:ascii="Garamond" w:hAnsi="Garamond"/>
          <w:i/>
          <w:iCs/>
          <w:sz w:val="24"/>
          <w:szCs w:val="24"/>
        </w:rPr>
        <w:t>Wang Yam</w:t>
      </w:r>
      <w:r w:rsidR="00695A47" w:rsidRPr="002C088C">
        <w:rPr>
          <w:rFonts w:ascii="Garamond" w:hAnsi="Garamond"/>
          <w:sz w:val="24"/>
          <w:szCs w:val="24"/>
        </w:rPr>
        <w:t xml:space="preserve"> the Cour</w:t>
      </w:r>
      <w:r w:rsidR="006B2AA5" w:rsidRPr="002C088C">
        <w:rPr>
          <w:rFonts w:ascii="Garamond" w:hAnsi="Garamond"/>
          <w:sz w:val="24"/>
          <w:szCs w:val="24"/>
        </w:rPr>
        <w:t xml:space="preserve">t of Appeal notes that </w:t>
      </w:r>
      <w:proofErr w:type="spellStart"/>
      <w:r w:rsidR="006B2AA5" w:rsidRPr="002C088C">
        <w:rPr>
          <w:rFonts w:ascii="Garamond" w:hAnsi="Garamond"/>
          <w:sz w:val="24"/>
          <w:szCs w:val="24"/>
        </w:rPr>
        <w:t>Ousely</w:t>
      </w:r>
      <w:proofErr w:type="spellEnd"/>
      <w:r w:rsidR="006B2AA5" w:rsidRPr="002C088C">
        <w:rPr>
          <w:rFonts w:ascii="Garamond" w:hAnsi="Garamond"/>
          <w:sz w:val="24"/>
          <w:szCs w:val="24"/>
        </w:rPr>
        <w:t xml:space="preserve"> J, who made the original such order,</w:t>
      </w:r>
      <w:r w:rsidR="00327547" w:rsidRPr="002C088C">
        <w:rPr>
          <w:rFonts w:ascii="Garamond" w:hAnsi="Garamond"/>
          <w:sz w:val="24"/>
          <w:szCs w:val="24"/>
        </w:rPr>
        <w:t xml:space="preserve"> </w:t>
      </w:r>
      <w:r w:rsidR="00695A47" w:rsidRPr="002C088C">
        <w:rPr>
          <w:rFonts w:ascii="Garamond" w:hAnsi="Garamond"/>
          <w:sz w:val="24"/>
          <w:szCs w:val="24"/>
        </w:rPr>
        <w:t>had “made plain” that “the interests of justice could never justify excluding the press and the public if the consequence would be that the trial would not be fair.”</w:t>
      </w:r>
      <w:r w:rsidR="00695A47" w:rsidRPr="002C088C">
        <w:rPr>
          <w:rStyle w:val="FootnoteReference"/>
          <w:rFonts w:ascii="Garamond" w:hAnsi="Garamond"/>
          <w:sz w:val="24"/>
          <w:szCs w:val="24"/>
        </w:rPr>
        <w:footnoteReference w:id="75"/>
      </w:r>
      <w:r w:rsidR="00327547" w:rsidRPr="002C088C">
        <w:rPr>
          <w:rFonts w:ascii="Garamond" w:hAnsi="Garamond"/>
          <w:sz w:val="24"/>
          <w:szCs w:val="24"/>
        </w:rPr>
        <w:t xml:space="preserve"> </w:t>
      </w:r>
      <w:r w:rsidR="0048674B" w:rsidRPr="002C088C">
        <w:rPr>
          <w:rFonts w:ascii="Garamond" w:hAnsi="Garamond"/>
          <w:sz w:val="24"/>
          <w:szCs w:val="24"/>
        </w:rPr>
        <w:t>Fairness</w:t>
      </w:r>
      <w:r w:rsidR="008138CA" w:rsidRPr="002C088C">
        <w:rPr>
          <w:rFonts w:ascii="Garamond" w:hAnsi="Garamond"/>
          <w:sz w:val="24"/>
          <w:szCs w:val="24"/>
        </w:rPr>
        <w:t xml:space="preserve"> </w:t>
      </w:r>
      <w:r w:rsidR="0048674B" w:rsidRPr="002C088C">
        <w:rPr>
          <w:rFonts w:ascii="Garamond" w:hAnsi="Garamond"/>
          <w:sz w:val="24"/>
          <w:szCs w:val="24"/>
        </w:rPr>
        <w:t xml:space="preserve">acts as a </w:t>
      </w:r>
      <w:r w:rsidR="004B1C43" w:rsidRPr="002C088C">
        <w:rPr>
          <w:rFonts w:ascii="Garamond" w:hAnsi="Garamond"/>
          <w:sz w:val="24"/>
          <w:szCs w:val="24"/>
        </w:rPr>
        <w:t>limit</w:t>
      </w:r>
      <w:r w:rsidR="0048674B" w:rsidRPr="002C088C">
        <w:rPr>
          <w:rFonts w:ascii="Garamond" w:hAnsi="Garamond"/>
          <w:sz w:val="24"/>
          <w:szCs w:val="24"/>
        </w:rPr>
        <w:t xml:space="preserve"> upon the exerci</w:t>
      </w:r>
      <w:r w:rsidR="00B221C8" w:rsidRPr="002C088C">
        <w:rPr>
          <w:rFonts w:ascii="Garamond" w:hAnsi="Garamond"/>
          <w:sz w:val="24"/>
          <w:szCs w:val="24"/>
        </w:rPr>
        <w:t>se of the inherent jurisdiction and</w:t>
      </w:r>
      <w:r w:rsidR="00F463A5">
        <w:rPr>
          <w:rFonts w:ascii="Garamond" w:hAnsi="Garamond"/>
          <w:sz w:val="24"/>
          <w:szCs w:val="24"/>
        </w:rPr>
        <w:t>,</w:t>
      </w:r>
      <w:r w:rsidR="00B221C8" w:rsidRPr="002C088C">
        <w:rPr>
          <w:rFonts w:ascii="Garamond" w:hAnsi="Garamond"/>
          <w:sz w:val="24"/>
          <w:szCs w:val="24"/>
        </w:rPr>
        <w:t xml:space="preserve"> though </w:t>
      </w:r>
      <w:r w:rsidR="0048674B" w:rsidRPr="002C088C">
        <w:rPr>
          <w:rFonts w:ascii="Garamond" w:hAnsi="Garamond"/>
          <w:sz w:val="24"/>
          <w:szCs w:val="24"/>
        </w:rPr>
        <w:t xml:space="preserve">the </w:t>
      </w:r>
      <w:r w:rsidR="004B1C43" w:rsidRPr="002C088C">
        <w:rPr>
          <w:rFonts w:ascii="Garamond" w:hAnsi="Garamond"/>
          <w:sz w:val="24"/>
          <w:szCs w:val="24"/>
        </w:rPr>
        <w:t>case law does not</w:t>
      </w:r>
      <w:r w:rsidR="00CF5788" w:rsidRPr="002C088C">
        <w:rPr>
          <w:rFonts w:ascii="Garamond" w:hAnsi="Garamond"/>
          <w:sz w:val="24"/>
          <w:szCs w:val="24"/>
        </w:rPr>
        <w:t xml:space="preserve"> directly</w:t>
      </w:r>
      <w:r w:rsidR="004B1C43" w:rsidRPr="002C088C">
        <w:rPr>
          <w:rFonts w:ascii="Garamond" w:hAnsi="Garamond"/>
          <w:sz w:val="24"/>
          <w:szCs w:val="24"/>
        </w:rPr>
        <w:t xml:space="preserve"> </w:t>
      </w:r>
      <w:r w:rsidR="00BC2344" w:rsidRPr="002C088C">
        <w:rPr>
          <w:rFonts w:ascii="Garamond" w:hAnsi="Garamond"/>
          <w:sz w:val="24"/>
          <w:szCs w:val="24"/>
        </w:rPr>
        <w:t>equate</w:t>
      </w:r>
      <w:r w:rsidR="004B1C43" w:rsidRPr="002C088C">
        <w:rPr>
          <w:rFonts w:ascii="Garamond" w:hAnsi="Garamond"/>
          <w:sz w:val="24"/>
          <w:szCs w:val="24"/>
        </w:rPr>
        <w:t xml:space="preserve"> the two concepts, </w:t>
      </w:r>
      <w:r w:rsidR="0088360F" w:rsidRPr="002C088C">
        <w:rPr>
          <w:rFonts w:ascii="Garamond" w:hAnsi="Garamond"/>
          <w:sz w:val="24"/>
          <w:szCs w:val="24"/>
        </w:rPr>
        <w:t>t</w:t>
      </w:r>
      <w:r w:rsidR="00C37755" w:rsidRPr="002C088C">
        <w:rPr>
          <w:rFonts w:ascii="Garamond" w:hAnsi="Garamond"/>
          <w:sz w:val="24"/>
          <w:szCs w:val="24"/>
        </w:rPr>
        <w:t xml:space="preserve">he </w:t>
      </w:r>
      <w:r w:rsidR="00605384" w:rsidRPr="002C088C">
        <w:rPr>
          <w:rFonts w:ascii="Garamond" w:hAnsi="Garamond"/>
          <w:sz w:val="24"/>
          <w:szCs w:val="24"/>
        </w:rPr>
        <w:t xml:space="preserve">best understanding </w:t>
      </w:r>
      <w:r w:rsidR="002844D5">
        <w:rPr>
          <w:rFonts w:ascii="Garamond" w:hAnsi="Garamond"/>
          <w:sz w:val="24"/>
          <w:szCs w:val="24"/>
        </w:rPr>
        <w:t>must be that</w:t>
      </w:r>
      <w:r w:rsidR="0089517C" w:rsidRPr="002C088C">
        <w:rPr>
          <w:rFonts w:ascii="Garamond" w:hAnsi="Garamond"/>
          <w:sz w:val="24"/>
          <w:szCs w:val="24"/>
        </w:rPr>
        <w:t xml:space="preserve"> </w:t>
      </w:r>
      <w:r w:rsidR="00605384" w:rsidRPr="002C088C">
        <w:rPr>
          <w:rFonts w:ascii="Garamond" w:hAnsi="Garamond"/>
          <w:sz w:val="24"/>
          <w:szCs w:val="24"/>
        </w:rPr>
        <w:t xml:space="preserve">is </w:t>
      </w:r>
      <w:r w:rsidR="0089517C" w:rsidRPr="002C088C">
        <w:rPr>
          <w:rFonts w:ascii="Garamond" w:hAnsi="Garamond"/>
          <w:sz w:val="24"/>
          <w:szCs w:val="24"/>
        </w:rPr>
        <w:t xml:space="preserve">that these remarks are simply </w:t>
      </w:r>
      <w:r w:rsidR="004052DA" w:rsidRPr="002C088C">
        <w:rPr>
          <w:rFonts w:ascii="Garamond" w:hAnsi="Garamond"/>
          <w:sz w:val="24"/>
          <w:szCs w:val="24"/>
        </w:rPr>
        <w:t>an instantiation of the same constituti</w:t>
      </w:r>
      <w:r w:rsidR="004821BF" w:rsidRPr="002C088C">
        <w:rPr>
          <w:rFonts w:ascii="Garamond" w:hAnsi="Garamond"/>
          <w:sz w:val="24"/>
          <w:szCs w:val="24"/>
        </w:rPr>
        <w:t xml:space="preserve">onal concerns which underlie the </w:t>
      </w:r>
      <w:r w:rsidR="007C3026" w:rsidRPr="002C088C">
        <w:rPr>
          <w:rFonts w:ascii="Garamond" w:hAnsi="Garamond"/>
          <w:sz w:val="24"/>
          <w:szCs w:val="24"/>
        </w:rPr>
        <w:t xml:space="preserve">decision in </w:t>
      </w:r>
      <w:r w:rsidR="007C3026" w:rsidRPr="002C088C">
        <w:rPr>
          <w:rFonts w:ascii="Garamond" w:hAnsi="Garamond"/>
          <w:i/>
          <w:sz w:val="24"/>
          <w:szCs w:val="24"/>
        </w:rPr>
        <w:t>Al Rawi</w:t>
      </w:r>
      <w:r w:rsidR="00DF34F1">
        <w:rPr>
          <w:rFonts w:ascii="Garamond" w:hAnsi="Garamond"/>
          <w:sz w:val="24"/>
          <w:szCs w:val="24"/>
        </w:rPr>
        <w:t>.</w:t>
      </w:r>
      <w:r w:rsidR="006D4B51" w:rsidRPr="002C088C">
        <w:rPr>
          <w:rStyle w:val="FootnoteReference"/>
          <w:rFonts w:ascii="Garamond" w:hAnsi="Garamond"/>
          <w:sz w:val="24"/>
          <w:szCs w:val="24"/>
        </w:rPr>
        <w:footnoteReference w:id="76"/>
      </w:r>
      <w:r w:rsidR="00C511E5" w:rsidRPr="002C088C">
        <w:rPr>
          <w:rFonts w:ascii="Garamond" w:hAnsi="Garamond"/>
          <w:sz w:val="24"/>
          <w:szCs w:val="24"/>
        </w:rPr>
        <w:t xml:space="preserve"> </w:t>
      </w:r>
      <w:r w:rsidR="000E1160">
        <w:rPr>
          <w:rFonts w:ascii="Garamond" w:hAnsi="Garamond"/>
          <w:sz w:val="24"/>
          <w:szCs w:val="24"/>
        </w:rPr>
        <w:t xml:space="preserve">This </w:t>
      </w:r>
      <w:r w:rsidR="00B70D20">
        <w:rPr>
          <w:rFonts w:ascii="Garamond" w:hAnsi="Garamond"/>
          <w:sz w:val="24"/>
          <w:szCs w:val="24"/>
        </w:rPr>
        <w:t>adds</w:t>
      </w:r>
      <w:r w:rsidR="000E1160">
        <w:rPr>
          <w:rFonts w:ascii="Garamond" w:hAnsi="Garamond"/>
          <w:sz w:val="24"/>
          <w:szCs w:val="24"/>
        </w:rPr>
        <w:t xml:space="preserve"> </w:t>
      </w:r>
      <w:r w:rsidR="005D04AA">
        <w:rPr>
          <w:rFonts w:ascii="Garamond" w:hAnsi="Garamond"/>
          <w:sz w:val="24"/>
          <w:szCs w:val="24"/>
        </w:rPr>
        <w:t>context to</w:t>
      </w:r>
      <w:r w:rsidR="003D2AD9">
        <w:rPr>
          <w:rFonts w:ascii="Garamond" w:hAnsi="Garamond"/>
          <w:sz w:val="24"/>
          <w:szCs w:val="24"/>
        </w:rPr>
        <w:t xml:space="preserve"> the </w:t>
      </w:r>
      <w:r w:rsidR="009C543B">
        <w:rPr>
          <w:rFonts w:ascii="Garamond" w:hAnsi="Garamond"/>
          <w:sz w:val="24"/>
          <w:szCs w:val="24"/>
        </w:rPr>
        <w:t xml:space="preserve">Court of Appeal’s </w:t>
      </w:r>
      <w:r w:rsidR="00C7399A">
        <w:rPr>
          <w:rFonts w:ascii="Garamond" w:hAnsi="Garamond"/>
          <w:sz w:val="24"/>
          <w:szCs w:val="24"/>
        </w:rPr>
        <w:t>expression</w:t>
      </w:r>
      <w:r w:rsidR="009C543B">
        <w:rPr>
          <w:rFonts w:ascii="Garamond" w:hAnsi="Garamond"/>
          <w:sz w:val="24"/>
          <w:szCs w:val="24"/>
        </w:rPr>
        <w:t xml:space="preserve"> in </w:t>
      </w:r>
      <w:proofErr w:type="spellStart"/>
      <w:r w:rsidR="009C543B">
        <w:rPr>
          <w:rFonts w:ascii="Garamond" w:hAnsi="Garamond"/>
          <w:i/>
          <w:sz w:val="24"/>
          <w:szCs w:val="24"/>
        </w:rPr>
        <w:t>Incedal</w:t>
      </w:r>
      <w:proofErr w:type="spellEnd"/>
      <w:r w:rsidR="009C543B">
        <w:rPr>
          <w:rFonts w:ascii="Garamond" w:hAnsi="Garamond"/>
          <w:i/>
          <w:sz w:val="24"/>
          <w:szCs w:val="24"/>
        </w:rPr>
        <w:t xml:space="preserve"> </w:t>
      </w:r>
      <w:r w:rsidR="00C7399A">
        <w:rPr>
          <w:rFonts w:ascii="Garamond" w:hAnsi="Garamond"/>
          <w:sz w:val="24"/>
          <w:szCs w:val="24"/>
        </w:rPr>
        <w:t xml:space="preserve">of ‘grave concern’ about the </w:t>
      </w:r>
      <w:r w:rsidR="008279CA">
        <w:rPr>
          <w:rFonts w:ascii="Garamond" w:hAnsi="Garamond"/>
          <w:sz w:val="24"/>
          <w:szCs w:val="24"/>
        </w:rPr>
        <w:t xml:space="preserve">cumulative effect of holding a criminal trial in camera </w:t>
      </w:r>
      <w:r w:rsidR="003266A2">
        <w:rPr>
          <w:rFonts w:ascii="Garamond" w:hAnsi="Garamond"/>
          <w:sz w:val="24"/>
          <w:szCs w:val="24"/>
        </w:rPr>
        <w:t>and anonymising the defendan</w:t>
      </w:r>
      <w:r w:rsidR="003C04A6">
        <w:rPr>
          <w:rFonts w:ascii="Garamond" w:hAnsi="Garamond"/>
          <w:sz w:val="24"/>
          <w:szCs w:val="24"/>
        </w:rPr>
        <w:t>ts (as per the original order).</w:t>
      </w:r>
      <w:r w:rsidR="00CE1451">
        <w:rPr>
          <w:rStyle w:val="FootnoteReference"/>
          <w:rFonts w:ascii="Garamond" w:hAnsi="Garamond"/>
          <w:sz w:val="24"/>
          <w:szCs w:val="24"/>
        </w:rPr>
        <w:footnoteReference w:id="77"/>
      </w:r>
      <w:r w:rsidR="003C04A6">
        <w:rPr>
          <w:rFonts w:ascii="Garamond" w:hAnsi="Garamond"/>
          <w:sz w:val="24"/>
          <w:szCs w:val="24"/>
        </w:rPr>
        <w:t xml:space="preserve"> </w:t>
      </w:r>
      <w:r w:rsidR="006A16DB">
        <w:rPr>
          <w:rFonts w:ascii="Garamond" w:hAnsi="Garamond"/>
          <w:sz w:val="24"/>
          <w:szCs w:val="24"/>
        </w:rPr>
        <w:t xml:space="preserve">Though the Court of Appeal </w:t>
      </w:r>
      <w:r w:rsidR="00C81971">
        <w:rPr>
          <w:rFonts w:ascii="Garamond" w:hAnsi="Garamond"/>
          <w:sz w:val="24"/>
          <w:szCs w:val="24"/>
        </w:rPr>
        <w:t>expresses that concern in the language of justification (“[w]e find it diffi</w:t>
      </w:r>
      <w:r w:rsidR="00AD5987">
        <w:rPr>
          <w:rFonts w:ascii="Garamond" w:hAnsi="Garamond"/>
          <w:sz w:val="24"/>
          <w:szCs w:val="24"/>
        </w:rPr>
        <w:t>cult to conceive of a situation where both departures from open justice will be justified”)</w:t>
      </w:r>
      <w:r w:rsidR="00CE1451">
        <w:rPr>
          <w:rStyle w:val="FootnoteReference"/>
          <w:rFonts w:ascii="Garamond" w:hAnsi="Garamond"/>
          <w:sz w:val="24"/>
          <w:szCs w:val="24"/>
        </w:rPr>
        <w:footnoteReference w:id="78"/>
      </w:r>
      <w:r w:rsidR="00AD5987">
        <w:rPr>
          <w:rFonts w:ascii="Garamond" w:hAnsi="Garamond"/>
          <w:sz w:val="24"/>
          <w:szCs w:val="24"/>
        </w:rPr>
        <w:t xml:space="preserve"> it might </w:t>
      </w:r>
      <w:r w:rsidR="00D35FBF">
        <w:rPr>
          <w:rFonts w:ascii="Garamond" w:hAnsi="Garamond"/>
          <w:sz w:val="24"/>
          <w:szCs w:val="24"/>
        </w:rPr>
        <w:t xml:space="preserve">be </w:t>
      </w:r>
      <w:r w:rsidR="00243D40">
        <w:rPr>
          <w:rFonts w:ascii="Garamond" w:hAnsi="Garamond"/>
          <w:sz w:val="24"/>
          <w:szCs w:val="24"/>
        </w:rPr>
        <w:t>argued</w:t>
      </w:r>
      <w:r w:rsidR="00D35FBF">
        <w:rPr>
          <w:rFonts w:ascii="Garamond" w:hAnsi="Garamond"/>
          <w:sz w:val="24"/>
          <w:szCs w:val="24"/>
        </w:rPr>
        <w:t xml:space="preserve"> instead to</w:t>
      </w:r>
      <w:r w:rsidR="00AD5987">
        <w:rPr>
          <w:rFonts w:ascii="Garamond" w:hAnsi="Garamond"/>
          <w:sz w:val="24"/>
          <w:szCs w:val="24"/>
        </w:rPr>
        <w:t xml:space="preserve"> be the case </w:t>
      </w:r>
      <w:r w:rsidR="00CE1451">
        <w:rPr>
          <w:rFonts w:ascii="Garamond" w:hAnsi="Garamond"/>
          <w:sz w:val="24"/>
          <w:szCs w:val="24"/>
        </w:rPr>
        <w:t xml:space="preserve">that the cumulative effect of the two departures from open justice, neither of which itself </w:t>
      </w:r>
      <w:r w:rsidR="004B225D">
        <w:rPr>
          <w:rFonts w:ascii="Garamond" w:hAnsi="Garamond"/>
          <w:sz w:val="24"/>
          <w:szCs w:val="24"/>
        </w:rPr>
        <w:t xml:space="preserve">necessarily </w:t>
      </w:r>
      <w:r w:rsidR="00D13F5D">
        <w:rPr>
          <w:rFonts w:ascii="Garamond" w:hAnsi="Garamond"/>
          <w:sz w:val="24"/>
          <w:szCs w:val="24"/>
        </w:rPr>
        <w:t xml:space="preserve">gives rise to </w:t>
      </w:r>
      <w:r w:rsidR="00CE1451">
        <w:rPr>
          <w:rFonts w:ascii="Garamond" w:hAnsi="Garamond"/>
          <w:sz w:val="24"/>
          <w:szCs w:val="24"/>
        </w:rPr>
        <w:t xml:space="preserve">unfairness, is </w:t>
      </w:r>
      <w:r w:rsidR="006C2DA7">
        <w:rPr>
          <w:rFonts w:ascii="Garamond" w:hAnsi="Garamond"/>
          <w:sz w:val="24"/>
          <w:szCs w:val="24"/>
        </w:rPr>
        <w:t>a necessary rather than merely contingent incompatibility</w:t>
      </w:r>
      <w:r w:rsidR="00CE1451">
        <w:rPr>
          <w:rFonts w:ascii="Garamond" w:hAnsi="Garamond"/>
          <w:sz w:val="24"/>
          <w:szCs w:val="24"/>
        </w:rPr>
        <w:t xml:space="preserve"> with natural justice. </w:t>
      </w:r>
      <w:r w:rsidR="00492B32">
        <w:rPr>
          <w:rFonts w:ascii="Garamond" w:hAnsi="Garamond"/>
          <w:sz w:val="24"/>
          <w:szCs w:val="24"/>
        </w:rPr>
        <w:t xml:space="preserve">That is, even it were justified by </w:t>
      </w:r>
      <w:r w:rsidR="00862FCB">
        <w:rPr>
          <w:rFonts w:ascii="Garamond" w:hAnsi="Garamond"/>
          <w:sz w:val="24"/>
          <w:szCs w:val="24"/>
        </w:rPr>
        <w:t>the circumstances in which non-disclosure is sought</w:t>
      </w:r>
      <w:r w:rsidR="00492B32">
        <w:rPr>
          <w:rFonts w:ascii="Garamond" w:hAnsi="Garamond"/>
          <w:sz w:val="24"/>
          <w:szCs w:val="24"/>
        </w:rPr>
        <w:t xml:space="preserve">, it would not </w:t>
      </w:r>
      <w:r w:rsidR="00454F5F">
        <w:rPr>
          <w:rFonts w:ascii="Garamond" w:hAnsi="Garamond"/>
          <w:sz w:val="24"/>
          <w:szCs w:val="24"/>
        </w:rPr>
        <w:t>represent</w:t>
      </w:r>
      <w:r w:rsidR="00492B32">
        <w:rPr>
          <w:rFonts w:ascii="Garamond" w:hAnsi="Garamond"/>
          <w:sz w:val="24"/>
          <w:szCs w:val="24"/>
        </w:rPr>
        <w:t xml:space="preserve"> a permissible use of the inherent jurisdiction. </w:t>
      </w:r>
      <w:r w:rsidR="005D7D32" w:rsidRPr="002C088C">
        <w:rPr>
          <w:rFonts w:ascii="Garamond" w:hAnsi="Garamond"/>
          <w:sz w:val="24"/>
          <w:szCs w:val="24"/>
        </w:rPr>
        <w:t>For present purposes, the point is this: u</w:t>
      </w:r>
      <w:r w:rsidR="00DC573C" w:rsidRPr="002C088C">
        <w:rPr>
          <w:rFonts w:ascii="Garamond" w:hAnsi="Garamond"/>
          <w:sz w:val="24"/>
          <w:szCs w:val="24"/>
        </w:rPr>
        <w:t>nlike CMP, PII and in camera orders are not inherently contrary to natu</w:t>
      </w:r>
      <w:r w:rsidR="00492ACE" w:rsidRPr="002C088C">
        <w:rPr>
          <w:rFonts w:ascii="Garamond" w:hAnsi="Garamond"/>
          <w:sz w:val="24"/>
          <w:szCs w:val="24"/>
        </w:rPr>
        <w:t>ral justice (unfair) but if their</w:t>
      </w:r>
      <w:r w:rsidR="00DC573C" w:rsidRPr="002C088C">
        <w:rPr>
          <w:rFonts w:ascii="Garamond" w:hAnsi="Garamond"/>
          <w:sz w:val="24"/>
          <w:szCs w:val="24"/>
        </w:rPr>
        <w:t xml:space="preserve"> use in specific contex</w:t>
      </w:r>
      <w:r w:rsidR="00B45EA0" w:rsidRPr="002C088C">
        <w:rPr>
          <w:rFonts w:ascii="Garamond" w:hAnsi="Garamond"/>
          <w:sz w:val="24"/>
          <w:szCs w:val="24"/>
        </w:rPr>
        <w:t xml:space="preserve">ts or in specific ways </w:t>
      </w:r>
      <w:r w:rsidR="00492ACE" w:rsidRPr="002C088C">
        <w:rPr>
          <w:rFonts w:ascii="Garamond" w:hAnsi="Garamond"/>
          <w:sz w:val="24"/>
          <w:szCs w:val="24"/>
        </w:rPr>
        <w:t xml:space="preserve">would be so, they cannot take place on the basis of the inherent jurisdiction alone but would require statutory authority. </w:t>
      </w:r>
      <w:r w:rsidR="00DE24D6" w:rsidRPr="002C088C">
        <w:rPr>
          <w:rFonts w:ascii="Garamond" w:hAnsi="Garamond"/>
          <w:sz w:val="24"/>
          <w:szCs w:val="24"/>
        </w:rPr>
        <w:t>In another reflection of the Parliamentary supremacy which permits primary legislation to breach the rules of natural justice,</w:t>
      </w:r>
      <w:r w:rsidR="002649D7" w:rsidRPr="002C088C">
        <w:rPr>
          <w:rFonts w:ascii="Garamond" w:hAnsi="Garamond"/>
          <w:sz w:val="24"/>
          <w:szCs w:val="24"/>
        </w:rPr>
        <w:t xml:space="preserve"> </w:t>
      </w:r>
      <w:r w:rsidR="002649D7" w:rsidRPr="002C088C">
        <w:rPr>
          <w:rFonts w:ascii="Garamond" w:hAnsi="Garamond"/>
          <w:sz w:val="24"/>
          <w:szCs w:val="24"/>
        </w:rPr>
        <w:lastRenderedPageBreak/>
        <w:t>s</w:t>
      </w:r>
      <w:r w:rsidR="0090079B" w:rsidRPr="002C088C">
        <w:rPr>
          <w:rFonts w:ascii="Garamond" w:hAnsi="Garamond"/>
          <w:sz w:val="24"/>
          <w:szCs w:val="24"/>
        </w:rPr>
        <w:t xml:space="preserve">tatutory rules similarly limit the </w:t>
      </w:r>
      <w:r w:rsidR="00C06CEC" w:rsidRPr="002C088C">
        <w:rPr>
          <w:rFonts w:ascii="Garamond" w:hAnsi="Garamond"/>
          <w:sz w:val="24"/>
          <w:szCs w:val="24"/>
        </w:rPr>
        <w:t>exercise</w:t>
      </w:r>
      <w:r w:rsidR="0090079B" w:rsidRPr="002C088C">
        <w:rPr>
          <w:rFonts w:ascii="Garamond" w:hAnsi="Garamond"/>
          <w:sz w:val="24"/>
          <w:szCs w:val="24"/>
        </w:rPr>
        <w:t xml:space="preserve"> of the courts’ inherent jurisdiction</w:t>
      </w:r>
      <w:r w:rsidR="00087848" w:rsidRPr="002C088C">
        <w:rPr>
          <w:rFonts w:ascii="Garamond" w:hAnsi="Garamond"/>
          <w:sz w:val="24"/>
          <w:szCs w:val="24"/>
        </w:rPr>
        <w:t>.</w:t>
      </w:r>
      <w:r w:rsidR="0090079B" w:rsidRPr="002C088C">
        <w:rPr>
          <w:rStyle w:val="FootnoteReference"/>
          <w:rFonts w:ascii="Garamond" w:hAnsi="Garamond"/>
          <w:sz w:val="24"/>
          <w:szCs w:val="24"/>
        </w:rPr>
        <w:footnoteReference w:id="79"/>
      </w:r>
      <w:r w:rsidR="0090079B" w:rsidRPr="002C088C">
        <w:rPr>
          <w:rFonts w:ascii="Garamond" w:hAnsi="Garamond"/>
          <w:sz w:val="24"/>
          <w:szCs w:val="24"/>
        </w:rPr>
        <w:t xml:space="preserve"> </w:t>
      </w:r>
      <w:r w:rsidR="00087848" w:rsidRPr="002C088C">
        <w:rPr>
          <w:rFonts w:ascii="Garamond" w:hAnsi="Garamond"/>
          <w:sz w:val="24"/>
          <w:szCs w:val="24"/>
        </w:rPr>
        <w:t>So too</w:t>
      </w:r>
      <w:r w:rsidR="0090079B" w:rsidRPr="002C088C">
        <w:rPr>
          <w:rFonts w:ascii="Garamond" w:hAnsi="Garamond"/>
          <w:sz w:val="24"/>
          <w:szCs w:val="24"/>
        </w:rPr>
        <w:t xml:space="preserve"> do the provisions of the Civil Procedure Rules.</w:t>
      </w:r>
      <w:r w:rsidR="0090079B" w:rsidRPr="002C088C">
        <w:rPr>
          <w:rStyle w:val="FootnoteReference"/>
          <w:rFonts w:ascii="Garamond" w:hAnsi="Garamond"/>
          <w:sz w:val="24"/>
          <w:szCs w:val="24"/>
        </w:rPr>
        <w:footnoteReference w:id="80"/>
      </w:r>
    </w:p>
    <w:p w:rsidR="00587184" w:rsidRPr="002C088C" w:rsidRDefault="00587184" w:rsidP="000C2DB7">
      <w:pPr>
        <w:spacing w:after="0" w:line="480" w:lineRule="auto"/>
        <w:jc w:val="center"/>
        <w:rPr>
          <w:rFonts w:ascii="Garamond" w:hAnsi="Garamond"/>
          <w:sz w:val="24"/>
          <w:szCs w:val="24"/>
        </w:rPr>
      </w:pPr>
    </w:p>
    <w:p w:rsidR="00EE2D72" w:rsidRPr="00CA3BEC" w:rsidRDefault="00CA3BEC" w:rsidP="00CA3BEC">
      <w:pPr>
        <w:spacing w:after="0" w:line="480" w:lineRule="auto"/>
        <w:jc w:val="center"/>
        <w:rPr>
          <w:rFonts w:ascii="Garamond" w:hAnsi="Garamond"/>
          <w:sz w:val="24"/>
          <w:szCs w:val="24"/>
        </w:rPr>
      </w:pPr>
      <w:r>
        <w:rPr>
          <w:rFonts w:ascii="Garamond" w:hAnsi="Garamond"/>
          <w:sz w:val="24"/>
          <w:szCs w:val="24"/>
        </w:rPr>
        <w:t xml:space="preserve">V. </w:t>
      </w:r>
      <w:r w:rsidR="00EE2D72" w:rsidRPr="00CA3BEC">
        <w:rPr>
          <w:rFonts w:ascii="Garamond" w:hAnsi="Garamond"/>
          <w:sz w:val="24"/>
          <w:szCs w:val="24"/>
        </w:rPr>
        <w:t>Conclusion</w:t>
      </w:r>
    </w:p>
    <w:p w:rsidR="00F55D55" w:rsidRPr="002C088C" w:rsidRDefault="00F55D55" w:rsidP="000C2DB7">
      <w:pPr>
        <w:pStyle w:val="ListParagraph"/>
        <w:spacing w:after="0" w:line="480" w:lineRule="auto"/>
        <w:jc w:val="both"/>
        <w:rPr>
          <w:rFonts w:ascii="Garamond" w:hAnsi="Garamond"/>
          <w:b/>
          <w:bCs/>
          <w:sz w:val="24"/>
          <w:szCs w:val="24"/>
        </w:rPr>
      </w:pPr>
    </w:p>
    <w:p w:rsidR="00EE2D72" w:rsidRPr="002C088C" w:rsidRDefault="00573439" w:rsidP="000C2DB7">
      <w:pPr>
        <w:spacing w:after="0" w:line="480" w:lineRule="auto"/>
        <w:jc w:val="both"/>
        <w:rPr>
          <w:rFonts w:ascii="Garamond" w:hAnsi="Garamond"/>
          <w:sz w:val="24"/>
          <w:szCs w:val="24"/>
        </w:rPr>
      </w:pPr>
      <w:r w:rsidRPr="002C088C">
        <w:rPr>
          <w:rFonts w:ascii="Garamond" w:hAnsi="Garamond"/>
          <w:sz w:val="24"/>
          <w:szCs w:val="24"/>
        </w:rPr>
        <w:t xml:space="preserve">This piece has </w:t>
      </w:r>
      <w:r w:rsidR="00077A32" w:rsidRPr="002C088C">
        <w:rPr>
          <w:rFonts w:ascii="Garamond" w:hAnsi="Garamond"/>
          <w:sz w:val="24"/>
          <w:szCs w:val="24"/>
        </w:rPr>
        <w:t>e</w:t>
      </w:r>
      <w:r w:rsidR="003F1ECF" w:rsidRPr="002C088C">
        <w:rPr>
          <w:rFonts w:ascii="Garamond" w:hAnsi="Garamond"/>
          <w:sz w:val="24"/>
          <w:szCs w:val="24"/>
        </w:rPr>
        <w:t xml:space="preserve">xplored the ways in which the courts use their inherent jurisdiction to regulate their own proceedings in order </w:t>
      </w:r>
      <w:r w:rsidR="00A61C63" w:rsidRPr="002C088C">
        <w:rPr>
          <w:rFonts w:ascii="Garamond" w:hAnsi="Garamond"/>
          <w:sz w:val="24"/>
          <w:szCs w:val="24"/>
        </w:rPr>
        <w:t>to protect the public interest agains</w:t>
      </w:r>
      <w:r w:rsidR="00E90A5B" w:rsidRPr="002C088C">
        <w:rPr>
          <w:rFonts w:ascii="Garamond" w:hAnsi="Garamond"/>
          <w:sz w:val="24"/>
          <w:szCs w:val="24"/>
        </w:rPr>
        <w:t>t harm which would result from information being disclosed as p</w:t>
      </w:r>
      <w:r w:rsidR="00B73A25" w:rsidRPr="002C088C">
        <w:rPr>
          <w:rFonts w:ascii="Garamond" w:hAnsi="Garamond"/>
          <w:sz w:val="24"/>
          <w:szCs w:val="24"/>
        </w:rPr>
        <w:t>art of the trial process. It has demonstrated the commonalities which exist between, on the one hand, the law of public interest immunity and, on the o</w:t>
      </w:r>
      <w:r w:rsidR="00983717" w:rsidRPr="002C088C">
        <w:rPr>
          <w:rFonts w:ascii="Garamond" w:hAnsi="Garamond"/>
          <w:sz w:val="24"/>
          <w:szCs w:val="24"/>
        </w:rPr>
        <w:t xml:space="preserve">ther, that of in camera trials and argued that by insisting upon these commonalities – treating the two mechanisms as </w:t>
      </w:r>
      <w:r w:rsidR="00CC64FD" w:rsidRPr="002C088C">
        <w:rPr>
          <w:rFonts w:ascii="Garamond" w:hAnsi="Garamond"/>
          <w:sz w:val="24"/>
          <w:szCs w:val="24"/>
        </w:rPr>
        <w:t xml:space="preserve">parallel – </w:t>
      </w:r>
      <w:r w:rsidR="00DB2F34" w:rsidRPr="002C088C">
        <w:rPr>
          <w:rFonts w:ascii="Garamond" w:hAnsi="Garamond"/>
          <w:sz w:val="24"/>
          <w:szCs w:val="24"/>
        </w:rPr>
        <w:t xml:space="preserve">we </w:t>
      </w:r>
      <w:r w:rsidR="00313B37" w:rsidRPr="002C088C">
        <w:rPr>
          <w:rFonts w:ascii="Garamond" w:hAnsi="Garamond"/>
          <w:sz w:val="24"/>
          <w:szCs w:val="24"/>
        </w:rPr>
        <w:t xml:space="preserve">begin to see how the </w:t>
      </w:r>
      <w:r w:rsidR="00DB2F34" w:rsidRPr="002C088C">
        <w:rPr>
          <w:rFonts w:ascii="Garamond" w:hAnsi="Garamond"/>
          <w:sz w:val="24"/>
          <w:szCs w:val="24"/>
        </w:rPr>
        <w:t>courts</w:t>
      </w:r>
      <w:r w:rsidR="0079104F" w:rsidRPr="002C088C">
        <w:rPr>
          <w:rFonts w:ascii="Garamond" w:hAnsi="Garamond"/>
          <w:sz w:val="24"/>
          <w:szCs w:val="24"/>
        </w:rPr>
        <w:t xml:space="preserve"> </w:t>
      </w:r>
      <w:r w:rsidR="00DB2F34" w:rsidRPr="002C088C">
        <w:rPr>
          <w:rFonts w:ascii="Garamond" w:hAnsi="Garamond"/>
          <w:sz w:val="24"/>
          <w:szCs w:val="24"/>
        </w:rPr>
        <w:t xml:space="preserve">should address </w:t>
      </w:r>
      <w:r w:rsidR="00A02CA7" w:rsidRPr="002C088C">
        <w:rPr>
          <w:rFonts w:ascii="Garamond" w:hAnsi="Garamond"/>
          <w:sz w:val="24"/>
          <w:szCs w:val="24"/>
        </w:rPr>
        <w:t xml:space="preserve">as yet unasked questions about the </w:t>
      </w:r>
      <w:r w:rsidR="00A90BCF" w:rsidRPr="002C088C">
        <w:rPr>
          <w:rFonts w:ascii="Garamond" w:hAnsi="Garamond"/>
          <w:sz w:val="24"/>
          <w:szCs w:val="24"/>
        </w:rPr>
        <w:t>ordering</w:t>
      </w:r>
      <w:r w:rsidR="00A02CA7" w:rsidRPr="002C088C">
        <w:rPr>
          <w:rFonts w:ascii="Garamond" w:hAnsi="Garamond"/>
          <w:sz w:val="24"/>
          <w:szCs w:val="24"/>
        </w:rPr>
        <w:t xml:space="preserve"> of ‘secret trials’</w:t>
      </w:r>
      <w:r w:rsidR="006D4CB2" w:rsidRPr="002C088C">
        <w:rPr>
          <w:rFonts w:ascii="Garamond" w:hAnsi="Garamond"/>
          <w:sz w:val="24"/>
          <w:szCs w:val="24"/>
        </w:rPr>
        <w:t xml:space="preserve">. That is, the possibility is opened up of transposing the well-developed and relatively robust body of principles which govern the use of the orthodox variant of PII into the brave new world of in camera trials. Such a development </w:t>
      </w:r>
      <w:r w:rsidR="00A446EC" w:rsidRPr="002C088C">
        <w:rPr>
          <w:rFonts w:ascii="Garamond" w:hAnsi="Garamond"/>
          <w:sz w:val="24"/>
          <w:szCs w:val="24"/>
        </w:rPr>
        <w:t>would be particularly</w:t>
      </w:r>
      <w:r w:rsidR="006D4CB2" w:rsidRPr="002C088C">
        <w:rPr>
          <w:rFonts w:ascii="Garamond" w:hAnsi="Garamond"/>
          <w:sz w:val="24"/>
          <w:szCs w:val="24"/>
        </w:rPr>
        <w:t xml:space="preserve"> appealing given that the form of secrecy at issue in the in camera cases is democratically obnoxious in a way which traditional PII need not be.</w:t>
      </w:r>
      <w:r w:rsidR="003E6104" w:rsidRPr="002C088C">
        <w:rPr>
          <w:rFonts w:ascii="Garamond" w:hAnsi="Garamond"/>
          <w:sz w:val="24"/>
          <w:szCs w:val="24"/>
        </w:rPr>
        <w:t xml:space="preserve"> </w:t>
      </w:r>
      <w:r w:rsidR="00145F9B" w:rsidRPr="002C088C">
        <w:rPr>
          <w:rFonts w:ascii="Garamond" w:hAnsi="Garamond"/>
          <w:sz w:val="24"/>
          <w:szCs w:val="24"/>
        </w:rPr>
        <w:t xml:space="preserve">Moreover, the differences between PII and in camera trials shed light upon the </w:t>
      </w:r>
      <w:r w:rsidR="00064E84" w:rsidRPr="002C088C">
        <w:rPr>
          <w:rFonts w:ascii="Garamond" w:hAnsi="Garamond"/>
          <w:sz w:val="24"/>
          <w:szCs w:val="24"/>
        </w:rPr>
        <w:t xml:space="preserve">constitutional </w:t>
      </w:r>
      <w:r w:rsidR="00AD634D" w:rsidRPr="002C088C">
        <w:rPr>
          <w:rFonts w:ascii="Garamond" w:hAnsi="Garamond"/>
          <w:sz w:val="24"/>
          <w:szCs w:val="24"/>
        </w:rPr>
        <w:t xml:space="preserve">principles which regulate </w:t>
      </w:r>
      <w:r w:rsidR="001F2C04" w:rsidRPr="002C088C">
        <w:rPr>
          <w:rFonts w:ascii="Garamond" w:hAnsi="Garamond"/>
          <w:sz w:val="24"/>
          <w:szCs w:val="24"/>
        </w:rPr>
        <w:t xml:space="preserve">(and limit) </w:t>
      </w:r>
      <w:r w:rsidR="00AD634D" w:rsidRPr="002C088C">
        <w:rPr>
          <w:rFonts w:ascii="Garamond" w:hAnsi="Garamond"/>
          <w:sz w:val="24"/>
          <w:szCs w:val="24"/>
        </w:rPr>
        <w:t>their use</w:t>
      </w:r>
      <w:r w:rsidR="00147A09" w:rsidRPr="002C088C">
        <w:rPr>
          <w:rFonts w:ascii="Garamond" w:hAnsi="Garamond"/>
          <w:sz w:val="24"/>
          <w:szCs w:val="24"/>
        </w:rPr>
        <w:t xml:space="preserve"> – the question of what </w:t>
      </w:r>
      <w:r w:rsidR="00A35F18" w:rsidRPr="002C088C">
        <w:rPr>
          <w:rFonts w:ascii="Garamond" w:hAnsi="Garamond"/>
          <w:sz w:val="24"/>
          <w:szCs w:val="24"/>
        </w:rPr>
        <w:t>are the fundamental values which characterise the</w:t>
      </w:r>
      <w:r w:rsidR="001564C7" w:rsidRPr="002C088C">
        <w:rPr>
          <w:rFonts w:ascii="Garamond" w:hAnsi="Garamond"/>
          <w:sz w:val="24"/>
          <w:szCs w:val="24"/>
        </w:rPr>
        <w:t xml:space="preserve"> UK’s constitutional </w:t>
      </w:r>
      <w:r w:rsidR="00F32EE0" w:rsidRPr="002C088C">
        <w:rPr>
          <w:rFonts w:ascii="Garamond" w:hAnsi="Garamond"/>
          <w:sz w:val="24"/>
          <w:szCs w:val="24"/>
        </w:rPr>
        <w:t xml:space="preserve">order and how those </w:t>
      </w:r>
      <w:r w:rsidR="00F828AD" w:rsidRPr="002C088C">
        <w:rPr>
          <w:rFonts w:ascii="Garamond" w:hAnsi="Garamond"/>
          <w:sz w:val="24"/>
          <w:szCs w:val="24"/>
        </w:rPr>
        <w:t xml:space="preserve">values interact </w:t>
      </w:r>
      <w:r w:rsidR="00E92C0B" w:rsidRPr="002C088C">
        <w:rPr>
          <w:rFonts w:ascii="Garamond" w:hAnsi="Garamond"/>
          <w:sz w:val="24"/>
          <w:szCs w:val="24"/>
        </w:rPr>
        <w:t>with each other.</w:t>
      </w:r>
      <w:r w:rsidR="00147A09" w:rsidRPr="002C088C">
        <w:rPr>
          <w:rFonts w:ascii="Garamond" w:hAnsi="Garamond"/>
          <w:sz w:val="24"/>
          <w:szCs w:val="24"/>
        </w:rPr>
        <w:t xml:space="preserve"> </w:t>
      </w:r>
      <w:r w:rsidR="007D3643" w:rsidRPr="002C088C">
        <w:rPr>
          <w:rFonts w:ascii="Garamond" w:hAnsi="Garamond"/>
          <w:sz w:val="24"/>
          <w:szCs w:val="24"/>
        </w:rPr>
        <w:t>The picture which emerges is of a constitution</w:t>
      </w:r>
      <w:r w:rsidR="00393B27" w:rsidRPr="002C088C">
        <w:rPr>
          <w:rFonts w:ascii="Garamond" w:hAnsi="Garamond"/>
          <w:sz w:val="24"/>
          <w:szCs w:val="24"/>
        </w:rPr>
        <w:t xml:space="preserve"> more tolerant of departures from open justice </w:t>
      </w:r>
      <w:r w:rsidR="00A96486" w:rsidRPr="002C088C">
        <w:rPr>
          <w:rFonts w:ascii="Garamond" w:hAnsi="Garamond"/>
          <w:sz w:val="24"/>
          <w:szCs w:val="24"/>
        </w:rPr>
        <w:t>than one might h</w:t>
      </w:r>
      <w:r w:rsidR="0064428D" w:rsidRPr="002C088C">
        <w:rPr>
          <w:rFonts w:ascii="Garamond" w:hAnsi="Garamond"/>
          <w:sz w:val="24"/>
          <w:szCs w:val="24"/>
        </w:rPr>
        <w:t xml:space="preserve">ave expected, </w:t>
      </w:r>
      <w:r w:rsidR="00506348" w:rsidRPr="002C088C">
        <w:rPr>
          <w:rFonts w:ascii="Garamond" w:hAnsi="Garamond"/>
          <w:sz w:val="24"/>
          <w:szCs w:val="24"/>
        </w:rPr>
        <w:t xml:space="preserve">but </w:t>
      </w:r>
      <w:r w:rsidR="004778CB" w:rsidRPr="002C088C">
        <w:rPr>
          <w:rFonts w:ascii="Garamond" w:hAnsi="Garamond"/>
          <w:sz w:val="24"/>
          <w:szCs w:val="24"/>
        </w:rPr>
        <w:t xml:space="preserve">in which (one understanding of) justice continues to sit at the apex. </w:t>
      </w:r>
      <w:r w:rsidR="00913684" w:rsidRPr="002C088C">
        <w:rPr>
          <w:rFonts w:ascii="Garamond" w:hAnsi="Garamond"/>
          <w:sz w:val="24"/>
          <w:szCs w:val="24"/>
        </w:rPr>
        <w:t xml:space="preserve">As the demand for in </w:t>
      </w:r>
      <w:r w:rsidR="00913684" w:rsidRPr="002C088C">
        <w:rPr>
          <w:rFonts w:ascii="Garamond" w:hAnsi="Garamond"/>
          <w:sz w:val="24"/>
          <w:szCs w:val="24"/>
        </w:rPr>
        <w:lastRenderedPageBreak/>
        <w:t>camera trials grows, one can expect these values to come under further, and more sustained, pressure.</w:t>
      </w:r>
    </w:p>
    <w:sectPr w:rsidR="00EE2D72" w:rsidRPr="002C088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50" w:rsidRDefault="00841550" w:rsidP="00481DE9">
      <w:pPr>
        <w:spacing w:after="0" w:line="240" w:lineRule="auto"/>
      </w:pPr>
      <w:r>
        <w:separator/>
      </w:r>
    </w:p>
  </w:endnote>
  <w:endnote w:type="continuationSeparator" w:id="0">
    <w:p w:rsidR="00841550" w:rsidRDefault="00841550" w:rsidP="0048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66500"/>
      <w:docPartObj>
        <w:docPartGallery w:val="Page Numbers (Bottom of Page)"/>
        <w:docPartUnique/>
      </w:docPartObj>
    </w:sdtPr>
    <w:sdtEndPr>
      <w:rPr>
        <w:noProof/>
      </w:rPr>
    </w:sdtEndPr>
    <w:sdtContent>
      <w:p w:rsidR="004976BC" w:rsidRDefault="004976BC">
        <w:pPr>
          <w:pStyle w:val="Footer"/>
          <w:jc w:val="center"/>
        </w:pPr>
        <w:r>
          <w:fldChar w:fldCharType="begin"/>
        </w:r>
        <w:r>
          <w:instrText xml:space="preserve"> PAGE   \* MERGEFORMAT </w:instrText>
        </w:r>
        <w:r>
          <w:fldChar w:fldCharType="separate"/>
        </w:r>
        <w:r w:rsidR="006A38DA">
          <w:rPr>
            <w:noProof/>
          </w:rPr>
          <w:t>1</w:t>
        </w:r>
        <w:r>
          <w:rPr>
            <w:noProof/>
          </w:rPr>
          <w:fldChar w:fldCharType="end"/>
        </w:r>
      </w:p>
    </w:sdtContent>
  </w:sdt>
  <w:p w:rsidR="004976BC" w:rsidRDefault="00497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50" w:rsidRDefault="00841550" w:rsidP="00481DE9">
      <w:pPr>
        <w:spacing w:after="0" w:line="240" w:lineRule="auto"/>
      </w:pPr>
      <w:r>
        <w:separator/>
      </w:r>
    </w:p>
  </w:footnote>
  <w:footnote w:type="continuationSeparator" w:id="0">
    <w:p w:rsidR="00841550" w:rsidRDefault="00841550" w:rsidP="00481DE9">
      <w:pPr>
        <w:spacing w:after="0" w:line="240" w:lineRule="auto"/>
      </w:pPr>
      <w:r>
        <w:continuationSeparator/>
      </w:r>
    </w:p>
  </w:footnote>
  <w:footnote w:id="1">
    <w:p w:rsidR="00481DE9" w:rsidRPr="00E2355A" w:rsidRDefault="00481DE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00B95B66" w:rsidRPr="00E2355A">
        <w:rPr>
          <w:rFonts w:ascii="Garamond" w:hAnsi="Garamond"/>
          <w:color w:val="000000" w:themeColor="text1"/>
          <w:sz w:val="22"/>
          <w:szCs w:val="22"/>
        </w:rPr>
        <w:t xml:space="preserve"> See</w:t>
      </w:r>
      <w:r w:rsidR="002D602A">
        <w:rPr>
          <w:rFonts w:ascii="Garamond" w:hAnsi="Garamond"/>
          <w:color w:val="000000" w:themeColor="text1"/>
          <w:sz w:val="22"/>
          <w:szCs w:val="22"/>
        </w:rPr>
        <w:t xml:space="preserve"> </w:t>
      </w:r>
      <w:proofErr w:type="spellStart"/>
      <w:r w:rsidR="002D602A">
        <w:rPr>
          <w:rFonts w:ascii="Garamond" w:hAnsi="Garamond"/>
          <w:color w:val="000000" w:themeColor="text1"/>
          <w:sz w:val="22"/>
          <w:szCs w:val="22"/>
        </w:rPr>
        <w:t>e</w:t>
      </w:r>
      <w:r w:rsidR="00B23D16" w:rsidRPr="00E2355A">
        <w:rPr>
          <w:rFonts w:ascii="Garamond" w:hAnsi="Garamond"/>
          <w:color w:val="000000" w:themeColor="text1"/>
          <w:sz w:val="22"/>
          <w:szCs w:val="22"/>
        </w:rPr>
        <w:t>g</w:t>
      </w:r>
      <w:proofErr w:type="spellEnd"/>
      <w:r w:rsidR="00B23D16" w:rsidRPr="00E2355A">
        <w:rPr>
          <w:rFonts w:ascii="Garamond" w:hAnsi="Garamond"/>
          <w:color w:val="000000" w:themeColor="text1"/>
          <w:sz w:val="22"/>
          <w:szCs w:val="22"/>
        </w:rPr>
        <w:t xml:space="preserve"> </w:t>
      </w:r>
      <w:r w:rsidR="0059457F">
        <w:rPr>
          <w:rFonts w:ascii="Garamond" w:hAnsi="Garamond"/>
          <w:color w:val="000000" w:themeColor="text1"/>
          <w:sz w:val="22"/>
          <w:szCs w:val="22"/>
        </w:rPr>
        <w:t xml:space="preserve">Crown Proceedings Act 1947 s </w:t>
      </w:r>
      <w:r w:rsidRPr="00E2355A">
        <w:rPr>
          <w:rFonts w:ascii="Garamond" w:hAnsi="Garamond"/>
          <w:color w:val="000000" w:themeColor="text1"/>
          <w:sz w:val="22"/>
          <w:szCs w:val="22"/>
        </w:rPr>
        <w:t>28; Criminal Procedur</w:t>
      </w:r>
      <w:r w:rsidR="0059457F">
        <w:rPr>
          <w:rFonts w:ascii="Garamond" w:hAnsi="Garamond"/>
          <w:color w:val="000000" w:themeColor="text1"/>
          <w:sz w:val="22"/>
          <w:szCs w:val="22"/>
        </w:rPr>
        <w:t xml:space="preserve">e and investigations Act 1996 s </w:t>
      </w:r>
      <w:r w:rsidRPr="00E2355A">
        <w:rPr>
          <w:rFonts w:ascii="Garamond" w:hAnsi="Garamond"/>
          <w:color w:val="000000" w:themeColor="text1"/>
          <w:sz w:val="22"/>
          <w:szCs w:val="22"/>
        </w:rPr>
        <w:t>3(6).</w:t>
      </w:r>
    </w:p>
  </w:footnote>
  <w:footnote w:id="2">
    <w:p w:rsidR="00481DE9" w:rsidRPr="00E2355A" w:rsidRDefault="00481DE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3F4D0E" w:rsidRPr="00E2355A">
        <w:rPr>
          <w:rFonts w:ascii="Garamond" w:eastAsia="PMingLiU" w:hAnsi="Garamond"/>
          <w:i/>
          <w:color w:val="000000" w:themeColor="text1"/>
          <w:sz w:val="22"/>
          <w:szCs w:val="22"/>
          <w:lang w:eastAsia="zh-TW"/>
        </w:rPr>
        <w:t xml:space="preserve">R v Chief Constable of West Midlands Police, </w:t>
      </w:r>
      <w:r w:rsidR="00C44BC9">
        <w:rPr>
          <w:rFonts w:ascii="Garamond" w:eastAsia="PMingLiU" w:hAnsi="Garamond"/>
          <w:i/>
          <w:color w:val="000000" w:themeColor="text1"/>
          <w:sz w:val="22"/>
          <w:szCs w:val="22"/>
          <w:lang w:eastAsia="zh-TW"/>
        </w:rPr>
        <w:t>e</w:t>
      </w:r>
      <w:r w:rsidR="002C690F" w:rsidRPr="00E2355A">
        <w:rPr>
          <w:rFonts w:ascii="Garamond" w:eastAsia="PMingLiU" w:hAnsi="Garamond"/>
          <w:i/>
          <w:color w:val="000000" w:themeColor="text1"/>
          <w:sz w:val="22"/>
          <w:szCs w:val="22"/>
          <w:lang w:eastAsia="zh-TW"/>
        </w:rPr>
        <w:t>x p</w:t>
      </w:r>
      <w:r w:rsidR="00835121">
        <w:rPr>
          <w:rFonts w:ascii="Garamond" w:eastAsia="PMingLiU" w:hAnsi="Garamond"/>
          <w:i/>
          <w:color w:val="000000" w:themeColor="text1"/>
          <w:sz w:val="22"/>
          <w:szCs w:val="22"/>
          <w:lang w:eastAsia="zh-TW"/>
        </w:rPr>
        <w:t>arte</w:t>
      </w:r>
      <w:r w:rsidR="003F4D0E" w:rsidRPr="00E2355A">
        <w:rPr>
          <w:rFonts w:ascii="Garamond" w:eastAsia="PMingLiU" w:hAnsi="Garamond"/>
          <w:i/>
          <w:color w:val="000000" w:themeColor="text1"/>
          <w:sz w:val="22"/>
          <w:szCs w:val="22"/>
          <w:lang w:eastAsia="zh-TW"/>
        </w:rPr>
        <w:t xml:space="preserve"> Wiley</w:t>
      </w:r>
      <w:r w:rsidR="003F4D0E" w:rsidRPr="00E2355A">
        <w:rPr>
          <w:rFonts w:ascii="Garamond" w:eastAsia="PMingLiU" w:hAnsi="Garamond"/>
          <w:color w:val="000000" w:themeColor="text1"/>
          <w:sz w:val="22"/>
          <w:szCs w:val="22"/>
          <w:lang w:eastAsia="zh-TW"/>
        </w:rPr>
        <w:t xml:space="preserve"> </w:t>
      </w:r>
      <w:r w:rsidRPr="00E2355A">
        <w:rPr>
          <w:rFonts w:ascii="Garamond" w:eastAsia="PMingLiU" w:hAnsi="Garamond"/>
          <w:color w:val="000000" w:themeColor="text1"/>
          <w:sz w:val="22"/>
          <w:szCs w:val="22"/>
          <w:lang w:eastAsia="zh-TW"/>
        </w:rPr>
        <w:t>[1995] 1 AC 274.</w:t>
      </w:r>
      <w:proofErr w:type="gramEnd"/>
    </w:p>
  </w:footnote>
  <w:footnote w:id="3">
    <w:p w:rsidR="00481DE9" w:rsidRPr="00E2355A" w:rsidRDefault="00481DE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4C5030" w:rsidRPr="00E2355A">
        <w:rPr>
          <w:rFonts w:ascii="Garamond" w:hAnsi="Garamond"/>
          <w:color w:val="000000" w:themeColor="text1"/>
          <w:sz w:val="22"/>
          <w:szCs w:val="22"/>
        </w:rPr>
        <w:t>[</w:t>
      </w:r>
      <w:r w:rsidRPr="00E2355A">
        <w:rPr>
          <w:rFonts w:ascii="Garamond" w:eastAsia="PMingLiU" w:hAnsi="Garamond"/>
          <w:color w:val="000000" w:themeColor="text1"/>
          <w:sz w:val="22"/>
          <w:szCs w:val="22"/>
          <w:lang w:eastAsia="zh-TW"/>
        </w:rPr>
        <w:t xml:space="preserve">1995] 1 AC 274, </w:t>
      </w:r>
      <w:r w:rsidR="00C11FB5" w:rsidRPr="00E2355A">
        <w:rPr>
          <w:rFonts w:ascii="Garamond" w:eastAsia="PMingLiU" w:hAnsi="Garamond"/>
          <w:color w:val="000000" w:themeColor="text1"/>
          <w:sz w:val="22"/>
          <w:szCs w:val="22"/>
          <w:lang w:eastAsia="zh-TW"/>
        </w:rPr>
        <w:t>280</w:t>
      </w:r>
      <w:r w:rsidRPr="00E2355A">
        <w:rPr>
          <w:rFonts w:ascii="Garamond" w:eastAsia="PMingLiU" w:hAnsi="Garamond"/>
          <w:color w:val="000000" w:themeColor="text1"/>
          <w:sz w:val="22"/>
          <w:szCs w:val="22"/>
          <w:lang w:eastAsia="zh-TW"/>
        </w:rPr>
        <w:t>.</w:t>
      </w:r>
      <w:proofErr w:type="gramEnd"/>
    </w:p>
  </w:footnote>
  <w:footnote w:id="4">
    <w:p w:rsidR="00481DE9" w:rsidRPr="00E2355A" w:rsidRDefault="00481DE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357D59" w:rsidRPr="00E2355A">
        <w:rPr>
          <w:rFonts w:ascii="Garamond" w:eastAsia="PMingLiU" w:hAnsi="Garamond"/>
          <w:i/>
          <w:color w:val="000000" w:themeColor="text1"/>
          <w:sz w:val="22"/>
          <w:szCs w:val="22"/>
          <w:lang w:eastAsia="zh-TW"/>
        </w:rPr>
        <w:t>Al Rawi v Security Services</w:t>
      </w:r>
      <w:r w:rsidR="00357D59" w:rsidRPr="00E2355A">
        <w:rPr>
          <w:rFonts w:ascii="Garamond" w:eastAsia="PMingLiU" w:hAnsi="Garamond"/>
          <w:color w:val="000000" w:themeColor="text1"/>
          <w:sz w:val="22"/>
          <w:szCs w:val="22"/>
          <w:lang w:eastAsia="zh-TW"/>
        </w:rPr>
        <w:t xml:space="preserve"> </w:t>
      </w:r>
      <w:r w:rsidRPr="00E2355A">
        <w:rPr>
          <w:rFonts w:ascii="Garamond" w:hAnsi="Garamond"/>
          <w:color w:val="000000" w:themeColor="text1"/>
          <w:sz w:val="22"/>
          <w:szCs w:val="22"/>
        </w:rPr>
        <w:t>[2011</w:t>
      </w:r>
      <w:r w:rsidR="00FD16D4" w:rsidRPr="00E2355A">
        <w:rPr>
          <w:rFonts w:ascii="Garamond" w:hAnsi="Garamond"/>
          <w:color w:val="000000" w:themeColor="text1"/>
          <w:sz w:val="22"/>
          <w:szCs w:val="22"/>
        </w:rPr>
        <w:t>]</w:t>
      </w:r>
      <w:r w:rsidR="002131DF">
        <w:rPr>
          <w:rFonts w:ascii="Garamond" w:hAnsi="Garamond"/>
          <w:color w:val="000000" w:themeColor="text1"/>
          <w:sz w:val="22"/>
          <w:szCs w:val="22"/>
        </w:rPr>
        <w:t xml:space="preserve"> UKSC 34; [2012] 1 A</w:t>
      </w:r>
      <w:r w:rsidR="00103563" w:rsidRPr="00E2355A">
        <w:rPr>
          <w:rFonts w:ascii="Garamond" w:hAnsi="Garamond"/>
          <w:color w:val="000000" w:themeColor="text1"/>
          <w:sz w:val="22"/>
          <w:szCs w:val="22"/>
        </w:rPr>
        <w:t>C 531</w:t>
      </w:r>
      <w:r w:rsidR="00C11664" w:rsidRPr="00E2355A">
        <w:rPr>
          <w:rFonts w:ascii="Garamond" w:hAnsi="Garamond"/>
          <w:color w:val="000000" w:themeColor="text1"/>
          <w:sz w:val="22"/>
          <w:szCs w:val="22"/>
        </w:rPr>
        <w:t>,</w:t>
      </w:r>
      <w:r w:rsidRPr="00E2355A">
        <w:rPr>
          <w:rFonts w:ascii="Garamond" w:hAnsi="Garamond"/>
          <w:color w:val="000000" w:themeColor="text1"/>
          <w:sz w:val="22"/>
          <w:szCs w:val="22"/>
        </w:rPr>
        <w:t xml:space="preserve"> [140].</w:t>
      </w:r>
      <w:proofErr w:type="gramEnd"/>
    </w:p>
  </w:footnote>
  <w:footnote w:id="5">
    <w:p w:rsidR="00D1674D" w:rsidRPr="00E2355A" w:rsidRDefault="00D1674D">
      <w:pPr>
        <w:pStyle w:val="FootnoteText"/>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For a brief overview of the hi</w:t>
      </w:r>
      <w:r w:rsidR="00104C95">
        <w:rPr>
          <w:rFonts w:ascii="Garamond" w:hAnsi="Garamond"/>
          <w:color w:val="000000" w:themeColor="text1"/>
          <w:sz w:val="22"/>
          <w:szCs w:val="22"/>
        </w:rPr>
        <w:t xml:space="preserve">story of PII, see Simon Brown, </w:t>
      </w:r>
      <w:r w:rsidR="002452F1">
        <w:rPr>
          <w:rFonts w:ascii="Garamond" w:hAnsi="Garamond"/>
          <w:color w:val="000000" w:themeColor="text1"/>
          <w:sz w:val="22"/>
          <w:szCs w:val="22"/>
        </w:rPr>
        <w:t>‘</w:t>
      </w:r>
      <w:r w:rsidRPr="00E2355A">
        <w:rPr>
          <w:rFonts w:ascii="Garamond" w:hAnsi="Garamond"/>
          <w:color w:val="000000" w:themeColor="text1"/>
          <w:sz w:val="22"/>
          <w:szCs w:val="22"/>
        </w:rPr>
        <w:t>Public Interest Immunity</w:t>
      </w:r>
      <w:r w:rsidR="002452F1">
        <w:rPr>
          <w:rFonts w:ascii="Garamond" w:hAnsi="Garamond"/>
          <w:color w:val="000000" w:themeColor="text1"/>
          <w:sz w:val="22"/>
          <w:szCs w:val="22"/>
        </w:rPr>
        <w:t>’</w:t>
      </w:r>
      <w:r w:rsidR="00744FD2">
        <w:rPr>
          <w:rFonts w:ascii="Garamond" w:hAnsi="Garamond"/>
          <w:color w:val="000000" w:themeColor="text1"/>
          <w:sz w:val="22"/>
          <w:szCs w:val="22"/>
        </w:rPr>
        <w:t xml:space="preserve"> [1994] </w:t>
      </w:r>
      <w:r w:rsidR="00744FD2" w:rsidRPr="00744FD2">
        <w:rPr>
          <w:rFonts w:ascii="Garamond" w:hAnsi="Garamond"/>
          <w:i/>
          <w:color w:val="000000" w:themeColor="text1"/>
          <w:sz w:val="22"/>
          <w:szCs w:val="22"/>
        </w:rPr>
        <w:t xml:space="preserve">Public </w:t>
      </w:r>
      <w:r w:rsidRPr="00744FD2">
        <w:rPr>
          <w:rFonts w:ascii="Garamond" w:hAnsi="Garamond"/>
          <w:i/>
          <w:color w:val="000000" w:themeColor="text1"/>
          <w:sz w:val="22"/>
          <w:szCs w:val="22"/>
        </w:rPr>
        <w:t>L</w:t>
      </w:r>
      <w:r w:rsidR="00744FD2" w:rsidRPr="00744FD2">
        <w:rPr>
          <w:rFonts w:ascii="Garamond" w:hAnsi="Garamond"/>
          <w:i/>
          <w:color w:val="000000" w:themeColor="text1"/>
          <w:sz w:val="22"/>
          <w:szCs w:val="22"/>
        </w:rPr>
        <w:t>aw</w:t>
      </w:r>
      <w:r w:rsidRPr="00E2355A">
        <w:rPr>
          <w:rFonts w:ascii="Garamond" w:hAnsi="Garamond"/>
          <w:color w:val="000000" w:themeColor="text1"/>
          <w:sz w:val="22"/>
          <w:szCs w:val="22"/>
        </w:rPr>
        <w:t xml:space="preserve"> 579.</w:t>
      </w:r>
    </w:p>
  </w:footnote>
  <w:footnote w:id="6">
    <w:p w:rsidR="00481DE9" w:rsidRPr="00E2355A" w:rsidRDefault="00481DE9" w:rsidP="00212269">
      <w:pPr>
        <w:pStyle w:val="FootnoteText"/>
        <w:jc w:val="both"/>
        <w:rPr>
          <w:rFonts w:ascii="Garamond" w:eastAsia="PMingLiU" w:hAnsi="Garamond"/>
          <w:color w:val="000000" w:themeColor="text1"/>
          <w:sz w:val="22"/>
          <w:szCs w:val="22"/>
          <w:lang w:eastAsia="zh-TW"/>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iCs/>
          <w:color w:val="000000" w:themeColor="text1"/>
          <w:sz w:val="22"/>
          <w:szCs w:val="22"/>
        </w:rPr>
        <w:t xml:space="preserve">D v National Society for the Prevention of Cruelty to Children </w:t>
      </w:r>
      <w:r w:rsidRPr="00E2355A">
        <w:rPr>
          <w:rFonts w:ascii="Garamond" w:hAnsi="Garamond"/>
          <w:color w:val="000000" w:themeColor="text1"/>
          <w:sz w:val="22"/>
          <w:szCs w:val="22"/>
        </w:rPr>
        <w:t>[1978] AC 171.</w:t>
      </w:r>
      <w:proofErr w:type="gramEnd"/>
    </w:p>
  </w:footnote>
  <w:footnote w:id="7">
    <w:p w:rsidR="00481DE9" w:rsidRPr="00E2355A" w:rsidRDefault="00481DE9" w:rsidP="00212269">
      <w:pPr>
        <w:pStyle w:val="FootnoteText"/>
        <w:jc w:val="both"/>
        <w:rPr>
          <w:rFonts w:ascii="Garamond" w:eastAsia="PMingLiU" w:hAnsi="Garamond"/>
          <w:color w:val="000000" w:themeColor="text1"/>
          <w:sz w:val="22"/>
          <w:szCs w:val="22"/>
          <w:lang w:eastAsia="zh-TW"/>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05507D">
        <w:rPr>
          <w:rFonts w:ascii="Garamond" w:hAnsi="Garamond"/>
          <w:i/>
          <w:color w:val="000000" w:themeColor="text1"/>
          <w:sz w:val="22"/>
          <w:szCs w:val="22"/>
        </w:rPr>
        <w:t>R v Lewes Justices, e</w:t>
      </w:r>
      <w:r w:rsidR="00BB02D1" w:rsidRPr="00E2355A">
        <w:rPr>
          <w:rFonts w:ascii="Garamond" w:hAnsi="Garamond"/>
          <w:i/>
          <w:color w:val="000000" w:themeColor="text1"/>
          <w:sz w:val="22"/>
          <w:szCs w:val="22"/>
        </w:rPr>
        <w:t>x p</w:t>
      </w:r>
      <w:r w:rsidR="002452F1">
        <w:rPr>
          <w:rFonts w:ascii="Garamond" w:hAnsi="Garamond"/>
          <w:i/>
          <w:color w:val="000000" w:themeColor="text1"/>
          <w:sz w:val="22"/>
          <w:szCs w:val="22"/>
        </w:rPr>
        <w:t>arte</w:t>
      </w:r>
      <w:r w:rsidR="00D9464D" w:rsidRPr="00E2355A">
        <w:rPr>
          <w:rFonts w:ascii="Garamond" w:hAnsi="Garamond"/>
          <w:i/>
          <w:color w:val="000000" w:themeColor="text1"/>
          <w:sz w:val="22"/>
          <w:szCs w:val="22"/>
        </w:rPr>
        <w:t xml:space="preserve"> Secretary of State for the Home Department</w:t>
      </w:r>
      <w:r w:rsidR="00D9464D" w:rsidRPr="00E2355A">
        <w:rPr>
          <w:rFonts w:ascii="Garamond" w:hAnsi="Garamond"/>
          <w:color w:val="000000" w:themeColor="text1"/>
          <w:sz w:val="22"/>
          <w:szCs w:val="22"/>
        </w:rPr>
        <w:t xml:space="preserve"> </w:t>
      </w:r>
      <w:r w:rsidRPr="00E2355A">
        <w:rPr>
          <w:rFonts w:ascii="Garamond" w:hAnsi="Garamond"/>
          <w:color w:val="000000" w:themeColor="text1"/>
          <w:sz w:val="22"/>
          <w:szCs w:val="22"/>
        </w:rPr>
        <w:t>[1973] AC 388</w:t>
      </w:r>
      <w:r w:rsidRPr="00E2355A">
        <w:rPr>
          <w:rFonts w:ascii="Garamond" w:eastAsia="PMingLiU" w:hAnsi="Garamond"/>
          <w:color w:val="000000" w:themeColor="text1"/>
          <w:sz w:val="22"/>
          <w:szCs w:val="22"/>
          <w:lang w:eastAsia="zh-TW"/>
        </w:rPr>
        <w:t>, 400.</w:t>
      </w:r>
      <w:proofErr w:type="gramEnd"/>
      <w:r w:rsidRPr="00E2355A">
        <w:rPr>
          <w:rFonts w:ascii="Garamond" w:eastAsia="PMingLiU" w:hAnsi="Garamond"/>
          <w:color w:val="000000" w:themeColor="text1"/>
          <w:sz w:val="22"/>
          <w:szCs w:val="22"/>
          <w:lang w:eastAsia="zh-TW"/>
        </w:rPr>
        <w:t xml:space="preserve"> </w:t>
      </w:r>
    </w:p>
  </w:footnote>
  <w:footnote w:id="8">
    <w:p w:rsidR="00480611" w:rsidRPr="00E2355A" w:rsidRDefault="00480611" w:rsidP="00480611">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r w:rsidRPr="00E2355A">
        <w:rPr>
          <w:rFonts w:ascii="Garamond" w:eastAsia="PMingLiU" w:hAnsi="Garamond"/>
          <w:color w:val="000000" w:themeColor="text1"/>
          <w:sz w:val="22"/>
          <w:szCs w:val="22"/>
          <w:lang w:eastAsia="zh-TW"/>
        </w:rPr>
        <w:t xml:space="preserve">“It is an axiom of the law of discovery that documents may be protected from production by reasons of state. This was formerly known as Crown privilege but that name is now out of fashion because it is not a matter of privilege and it is not confined to the Crown.” </w:t>
      </w:r>
      <w:proofErr w:type="gramStart"/>
      <w:r w:rsidRPr="00E2355A">
        <w:rPr>
          <w:rFonts w:ascii="Garamond" w:eastAsia="PMingLiU" w:hAnsi="Garamond"/>
          <w:i/>
          <w:iCs/>
          <w:color w:val="000000" w:themeColor="text1"/>
          <w:sz w:val="22"/>
          <w:szCs w:val="22"/>
          <w:lang w:eastAsia="zh-TW"/>
        </w:rPr>
        <w:t>Buttes Gas and Oil Co v Hammer</w:t>
      </w:r>
      <w:r w:rsidRPr="00E2355A">
        <w:rPr>
          <w:rFonts w:ascii="Garamond" w:eastAsia="PMingLiU" w:hAnsi="Garamond"/>
          <w:color w:val="000000" w:themeColor="text1"/>
          <w:sz w:val="22"/>
          <w:szCs w:val="22"/>
          <w:lang w:eastAsia="zh-TW"/>
        </w:rPr>
        <w:t xml:space="preserve"> </w:t>
      </w:r>
      <w:r w:rsidR="00305462">
        <w:rPr>
          <w:rFonts w:ascii="Garamond" w:eastAsia="PMingLiU" w:hAnsi="Garamond"/>
          <w:i/>
          <w:iCs/>
          <w:color w:val="000000" w:themeColor="text1"/>
          <w:sz w:val="22"/>
          <w:szCs w:val="22"/>
          <w:lang w:eastAsia="zh-TW"/>
        </w:rPr>
        <w:t>(No</w:t>
      </w:r>
      <w:r w:rsidRPr="00E2355A">
        <w:rPr>
          <w:rFonts w:ascii="Garamond" w:eastAsia="PMingLiU" w:hAnsi="Garamond"/>
          <w:i/>
          <w:iCs/>
          <w:color w:val="000000" w:themeColor="text1"/>
          <w:sz w:val="22"/>
          <w:szCs w:val="22"/>
          <w:lang w:eastAsia="zh-TW"/>
        </w:rPr>
        <w:t xml:space="preserve"> 3)</w:t>
      </w:r>
      <w:r w:rsidRPr="00E2355A">
        <w:rPr>
          <w:rFonts w:ascii="Garamond" w:eastAsia="PMingLiU" w:hAnsi="Garamond"/>
          <w:color w:val="000000" w:themeColor="text1"/>
          <w:sz w:val="22"/>
          <w:szCs w:val="22"/>
          <w:lang w:eastAsia="zh-TW"/>
        </w:rPr>
        <w:t xml:space="preserve"> [1981] QB 223, 262 per </w:t>
      </w:r>
      <w:proofErr w:type="spellStart"/>
      <w:r w:rsidRPr="00E2355A">
        <w:rPr>
          <w:rFonts w:ascii="Garamond" w:eastAsia="PMingLiU" w:hAnsi="Garamond"/>
          <w:color w:val="000000" w:themeColor="text1"/>
          <w:sz w:val="22"/>
          <w:szCs w:val="22"/>
          <w:lang w:eastAsia="zh-TW"/>
        </w:rPr>
        <w:t>Brightman</w:t>
      </w:r>
      <w:proofErr w:type="spellEnd"/>
      <w:r w:rsidRPr="00E2355A">
        <w:rPr>
          <w:rFonts w:ascii="Garamond" w:eastAsia="PMingLiU" w:hAnsi="Garamond"/>
          <w:color w:val="000000" w:themeColor="text1"/>
          <w:sz w:val="22"/>
          <w:szCs w:val="22"/>
          <w:lang w:eastAsia="zh-TW"/>
        </w:rPr>
        <w:t xml:space="preserve"> J.</w:t>
      </w:r>
      <w:proofErr w:type="gramEnd"/>
      <w:r w:rsidRPr="00E2355A">
        <w:rPr>
          <w:rFonts w:ascii="Garamond" w:eastAsia="PMingLiU" w:hAnsi="Garamond"/>
          <w:color w:val="000000" w:themeColor="text1"/>
          <w:sz w:val="22"/>
          <w:szCs w:val="22"/>
          <w:lang w:eastAsia="zh-TW"/>
        </w:rPr>
        <w:t xml:space="preserve"> </w:t>
      </w:r>
    </w:p>
  </w:footnote>
  <w:footnote w:id="9">
    <w:p w:rsidR="00481DE9" w:rsidRPr="00E2355A" w:rsidRDefault="00481DE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r w:rsidRPr="00E2355A">
        <w:rPr>
          <w:rFonts w:ascii="Garamond" w:hAnsi="Garamond"/>
          <w:i/>
          <w:iCs/>
          <w:color w:val="000000" w:themeColor="text1"/>
          <w:sz w:val="22"/>
          <w:szCs w:val="22"/>
        </w:rPr>
        <w:t>R (FI) v S</w:t>
      </w:r>
      <w:r w:rsidR="00D9464D" w:rsidRPr="00E2355A">
        <w:rPr>
          <w:rFonts w:ascii="Garamond" w:hAnsi="Garamond"/>
          <w:i/>
          <w:iCs/>
          <w:color w:val="000000" w:themeColor="text1"/>
          <w:sz w:val="22"/>
          <w:szCs w:val="22"/>
        </w:rPr>
        <w:t xml:space="preserve">ecretary of State for the Home Department </w:t>
      </w:r>
      <w:r w:rsidRPr="00E2355A">
        <w:rPr>
          <w:rFonts w:ascii="Garamond" w:hAnsi="Garamond"/>
          <w:color w:val="000000" w:themeColor="text1"/>
          <w:sz w:val="22"/>
          <w:szCs w:val="22"/>
        </w:rPr>
        <w:t xml:space="preserve">[2014] EWCA </w:t>
      </w:r>
      <w:proofErr w:type="spellStart"/>
      <w:r w:rsidRPr="00E2355A">
        <w:rPr>
          <w:rFonts w:ascii="Garamond" w:hAnsi="Garamond"/>
          <w:color w:val="000000" w:themeColor="text1"/>
          <w:sz w:val="22"/>
          <w:szCs w:val="22"/>
        </w:rPr>
        <w:t>Civ</w:t>
      </w:r>
      <w:proofErr w:type="spellEnd"/>
      <w:r w:rsidRPr="00E2355A">
        <w:rPr>
          <w:rFonts w:ascii="Garamond" w:hAnsi="Garamond"/>
          <w:color w:val="000000" w:themeColor="text1"/>
          <w:sz w:val="22"/>
          <w:szCs w:val="22"/>
        </w:rPr>
        <w:t xml:space="preserve"> 1272</w:t>
      </w:r>
      <w:r w:rsidR="00C11664" w:rsidRPr="00E2355A">
        <w:rPr>
          <w:rFonts w:ascii="Garamond" w:hAnsi="Garamond"/>
          <w:color w:val="000000" w:themeColor="text1"/>
          <w:sz w:val="22"/>
          <w:szCs w:val="22"/>
        </w:rPr>
        <w:t>; [2014] HRLR 30</w:t>
      </w:r>
      <w:r w:rsidRPr="00E2355A">
        <w:rPr>
          <w:rFonts w:ascii="Garamond" w:hAnsi="Garamond"/>
          <w:color w:val="000000" w:themeColor="text1"/>
          <w:sz w:val="22"/>
          <w:szCs w:val="22"/>
        </w:rPr>
        <w:t xml:space="preserve"> provides recent confirmation that it is possible for PII to be upheld in the absence of such a certificate.</w:t>
      </w:r>
    </w:p>
  </w:footnote>
  <w:footnote w:id="10">
    <w:p w:rsidR="00481DE9" w:rsidRPr="00E2355A" w:rsidRDefault="00481DE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iCs/>
          <w:color w:val="000000" w:themeColor="text1"/>
          <w:sz w:val="22"/>
          <w:szCs w:val="22"/>
        </w:rPr>
        <w:t xml:space="preserve">Duncan v </w:t>
      </w:r>
      <w:proofErr w:type="spellStart"/>
      <w:r w:rsidRPr="00E2355A">
        <w:rPr>
          <w:rFonts w:ascii="Garamond" w:hAnsi="Garamond"/>
          <w:i/>
          <w:iCs/>
          <w:color w:val="000000" w:themeColor="text1"/>
          <w:sz w:val="22"/>
          <w:szCs w:val="22"/>
        </w:rPr>
        <w:t>Cammell</w:t>
      </w:r>
      <w:proofErr w:type="spellEnd"/>
      <w:r w:rsidRPr="00E2355A">
        <w:rPr>
          <w:rFonts w:ascii="Garamond" w:hAnsi="Garamond"/>
          <w:i/>
          <w:iCs/>
          <w:color w:val="000000" w:themeColor="text1"/>
          <w:sz w:val="22"/>
          <w:szCs w:val="22"/>
        </w:rPr>
        <w:t xml:space="preserve"> Laird</w:t>
      </w:r>
      <w:r w:rsidRPr="00E2355A">
        <w:rPr>
          <w:rFonts w:ascii="Garamond" w:hAnsi="Garamond"/>
          <w:color w:val="000000" w:themeColor="text1"/>
          <w:sz w:val="22"/>
          <w:szCs w:val="22"/>
        </w:rPr>
        <w:t xml:space="preserve"> [1942] AC 624.</w:t>
      </w:r>
      <w:proofErr w:type="gramEnd"/>
      <w:r w:rsidRPr="00E2355A">
        <w:rPr>
          <w:rFonts w:ascii="Garamond" w:hAnsi="Garamond"/>
          <w:color w:val="000000" w:themeColor="text1"/>
          <w:sz w:val="22"/>
          <w:szCs w:val="22"/>
        </w:rPr>
        <w:t xml:space="preserve"> The correctness of that decision</w:t>
      </w:r>
      <w:r w:rsidR="00437F18">
        <w:rPr>
          <w:rFonts w:ascii="Garamond" w:hAnsi="Garamond"/>
          <w:color w:val="000000" w:themeColor="text1"/>
          <w:sz w:val="22"/>
          <w:szCs w:val="22"/>
        </w:rPr>
        <w:t xml:space="preserve"> </w:t>
      </w:r>
      <w:r w:rsidRPr="00E2355A">
        <w:rPr>
          <w:rFonts w:ascii="Garamond" w:hAnsi="Garamond"/>
          <w:color w:val="000000" w:themeColor="text1"/>
          <w:sz w:val="22"/>
          <w:szCs w:val="22"/>
        </w:rPr>
        <w:t xml:space="preserve">must be doubted. For a trenchant critique see D H Clark, </w:t>
      </w:r>
      <w:proofErr w:type="spellStart"/>
      <w:r w:rsidRPr="00E2355A">
        <w:rPr>
          <w:rFonts w:ascii="Garamond" w:hAnsi="Garamond"/>
          <w:color w:val="000000" w:themeColor="text1"/>
          <w:sz w:val="22"/>
          <w:szCs w:val="22"/>
        </w:rPr>
        <w:t>A</w:t>
      </w:r>
      <w:r w:rsidR="00513065">
        <w:rPr>
          <w:rFonts w:ascii="Garamond" w:hAnsi="Garamond"/>
          <w:color w:val="000000" w:themeColor="text1"/>
          <w:sz w:val="22"/>
          <w:szCs w:val="22"/>
        </w:rPr>
        <w:t>’</w:t>
      </w:r>
      <w:r w:rsidRPr="00E2355A">
        <w:rPr>
          <w:rFonts w:ascii="Garamond" w:hAnsi="Garamond"/>
          <w:color w:val="000000" w:themeColor="text1"/>
          <w:sz w:val="22"/>
          <w:szCs w:val="22"/>
        </w:rPr>
        <w:t>dministrative</w:t>
      </w:r>
      <w:proofErr w:type="spellEnd"/>
      <w:r w:rsidRPr="00E2355A">
        <w:rPr>
          <w:rFonts w:ascii="Garamond" w:hAnsi="Garamond"/>
          <w:color w:val="000000" w:themeColor="text1"/>
          <w:sz w:val="22"/>
          <w:szCs w:val="22"/>
        </w:rPr>
        <w:t xml:space="preserve"> Control of Judicial Action: The Authority of Duncan v </w:t>
      </w:r>
      <w:proofErr w:type="spellStart"/>
      <w:r w:rsidRPr="00E2355A">
        <w:rPr>
          <w:rFonts w:ascii="Garamond" w:hAnsi="Garamond"/>
          <w:color w:val="000000" w:themeColor="text1"/>
          <w:sz w:val="22"/>
          <w:szCs w:val="22"/>
        </w:rPr>
        <w:t>Cammell</w:t>
      </w:r>
      <w:proofErr w:type="spellEnd"/>
      <w:r w:rsidRPr="00E2355A">
        <w:rPr>
          <w:rFonts w:ascii="Garamond" w:hAnsi="Garamond"/>
          <w:color w:val="000000" w:themeColor="text1"/>
          <w:sz w:val="22"/>
          <w:szCs w:val="22"/>
        </w:rPr>
        <w:t xml:space="preserve"> Laird</w:t>
      </w:r>
      <w:r w:rsidR="00513065">
        <w:rPr>
          <w:rFonts w:ascii="Garamond" w:hAnsi="Garamond"/>
          <w:color w:val="000000" w:themeColor="text1"/>
          <w:sz w:val="22"/>
          <w:szCs w:val="22"/>
        </w:rPr>
        <w:t>’</w:t>
      </w:r>
      <w:r w:rsidRPr="00E2355A">
        <w:rPr>
          <w:rFonts w:ascii="Garamond" w:hAnsi="Garamond"/>
          <w:color w:val="000000" w:themeColor="text1"/>
          <w:sz w:val="22"/>
          <w:szCs w:val="22"/>
        </w:rPr>
        <w:t xml:space="preserve"> (1967) 30 </w:t>
      </w:r>
      <w:r w:rsidR="00573753" w:rsidRPr="00D9691C">
        <w:rPr>
          <w:rFonts w:ascii="Garamond" w:hAnsi="Garamond"/>
          <w:i/>
          <w:color w:val="000000" w:themeColor="text1"/>
          <w:sz w:val="22"/>
          <w:szCs w:val="22"/>
        </w:rPr>
        <w:t>M</w:t>
      </w:r>
      <w:r w:rsidR="00D9691C" w:rsidRPr="00D9691C">
        <w:rPr>
          <w:rFonts w:ascii="Garamond" w:hAnsi="Garamond"/>
          <w:i/>
          <w:color w:val="000000" w:themeColor="text1"/>
          <w:sz w:val="22"/>
          <w:szCs w:val="22"/>
        </w:rPr>
        <w:t xml:space="preserve">odern Law </w:t>
      </w:r>
      <w:r w:rsidR="00573753" w:rsidRPr="00D9691C">
        <w:rPr>
          <w:rFonts w:ascii="Garamond" w:hAnsi="Garamond"/>
          <w:i/>
          <w:color w:val="000000" w:themeColor="text1"/>
          <w:sz w:val="22"/>
          <w:szCs w:val="22"/>
        </w:rPr>
        <w:t>R</w:t>
      </w:r>
      <w:r w:rsidR="00D9691C" w:rsidRPr="00D9691C">
        <w:rPr>
          <w:rFonts w:ascii="Garamond" w:hAnsi="Garamond"/>
          <w:i/>
          <w:color w:val="000000" w:themeColor="text1"/>
          <w:sz w:val="22"/>
          <w:szCs w:val="22"/>
        </w:rPr>
        <w:t>eview</w:t>
      </w:r>
      <w:r w:rsidRPr="00E2355A">
        <w:rPr>
          <w:rFonts w:ascii="Garamond" w:hAnsi="Garamond"/>
          <w:color w:val="000000" w:themeColor="text1"/>
          <w:sz w:val="22"/>
          <w:szCs w:val="22"/>
        </w:rPr>
        <w:t xml:space="preserve"> 289.</w:t>
      </w:r>
    </w:p>
  </w:footnote>
  <w:footnote w:id="11">
    <w:p w:rsidR="00481DE9" w:rsidRPr="00E2355A" w:rsidRDefault="00481DE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iCs/>
          <w:color w:val="000000" w:themeColor="text1"/>
          <w:sz w:val="22"/>
          <w:szCs w:val="22"/>
        </w:rPr>
        <w:t xml:space="preserve">Conway v </w:t>
      </w:r>
      <w:proofErr w:type="spellStart"/>
      <w:r w:rsidRPr="00E2355A">
        <w:rPr>
          <w:rFonts w:ascii="Garamond" w:hAnsi="Garamond"/>
          <w:i/>
          <w:iCs/>
          <w:color w:val="000000" w:themeColor="text1"/>
          <w:sz w:val="22"/>
          <w:szCs w:val="22"/>
        </w:rPr>
        <w:t>Rimmer</w:t>
      </w:r>
      <w:proofErr w:type="spellEnd"/>
      <w:r w:rsidRPr="00E2355A">
        <w:rPr>
          <w:rFonts w:ascii="Garamond" w:hAnsi="Garamond"/>
          <w:color w:val="000000" w:themeColor="text1"/>
          <w:sz w:val="22"/>
          <w:szCs w:val="22"/>
        </w:rPr>
        <w:t xml:space="preserve"> [1968] AC 910.</w:t>
      </w:r>
      <w:proofErr w:type="gramEnd"/>
      <w:r w:rsidRPr="00E2355A">
        <w:rPr>
          <w:rFonts w:ascii="Garamond" w:hAnsi="Garamond"/>
          <w:color w:val="000000" w:themeColor="text1"/>
          <w:sz w:val="22"/>
          <w:szCs w:val="22"/>
        </w:rPr>
        <w:t xml:space="preserve"> In Scots law the reversal was effected earlier, in </w:t>
      </w:r>
      <w:r w:rsidRPr="00E2355A">
        <w:rPr>
          <w:rFonts w:ascii="Garamond" w:hAnsi="Garamond"/>
          <w:i/>
          <w:iCs/>
          <w:color w:val="000000" w:themeColor="text1"/>
          <w:sz w:val="22"/>
          <w:szCs w:val="22"/>
        </w:rPr>
        <w:t xml:space="preserve">Glasgow Corporation v Central Land Board </w:t>
      </w:r>
      <w:r w:rsidRPr="00E2355A">
        <w:rPr>
          <w:rFonts w:ascii="Garamond" w:hAnsi="Garamond"/>
          <w:color w:val="000000" w:themeColor="text1"/>
          <w:sz w:val="22"/>
          <w:szCs w:val="22"/>
        </w:rPr>
        <w:t>1956 SC (HL) 1.</w:t>
      </w:r>
    </w:p>
  </w:footnote>
  <w:footnote w:id="12">
    <w:p w:rsidR="00481DE9" w:rsidRPr="00E2355A" w:rsidRDefault="00481DE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004B5C55" w:rsidRPr="00E2355A">
        <w:rPr>
          <w:rFonts w:ascii="Garamond" w:hAnsi="Garamond"/>
          <w:color w:val="000000" w:themeColor="text1"/>
          <w:sz w:val="22"/>
          <w:szCs w:val="22"/>
          <w:lang w:val="it-IT"/>
        </w:rPr>
        <w:t xml:space="preserve"> </w:t>
      </w:r>
      <w:r w:rsidR="004B5C55" w:rsidRPr="00E2355A">
        <w:rPr>
          <w:rFonts w:ascii="Garamond" w:hAnsi="Garamond"/>
          <w:i/>
          <w:iCs/>
          <w:color w:val="000000" w:themeColor="text1"/>
          <w:sz w:val="22"/>
          <w:szCs w:val="22"/>
          <w:lang w:val="it-IT"/>
        </w:rPr>
        <w:t>Al Rawi</w:t>
      </w:r>
      <w:r w:rsidRPr="00E2355A">
        <w:rPr>
          <w:rFonts w:ascii="Garamond" w:hAnsi="Garamond"/>
          <w:color w:val="000000" w:themeColor="text1"/>
          <w:sz w:val="22"/>
          <w:szCs w:val="22"/>
          <w:lang w:val="it-IT"/>
        </w:rPr>
        <w:t xml:space="preserve"> </w:t>
      </w:r>
      <w:r w:rsidR="004B5C55" w:rsidRPr="00E2355A">
        <w:rPr>
          <w:rFonts w:ascii="Garamond" w:hAnsi="Garamond"/>
          <w:color w:val="000000" w:themeColor="text1"/>
          <w:sz w:val="22"/>
          <w:szCs w:val="22"/>
          <w:lang w:val="it-IT"/>
        </w:rPr>
        <w:t>[2011] UKSC 34</w:t>
      </w:r>
      <w:r w:rsidR="004B5C55" w:rsidRPr="00E2355A">
        <w:rPr>
          <w:rFonts w:ascii="Garamond" w:eastAsia="PMingLiU" w:hAnsi="Garamond"/>
          <w:color w:val="000000" w:themeColor="text1"/>
          <w:sz w:val="22"/>
          <w:szCs w:val="22"/>
          <w:lang w:val="it-IT" w:eastAsia="zh-TW"/>
        </w:rPr>
        <w:t xml:space="preserve">, </w:t>
      </w:r>
      <w:r w:rsidRPr="00E2355A">
        <w:rPr>
          <w:rFonts w:ascii="Garamond" w:hAnsi="Garamond"/>
          <w:color w:val="000000" w:themeColor="text1"/>
          <w:sz w:val="22"/>
          <w:szCs w:val="22"/>
          <w:lang w:val="it-IT"/>
        </w:rPr>
        <w:t xml:space="preserve">[145] per Lord Clarke. </w:t>
      </w:r>
      <w:r w:rsidRPr="00E2355A">
        <w:rPr>
          <w:rFonts w:ascii="Garamond" w:hAnsi="Garamond"/>
          <w:color w:val="000000" w:themeColor="text1"/>
          <w:sz w:val="22"/>
          <w:szCs w:val="22"/>
        </w:rPr>
        <w:t xml:space="preserve">Lord Clarke cites to the dicta of Lord Hoffman in </w:t>
      </w:r>
      <w:r w:rsidRPr="00E2355A">
        <w:rPr>
          <w:rFonts w:ascii="Garamond" w:hAnsi="Garamond"/>
          <w:i/>
          <w:iCs/>
          <w:color w:val="000000" w:themeColor="text1"/>
          <w:sz w:val="22"/>
          <w:szCs w:val="22"/>
        </w:rPr>
        <w:t>Secretary of State for the Home Department v MB</w:t>
      </w:r>
      <w:r w:rsidR="00A362BD" w:rsidRPr="00E2355A">
        <w:rPr>
          <w:rFonts w:ascii="Garamond" w:hAnsi="Garamond"/>
          <w:color w:val="000000" w:themeColor="text1"/>
          <w:sz w:val="22"/>
          <w:szCs w:val="22"/>
        </w:rPr>
        <w:t xml:space="preserve"> [2007] UKHL 46;</w:t>
      </w:r>
      <w:r w:rsidRPr="00E2355A">
        <w:rPr>
          <w:rFonts w:ascii="Garamond" w:hAnsi="Garamond"/>
          <w:color w:val="000000" w:themeColor="text1"/>
          <w:sz w:val="22"/>
          <w:szCs w:val="22"/>
        </w:rPr>
        <w:t xml:space="preserve"> [2008] 1 AC 440</w:t>
      </w:r>
      <w:r w:rsidR="000406FA">
        <w:rPr>
          <w:rFonts w:ascii="Garamond" w:hAnsi="Garamond"/>
          <w:color w:val="000000" w:themeColor="text1"/>
          <w:sz w:val="22"/>
          <w:szCs w:val="22"/>
        </w:rPr>
        <w:t>,</w:t>
      </w:r>
      <w:r w:rsidRPr="00E2355A">
        <w:rPr>
          <w:rFonts w:ascii="Garamond" w:hAnsi="Garamond"/>
          <w:color w:val="000000" w:themeColor="text1"/>
          <w:sz w:val="22"/>
          <w:szCs w:val="22"/>
        </w:rPr>
        <w:t xml:space="preserve"> [51], though it is not clear that the paragraph to which reference is made provides clear authority for the statement in question.</w:t>
      </w:r>
    </w:p>
  </w:footnote>
  <w:footnote w:id="13">
    <w:p w:rsidR="00481DE9" w:rsidRPr="00E2355A" w:rsidRDefault="00481DE9" w:rsidP="00212269">
      <w:pPr>
        <w:pStyle w:val="FootnoteText"/>
        <w:jc w:val="both"/>
        <w:rPr>
          <w:rFonts w:ascii="Garamond" w:eastAsia="PMingLiU" w:hAnsi="Garamond"/>
          <w:color w:val="000000" w:themeColor="text1"/>
          <w:sz w:val="22"/>
          <w:szCs w:val="22"/>
          <w:lang w:val="it-IT" w:eastAsia="zh-TW"/>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lang w:val="it-IT"/>
        </w:rPr>
        <w:t xml:space="preserve"> </w:t>
      </w:r>
      <w:r w:rsidRPr="00E2355A">
        <w:rPr>
          <w:rFonts w:ascii="Garamond" w:hAnsi="Garamond"/>
          <w:i/>
          <w:iCs/>
          <w:color w:val="000000" w:themeColor="text1"/>
          <w:sz w:val="22"/>
          <w:szCs w:val="22"/>
          <w:lang w:val="it-IT"/>
        </w:rPr>
        <w:t>Al Rawi</w:t>
      </w:r>
      <w:r w:rsidRPr="00E2355A">
        <w:rPr>
          <w:rFonts w:ascii="Garamond" w:hAnsi="Garamond"/>
          <w:color w:val="000000" w:themeColor="text1"/>
          <w:sz w:val="22"/>
          <w:szCs w:val="22"/>
          <w:lang w:val="it-IT"/>
        </w:rPr>
        <w:t xml:space="preserve"> [2011] UKSC 34</w:t>
      </w:r>
      <w:r w:rsidRPr="00E2355A">
        <w:rPr>
          <w:rFonts w:ascii="Garamond" w:eastAsia="PMingLiU" w:hAnsi="Garamond"/>
          <w:color w:val="000000" w:themeColor="text1"/>
          <w:sz w:val="22"/>
          <w:szCs w:val="22"/>
          <w:lang w:val="it-IT" w:eastAsia="zh-TW"/>
        </w:rPr>
        <w:t>, [41] per Lord Dyson.</w:t>
      </w:r>
    </w:p>
  </w:footnote>
  <w:footnote w:id="14">
    <w:p w:rsidR="00481DE9" w:rsidRPr="00E2355A" w:rsidRDefault="00481DE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0010796D" w:rsidRPr="00E2355A">
        <w:rPr>
          <w:rFonts w:ascii="Garamond" w:hAnsi="Garamond"/>
          <w:color w:val="000000" w:themeColor="text1"/>
          <w:sz w:val="22"/>
          <w:szCs w:val="22"/>
        </w:rPr>
        <w:t xml:space="preserve"> </w:t>
      </w:r>
      <w:proofErr w:type="gramStart"/>
      <w:r w:rsidRPr="00E2355A">
        <w:rPr>
          <w:rFonts w:ascii="Garamond" w:hAnsi="Garamond"/>
          <w:i/>
          <w:iCs/>
          <w:color w:val="000000" w:themeColor="text1"/>
          <w:sz w:val="22"/>
          <w:szCs w:val="22"/>
        </w:rPr>
        <w:t>Carnduff v Rock</w:t>
      </w:r>
      <w:r w:rsidR="004A5B17" w:rsidRPr="00E2355A">
        <w:rPr>
          <w:rFonts w:ascii="Garamond" w:hAnsi="Garamond"/>
          <w:color w:val="000000" w:themeColor="text1"/>
          <w:sz w:val="22"/>
          <w:szCs w:val="22"/>
        </w:rPr>
        <w:t xml:space="preserve"> [2001] EWCA </w:t>
      </w:r>
      <w:proofErr w:type="spellStart"/>
      <w:r w:rsidR="004A5B17" w:rsidRPr="00E2355A">
        <w:rPr>
          <w:rFonts w:ascii="Garamond" w:hAnsi="Garamond"/>
          <w:color w:val="000000" w:themeColor="text1"/>
          <w:sz w:val="22"/>
          <w:szCs w:val="22"/>
        </w:rPr>
        <w:t>Civ</w:t>
      </w:r>
      <w:proofErr w:type="spellEnd"/>
      <w:r w:rsidR="004A5B17" w:rsidRPr="00E2355A">
        <w:rPr>
          <w:rFonts w:ascii="Garamond" w:hAnsi="Garamond"/>
          <w:color w:val="000000" w:themeColor="text1"/>
          <w:sz w:val="22"/>
          <w:szCs w:val="22"/>
        </w:rPr>
        <w:t xml:space="preserve"> 680; [2001] 1 WLR 1786</w:t>
      </w:r>
      <w:r w:rsidR="009F1AB0" w:rsidRPr="00E2355A">
        <w:rPr>
          <w:rFonts w:ascii="Garamond" w:hAnsi="Garamond"/>
          <w:color w:val="000000" w:themeColor="text1"/>
          <w:sz w:val="22"/>
          <w:szCs w:val="22"/>
        </w:rPr>
        <w:t>.</w:t>
      </w:r>
      <w:proofErr w:type="gramEnd"/>
      <w:r w:rsidR="009F1AB0" w:rsidRPr="00E2355A">
        <w:rPr>
          <w:rFonts w:ascii="Garamond" w:hAnsi="Garamond"/>
          <w:color w:val="000000" w:themeColor="text1"/>
          <w:sz w:val="22"/>
          <w:szCs w:val="22"/>
        </w:rPr>
        <w:t xml:space="preserve"> </w:t>
      </w:r>
      <w:r w:rsidRPr="00E2355A">
        <w:rPr>
          <w:rFonts w:ascii="Garamond" w:hAnsi="Garamond"/>
          <w:color w:val="000000" w:themeColor="text1"/>
          <w:sz w:val="22"/>
          <w:szCs w:val="22"/>
        </w:rPr>
        <w:t xml:space="preserve">The decision of the Court of Appeal in Carnduff has been much criticised: </w:t>
      </w:r>
      <w:r w:rsidR="00A1786A" w:rsidRPr="00E2355A">
        <w:rPr>
          <w:rFonts w:ascii="Garamond" w:hAnsi="Garamond"/>
          <w:color w:val="000000" w:themeColor="text1"/>
          <w:sz w:val="22"/>
          <w:szCs w:val="22"/>
        </w:rPr>
        <w:t xml:space="preserve">see </w:t>
      </w:r>
      <w:r w:rsidRPr="00E2355A">
        <w:rPr>
          <w:rFonts w:ascii="Garamond" w:hAnsi="Garamond"/>
          <w:color w:val="000000" w:themeColor="text1"/>
          <w:sz w:val="22"/>
          <w:szCs w:val="22"/>
        </w:rPr>
        <w:t xml:space="preserve">Adrian Zuckerman, </w:t>
      </w:r>
      <w:r w:rsidR="00234519">
        <w:rPr>
          <w:rFonts w:ascii="Garamond" w:hAnsi="Garamond"/>
          <w:color w:val="000000" w:themeColor="text1"/>
          <w:sz w:val="22"/>
          <w:szCs w:val="22"/>
        </w:rPr>
        <w:t>‘</w:t>
      </w:r>
      <w:r w:rsidRPr="00DE74EF">
        <w:rPr>
          <w:rFonts w:ascii="Garamond" w:hAnsi="Garamond"/>
          <w:color w:val="000000" w:themeColor="text1"/>
          <w:sz w:val="22"/>
          <w:szCs w:val="22"/>
        </w:rPr>
        <w:t>Closed material procedure – denial of natural justice: Al Rawi v The Security Service</w:t>
      </w:r>
      <w:r w:rsidR="00234519">
        <w:rPr>
          <w:rFonts w:ascii="Garamond" w:hAnsi="Garamond"/>
          <w:color w:val="000000" w:themeColor="text1"/>
          <w:sz w:val="22"/>
          <w:szCs w:val="22"/>
        </w:rPr>
        <w:t>’</w:t>
      </w:r>
      <w:r w:rsidRPr="00DE74EF">
        <w:rPr>
          <w:rFonts w:ascii="Garamond" w:hAnsi="Garamond"/>
          <w:color w:val="000000" w:themeColor="text1"/>
          <w:sz w:val="22"/>
          <w:szCs w:val="22"/>
        </w:rPr>
        <w:t xml:space="preserve"> [2011] UKSC 34</w:t>
      </w:r>
      <w:r w:rsidRPr="00E2355A">
        <w:rPr>
          <w:rFonts w:ascii="Garamond" w:hAnsi="Garamond"/>
          <w:color w:val="000000" w:themeColor="text1"/>
          <w:sz w:val="22"/>
          <w:szCs w:val="22"/>
        </w:rPr>
        <w:t xml:space="preserve"> (2011) </w:t>
      </w:r>
      <w:r w:rsidRPr="00234519">
        <w:rPr>
          <w:rFonts w:ascii="Garamond" w:hAnsi="Garamond"/>
          <w:i/>
          <w:color w:val="000000" w:themeColor="text1"/>
          <w:sz w:val="22"/>
          <w:szCs w:val="22"/>
        </w:rPr>
        <w:t>C</w:t>
      </w:r>
      <w:r w:rsidR="00DE52C3" w:rsidRPr="00234519">
        <w:rPr>
          <w:rFonts w:ascii="Garamond" w:hAnsi="Garamond"/>
          <w:i/>
          <w:color w:val="000000" w:themeColor="text1"/>
          <w:sz w:val="22"/>
          <w:szCs w:val="22"/>
        </w:rPr>
        <w:t xml:space="preserve">ivil </w:t>
      </w:r>
      <w:r w:rsidRPr="00234519">
        <w:rPr>
          <w:rFonts w:ascii="Garamond" w:hAnsi="Garamond"/>
          <w:i/>
          <w:color w:val="000000" w:themeColor="text1"/>
          <w:sz w:val="22"/>
          <w:szCs w:val="22"/>
        </w:rPr>
        <w:t>J</w:t>
      </w:r>
      <w:r w:rsidR="00DE52C3" w:rsidRPr="00234519">
        <w:rPr>
          <w:rFonts w:ascii="Garamond" w:hAnsi="Garamond"/>
          <w:i/>
          <w:color w:val="000000" w:themeColor="text1"/>
          <w:sz w:val="22"/>
          <w:szCs w:val="22"/>
        </w:rPr>
        <w:t xml:space="preserve">ustice </w:t>
      </w:r>
      <w:r w:rsidRPr="00234519">
        <w:rPr>
          <w:rFonts w:ascii="Garamond" w:hAnsi="Garamond"/>
          <w:i/>
          <w:color w:val="000000" w:themeColor="text1"/>
          <w:sz w:val="22"/>
          <w:szCs w:val="22"/>
        </w:rPr>
        <w:t>Q</w:t>
      </w:r>
      <w:r w:rsidR="00DE52C3" w:rsidRPr="00234519">
        <w:rPr>
          <w:rFonts w:ascii="Garamond" w:hAnsi="Garamond"/>
          <w:i/>
          <w:color w:val="000000" w:themeColor="text1"/>
          <w:sz w:val="22"/>
          <w:szCs w:val="22"/>
        </w:rPr>
        <w:t>uarterly</w:t>
      </w:r>
      <w:r w:rsidRPr="00E2355A">
        <w:rPr>
          <w:rFonts w:ascii="Garamond" w:hAnsi="Garamond"/>
          <w:color w:val="000000" w:themeColor="text1"/>
          <w:sz w:val="22"/>
          <w:szCs w:val="22"/>
        </w:rPr>
        <w:t xml:space="preserve"> 345, 353</w:t>
      </w:r>
      <w:r w:rsidR="006E15E3" w:rsidRPr="00E2355A">
        <w:rPr>
          <w:rFonts w:ascii="Garamond" w:hAnsi="Garamond"/>
          <w:color w:val="000000" w:themeColor="text1"/>
          <w:sz w:val="22"/>
          <w:szCs w:val="22"/>
        </w:rPr>
        <w:t xml:space="preserve"> and</w:t>
      </w:r>
      <w:r w:rsidRPr="00E2355A">
        <w:rPr>
          <w:rFonts w:ascii="Garamond" w:hAnsi="Garamond"/>
          <w:color w:val="000000" w:themeColor="text1"/>
          <w:sz w:val="22"/>
          <w:szCs w:val="22"/>
        </w:rPr>
        <w:t xml:space="preserve"> Adam Tomkins, </w:t>
      </w:r>
      <w:r w:rsidR="00234519">
        <w:rPr>
          <w:rFonts w:ascii="Garamond" w:hAnsi="Garamond"/>
          <w:color w:val="000000" w:themeColor="text1"/>
          <w:sz w:val="22"/>
          <w:szCs w:val="22"/>
        </w:rPr>
        <w:t>‘</w:t>
      </w:r>
      <w:r w:rsidR="00A362BD" w:rsidRPr="00E2355A">
        <w:rPr>
          <w:rFonts w:ascii="Garamond" w:hAnsi="Garamond"/>
          <w:color w:val="000000" w:themeColor="text1"/>
          <w:sz w:val="22"/>
          <w:szCs w:val="22"/>
        </w:rPr>
        <w:t>J</w:t>
      </w:r>
      <w:r w:rsidRPr="00E2355A">
        <w:rPr>
          <w:rFonts w:ascii="Garamond" w:hAnsi="Garamond"/>
          <w:color w:val="000000" w:themeColor="text1"/>
          <w:sz w:val="22"/>
          <w:szCs w:val="22"/>
        </w:rPr>
        <w:t>ustice and Security in the United Kingdom</w:t>
      </w:r>
      <w:r w:rsidR="00234519">
        <w:rPr>
          <w:rFonts w:ascii="Garamond" w:hAnsi="Garamond"/>
          <w:color w:val="000000" w:themeColor="text1"/>
          <w:sz w:val="22"/>
          <w:szCs w:val="22"/>
        </w:rPr>
        <w:t>’</w:t>
      </w:r>
      <w:r w:rsidRPr="00E2355A">
        <w:rPr>
          <w:rFonts w:ascii="Garamond" w:hAnsi="Garamond"/>
          <w:color w:val="000000" w:themeColor="text1"/>
          <w:sz w:val="22"/>
          <w:szCs w:val="22"/>
        </w:rPr>
        <w:t xml:space="preserve"> (2</w:t>
      </w:r>
      <w:r w:rsidR="00437621" w:rsidRPr="00E2355A">
        <w:rPr>
          <w:rFonts w:ascii="Garamond" w:hAnsi="Garamond"/>
          <w:color w:val="000000" w:themeColor="text1"/>
          <w:sz w:val="22"/>
          <w:szCs w:val="22"/>
        </w:rPr>
        <w:t>014) 47</w:t>
      </w:r>
      <w:r w:rsidR="00A362BD" w:rsidRPr="00E2355A">
        <w:rPr>
          <w:rFonts w:ascii="Garamond" w:hAnsi="Garamond"/>
          <w:color w:val="000000" w:themeColor="text1"/>
          <w:sz w:val="22"/>
          <w:szCs w:val="22"/>
        </w:rPr>
        <w:t xml:space="preserve"> </w:t>
      </w:r>
      <w:r w:rsidR="00A362BD" w:rsidRPr="00453E61">
        <w:rPr>
          <w:rFonts w:ascii="Garamond" w:hAnsi="Garamond"/>
          <w:i/>
          <w:color w:val="000000" w:themeColor="text1"/>
          <w:sz w:val="22"/>
          <w:szCs w:val="22"/>
        </w:rPr>
        <w:t>Israel L</w:t>
      </w:r>
      <w:r w:rsidR="00A91FAC" w:rsidRPr="00453E61">
        <w:rPr>
          <w:rFonts w:ascii="Garamond" w:hAnsi="Garamond"/>
          <w:i/>
          <w:color w:val="000000" w:themeColor="text1"/>
          <w:sz w:val="22"/>
          <w:szCs w:val="22"/>
        </w:rPr>
        <w:t>aw</w:t>
      </w:r>
      <w:r w:rsidR="004D3946" w:rsidRPr="00453E61">
        <w:rPr>
          <w:rFonts w:ascii="Garamond" w:hAnsi="Garamond"/>
          <w:i/>
          <w:color w:val="000000" w:themeColor="text1"/>
          <w:sz w:val="22"/>
          <w:szCs w:val="22"/>
        </w:rPr>
        <w:t xml:space="preserve"> </w:t>
      </w:r>
      <w:r w:rsidR="00A362BD" w:rsidRPr="00453E61">
        <w:rPr>
          <w:rFonts w:ascii="Garamond" w:hAnsi="Garamond"/>
          <w:i/>
          <w:color w:val="000000" w:themeColor="text1"/>
          <w:sz w:val="22"/>
          <w:szCs w:val="22"/>
        </w:rPr>
        <w:t>Rev</w:t>
      </w:r>
      <w:r w:rsidR="00A91FAC" w:rsidRPr="00453E61">
        <w:rPr>
          <w:rFonts w:ascii="Garamond" w:hAnsi="Garamond"/>
          <w:i/>
          <w:color w:val="000000" w:themeColor="text1"/>
          <w:sz w:val="22"/>
          <w:szCs w:val="22"/>
        </w:rPr>
        <w:t>iew</w:t>
      </w:r>
      <w:r w:rsidR="00A362BD" w:rsidRPr="00E2355A">
        <w:rPr>
          <w:rFonts w:ascii="Garamond" w:hAnsi="Garamond"/>
          <w:color w:val="000000" w:themeColor="text1"/>
          <w:sz w:val="22"/>
          <w:szCs w:val="22"/>
        </w:rPr>
        <w:t xml:space="preserve"> </w:t>
      </w:r>
      <w:r w:rsidR="00437621" w:rsidRPr="00E2355A">
        <w:rPr>
          <w:rFonts w:ascii="Garamond" w:hAnsi="Garamond"/>
          <w:color w:val="000000" w:themeColor="text1"/>
          <w:sz w:val="22"/>
          <w:szCs w:val="22"/>
        </w:rPr>
        <w:t>305,</w:t>
      </w:r>
      <w:r w:rsidR="003205CC" w:rsidRPr="00E2355A">
        <w:rPr>
          <w:rFonts w:ascii="Garamond" w:hAnsi="Garamond"/>
          <w:color w:val="000000" w:themeColor="text1"/>
          <w:sz w:val="22"/>
          <w:szCs w:val="22"/>
        </w:rPr>
        <w:t xml:space="preserve"> 320</w:t>
      </w:r>
      <w:r w:rsidRPr="00E2355A">
        <w:rPr>
          <w:rFonts w:ascii="Garamond" w:hAnsi="Garamond"/>
          <w:color w:val="000000" w:themeColor="text1"/>
          <w:sz w:val="22"/>
          <w:szCs w:val="22"/>
        </w:rPr>
        <w:t>.</w:t>
      </w:r>
    </w:p>
  </w:footnote>
  <w:footnote w:id="15">
    <w:p w:rsidR="00481DE9" w:rsidRPr="00E2355A" w:rsidRDefault="00481DE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color w:val="000000" w:themeColor="text1"/>
          <w:sz w:val="22"/>
          <w:szCs w:val="22"/>
        </w:rPr>
        <w:t>Tomkins</w:t>
      </w:r>
      <w:r w:rsidR="0010796D" w:rsidRPr="00E2355A">
        <w:rPr>
          <w:rFonts w:ascii="Garamond" w:hAnsi="Garamond"/>
          <w:color w:val="000000" w:themeColor="text1"/>
          <w:sz w:val="22"/>
          <w:szCs w:val="22"/>
        </w:rPr>
        <w:t xml:space="preserve"> </w:t>
      </w:r>
      <w:r w:rsidR="007D208C">
        <w:rPr>
          <w:rFonts w:ascii="Garamond" w:hAnsi="Garamond"/>
          <w:iCs/>
          <w:color w:val="000000" w:themeColor="text1"/>
          <w:sz w:val="22"/>
          <w:szCs w:val="22"/>
        </w:rPr>
        <w:t>(n 14)</w:t>
      </w:r>
      <w:r w:rsidRPr="00E2355A">
        <w:rPr>
          <w:rFonts w:ascii="Garamond" w:hAnsi="Garamond"/>
          <w:color w:val="000000" w:themeColor="text1"/>
          <w:sz w:val="22"/>
          <w:szCs w:val="22"/>
        </w:rPr>
        <w:t xml:space="preserve"> 310-</w:t>
      </w:r>
      <w:r w:rsidR="005F7DE6" w:rsidRPr="00E2355A">
        <w:rPr>
          <w:rFonts w:ascii="Garamond" w:hAnsi="Garamond"/>
          <w:color w:val="000000" w:themeColor="text1"/>
          <w:sz w:val="22"/>
          <w:szCs w:val="22"/>
        </w:rPr>
        <w:t>1</w:t>
      </w:r>
      <w:r w:rsidRPr="00E2355A">
        <w:rPr>
          <w:rFonts w:ascii="Garamond" w:hAnsi="Garamond"/>
          <w:color w:val="000000" w:themeColor="text1"/>
          <w:sz w:val="22"/>
          <w:szCs w:val="22"/>
        </w:rPr>
        <w:t>1.</w:t>
      </w:r>
      <w:proofErr w:type="gramEnd"/>
      <w:r w:rsidRPr="00E2355A">
        <w:rPr>
          <w:rFonts w:ascii="Garamond" w:hAnsi="Garamond"/>
          <w:color w:val="000000" w:themeColor="text1"/>
          <w:sz w:val="22"/>
          <w:szCs w:val="22"/>
        </w:rPr>
        <w:t xml:space="preserve"> </w:t>
      </w:r>
    </w:p>
  </w:footnote>
  <w:footnote w:id="16">
    <w:p w:rsidR="00E850B3" w:rsidRPr="00E2355A" w:rsidRDefault="00E850B3"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iCs/>
          <w:color w:val="000000" w:themeColor="text1"/>
          <w:sz w:val="22"/>
          <w:szCs w:val="22"/>
        </w:rPr>
        <w:t>Al Rawi</w:t>
      </w:r>
      <w:r w:rsidRPr="00E2355A">
        <w:rPr>
          <w:rFonts w:ascii="Garamond" w:hAnsi="Garamond"/>
          <w:color w:val="000000" w:themeColor="text1"/>
          <w:sz w:val="22"/>
          <w:szCs w:val="22"/>
        </w:rPr>
        <w:t xml:space="preserve"> [2011] UKSC 34.</w:t>
      </w:r>
      <w:proofErr w:type="gramEnd"/>
      <w:r w:rsidRPr="00E2355A">
        <w:rPr>
          <w:rFonts w:ascii="Garamond" w:hAnsi="Garamond"/>
          <w:color w:val="000000" w:themeColor="text1"/>
          <w:sz w:val="22"/>
          <w:szCs w:val="22"/>
        </w:rPr>
        <w:t xml:space="preserve"> That the statutory authority in question need not be particularly explicit is demonstrated by </w:t>
      </w:r>
      <w:r w:rsidRPr="00E2355A">
        <w:rPr>
          <w:rFonts w:ascii="Garamond" w:hAnsi="Garamond"/>
          <w:i/>
          <w:iCs/>
          <w:color w:val="000000" w:themeColor="text1"/>
          <w:sz w:val="22"/>
          <w:szCs w:val="22"/>
        </w:rPr>
        <w:t>Bank Mellat v Her Majesty's Treasury (No. 1)</w:t>
      </w:r>
      <w:r w:rsidR="008E6472">
        <w:rPr>
          <w:rFonts w:ascii="Garamond" w:hAnsi="Garamond"/>
          <w:color w:val="000000" w:themeColor="text1"/>
          <w:sz w:val="22"/>
          <w:szCs w:val="22"/>
        </w:rPr>
        <w:t xml:space="preserve"> [2013] UKSC 38; [2014] A</w:t>
      </w:r>
      <w:r w:rsidR="00657B34" w:rsidRPr="00E2355A">
        <w:rPr>
          <w:rFonts w:ascii="Garamond" w:hAnsi="Garamond"/>
          <w:color w:val="000000" w:themeColor="text1"/>
          <w:sz w:val="22"/>
          <w:szCs w:val="22"/>
        </w:rPr>
        <w:t>C 700.</w:t>
      </w:r>
    </w:p>
  </w:footnote>
  <w:footnote w:id="17">
    <w:p w:rsidR="00AF7900" w:rsidRPr="00E2355A" w:rsidRDefault="00AF7900"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The most important example in this context is the invocation of PII in relation to the abortive Matrix Churchi</w:t>
      </w:r>
      <w:r w:rsidR="00382319">
        <w:rPr>
          <w:rFonts w:ascii="Garamond" w:hAnsi="Garamond"/>
          <w:color w:val="000000" w:themeColor="text1"/>
          <w:sz w:val="22"/>
          <w:szCs w:val="22"/>
        </w:rPr>
        <w:t xml:space="preserve">ll trial: see Anthony Bradley, </w:t>
      </w:r>
      <w:r w:rsidR="008C2BB1">
        <w:rPr>
          <w:rFonts w:ascii="Garamond" w:hAnsi="Garamond"/>
          <w:color w:val="000000" w:themeColor="text1"/>
          <w:sz w:val="22"/>
          <w:szCs w:val="22"/>
        </w:rPr>
        <w:t>‘</w:t>
      </w:r>
      <w:r w:rsidRPr="00E2355A">
        <w:rPr>
          <w:rFonts w:ascii="Garamond" w:hAnsi="Garamond"/>
          <w:color w:val="000000" w:themeColor="text1"/>
          <w:sz w:val="22"/>
          <w:szCs w:val="22"/>
        </w:rPr>
        <w:t>Justice, Good Governme</w:t>
      </w:r>
      <w:r w:rsidR="00382319">
        <w:rPr>
          <w:rFonts w:ascii="Garamond" w:hAnsi="Garamond"/>
          <w:color w:val="000000" w:themeColor="text1"/>
          <w:sz w:val="22"/>
          <w:szCs w:val="22"/>
        </w:rPr>
        <w:t>nt and Public Interest Immunity</w:t>
      </w:r>
      <w:r w:rsidR="008C2BB1">
        <w:rPr>
          <w:rFonts w:ascii="Garamond" w:hAnsi="Garamond"/>
          <w:color w:val="000000" w:themeColor="text1"/>
          <w:sz w:val="22"/>
          <w:szCs w:val="22"/>
        </w:rPr>
        <w:t>’</w:t>
      </w:r>
      <w:r w:rsidRPr="00E2355A">
        <w:rPr>
          <w:rFonts w:ascii="Garamond" w:hAnsi="Garamond"/>
          <w:color w:val="000000" w:themeColor="text1"/>
          <w:sz w:val="22"/>
          <w:szCs w:val="22"/>
        </w:rPr>
        <w:t xml:space="preserve"> [1992] </w:t>
      </w:r>
      <w:r w:rsidRPr="00B37D56">
        <w:rPr>
          <w:rFonts w:ascii="Garamond" w:hAnsi="Garamond"/>
          <w:i/>
          <w:color w:val="000000" w:themeColor="text1"/>
          <w:sz w:val="22"/>
          <w:szCs w:val="22"/>
        </w:rPr>
        <w:t>P</w:t>
      </w:r>
      <w:r w:rsidR="002D5EA9" w:rsidRPr="00B37D56">
        <w:rPr>
          <w:rFonts w:ascii="Garamond" w:hAnsi="Garamond"/>
          <w:i/>
          <w:color w:val="000000" w:themeColor="text1"/>
          <w:sz w:val="22"/>
          <w:szCs w:val="22"/>
        </w:rPr>
        <w:t xml:space="preserve">ublic </w:t>
      </w:r>
      <w:r w:rsidRPr="00B37D56">
        <w:rPr>
          <w:rFonts w:ascii="Garamond" w:hAnsi="Garamond"/>
          <w:i/>
          <w:color w:val="000000" w:themeColor="text1"/>
          <w:sz w:val="22"/>
          <w:szCs w:val="22"/>
        </w:rPr>
        <w:t>L</w:t>
      </w:r>
      <w:r w:rsidR="002D5EA9" w:rsidRPr="00B37D56">
        <w:rPr>
          <w:rFonts w:ascii="Garamond" w:hAnsi="Garamond"/>
          <w:i/>
          <w:color w:val="000000" w:themeColor="text1"/>
          <w:sz w:val="22"/>
          <w:szCs w:val="22"/>
        </w:rPr>
        <w:t>aw</w:t>
      </w:r>
      <w:r w:rsidR="008665CB">
        <w:rPr>
          <w:rFonts w:ascii="Garamond" w:hAnsi="Garamond"/>
          <w:color w:val="000000" w:themeColor="text1"/>
          <w:sz w:val="22"/>
          <w:szCs w:val="22"/>
        </w:rPr>
        <w:t xml:space="preserve"> 514, Gabriele </w:t>
      </w:r>
      <w:proofErr w:type="spellStart"/>
      <w:r w:rsidR="008665CB">
        <w:rPr>
          <w:rFonts w:ascii="Garamond" w:hAnsi="Garamond"/>
          <w:color w:val="000000" w:themeColor="text1"/>
          <w:sz w:val="22"/>
          <w:szCs w:val="22"/>
        </w:rPr>
        <w:t>Ganz</w:t>
      </w:r>
      <w:proofErr w:type="spellEnd"/>
      <w:r w:rsidR="008665CB">
        <w:rPr>
          <w:rFonts w:ascii="Garamond" w:hAnsi="Garamond"/>
          <w:color w:val="000000" w:themeColor="text1"/>
          <w:sz w:val="22"/>
          <w:szCs w:val="22"/>
        </w:rPr>
        <w:t xml:space="preserve">, </w:t>
      </w:r>
      <w:r w:rsidR="008C2BB1">
        <w:rPr>
          <w:rFonts w:ascii="Garamond" w:hAnsi="Garamond"/>
          <w:color w:val="000000" w:themeColor="text1"/>
          <w:sz w:val="22"/>
          <w:szCs w:val="22"/>
        </w:rPr>
        <w:t>‘</w:t>
      </w:r>
      <w:r w:rsidRPr="00E2355A">
        <w:rPr>
          <w:rFonts w:ascii="Garamond" w:hAnsi="Garamond"/>
          <w:color w:val="000000" w:themeColor="text1"/>
          <w:sz w:val="22"/>
          <w:szCs w:val="22"/>
        </w:rPr>
        <w:t>Matrix Churchi</w:t>
      </w:r>
      <w:r w:rsidR="00FC3A4B">
        <w:rPr>
          <w:rFonts w:ascii="Garamond" w:hAnsi="Garamond"/>
          <w:color w:val="000000" w:themeColor="text1"/>
          <w:sz w:val="22"/>
          <w:szCs w:val="22"/>
        </w:rPr>
        <w:t>ll and Public Interest Immunity</w:t>
      </w:r>
      <w:r w:rsidR="008C2BB1">
        <w:rPr>
          <w:rFonts w:ascii="Garamond" w:hAnsi="Garamond"/>
          <w:color w:val="000000" w:themeColor="text1"/>
          <w:sz w:val="22"/>
          <w:szCs w:val="22"/>
        </w:rPr>
        <w:t>’</w:t>
      </w:r>
      <w:r w:rsidRPr="00E2355A">
        <w:rPr>
          <w:rFonts w:ascii="Garamond" w:hAnsi="Garamond"/>
          <w:color w:val="000000" w:themeColor="text1"/>
          <w:sz w:val="22"/>
          <w:szCs w:val="22"/>
        </w:rPr>
        <w:t xml:space="preserve"> (1993) 56 </w:t>
      </w:r>
      <w:r w:rsidRPr="004C026C">
        <w:rPr>
          <w:rFonts w:ascii="Garamond" w:hAnsi="Garamond"/>
          <w:i/>
          <w:color w:val="000000" w:themeColor="text1"/>
          <w:sz w:val="22"/>
          <w:szCs w:val="22"/>
        </w:rPr>
        <w:t>M</w:t>
      </w:r>
      <w:r w:rsidR="002254FE" w:rsidRPr="004C026C">
        <w:rPr>
          <w:rFonts w:ascii="Garamond" w:hAnsi="Garamond"/>
          <w:i/>
          <w:color w:val="000000" w:themeColor="text1"/>
          <w:sz w:val="22"/>
          <w:szCs w:val="22"/>
        </w:rPr>
        <w:t>odern Law Review</w:t>
      </w:r>
      <w:r w:rsidR="00907580">
        <w:rPr>
          <w:rFonts w:ascii="Garamond" w:hAnsi="Garamond"/>
          <w:color w:val="000000" w:themeColor="text1"/>
          <w:sz w:val="22"/>
          <w:szCs w:val="22"/>
        </w:rPr>
        <w:t xml:space="preserve"> 564; Adam Tomkins, </w:t>
      </w:r>
      <w:r w:rsidR="008C2BB1">
        <w:rPr>
          <w:rFonts w:ascii="Garamond" w:hAnsi="Garamond"/>
          <w:color w:val="000000" w:themeColor="text1"/>
          <w:sz w:val="22"/>
          <w:szCs w:val="22"/>
        </w:rPr>
        <w:t>‘</w:t>
      </w:r>
      <w:r w:rsidRPr="00E2355A">
        <w:rPr>
          <w:rFonts w:ascii="Garamond" w:hAnsi="Garamond"/>
          <w:color w:val="000000" w:themeColor="text1"/>
          <w:sz w:val="22"/>
          <w:szCs w:val="22"/>
        </w:rPr>
        <w:t>Public Interest Immunity after Matrix Churchill</w:t>
      </w:r>
      <w:r w:rsidR="008C2BB1">
        <w:rPr>
          <w:rFonts w:ascii="Garamond" w:hAnsi="Garamond"/>
          <w:color w:val="000000" w:themeColor="text1"/>
          <w:sz w:val="22"/>
          <w:szCs w:val="22"/>
        </w:rPr>
        <w:t>’</w:t>
      </w:r>
      <w:r w:rsidR="00952AE2">
        <w:rPr>
          <w:rFonts w:ascii="Garamond" w:hAnsi="Garamond"/>
          <w:color w:val="000000" w:themeColor="text1"/>
          <w:sz w:val="22"/>
          <w:szCs w:val="22"/>
        </w:rPr>
        <w:t xml:space="preserve"> [1993] </w:t>
      </w:r>
      <w:r w:rsidR="00952AE2" w:rsidRPr="00C22BE9">
        <w:rPr>
          <w:rFonts w:ascii="Garamond" w:hAnsi="Garamond"/>
          <w:i/>
          <w:color w:val="000000" w:themeColor="text1"/>
          <w:sz w:val="22"/>
          <w:szCs w:val="22"/>
        </w:rPr>
        <w:t xml:space="preserve">Public </w:t>
      </w:r>
      <w:r w:rsidRPr="00C22BE9">
        <w:rPr>
          <w:rFonts w:ascii="Garamond" w:hAnsi="Garamond"/>
          <w:i/>
          <w:color w:val="000000" w:themeColor="text1"/>
          <w:sz w:val="22"/>
          <w:szCs w:val="22"/>
        </w:rPr>
        <w:t>L</w:t>
      </w:r>
      <w:r w:rsidR="00952AE2" w:rsidRPr="00C22BE9">
        <w:rPr>
          <w:rFonts w:ascii="Garamond" w:hAnsi="Garamond"/>
          <w:i/>
          <w:color w:val="000000" w:themeColor="text1"/>
          <w:sz w:val="22"/>
          <w:szCs w:val="22"/>
        </w:rPr>
        <w:t>aw</w:t>
      </w:r>
      <w:r w:rsidRPr="00E2355A">
        <w:rPr>
          <w:rFonts w:ascii="Garamond" w:hAnsi="Garamond"/>
          <w:color w:val="000000" w:themeColor="text1"/>
          <w:sz w:val="22"/>
          <w:szCs w:val="22"/>
        </w:rPr>
        <w:t xml:space="preserve"> 650; T.R.S. Allan, </w:t>
      </w:r>
      <w:r w:rsidR="008C2BB1">
        <w:rPr>
          <w:rFonts w:ascii="Garamond" w:hAnsi="Garamond"/>
          <w:color w:val="000000" w:themeColor="text1"/>
          <w:sz w:val="22"/>
          <w:szCs w:val="22"/>
        </w:rPr>
        <w:t>‘</w:t>
      </w:r>
      <w:r w:rsidRPr="00E2355A">
        <w:rPr>
          <w:rFonts w:ascii="Garamond" w:hAnsi="Garamond"/>
          <w:color w:val="000000" w:themeColor="text1"/>
          <w:sz w:val="22"/>
          <w:szCs w:val="22"/>
        </w:rPr>
        <w:t xml:space="preserve">Public interest immunity </w:t>
      </w:r>
      <w:r w:rsidR="001C0C01">
        <w:rPr>
          <w:rFonts w:ascii="Garamond" w:hAnsi="Garamond"/>
          <w:color w:val="000000" w:themeColor="text1"/>
          <w:sz w:val="22"/>
          <w:szCs w:val="22"/>
        </w:rPr>
        <w:t>and ministers' responsibilities</w:t>
      </w:r>
      <w:r w:rsidR="008C2BB1">
        <w:rPr>
          <w:rFonts w:ascii="Garamond" w:hAnsi="Garamond"/>
          <w:color w:val="000000" w:themeColor="text1"/>
          <w:sz w:val="22"/>
          <w:szCs w:val="22"/>
        </w:rPr>
        <w:t>’</w:t>
      </w:r>
      <w:r w:rsidRPr="00E2355A">
        <w:rPr>
          <w:rFonts w:ascii="Garamond" w:hAnsi="Garamond"/>
          <w:color w:val="000000" w:themeColor="text1"/>
          <w:sz w:val="22"/>
          <w:szCs w:val="22"/>
        </w:rPr>
        <w:t xml:space="preserve"> [1993] </w:t>
      </w:r>
      <w:r w:rsidRPr="009033EA">
        <w:rPr>
          <w:rFonts w:ascii="Garamond" w:hAnsi="Garamond"/>
          <w:i/>
          <w:color w:val="000000" w:themeColor="text1"/>
          <w:sz w:val="22"/>
          <w:szCs w:val="22"/>
        </w:rPr>
        <w:t>Crim</w:t>
      </w:r>
      <w:r w:rsidR="00A739E4" w:rsidRPr="009033EA">
        <w:rPr>
          <w:rFonts w:ascii="Garamond" w:hAnsi="Garamond"/>
          <w:i/>
          <w:color w:val="000000" w:themeColor="text1"/>
          <w:sz w:val="22"/>
          <w:szCs w:val="22"/>
        </w:rPr>
        <w:t>inal Law Review</w:t>
      </w:r>
      <w:r w:rsidRPr="00E2355A">
        <w:rPr>
          <w:rFonts w:ascii="Garamond" w:hAnsi="Garamond"/>
          <w:color w:val="000000" w:themeColor="text1"/>
          <w:sz w:val="22"/>
          <w:szCs w:val="22"/>
        </w:rPr>
        <w:t xml:space="preserve"> 660. These issues were considered by the Scott Report: see, most importantly, The Right Honourable Sir Richard Scott, </w:t>
      </w:r>
      <w:r w:rsidRPr="000A5BCC">
        <w:rPr>
          <w:rFonts w:ascii="Garamond" w:hAnsi="Garamond"/>
          <w:i/>
          <w:color w:val="000000" w:themeColor="text1"/>
          <w:sz w:val="22"/>
          <w:szCs w:val="22"/>
        </w:rPr>
        <w:t>Report of the Inquiry into the Export of Defence Equipment and Dual-Use Goods to Iraq and Related Prosecutions</w:t>
      </w:r>
      <w:r w:rsidRPr="00E2355A">
        <w:rPr>
          <w:rFonts w:ascii="Garamond" w:hAnsi="Garamond"/>
          <w:color w:val="000000" w:themeColor="text1"/>
          <w:sz w:val="22"/>
          <w:szCs w:val="22"/>
        </w:rPr>
        <w:t xml:space="preserve">, HC 115 (1995-96), G18.43-106. </w:t>
      </w:r>
    </w:p>
  </w:footnote>
  <w:footnote w:id="18">
    <w:p w:rsidR="00AF7900" w:rsidRPr="00E2355A" w:rsidRDefault="00AF7900"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color w:val="000000" w:themeColor="text1"/>
          <w:sz w:val="22"/>
          <w:szCs w:val="22"/>
        </w:rPr>
        <w:t>Tomkins</w:t>
      </w:r>
      <w:r w:rsidR="00AE46E1">
        <w:rPr>
          <w:rFonts w:ascii="Garamond" w:hAnsi="Garamond"/>
          <w:color w:val="000000" w:themeColor="text1"/>
          <w:sz w:val="22"/>
          <w:szCs w:val="22"/>
        </w:rPr>
        <w:t xml:space="preserve"> (n 14)</w:t>
      </w:r>
      <w:r w:rsidRPr="00E2355A">
        <w:rPr>
          <w:rFonts w:ascii="Garamond" w:hAnsi="Garamond"/>
          <w:color w:val="000000" w:themeColor="text1"/>
          <w:sz w:val="22"/>
          <w:szCs w:val="22"/>
        </w:rPr>
        <w:t xml:space="preserve"> 308.</w:t>
      </w:r>
      <w:proofErr w:type="gramEnd"/>
    </w:p>
  </w:footnote>
  <w:footnote w:id="19">
    <w:p w:rsidR="00AF7900" w:rsidRPr="00E2355A" w:rsidRDefault="00AF7900"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The decision of the House of Lords in </w:t>
      </w:r>
      <w:r w:rsidRPr="00E2355A">
        <w:rPr>
          <w:rFonts w:ascii="Garamond" w:hAnsi="Garamond"/>
          <w:i/>
          <w:iCs/>
          <w:color w:val="000000" w:themeColor="text1"/>
          <w:sz w:val="22"/>
          <w:szCs w:val="22"/>
        </w:rPr>
        <w:t>R v H</w:t>
      </w:r>
      <w:r w:rsidRPr="00E2355A">
        <w:rPr>
          <w:rFonts w:ascii="Garamond" w:hAnsi="Garamond"/>
          <w:color w:val="000000" w:themeColor="text1"/>
          <w:sz w:val="22"/>
          <w:szCs w:val="22"/>
        </w:rPr>
        <w:t xml:space="preserve"> [2004] UKHL 3; [2004] 2 AC 134 provides authoritative guidance as to the limits of PII claims in the criminal context and their interaction with the rules of disclosure. </w:t>
      </w:r>
    </w:p>
  </w:footnote>
  <w:footnote w:id="20">
    <w:p w:rsidR="00336D5D" w:rsidRPr="00E2355A" w:rsidRDefault="00336D5D" w:rsidP="00212269">
      <w:pPr>
        <w:pStyle w:val="FootnoteText"/>
        <w:jc w:val="both"/>
        <w:rPr>
          <w:rFonts w:ascii="Garamond" w:eastAsia="PMingLiU" w:hAnsi="Garamond"/>
          <w:color w:val="000000" w:themeColor="text1"/>
          <w:sz w:val="22"/>
          <w:szCs w:val="22"/>
          <w:lang w:eastAsia="zh-TW"/>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r w:rsidR="00B95B66" w:rsidRPr="00E2355A">
        <w:rPr>
          <w:rFonts w:ascii="Garamond" w:hAnsi="Garamond"/>
          <w:color w:val="000000" w:themeColor="text1"/>
          <w:sz w:val="22"/>
          <w:szCs w:val="22"/>
        </w:rPr>
        <w:t>See</w:t>
      </w:r>
      <w:r w:rsidR="00EC688D">
        <w:rPr>
          <w:rFonts w:ascii="Garamond" w:hAnsi="Garamond"/>
          <w:color w:val="000000" w:themeColor="text1"/>
          <w:sz w:val="22"/>
          <w:szCs w:val="22"/>
        </w:rPr>
        <w:t xml:space="preserve"> </w:t>
      </w:r>
      <w:proofErr w:type="spellStart"/>
      <w:r w:rsidR="00EC688D">
        <w:rPr>
          <w:rFonts w:ascii="Garamond" w:hAnsi="Garamond"/>
          <w:color w:val="000000" w:themeColor="text1"/>
          <w:sz w:val="22"/>
          <w:szCs w:val="22"/>
        </w:rPr>
        <w:t>e</w:t>
      </w:r>
      <w:r w:rsidR="00966038">
        <w:rPr>
          <w:rFonts w:ascii="Garamond" w:hAnsi="Garamond"/>
          <w:color w:val="000000" w:themeColor="text1"/>
          <w:sz w:val="22"/>
          <w:szCs w:val="22"/>
        </w:rPr>
        <w:t>g</w:t>
      </w:r>
      <w:proofErr w:type="spellEnd"/>
      <w:r w:rsidR="00240F8E" w:rsidRPr="00E2355A">
        <w:rPr>
          <w:rFonts w:ascii="Garamond" w:hAnsi="Garamond"/>
          <w:color w:val="000000" w:themeColor="text1"/>
          <w:sz w:val="22"/>
          <w:szCs w:val="22"/>
        </w:rPr>
        <w:t xml:space="preserve"> </w:t>
      </w:r>
      <w:r w:rsidR="00332C5C" w:rsidRPr="00E2355A">
        <w:rPr>
          <w:rFonts w:ascii="Garamond" w:hAnsi="Garamond"/>
          <w:i/>
          <w:iCs/>
          <w:color w:val="000000" w:themeColor="text1"/>
          <w:sz w:val="22"/>
          <w:szCs w:val="22"/>
        </w:rPr>
        <w:t xml:space="preserve">Marks v </w:t>
      </w:r>
      <w:proofErr w:type="spellStart"/>
      <w:r w:rsidR="00332C5C" w:rsidRPr="00E2355A">
        <w:rPr>
          <w:rFonts w:ascii="Garamond" w:hAnsi="Garamond"/>
          <w:i/>
          <w:iCs/>
          <w:color w:val="000000" w:themeColor="text1"/>
          <w:sz w:val="22"/>
          <w:szCs w:val="22"/>
        </w:rPr>
        <w:t>Beyfus</w:t>
      </w:r>
      <w:proofErr w:type="spellEnd"/>
      <w:r w:rsidR="00332C5C" w:rsidRPr="00E2355A">
        <w:rPr>
          <w:rFonts w:ascii="Garamond" w:hAnsi="Garamond"/>
          <w:color w:val="000000" w:themeColor="text1"/>
          <w:sz w:val="22"/>
          <w:szCs w:val="22"/>
        </w:rPr>
        <w:t xml:space="preserve"> (1890) 25 QBD 494.</w:t>
      </w:r>
      <w:r w:rsidR="008146D2" w:rsidRPr="00E2355A">
        <w:rPr>
          <w:rFonts w:ascii="Garamond" w:hAnsi="Garamond"/>
          <w:color w:val="000000" w:themeColor="text1"/>
          <w:sz w:val="22"/>
          <w:szCs w:val="22"/>
        </w:rPr>
        <w:t xml:space="preserve"> This use can</w:t>
      </w:r>
      <w:r w:rsidR="00D10016" w:rsidRPr="00E2355A">
        <w:rPr>
          <w:rFonts w:ascii="Garamond" w:hAnsi="Garamond"/>
          <w:color w:val="000000" w:themeColor="text1"/>
          <w:sz w:val="22"/>
          <w:szCs w:val="22"/>
        </w:rPr>
        <w:t xml:space="preserve"> in turn</w:t>
      </w:r>
      <w:r w:rsidR="0006415E" w:rsidRPr="00E2355A">
        <w:rPr>
          <w:rFonts w:ascii="Garamond" w:hAnsi="Garamond"/>
          <w:color w:val="000000" w:themeColor="text1"/>
          <w:sz w:val="22"/>
          <w:szCs w:val="22"/>
        </w:rPr>
        <w:t xml:space="preserve"> be traced</w:t>
      </w:r>
      <w:r w:rsidR="007B5FB6" w:rsidRPr="00E2355A">
        <w:rPr>
          <w:rFonts w:ascii="Garamond" w:hAnsi="Garamond"/>
          <w:color w:val="000000" w:themeColor="text1"/>
          <w:sz w:val="22"/>
          <w:szCs w:val="22"/>
        </w:rPr>
        <w:t xml:space="preserve"> back</w:t>
      </w:r>
      <w:r w:rsidR="008146D2" w:rsidRPr="00E2355A">
        <w:rPr>
          <w:rFonts w:ascii="Garamond" w:hAnsi="Garamond"/>
          <w:color w:val="000000" w:themeColor="text1"/>
          <w:sz w:val="22"/>
          <w:szCs w:val="22"/>
        </w:rPr>
        <w:t>, albeit in a rather different and</w:t>
      </w:r>
      <w:r w:rsidR="006E4E20" w:rsidRPr="00E2355A">
        <w:rPr>
          <w:rFonts w:ascii="Garamond" w:hAnsi="Garamond"/>
          <w:color w:val="000000" w:themeColor="text1"/>
          <w:sz w:val="22"/>
          <w:szCs w:val="22"/>
        </w:rPr>
        <w:t xml:space="preserve"> rather</w:t>
      </w:r>
      <w:r w:rsidR="008146D2" w:rsidRPr="00E2355A">
        <w:rPr>
          <w:rFonts w:ascii="Garamond" w:hAnsi="Garamond"/>
          <w:color w:val="000000" w:themeColor="text1"/>
          <w:sz w:val="22"/>
          <w:szCs w:val="22"/>
        </w:rPr>
        <w:t xml:space="preserve"> less certain form, to the judgments in the treasons trials of 1794: </w:t>
      </w:r>
      <w:r w:rsidR="0062070F" w:rsidRPr="00E2355A">
        <w:rPr>
          <w:rFonts w:ascii="Garamond" w:hAnsi="Garamond"/>
          <w:color w:val="000000" w:themeColor="text1"/>
          <w:sz w:val="22"/>
          <w:szCs w:val="22"/>
        </w:rPr>
        <w:t xml:space="preserve">see R v </w:t>
      </w:r>
      <w:r w:rsidR="00514625" w:rsidRPr="00E2355A">
        <w:rPr>
          <w:rFonts w:ascii="Garamond" w:hAnsi="Garamond"/>
          <w:color w:val="000000" w:themeColor="text1"/>
          <w:sz w:val="22"/>
          <w:szCs w:val="22"/>
        </w:rPr>
        <w:t>Hardy (1794) 24</w:t>
      </w:r>
      <w:r w:rsidR="0002176A" w:rsidRPr="00E2355A">
        <w:rPr>
          <w:rFonts w:ascii="Garamond" w:hAnsi="Garamond"/>
          <w:color w:val="000000" w:themeColor="text1"/>
          <w:sz w:val="22"/>
          <w:szCs w:val="22"/>
        </w:rPr>
        <w:t xml:space="preserve"> St </w:t>
      </w:r>
      <w:proofErr w:type="spellStart"/>
      <w:proofErr w:type="gramStart"/>
      <w:r w:rsidR="0002176A" w:rsidRPr="00E2355A">
        <w:rPr>
          <w:rFonts w:ascii="Garamond" w:hAnsi="Garamond"/>
          <w:color w:val="000000" w:themeColor="text1"/>
          <w:sz w:val="22"/>
          <w:szCs w:val="22"/>
        </w:rPr>
        <w:t>Tr</w:t>
      </w:r>
      <w:proofErr w:type="spellEnd"/>
      <w:proofErr w:type="gramEnd"/>
      <w:r w:rsidR="0002176A" w:rsidRPr="00E2355A">
        <w:rPr>
          <w:rFonts w:ascii="Garamond" w:hAnsi="Garamond"/>
          <w:color w:val="000000" w:themeColor="text1"/>
          <w:sz w:val="22"/>
          <w:szCs w:val="22"/>
        </w:rPr>
        <w:t xml:space="preserve"> </w:t>
      </w:r>
      <w:r w:rsidR="00514625" w:rsidRPr="00E2355A">
        <w:rPr>
          <w:rFonts w:ascii="Garamond" w:hAnsi="Garamond"/>
          <w:color w:val="000000" w:themeColor="text1"/>
          <w:sz w:val="22"/>
          <w:szCs w:val="22"/>
        </w:rPr>
        <w:t>199.</w:t>
      </w:r>
    </w:p>
  </w:footnote>
  <w:footnote w:id="21">
    <w:p w:rsidR="00336D5D" w:rsidRPr="00E2355A" w:rsidRDefault="00336D5D" w:rsidP="00212269">
      <w:pPr>
        <w:pStyle w:val="FootnoteText"/>
        <w:jc w:val="both"/>
        <w:rPr>
          <w:rFonts w:ascii="Garamond" w:eastAsia="PMingLiU" w:hAnsi="Garamond"/>
          <w:color w:val="000000" w:themeColor="text1"/>
          <w:sz w:val="22"/>
          <w:szCs w:val="22"/>
          <w:lang w:eastAsia="zh-TW"/>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r w:rsidR="00A318F5" w:rsidRPr="00E2355A">
        <w:rPr>
          <w:rFonts w:ascii="Garamond" w:hAnsi="Garamond"/>
          <w:color w:val="000000" w:themeColor="text1"/>
          <w:sz w:val="22"/>
          <w:szCs w:val="22"/>
        </w:rPr>
        <w:t xml:space="preserve">The reason for this, according to Lord Bingham, is that until the 1990s “disclosure [in criminal cases] was left largely to the judgment of the prosecuting authorities and the prosecution, and only exceptionally did the court make any ruling.” </w:t>
      </w:r>
      <w:proofErr w:type="gramStart"/>
      <w:r w:rsidR="00A318F5" w:rsidRPr="00E2355A">
        <w:rPr>
          <w:rFonts w:ascii="Garamond" w:hAnsi="Garamond"/>
          <w:i/>
          <w:iCs/>
          <w:color w:val="000000" w:themeColor="text1"/>
          <w:sz w:val="22"/>
          <w:szCs w:val="22"/>
        </w:rPr>
        <w:t xml:space="preserve">R </w:t>
      </w:r>
      <w:r w:rsidR="009962BF" w:rsidRPr="00E2355A">
        <w:rPr>
          <w:rFonts w:ascii="Garamond" w:hAnsi="Garamond"/>
          <w:i/>
          <w:iCs/>
          <w:color w:val="000000" w:themeColor="text1"/>
          <w:sz w:val="22"/>
          <w:szCs w:val="22"/>
        </w:rPr>
        <w:t xml:space="preserve">v </w:t>
      </w:r>
      <w:r w:rsidR="00267E6E" w:rsidRPr="00E2355A">
        <w:rPr>
          <w:rFonts w:ascii="Garamond" w:hAnsi="Garamond"/>
          <w:i/>
          <w:iCs/>
          <w:color w:val="000000" w:themeColor="text1"/>
          <w:sz w:val="22"/>
          <w:szCs w:val="22"/>
        </w:rPr>
        <w:t xml:space="preserve">H </w:t>
      </w:r>
      <w:r w:rsidR="004B3384" w:rsidRPr="00E2355A">
        <w:rPr>
          <w:rFonts w:ascii="Garamond" w:hAnsi="Garamond"/>
          <w:color w:val="000000" w:themeColor="text1"/>
          <w:sz w:val="22"/>
          <w:szCs w:val="22"/>
        </w:rPr>
        <w:t xml:space="preserve">[2004] UKHL 3, </w:t>
      </w:r>
      <w:r w:rsidR="00A318F5" w:rsidRPr="00E2355A">
        <w:rPr>
          <w:rFonts w:ascii="Garamond" w:hAnsi="Garamond"/>
          <w:color w:val="000000" w:themeColor="text1"/>
          <w:sz w:val="22"/>
          <w:szCs w:val="22"/>
        </w:rPr>
        <w:t>[19].</w:t>
      </w:r>
      <w:proofErr w:type="gramEnd"/>
    </w:p>
  </w:footnote>
  <w:footnote w:id="22">
    <w:p w:rsidR="00285045" w:rsidRPr="00E2355A" w:rsidRDefault="00285045" w:rsidP="00212269">
      <w:pPr>
        <w:pStyle w:val="FootnoteText"/>
        <w:jc w:val="both"/>
        <w:rPr>
          <w:rFonts w:ascii="Garamond" w:eastAsia="PMingLiU" w:hAnsi="Garamond"/>
          <w:color w:val="000000" w:themeColor="text1"/>
          <w:sz w:val="22"/>
          <w:szCs w:val="22"/>
          <w:lang w:eastAsia="zh-TW"/>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DD5316" w:rsidRPr="00E2355A">
        <w:rPr>
          <w:rFonts w:ascii="Garamond" w:hAnsi="Garamond"/>
          <w:color w:val="000000" w:themeColor="text1"/>
          <w:sz w:val="22"/>
          <w:szCs w:val="22"/>
        </w:rPr>
        <w:t>Scott</w:t>
      </w:r>
      <w:r w:rsidR="00E34E0D">
        <w:rPr>
          <w:rFonts w:ascii="Garamond" w:hAnsi="Garamond"/>
          <w:color w:val="000000" w:themeColor="text1"/>
          <w:sz w:val="22"/>
          <w:szCs w:val="22"/>
        </w:rPr>
        <w:t xml:space="preserve"> (n 17).</w:t>
      </w:r>
      <w:proofErr w:type="gramEnd"/>
    </w:p>
  </w:footnote>
  <w:footnote w:id="23">
    <w:p w:rsidR="00530A67" w:rsidRPr="00E2355A" w:rsidRDefault="00530A67"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r w:rsidR="00CF11EA">
        <w:rPr>
          <w:rFonts w:ascii="Garamond" w:hAnsi="Garamond"/>
          <w:color w:val="000000" w:themeColor="text1"/>
          <w:sz w:val="22"/>
          <w:szCs w:val="22"/>
        </w:rPr>
        <w:t xml:space="preserve">As amended, s </w:t>
      </w:r>
      <w:r w:rsidR="009B4D2D" w:rsidRPr="00E2355A">
        <w:rPr>
          <w:rFonts w:ascii="Garamond" w:hAnsi="Garamond"/>
          <w:color w:val="000000" w:themeColor="text1"/>
          <w:sz w:val="22"/>
          <w:szCs w:val="22"/>
        </w:rPr>
        <w:t>3(1) requires that the prosecutor disclose “any prosecution material which has not previously been disclosed to the accused and which might reasonably be considered capable of undermining the case for the prosecution against the accused or of assisting the case for the accused.”</w:t>
      </w:r>
    </w:p>
  </w:footnote>
  <w:footnote w:id="24">
    <w:p w:rsidR="00285045" w:rsidRPr="00E2355A" w:rsidRDefault="00285045"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A94E15" w:rsidRPr="00E2355A">
        <w:rPr>
          <w:rFonts w:ascii="Garamond" w:eastAsia="PMingLiU" w:hAnsi="Garamond"/>
          <w:color w:val="000000" w:themeColor="text1"/>
          <w:sz w:val="22"/>
          <w:szCs w:val="22"/>
          <w:lang w:eastAsia="zh-TW"/>
        </w:rPr>
        <w:t>Criminal Pr</w:t>
      </w:r>
      <w:r w:rsidR="00BC1424" w:rsidRPr="00E2355A">
        <w:rPr>
          <w:rFonts w:ascii="Garamond" w:eastAsia="PMingLiU" w:hAnsi="Garamond"/>
          <w:color w:val="000000" w:themeColor="text1"/>
          <w:sz w:val="22"/>
          <w:szCs w:val="22"/>
          <w:lang w:eastAsia="zh-TW"/>
        </w:rPr>
        <w:t xml:space="preserve">oceedings and Evidence Act 1996 </w:t>
      </w:r>
      <w:r w:rsidR="0070421D">
        <w:rPr>
          <w:rFonts w:ascii="Garamond" w:eastAsia="PMingLiU" w:hAnsi="Garamond"/>
          <w:color w:val="000000" w:themeColor="text1"/>
          <w:sz w:val="22"/>
          <w:szCs w:val="22"/>
          <w:lang w:eastAsia="zh-TW"/>
        </w:rPr>
        <w:t xml:space="preserve">s </w:t>
      </w:r>
      <w:r w:rsidR="00A94E15" w:rsidRPr="00E2355A">
        <w:rPr>
          <w:rFonts w:ascii="Garamond" w:eastAsia="PMingLiU" w:hAnsi="Garamond"/>
          <w:color w:val="000000" w:themeColor="text1"/>
          <w:sz w:val="22"/>
          <w:szCs w:val="22"/>
          <w:lang w:eastAsia="zh-TW"/>
        </w:rPr>
        <w:t>3(6)</w:t>
      </w:r>
      <w:r w:rsidR="00CC274B" w:rsidRPr="00E2355A">
        <w:rPr>
          <w:rFonts w:ascii="Garamond" w:eastAsia="PMingLiU" w:hAnsi="Garamond"/>
          <w:color w:val="000000" w:themeColor="text1"/>
          <w:sz w:val="22"/>
          <w:szCs w:val="22"/>
          <w:lang w:eastAsia="zh-TW"/>
        </w:rPr>
        <w:t>.</w:t>
      </w:r>
      <w:proofErr w:type="gramEnd"/>
    </w:p>
  </w:footnote>
  <w:footnote w:id="25">
    <w:p w:rsidR="00DA29F1" w:rsidRPr="00E2355A" w:rsidRDefault="00DA29F1" w:rsidP="00DA29F1">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iCs/>
          <w:color w:val="000000" w:themeColor="text1"/>
          <w:sz w:val="22"/>
          <w:szCs w:val="22"/>
        </w:rPr>
        <w:t>R v H</w:t>
      </w:r>
      <w:r w:rsidRPr="00E2355A">
        <w:rPr>
          <w:rFonts w:ascii="Garamond" w:hAnsi="Garamond"/>
          <w:color w:val="000000" w:themeColor="text1"/>
          <w:sz w:val="22"/>
          <w:szCs w:val="22"/>
        </w:rPr>
        <w:t xml:space="preserve"> [2004] UKHL 3, [36].</w:t>
      </w:r>
      <w:proofErr w:type="gramEnd"/>
    </w:p>
  </w:footnote>
  <w:footnote w:id="26">
    <w:p w:rsidR="00244AA5" w:rsidRPr="00E2355A" w:rsidRDefault="00244AA5"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For a recent critique of the view taken by the courts o</w:t>
      </w:r>
      <w:r w:rsidR="00684F2B" w:rsidRPr="00E2355A">
        <w:rPr>
          <w:rFonts w:ascii="Garamond" w:hAnsi="Garamond"/>
          <w:color w:val="000000" w:themeColor="text1"/>
          <w:sz w:val="22"/>
          <w:szCs w:val="22"/>
        </w:rPr>
        <w:t>n</w:t>
      </w:r>
      <w:r w:rsidR="00F85E79">
        <w:rPr>
          <w:rFonts w:ascii="Garamond" w:hAnsi="Garamond"/>
          <w:color w:val="000000" w:themeColor="text1"/>
          <w:sz w:val="22"/>
          <w:szCs w:val="22"/>
        </w:rPr>
        <w:t xml:space="preserve"> this point, see David Heaton, </w:t>
      </w:r>
      <w:r w:rsidR="00B42328">
        <w:rPr>
          <w:rFonts w:ascii="Garamond" w:hAnsi="Garamond"/>
          <w:color w:val="000000" w:themeColor="text1"/>
          <w:sz w:val="22"/>
          <w:szCs w:val="22"/>
        </w:rPr>
        <w:t>‘</w:t>
      </w:r>
      <w:r w:rsidRPr="00E2355A">
        <w:rPr>
          <w:rFonts w:ascii="Garamond" w:hAnsi="Garamond"/>
          <w:color w:val="000000" w:themeColor="text1"/>
          <w:sz w:val="22"/>
          <w:szCs w:val="22"/>
        </w:rPr>
        <w:t>Carnduff, Al</w:t>
      </w:r>
      <w:r w:rsidR="00684F2B" w:rsidRPr="00E2355A">
        <w:rPr>
          <w:rFonts w:ascii="Garamond" w:hAnsi="Garamond"/>
          <w:color w:val="000000" w:themeColor="text1"/>
          <w:sz w:val="22"/>
          <w:szCs w:val="22"/>
        </w:rPr>
        <w:t xml:space="preserve"> </w:t>
      </w:r>
      <w:r w:rsidRPr="00E2355A">
        <w:rPr>
          <w:rFonts w:ascii="Garamond" w:hAnsi="Garamond"/>
          <w:color w:val="000000" w:themeColor="text1"/>
          <w:sz w:val="22"/>
          <w:szCs w:val="22"/>
        </w:rPr>
        <w:t>Rawi, the “unfairness” of public interest immunity and sharp procedure</w:t>
      </w:r>
      <w:r w:rsidR="00B42328">
        <w:rPr>
          <w:rFonts w:ascii="Garamond" w:hAnsi="Garamond"/>
          <w:color w:val="000000" w:themeColor="text1"/>
          <w:sz w:val="22"/>
          <w:szCs w:val="22"/>
        </w:rPr>
        <w:t>’</w:t>
      </w:r>
      <w:r w:rsidR="00344319">
        <w:rPr>
          <w:rFonts w:ascii="Garamond" w:hAnsi="Garamond"/>
          <w:color w:val="000000" w:themeColor="text1"/>
          <w:sz w:val="22"/>
          <w:szCs w:val="22"/>
        </w:rPr>
        <w:t xml:space="preserve"> (2015) Civil </w:t>
      </w:r>
      <w:r w:rsidRPr="00E2355A">
        <w:rPr>
          <w:rFonts w:ascii="Garamond" w:hAnsi="Garamond"/>
          <w:color w:val="000000" w:themeColor="text1"/>
          <w:sz w:val="22"/>
          <w:szCs w:val="22"/>
        </w:rPr>
        <w:t>J</w:t>
      </w:r>
      <w:r w:rsidR="00344319">
        <w:rPr>
          <w:rFonts w:ascii="Garamond" w:hAnsi="Garamond"/>
          <w:color w:val="000000" w:themeColor="text1"/>
          <w:sz w:val="22"/>
          <w:szCs w:val="22"/>
        </w:rPr>
        <w:t xml:space="preserve">ustice </w:t>
      </w:r>
      <w:r w:rsidRPr="00E2355A">
        <w:rPr>
          <w:rFonts w:ascii="Garamond" w:hAnsi="Garamond"/>
          <w:color w:val="000000" w:themeColor="text1"/>
          <w:sz w:val="22"/>
          <w:szCs w:val="22"/>
        </w:rPr>
        <w:t>Q</w:t>
      </w:r>
      <w:r w:rsidR="00344319">
        <w:rPr>
          <w:rFonts w:ascii="Garamond" w:hAnsi="Garamond"/>
          <w:color w:val="000000" w:themeColor="text1"/>
          <w:sz w:val="22"/>
          <w:szCs w:val="22"/>
        </w:rPr>
        <w:t>uarterly</w:t>
      </w:r>
      <w:r w:rsidRPr="00E2355A">
        <w:rPr>
          <w:rFonts w:ascii="Garamond" w:hAnsi="Garamond"/>
          <w:color w:val="000000" w:themeColor="text1"/>
          <w:sz w:val="22"/>
          <w:szCs w:val="22"/>
        </w:rPr>
        <w:t xml:space="preserve"> 191.</w:t>
      </w:r>
    </w:p>
  </w:footnote>
  <w:footnote w:id="27">
    <w:p w:rsidR="00244AA5" w:rsidRPr="00E2355A" w:rsidRDefault="00244AA5"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The government has long accepted that it is inappropriate to claim PII in relation to material which is required for defence against a criminal charge:</w:t>
      </w:r>
      <w:r w:rsidR="00955F38" w:rsidRPr="00E2355A">
        <w:rPr>
          <w:rFonts w:ascii="Garamond" w:hAnsi="Garamond"/>
          <w:color w:val="000000" w:themeColor="text1"/>
          <w:sz w:val="22"/>
          <w:szCs w:val="22"/>
        </w:rPr>
        <w:t xml:space="preserve"> see the statement of the Lord Chancellor, Viscount </w:t>
      </w:r>
      <w:proofErr w:type="spellStart"/>
      <w:r w:rsidR="00955F38" w:rsidRPr="00E2355A">
        <w:rPr>
          <w:rFonts w:ascii="Garamond" w:hAnsi="Garamond"/>
          <w:color w:val="000000" w:themeColor="text1"/>
          <w:sz w:val="22"/>
          <w:szCs w:val="22"/>
        </w:rPr>
        <w:t>Kilmuir</w:t>
      </w:r>
      <w:proofErr w:type="spellEnd"/>
      <w:r w:rsidR="00955F38" w:rsidRPr="00E2355A">
        <w:rPr>
          <w:rFonts w:ascii="Garamond" w:hAnsi="Garamond"/>
          <w:color w:val="000000" w:themeColor="text1"/>
          <w:sz w:val="22"/>
          <w:szCs w:val="22"/>
        </w:rPr>
        <w:t xml:space="preserve"> at</w:t>
      </w:r>
      <w:r w:rsidRPr="00E2355A">
        <w:rPr>
          <w:rFonts w:ascii="Garamond" w:hAnsi="Garamond"/>
          <w:color w:val="000000" w:themeColor="text1"/>
          <w:sz w:val="22"/>
          <w:szCs w:val="22"/>
        </w:rPr>
        <w:t xml:space="preserve"> HL Deb 06 June 1956 </w:t>
      </w:r>
      <w:proofErr w:type="spellStart"/>
      <w:r w:rsidRPr="00E2355A">
        <w:rPr>
          <w:rFonts w:ascii="Garamond" w:hAnsi="Garamond"/>
          <w:color w:val="000000" w:themeColor="text1"/>
          <w:sz w:val="22"/>
          <w:szCs w:val="22"/>
        </w:rPr>
        <w:t>vol</w:t>
      </w:r>
      <w:proofErr w:type="spellEnd"/>
      <w:r w:rsidRPr="00E2355A">
        <w:rPr>
          <w:rFonts w:ascii="Garamond" w:hAnsi="Garamond"/>
          <w:color w:val="000000" w:themeColor="text1"/>
          <w:sz w:val="22"/>
          <w:szCs w:val="22"/>
        </w:rPr>
        <w:t xml:space="preserve"> 197, col 745</w:t>
      </w:r>
      <w:r w:rsidR="00955F38" w:rsidRPr="00E2355A">
        <w:rPr>
          <w:rFonts w:ascii="Garamond" w:hAnsi="Garamond"/>
          <w:color w:val="000000" w:themeColor="text1"/>
          <w:sz w:val="22"/>
          <w:szCs w:val="22"/>
        </w:rPr>
        <w:t>.</w:t>
      </w:r>
    </w:p>
  </w:footnote>
  <w:footnote w:id="28">
    <w:p w:rsidR="00CE1A89" w:rsidRPr="00E2355A" w:rsidRDefault="00CE1A8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r w:rsidRPr="00E2355A">
        <w:rPr>
          <w:rFonts w:ascii="Garamond" w:eastAsia="PMingLiU" w:hAnsi="Garamond"/>
          <w:color w:val="000000" w:themeColor="text1"/>
          <w:sz w:val="22"/>
          <w:szCs w:val="22"/>
          <w:lang w:eastAsia="zh-TW"/>
        </w:rPr>
        <w:t xml:space="preserve">It was noted by Viscount Simon in a leading case that </w:t>
      </w:r>
      <w:r w:rsidRPr="00E2355A">
        <w:rPr>
          <w:rFonts w:ascii="Garamond" w:hAnsi="Garamond"/>
          <w:color w:val="000000" w:themeColor="text1"/>
          <w:sz w:val="22"/>
          <w:szCs w:val="22"/>
        </w:rPr>
        <w:t>“The judgment of the house in the present case is limited to civil actions and the practice, as applied in criminal trials where an individual’s life or liberty may be at stake, is not necessarily the same.”</w:t>
      </w:r>
      <w:r w:rsidRPr="00E2355A">
        <w:rPr>
          <w:rStyle w:val="FootnoteReference"/>
          <w:rFonts w:ascii="Garamond" w:eastAsia="PMingLiU" w:hAnsi="Garamond"/>
          <w:color w:val="000000" w:themeColor="text1"/>
          <w:sz w:val="22"/>
          <w:szCs w:val="22"/>
          <w:lang w:eastAsia="zh-TW"/>
        </w:rPr>
        <w:t xml:space="preserve"> </w:t>
      </w:r>
      <w:proofErr w:type="gramStart"/>
      <w:r w:rsidRPr="00E2355A">
        <w:rPr>
          <w:rFonts w:ascii="Garamond" w:hAnsi="Garamond"/>
          <w:i/>
          <w:iCs/>
          <w:color w:val="000000" w:themeColor="text1"/>
          <w:sz w:val="22"/>
          <w:szCs w:val="22"/>
        </w:rPr>
        <w:t xml:space="preserve">Duncan v </w:t>
      </w:r>
      <w:proofErr w:type="spellStart"/>
      <w:r w:rsidRPr="00E2355A">
        <w:rPr>
          <w:rFonts w:ascii="Garamond" w:hAnsi="Garamond"/>
          <w:i/>
          <w:iCs/>
          <w:color w:val="000000" w:themeColor="text1"/>
          <w:sz w:val="22"/>
          <w:szCs w:val="22"/>
        </w:rPr>
        <w:t>Cammell</w:t>
      </w:r>
      <w:proofErr w:type="spellEnd"/>
      <w:r w:rsidRPr="00E2355A">
        <w:rPr>
          <w:rFonts w:ascii="Garamond" w:hAnsi="Garamond"/>
          <w:i/>
          <w:iCs/>
          <w:color w:val="000000" w:themeColor="text1"/>
          <w:sz w:val="22"/>
          <w:szCs w:val="22"/>
        </w:rPr>
        <w:t xml:space="preserve"> Laird</w:t>
      </w:r>
      <w:r w:rsidRPr="00E2355A">
        <w:rPr>
          <w:rFonts w:ascii="Garamond" w:eastAsia="PMingLiU" w:hAnsi="Garamond"/>
          <w:color w:val="000000" w:themeColor="text1"/>
          <w:sz w:val="22"/>
          <w:szCs w:val="22"/>
          <w:lang w:eastAsia="zh-TW"/>
        </w:rPr>
        <w:t xml:space="preserve"> </w:t>
      </w:r>
      <w:r w:rsidRPr="00E2355A">
        <w:rPr>
          <w:rFonts w:ascii="Garamond" w:hAnsi="Garamond"/>
          <w:color w:val="000000" w:themeColor="text1"/>
          <w:sz w:val="22"/>
          <w:szCs w:val="22"/>
        </w:rPr>
        <w:t>[1942] AC 624, 633-4.</w:t>
      </w:r>
      <w:proofErr w:type="gramEnd"/>
    </w:p>
  </w:footnote>
  <w:footnote w:id="29">
    <w:p w:rsidR="00E75A14" w:rsidRPr="00E2355A" w:rsidRDefault="00E75A14">
      <w:pPr>
        <w:pStyle w:val="FootnoteText"/>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r w:rsidRPr="00E2355A">
        <w:rPr>
          <w:rFonts w:ascii="Garamond" w:hAnsi="Garamond"/>
          <w:i/>
          <w:color w:val="000000" w:themeColor="text1"/>
          <w:sz w:val="22"/>
          <w:szCs w:val="22"/>
        </w:rPr>
        <w:t xml:space="preserve">R v </w:t>
      </w:r>
      <w:proofErr w:type="spellStart"/>
      <w:r w:rsidRPr="00E2355A">
        <w:rPr>
          <w:rFonts w:ascii="Garamond" w:hAnsi="Garamond"/>
          <w:i/>
          <w:color w:val="000000" w:themeColor="text1"/>
          <w:sz w:val="22"/>
          <w:szCs w:val="22"/>
        </w:rPr>
        <w:t>Khyam</w:t>
      </w:r>
      <w:proofErr w:type="spellEnd"/>
      <w:r w:rsidRPr="00E2355A">
        <w:rPr>
          <w:rFonts w:ascii="Garamond" w:hAnsi="Garamond"/>
          <w:color w:val="000000" w:themeColor="text1"/>
          <w:sz w:val="22"/>
          <w:szCs w:val="22"/>
        </w:rPr>
        <w:t xml:space="preserve"> [2008] EWCA Crim 1612</w:t>
      </w:r>
    </w:p>
  </w:footnote>
  <w:footnote w:id="30">
    <w:p w:rsidR="00940130" w:rsidRPr="00E2355A" w:rsidRDefault="00940130">
      <w:pPr>
        <w:pStyle w:val="FootnoteText"/>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006138F4" w:rsidRPr="00E2355A">
        <w:rPr>
          <w:rFonts w:ascii="Garamond" w:hAnsi="Garamond"/>
          <w:color w:val="000000" w:themeColor="text1"/>
          <w:sz w:val="22"/>
          <w:szCs w:val="22"/>
        </w:rPr>
        <w:t xml:space="preserve"> </w:t>
      </w:r>
      <w:proofErr w:type="gramStart"/>
      <w:r w:rsidRPr="00E2355A">
        <w:rPr>
          <w:rFonts w:ascii="Garamond" w:hAnsi="Garamond"/>
          <w:color w:val="000000" w:themeColor="text1"/>
          <w:sz w:val="22"/>
          <w:szCs w:val="22"/>
        </w:rPr>
        <w:t>[2008] EWCA Crim 1612</w:t>
      </w:r>
      <w:r w:rsidR="00EF28C2" w:rsidRPr="00E2355A">
        <w:rPr>
          <w:rFonts w:ascii="Garamond" w:hAnsi="Garamond"/>
          <w:color w:val="000000" w:themeColor="text1"/>
          <w:sz w:val="22"/>
          <w:szCs w:val="22"/>
        </w:rPr>
        <w:t xml:space="preserve">, </w:t>
      </w:r>
      <w:r w:rsidRPr="00E2355A">
        <w:rPr>
          <w:rFonts w:ascii="Garamond" w:hAnsi="Garamond"/>
          <w:color w:val="000000" w:themeColor="text1"/>
          <w:sz w:val="22"/>
          <w:szCs w:val="22"/>
        </w:rPr>
        <w:t>[47]-[52].</w:t>
      </w:r>
      <w:proofErr w:type="gramEnd"/>
      <w:r w:rsidR="00600FD2">
        <w:rPr>
          <w:rFonts w:ascii="Garamond" w:hAnsi="Garamond"/>
          <w:color w:val="000000" w:themeColor="text1"/>
          <w:sz w:val="22"/>
          <w:szCs w:val="22"/>
        </w:rPr>
        <w:t xml:space="preserve"> The in camera regime was subject to an unsuccessful interlocutory appeal.</w:t>
      </w:r>
    </w:p>
  </w:footnote>
  <w:footnote w:id="31">
    <w:p w:rsidR="00D22D36" w:rsidRPr="00E2355A" w:rsidRDefault="00D22D36">
      <w:pPr>
        <w:pStyle w:val="FootnoteText"/>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See most recently </w:t>
      </w:r>
      <w:r w:rsidRPr="00E2355A">
        <w:rPr>
          <w:rFonts w:ascii="Garamond" w:hAnsi="Garamond"/>
          <w:i/>
          <w:color w:val="000000" w:themeColor="text1"/>
          <w:sz w:val="22"/>
          <w:szCs w:val="22"/>
        </w:rPr>
        <w:t>Amin v Director General of the Security Service</w:t>
      </w:r>
      <w:r w:rsidRPr="00E2355A">
        <w:rPr>
          <w:rFonts w:ascii="Garamond" w:hAnsi="Garamond"/>
          <w:color w:val="000000" w:themeColor="text1"/>
          <w:sz w:val="22"/>
          <w:szCs w:val="22"/>
        </w:rPr>
        <w:t xml:space="preserve"> [2015] EWCA </w:t>
      </w:r>
      <w:proofErr w:type="spellStart"/>
      <w:r w:rsidRPr="00E2355A">
        <w:rPr>
          <w:rFonts w:ascii="Garamond" w:hAnsi="Garamond"/>
          <w:color w:val="000000" w:themeColor="text1"/>
          <w:sz w:val="22"/>
          <w:szCs w:val="22"/>
        </w:rPr>
        <w:t>Civ</w:t>
      </w:r>
      <w:proofErr w:type="spellEnd"/>
      <w:r w:rsidRPr="00E2355A">
        <w:rPr>
          <w:rFonts w:ascii="Garamond" w:hAnsi="Garamond"/>
          <w:color w:val="000000" w:themeColor="text1"/>
          <w:sz w:val="22"/>
          <w:szCs w:val="22"/>
        </w:rPr>
        <w:t xml:space="preserve"> 653.</w:t>
      </w:r>
      <w:r w:rsidR="00593C5C" w:rsidRPr="00E2355A">
        <w:rPr>
          <w:rFonts w:ascii="Garamond" w:hAnsi="Garamond"/>
          <w:color w:val="000000" w:themeColor="text1"/>
          <w:sz w:val="22"/>
          <w:szCs w:val="22"/>
        </w:rPr>
        <w:t xml:space="preserve"> For the rule against this use of civil proceedings, see </w:t>
      </w:r>
      <w:r w:rsidR="003E0479" w:rsidRPr="00E2355A">
        <w:rPr>
          <w:rFonts w:ascii="Garamond" w:hAnsi="Garamond"/>
          <w:i/>
          <w:color w:val="000000" w:themeColor="text1"/>
          <w:sz w:val="22"/>
          <w:szCs w:val="22"/>
        </w:rPr>
        <w:t>H</w:t>
      </w:r>
      <w:r w:rsidR="00593C5C" w:rsidRPr="00E2355A">
        <w:rPr>
          <w:rFonts w:ascii="Garamond" w:hAnsi="Garamond"/>
          <w:i/>
          <w:color w:val="000000" w:themeColor="text1"/>
          <w:sz w:val="22"/>
          <w:szCs w:val="22"/>
        </w:rPr>
        <w:t>unter v Chief Constable of West Midlands Police</w:t>
      </w:r>
      <w:r w:rsidR="00593C5C" w:rsidRPr="00E2355A">
        <w:rPr>
          <w:rFonts w:ascii="Garamond" w:hAnsi="Garamond"/>
          <w:color w:val="000000" w:themeColor="text1"/>
          <w:sz w:val="22"/>
          <w:szCs w:val="22"/>
        </w:rPr>
        <w:t xml:space="preserve"> [1982] AC 529.</w:t>
      </w:r>
    </w:p>
  </w:footnote>
  <w:footnote w:id="32">
    <w:p w:rsidR="00967909" w:rsidRPr="00E2355A" w:rsidRDefault="00967909">
      <w:pPr>
        <w:pStyle w:val="FootnoteText"/>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color w:val="000000" w:themeColor="text1"/>
          <w:sz w:val="22"/>
          <w:szCs w:val="22"/>
        </w:rPr>
        <w:t>Amin v Director General of the Security Service</w:t>
      </w:r>
      <w:r w:rsidRPr="00E2355A">
        <w:rPr>
          <w:rFonts w:ascii="Garamond" w:hAnsi="Garamond"/>
          <w:color w:val="000000" w:themeColor="text1"/>
          <w:sz w:val="22"/>
          <w:szCs w:val="22"/>
        </w:rPr>
        <w:t xml:space="preserve"> [2015] EWCA </w:t>
      </w:r>
      <w:proofErr w:type="spellStart"/>
      <w:r w:rsidRPr="00E2355A">
        <w:rPr>
          <w:rFonts w:ascii="Garamond" w:hAnsi="Garamond"/>
          <w:color w:val="000000" w:themeColor="text1"/>
          <w:sz w:val="22"/>
          <w:szCs w:val="22"/>
        </w:rPr>
        <w:t>Civ</w:t>
      </w:r>
      <w:proofErr w:type="spellEnd"/>
      <w:r w:rsidRPr="00E2355A">
        <w:rPr>
          <w:rFonts w:ascii="Garamond" w:hAnsi="Garamond"/>
          <w:color w:val="000000" w:themeColor="text1"/>
          <w:sz w:val="22"/>
          <w:szCs w:val="22"/>
        </w:rPr>
        <w:t xml:space="preserve"> 654, [3].</w:t>
      </w:r>
      <w:proofErr w:type="gramEnd"/>
    </w:p>
  </w:footnote>
  <w:footnote w:id="33">
    <w:p w:rsidR="00BB60F6" w:rsidRPr="00CF2306" w:rsidRDefault="00BB60F6">
      <w:pPr>
        <w:pStyle w:val="FootnoteText"/>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color w:val="000000" w:themeColor="text1"/>
          <w:sz w:val="22"/>
          <w:szCs w:val="22"/>
        </w:rPr>
        <w:t>Amin v Director General of the Security Service</w:t>
      </w:r>
      <w:r w:rsidR="00B661FD">
        <w:rPr>
          <w:rFonts w:ascii="Garamond" w:hAnsi="Garamond"/>
          <w:color w:val="000000" w:themeColor="text1"/>
          <w:sz w:val="22"/>
          <w:szCs w:val="22"/>
        </w:rPr>
        <w:t xml:space="preserve"> [2014] EWC</w:t>
      </w:r>
      <w:r w:rsidR="00CF2306">
        <w:rPr>
          <w:rFonts w:ascii="Garamond" w:hAnsi="Garamond"/>
          <w:color w:val="000000" w:themeColor="text1"/>
          <w:sz w:val="22"/>
          <w:szCs w:val="22"/>
        </w:rPr>
        <w:t xml:space="preserve">A </w:t>
      </w:r>
      <w:proofErr w:type="spellStart"/>
      <w:r w:rsidR="00CF2306">
        <w:rPr>
          <w:rFonts w:ascii="Garamond" w:hAnsi="Garamond"/>
          <w:color w:val="000000" w:themeColor="text1"/>
          <w:sz w:val="22"/>
          <w:szCs w:val="22"/>
        </w:rPr>
        <w:t>Civ</w:t>
      </w:r>
      <w:proofErr w:type="spellEnd"/>
      <w:r w:rsidR="00CF2306">
        <w:rPr>
          <w:rFonts w:ascii="Garamond" w:hAnsi="Garamond"/>
          <w:color w:val="000000" w:themeColor="text1"/>
          <w:sz w:val="22"/>
          <w:szCs w:val="22"/>
        </w:rPr>
        <w:t xml:space="preserve"> 598, [10].</w:t>
      </w:r>
      <w:proofErr w:type="gramEnd"/>
      <w:r w:rsidR="00CF2306">
        <w:rPr>
          <w:rFonts w:ascii="Garamond" w:hAnsi="Garamond"/>
          <w:color w:val="000000" w:themeColor="text1"/>
          <w:sz w:val="22"/>
          <w:szCs w:val="22"/>
        </w:rPr>
        <w:t xml:space="preserve"> Intriguingly, we are told that the regime was put in place “following consideration of, </w:t>
      </w:r>
      <w:r w:rsidR="00CF2306">
        <w:rPr>
          <w:rFonts w:ascii="Garamond" w:hAnsi="Garamond"/>
          <w:i/>
          <w:color w:val="000000" w:themeColor="text1"/>
          <w:sz w:val="22"/>
          <w:szCs w:val="22"/>
        </w:rPr>
        <w:t>amongst other things</w:t>
      </w:r>
      <w:r w:rsidR="00CF2306">
        <w:rPr>
          <w:rFonts w:ascii="Garamond" w:hAnsi="Garamond"/>
          <w:color w:val="000000" w:themeColor="text1"/>
          <w:sz w:val="22"/>
          <w:szCs w:val="22"/>
        </w:rPr>
        <w:t>, a PII certificate.</w:t>
      </w:r>
      <w:r w:rsidR="00B235C4">
        <w:rPr>
          <w:rFonts w:ascii="Garamond" w:hAnsi="Garamond"/>
          <w:color w:val="000000" w:themeColor="text1"/>
          <w:sz w:val="22"/>
          <w:szCs w:val="22"/>
        </w:rPr>
        <w:t>” (</w:t>
      </w:r>
      <w:proofErr w:type="gramStart"/>
      <w:r w:rsidR="00B235C4">
        <w:rPr>
          <w:rFonts w:ascii="Garamond" w:hAnsi="Garamond"/>
          <w:color w:val="000000" w:themeColor="text1"/>
          <w:sz w:val="22"/>
          <w:szCs w:val="22"/>
        </w:rPr>
        <w:t>emphasis</w:t>
      </w:r>
      <w:proofErr w:type="gramEnd"/>
      <w:r w:rsidR="00B235C4">
        <w:rPr>
          <w:rFonts w:ascii="Garamond" w:hAnsi="Garamond"/>
          <w:color w:val="000000" w:themeColor="text1"/>
          <w:sz w:val="22"/>
          <w:szCs w:val="22"/>
        </w:rPr>
        <w:t xml:space="preserve"> added). Wha</w:t>
      </w:r>
      <w:r w:rsidR="00031C20">
        <w:rPr>
          <w:rFonts w:ascii="Garamond" w:hAnsi="Garamond"/>
          <w:color w:val="000000" w:themeColor="text1"/>
          <w:sz w:val="22"/>
          <w:szCs w:val="22"/>
        </w:rPr>
        <w:t>t those others things might be is unclear.</w:t>
      </w:r>
    </w:p>
  </w:footnote>
  <w:footnote w:id="34">
    <w:p w:rsidR="00150694" w:rsidRPr="00146623" w:rsidRDefault="00150694">
      <w:pPr>
        <w:pStyle w:val="FootnoteText"/>
        <w:rPr>
          <w:rFonts w:ascii="Garamond" w:hAnsi="Garamond"/>
          <w:sz w:val="22"/>
          <w:szCs w:val="22"/>
        </w:rPr>
      </w:pPr>
      <w:r w:rsidRPr="00146623">
        <w:rPr>
          <w:rStyle w:val="FootnoteReference"/>
          <w:rFonts w:ascii="Garamond" w:hAnsi="Garamond"/>
          <w:sz w:val="22"/>
          <w:szCs w:val="22"/>
        </w:rPr>
        <w:footnoteRef/>
      </w:r>
      <w:r w:rsidRPr="00146623">
        <w:rPr>
          <w:rFonts w:ascii="Garamond" w:hAnsi="Garamond"/>
          <w:sz w:val="22"/>
          <w:szCs w:val="22"/>
        </w:rPr>
        <w:t xml:space="preserve"> See, </w:t>
      </w:r>
      <w:proofErr w:type="spellStart"/>
      <w:r w:rsidRPr="00146623">
        <w:rPr>
          <w:rFonts w:ascii="Garamond" w:hAnsi="Garamond"/>
          <w:sz w:val="22"/>
          <w:szCs w:val="22"/>
        </w:rPr>
        <w:t>eg</w:t>
      </w:r>
      <w:proofErr w:type="spellEnd"/>
      <w:r w:rsidRPr="00146623">
        <w:rPr>
          <w:rFonts w:ascii="Garamond" w:hAnsi="Garamond"/>
          <w:sz w:val="22"/>
          <w:szCs w:val="22"/>
        </w:rPr>
        <w:t>,</w:t>
      </w:r>
      <w:r w:rsidR="0096677C" w:rsidRPr="00146623">
        <w:rPr>
          <w:rFonts w:ascii="Garamond" w:hAnsi="Garamond"/>
          <w:sz w:val="22"/>
          <w:szCs w:val="22"/>
        </w:rPr>
        <w:t xml:space="preserve"> </w:t>
      </w:r>
      <w:r w:rsidR="0096677C" w:rsidRPr="00146623">
        <w:rPr>
          <w:rFonts w:ascii="Garamond" w:hAnsi="Garamond"/>
          <w:i/>
          <w:color w:val="000000" w:themeColor="text1"/>
          <w:sz w:val="22"/>
          <w:szCs w:val="22"/>
        </w:rPr>
        <w:t xml:space="preserve">R v </w:t>
      </w:r>
      <w:proofErr w:type="spellStart"/>
      <w:r w:rsidR="0096677C" w:rsidRPr="00146623">
        <w:rPr>
          <w:rFonts w:ascii="Garamond" w:hAnsi="Garamond"/>
          <w:i/>
          <w:color w:val="000000" w:themeColor="text1"/>
          <w:sz w:val="22"/>
          <w:szCs w:val="22"/>
        </w:rPr>
        <w:t>Khyam</w:t>
      </w:r>
      <w:proofErr w:type="spellEnd"/>
      <w:r w:rsidR="0096677C" w:rsidRPr="00146623">
        <w:rPr>
          <w:rFonts w:ascii="Garamond" w:hAnsi="Garamond"/>
          <w:color w:val="000000" w:themeColor="text1"/>
          <w:sz w:val="22"/>
          <w:szCs w:val="22"/>
        </w:rPr>
        <w:t xml:space="preserve"> [2008] EWCA Crim 1612, [52].</w:t>
      </w:r>
      <w:r w:rsidRPr="00146623">
        <w:rPr>
          <w:rFonts w:ascii="Garamond" w:hAnsi="Garamond"/>
          <w:sz w:val="22"/>
          <w:szCs w:val="22"/>
        </w:rPr>
        <w:t xml:space="preserve"> </w:t>
      </w:r>
    </w:p>
  </w:footnote>
  <w:footnote w:id="35">
    <w:p w:rsidR="006B0DFD" w:rsidRDefault="006B0DFD">
      <w:pPr>
        <w:pStyle w:val="FootnoteText"/>
      </w:pPr>
      <w:r w:rsidRPr="00146623">
        <w:rPr>
          <w:rStyle w:val="FootnoteReference"/>
          <w:rFonts w:ascii="Garamond" w:hAnsi="Garamond"/>
          <w:sz w:val="22"/>
          <w:szCs w:val="22"/>
        </w:rPr>
        <w:footnoteRef/>
      </w:r>
      <w:r w:rsidRPr="00146623">
        <w:rPr>
          <w:rFonts w:ascii="Garamond" w:hAnsi="Garamond"/>
          <w:sz w:val="22"/>
          <w:szCs w:val="22"/>
        </w:rPr>
        <w:t xml:space="preserve"> </w:t>
      </w:r>
      <w:r w:rsidR="00F27B47">
        <w:rPr>
          <w:rFonts w:ascii="Garamond" w:hAnsi="Garamond"/>
          <w:sz w:val="22"/>
          <w:szCs w:val="22"/>
        </w:rPr>
        <w:t>ibid.</w:t>
      </w:r>
    </w:p>
  </w:footnote>
  <w:footnote w:id="36">
    <w:p w:rsidR="00553E42" w:rsidRPr="00926C40" w:rsidRDefault="00553E42" w:rsidP="00212269">
      <w:pPr>
        <w:pStyle w:val="FootnoteText"/>
        <w:jc w:val="both"/>
        <w:rPr>
          <w:rFonts w:ascii="Garamond" w:hAnsi="Garamond"/>
          <w:color w:val="000000" w:themeColor="text1"/>
          <w:sz w:val="22"/>
          <w:szCs w:val="22"/>
          <w:lang w:val="pt-PT"/>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iCs/>
          <w:color w:val="000000" w:themeColor="text1"/>
          <w:sz w:val="22"/>
          <w:szCs w:val="22"/>
        </w:rPr>
        <w:t>R v The Crown Court at the Central Criminal Cour</w:t>
      </w:r>
      <w:r w:rsidR="00830961" w:rsidRPr="00E2355A">
        <w:rPr>
          <w:rFonts w:ascii="Garamond" w:hAnsi="Garamond"/>
          <w:i/>
          <w:iCs/>
          <w:color w:val="000000" w:themeColor="text1"/>
          <w:sz w:val="22"/>
          <w:szCs w:val="22"/>
        </w:rPr>
        <w:t>t</w:t>
      </w:r>
      <w:r w:rsidR="005C0EF7">
        <w:rPr>
          <w:rFonts w:ascii="Garamond" w:hAnsi="Garamond"/>
          <w:i/>
          <w:iCs/>
          <w:color w:val="000000" w:themeColor="text1"/>
          <w:sz w:val="22"/>
          <w:szCs w:val="22"/>
        </w:rPr>
        <w:t xml:space="preserve">, </w:t>
      </w:r>
      <w:r w:rsidR="00BB42A6">
        <w:rPr>
          <w:rFonts w:ascii="Garamond" w:hAnsi="Garamond"/>
          <w:i/>
          <w:iCs/>
          <w:color w:val="000000" w:themeColor="text1"/>
          <w:sz w:val="22"/>
          <w:szCs w:val="22"/>
        </w:rPr>
        <w:t>ex p</w:t>
      </w:r>
      <w:r w:rsidR="00AB0532">
        <w:rPr>
          <w:rFonts w:ascii="Garamond" w:hAnsi="Garamond"/>
          <w:i/>
          <w:iCs/>
          <w:color w:val="000000" w:themeColor="text1"/>
          <w:sz w:val="22"/>
          <w:szCs w:val="22"/>
        </w:rPr>
        <w:t>arte</w:t>
      </w:r>
      <w:r w:rsidR="007454FD" w:rsidRPr="00E2355A">
        <w:rPr>
          <w:rFonts w:ascii="Garamond" w:hAnsi="Garamond"/>
          <w:i/>
          <w:iCs/>
          <w:color w:val="000000" w:themeColor="text1"/>
          <w:sz w:val="22"/>
          <w:szCs w:val="22"/>
        </w:rPr>
        <w:t>.</w:t>
      </w:r>
      <w:proofErr w:type="gramEnd"/>
      <w:r w:rsidRPr="00E2355A">
        <w:rPr>
          <w:rFonts w:ascii="Garamond" w:hAnsi="Garamond"/>
          <w:i/>
          <w:iCs/>
          <w:color w:val="000000" w:themeColor="text1"/>
          <w:sz w:val="22"/>
          <w:szCs w:val="22"/>
        </w:rPr>
        <w:t xml:space="preserve"> </w:t>
      </w:r>
      <w:r w:rsidRPr="00926C40">
        <w:rPr>
          <w:rFonts w:ascii="Garamond" w:hAnsi="Garamond"/>
          <w:i/>
          <w:iCs/>
          <w:color w:val="000000" w:themeColor="text1"/>
          <w:sz w:val="22"/>
          <w:szCs w:val="22"/>
          <w:lang w:val="pt-PT"/>
        </w:rPr>
        <w:t>A</w:t>
      </w:r>
      <w:r w:rsidR="00F706EA" w:rsidRPr="00926C40">
        <w:rPr>
          <w:rFonts w:ascii="Garamond" w:hAnsi="Garamond"/>
          <w:color w:val="000000" w:themeColor="text1"/>
          <w:sz w:val="22"/>
          <w:szCs w:val="22"/>
          <w:lang w:val="pt-PT"/>
        </w:rPr>
        <w:t xml:space="preserve"> [2006] EWCA </w:t>
      </w:r>
      <w:proofErr w:type="spellStart"/>
      <w:r w:rsidR="00F706EA" w:rsidRPr="00926C40">
        <w:rPr>
          <w:rFonts w:ascii="Garamond" w:hAnsi="Garamond"/>
          <w:color w:val="000000" w:themeColor="text1"/>
          <w:sz w:val="22"/>
          <w:szCs w:val="22"/>
          <w:lang w:val="pt-PT"/>
        </w:rPr>
        <w:t>Crim</w:t>
      </w:r>
      <w:proofErr w:type="spellEnd"/>
      <w:r w:rsidR="00F706EA" w:rsidRPr="00926C40">
        <w:rPr>
          <w:rFonts w:ascii="Garamond" w:hAnsi="Garamond"/>
          <w:color w:val="000000" w:themeColor="text1"/>
          <w:sz w:val="22"/>
          <w:szCs w:val="22"/>
          <w:lang w:val="pt-PT"/>
        </w:rPr>
        <w:t xml:space="preserve"> 4</w:t>
      </w:r>
      <w:r w:rsidR="00353134" w:rsidRPr="00926C40">
        <w:rPr>
          <w:rFonts w:ascii="Garamond" w:hAnsi="Garamond"/>
          <w:color w:val="000000" w:themeColor="text1"/>
          <w:sz w:val="22"/>
          <w:szCs w:val="22"/>
          <w:lang w:val="pt-PT"/>
        </w:rPr>
        <w:t>.</w:t>
      </w:r>
    </w:p>
  </w:footnote>
  <w:footnote w:id="37">
    <w:p w:rsidR="00553E42" w:rsidRPr="00E2355A" w:rsidRDefault="00553E42" w:rsidP="00212269">
      <w:pPr>
        <w:pStyle w:val="FootnoteText"/>
        <w:jc w:val="both"/>
        <w:rPr>
          <w:rFonts w:ascii="Garamond" w:eastAsia="PMingLiU" w:hAnsi="Garamond"/>
          <w:color w:val="000000" w:themeColor="text1"/>
          <w:sz w:val="22"/>
          <w:szCs w:val="22"/>
          <w:lang w:eastAsia="zh-TW"/>
        </w:rPr>
      </w:pPr>
      <w:r w:rsidRPr="00E2355A">
        <w:rPr>
          <w:rStyle w:val="FootnoteReference"/>
          <w:rFonts w:ascii="Garamond" w:hAnsi="Garamond"/>
          <w:color w:val="000000" w:themeColor="text1"/>
          <w:sz w:val="22"/>
          <w:szCs w:val="22"/>
        </w:rPr>
        <w:footnoteRef/>
      </w:r>
      <w:r w:rsidRPr="00926C40">
        <w:rPr>
          <w:rFonts w:ascii="Garamond" w:hAnsi="Garamond"/>
          <w:color w:val="000000" w:themeColor="text1"/>
          <w:sz w:val="22"/>
          <w:szCs w:val="22"/>
          <w:lang w:val="pt-PT"/>
        </w:rPr>
        <w:t xml:space="preserve"> </w:t>
      </w:r>
      <w:proofErr w:type="spellStart"/>
      <w:proofErr w:type="gramStart"/>
      <w:r w:rsidR="004723D5" w:rsidRPr="00926C40">
        <w:rPr>
          <w:rFonts w:ascii="Garamond" w:hAnsi="Garamond"/>
          <w:i/>
          <w:color w:val="000000" w:themeColor="text1"/>
          <w:sz w:val="22"/>
          <w:szCs w:val="22"/>
          <w:lang w:val="pt-PT"/>
        </w:rPr>
        <w:t>ex</w:t>
      </w:r>
      <w:proofErr w:type="spellEnd"/>
      <w:proofErr w:type="gramEnd"/>
      <w:r w:rsidR="004723D5" w:rsidRPr="00926C40">
        <w:rPr>
          <w:rFonts w:ascii="Garamond" w:hAnsi="Garamond"/>
          <w:i/>
          <w:color w:val="000000" w:themeColor="text1"/>
          <w:sz w:val="22"/>
          <w:szCs w:val="22"/>
          <w:lang w:val="pt-PT"/>
        </w:rPr>
        <w:t xml:space="preserve"> parte </w:t>
      </w:r>
      <w:r w:rsidR="00D90DAD" w:rsidRPr="00926C40">
        <w:rPr>
          <w:rFonts w:ascii="Garamond" w:hAnsi="Garamond"/>
          <w:i/>
          <w:iCs/>
          <w:color w:val="000000" w:themeColor="text1"/>
          <w:sz w:val="22"/>
          <w:szCs w:val="22"/>
          <w:lang w:val="pt-PT"/>
        </w:rPr>
        <w:t>A</w:t>
      </w:r>
      <w:r w:rsidR="00D90DAD" w:rsidRPr="00926C40">
        <w:rPr>
          <w:rFonts w:ascii="Garamond" w:hAnsi="Garamond"/>
          <w:color w:val="000000" w:themeColor="text1"/>
          <w:sz w:val="22"/>
          <w:szCs w:val="22"/>
          <w:lang w:val="pt-PT"/>
        </w:rPr>
        <w:t xml:space="preserve"> </w:t>
      </w:r>
      <w:r w:rsidRPr="00926C40">
        <w:rPr>
          <w:rFonts w:ascii="Garamond" w:hAnsi="Garamond"/>
          <w:color w:val="000000" w:themeColor="text1"/>
          <w:sz w:val="22"/>
          <w:szCs w:val="22"/>
          <w:lang w:val="pt-PT"/>
        </w:rPr>
        <w:t xml:space="preserve">[2006] EWCA </w:t>
      </w:r>
      <w:proofErr w:type="spellStart"/>
      <w:r w:rsidRPr="00926C40">
        <w:rPr>
          <w:rFonts w:ascii="Garamond" w:hAnsi="Garamond"/>
          <w:color w:val="000000" w:themeColor="text1"/>
          <w:sz w:val="22"/>
          <w:szCs w:val="22"/>
          <w:lang w:val="pt-PT"/>
        </w:rPr>
        <w:t>Crim</w:t>
      </w:r>
      <w:proofErr w:type="spellEnd"/>
      <w:r w:rsidRPr="00926C40">
        <w:rPr>
          <w:rFonts w:ascii="Garamond" w:hAnsi="Garamond"/>
          <w:color w:val="000000" w:themeColor="text1"/>
          <w:sz w:val="22"/>
          <w:szCs w:val="22"/>
          <w:lang w:val="pt-PT"/>
        </w:rPr>
        <w:t xml:space="preserve"> 4. </w:t>
      </w:r>
      <w:r w:rsidRPr="00E2355A">
        <w:rPr>
          <w:rFonts w:ascii="Garamond" w:hAnsi="Garamond"/>
          <w:color w:val="000000" w:themeColor="text1"/>
          <w:sz w:val="22"/>
          <w:szCs w:val="22"/>
        </w:rPr>
        <w:t>[2].</w:t>
      </w:r>
    </w:p>
  </w:footnote>
  <w:footnote w:id="38">
    <w:p w:rsidR="00553E42" w:rsidRPr="00E2355A" w:rsidRDefault="00553E42"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00EA321E" w:rsidRPr="00E2355A">
        <w:rPr>
          <w:rFonts w:ascii="Garamond" w:hAnsi="Garamond"/>
          <w:color w:val="000000" w:themeColor="text1"/>
          <w:sz w:val="22"/>
          <w:szCs w:val="22"/>
        </w:rPr>
        <w:t xml:space="preserve"> </w:t>
      </w:r>
      <w:proofErr w:type="gramStart"/>
      <w:r w:rsidR="003D3DE2" w:rsidRPr="003D3DE2">
        <w:rPr>
          <w:rFonts w:ascii="Garamond" w:hAnsi="Garamond"/>
          <w:i/>
          <w:color w:val="000000" w:themeColor="text1"/>
          <w:sz w:val="22"/>
          <w:szCs w:val="22"/>
        </w:rPr>
        <w:t>ex</w:t>
      </w:r>
      <w:proofErr w:type="gramEnd"/>
      <w:r w:rsidR="003D3DE2" w:rsidRPr="003D3DE2">
        <w:rPr>
          <w:rFonts w:ascii="Garamond" w:hAnsi="Garamond"/>
          <w:i/>
          <w:color w:val="000000" w:themeColor="text1"/>
          <w:sz w:val="22"/>
          <w:szCs w:val="22"/>
        </w:rPr>
        <w:t xml:space="preserve"> parte </w:t>
      </w:r>
      <w:r w:rsidR="00EA321E" w:rsidRPr="00E2355A">
        <w:rPr>
          <w:rFonts w:ascii="Garamond" w:hAnsi="Garamond"/>
          <w:i/>
          <w:iCs/>
          <w:color w:val="000000" w:themeColor="text1"/>
          <w:sz w:val="22"/>
          <w:szCs w:val="22"/>
        </w:rPr>
        <w:t>A</w:t>
      </w:r>
      <w:r w:rsidRPr="00E2355A">
        <w:rPr>
          <w:rFonts w:ascii="Garamond" w:hAnsi="Garamond"/>
          <w:color w:val="000000" w:themeColor="text1"/>
          <w:sz w:val="22"/>
          <w:szCs w:val="22"/>
        </w:rPr>
        <w:t xml:space="preserve"> [2006] EWCA Crim 4, [7] quoting the reasons given for the making of an order dated 28 November 2005. </w:t>
      </w:r>
    </w:p>
  </w:footnote>
  <w:footnote w:id="39">
    <w:p w:rsidR="00553E42" w:rsidRPr="00926C40" w:rsidRDefault="00553E42" w:rsidP="00212269">
      <w:pPr>
        <w:pStyle w:val="FootnoteText"/>
        <w:jc w:val="both"/>
        <w:rPr>
          <w:rFonts w:ascii="Garamond" w:hAnsi="Garamond"/>
          <w:color w:val="000000" w:themeColor="text1"/>
          <w:sz w:val="22"/>
          <w:szCs w:val="22"/>
          <w:lang w:val="pt-PT"/>
        </w:rPr>
      </w:pPr>
      <w:r w:rsidRPr="00E2355A">
        <w:rPr>
          <w:rStyle w:val="FootnoteReference"/>
          <w:rFonts w:ascii="Garamond" w:hAnsi="Garamond"/>
          <w:color w:val="000000" w:themeColor="text1"/>
          <w:sz w:val="22"/>
          <w:szCs w:val="22"/>
        </w:rPr>
        <w:footnoteRef/>
      </w:r>
      <w:r w:rsidRPr="00926C40">
        <w:rPr>
          <w:rFonts w:ascii="Garamond" w:hAnsi="Garamond"/>
          <w:color w:val="000000" w:themeColor="text1"/>
          <w:sz w:val="22"/>
          <w:szCs w:val="22"/>
          <w:lang w:val="pt-PT"/>
        </w:rPr>
        <w:t xml:space="preserve"> </w:t>
      </w:r>
      <w:proofErr w:type="spellStart"/>
      <w:proofErr w:type="gramStart"/>
      <w:r w:rsidR="0084229C" w:rsidRPr="00926C40">
        <w:rPr>
          <w:rFonts w:ascii="Garamond" w:hAnsi="Garamond"/>
          <w:i/>
          <w:color w:val="000000" w:themeColor="text1"/>
          <w:sz w:val="22"/>
          <w:szCs w:val="22"/>
          <w:lang w:val="pt-PT"/>
        </w:rPr>
        <w:t>ex</w:t>
      </w:r>
      <w:proofErr w:type="spellEnd"/>
      <w:proofErr w:type="gramEnd"/>
      <w:r w:rsidR="0084229C" w:rsidRPr="00926C40">
        <w:rPr>
          <w:rFonts w:ascii="Garamond" w:hAnsi="Garamond"/>
          <w:i/>
          <w:color w:val="000000" w:themeColor="text1"/>
          <w:sz w:val="22"/>
          <w:szCs w:val="22"/>
          <w:lang w:val="pt-PT"/>
        </w:rPr>
        <w:t xml:space="preserve"> parte </w:t>
      </w:r>
      <w:r w:rsidR="00EA321E" w:rsidRPr="00926C40">
        <w:rPr>
          <w:rFonts w:ascii="Garamond" w:hAnsi="Garamond"/>
          <w:i/>
          <w:iCs/>
          <w:color w:val="000000" w:themeColor="text1"/>
          <w:sz w:val="22"/>
          <w:szCs w:val="22"/>
          <w:lang w:val="pt-PT"/>
        </w:rPr>
        <w:t>A</w:t>
      </w:r>
      <w:r w:rsidR="00EA321E" w:rsidRPr="00926C40">
        <w:rPr>
          <w:rFonts w:ascii="Garamond" w:hAnsi="Garamond"/>
          <w:color w:val="000000" w:themeColor="text1"/>
          <w:sz w:val="22"/>
          <w:szCs w:val="22"/>
          <w:lang w:val="pt-PT"/>
        </w:rPr>
        <w:t xml:space="preserve"> </w:t>
      </w:r>
      <w:r w:rsidRPr="00926C40">
        <w:rPr>
          <w:rFonts w:ascii="Garamond" w:hAnsi="Garamond"/>
          <w:color w:val="000000" w:themeColor="text1"/>
          <w:sz w:val="22"/>
          <w:szCs w:val="22"/>
          <w:lang w:val="pt-PT"/>
        </w:rPr>
        <w:t xml:space="preserve">[2006] EWCA </w:t>
      </w:r>
      <w:proofErr w:type="spellStart"/>
      <w:r w:rsidRPr="00926C40">
        <w:rPr>
          <w:rFonts w:ascii="Garamond" w:hAnsi="Garamond"/>
          <w:color w:val="000000" w:themeColor="text1"/>
          <w:sz w:val="22"/>
          <w:szCs w:val="22"/>
          <w:lang w:val="pt-PT"/>
        </w:rPr>
        <w:t>Crim</w:t>
      </w:r>
      <w:proofErr w:type="spellEnd"/>
      <w:r w:rsidRPr="00926C40">
        <w:rPr>
          <w:rFonts w:ascii="Garamond" w:hAnsi="Garamond"/>
          <w:color w:val="000000" w:themeColor="text1"/>
          <w:sz w:val="22"/>
          <w:szCs w:val="22"/>
          <w:lang w:val="pt-PT"/>
        </w:rPr>
        <w:t xml:space="preserve"> 4, [20].</w:t>
      </w:r>
    </w:p>
  </w:footnote>
  <w:footnote w:id="40">
    <w:p w:rsidR="0024420B" w:rsidRPr="00926C40" w:rsidRDefault="0024420B">
      <w:pPr>
        <w:pStyle w:val="FootnoteText"/>
        <w:rPr>
          <w:rFonts w:ascii="Garamond" w:hAnsi="Garamond"/>
          <w:color w:val="000000" w:themeColor="text1"/>
          <w:sz w:val="22"/>
          <w:szCs w:val="22"/>
          <w:lang w:val="pt-PT"/>
        </w:rPr>
      </w:pPr>
      <w:r w:rsidRPr="00E2355A">
        <w:rPr>
          <w:rStyle w:val="FootnoteReference"/>
          <w:rFonts w:ascii="Garamond" w:hAnsi="Garamond"/>
          <w:color w:val="000000" w:themeColor="text1"/>
          <w:sz w:val="22"/>
          <w:szCs w:val="22"/>
        </w:rPr>
        <w:footnoteRef/>
      </w:r>
      <w:r w:rsidRPr="00926C40">
        <w:rPr>
          <w:rFonts w:ascii="Garamond" w:hAnsi="Garamond"/>
          <w:color w:val="000000" w:themeColor="text1"/>
          <w:sz w:val="22"/>
          <w:szCs w:val="22"/>
          <w:lang w:val="pt-PT"/>
        </w:rPr>
        <w:t xml:space="preserve"> </w:t>
      </w:r>
      <w:r w:rsidRPr="00926C40">
        <w:rPr>
          <w:rFonts w:ascii="Garamond" w:hAnsi="Garamond"/>
          <w:i/>
          <w:color w:val="000000" w:themeColor="text1"/>
          <w:sz w:val="22"/>
          <w:szCs w:val="22"/>
          <w:lang w:val="pt-PT"/>
        </w:rPr>
        <w:t>Ahmed v R</w:t>
      </w:r>
      <w:r w:rsidRPr="00926C40">
        <w:rPr>
          <w:rFonts w:ascii="Garamond" w:hAnsi="Garamond"/>
          <w:color w:val="000000" w:themeColor="text1"/>
          <w:sz w:val="22"/>
          <w:szCs w:val="22"/>
          <w:lang w:val="pt-PT"/>
        </w:rPr>
        <w:t xml:space="preserve"> [2011] EWCA </w:t>
      </w:r>
      <w:proofErr w:type="spellStart"/>
      <w:r w:rsidRPr="00926C40">
        <w:rPr>
          <w:rFonts w:ascii="Garamond" w:hAnsi="Garamond"/>
          <w:color w:val="000000" w:themeColor="text1"/>
          <w:sz w:val="22"/>
          <w:szCs w:val="22"/>
          <w:lang w:val="pt-PT"/>
        </w:rPr>
        <w:t>Crim</w:t>
      </w:r>
      <w:proofErr w:type="spellEnd"/>
      <w:r w:rsidRPr="00926C40">
        <w:rPr>
          <w:rFonts w:ascii="Garamond" w:hAnsi="Garamond"/>
          <w:color w:val="000000" w:themeColor="text1"/>
          <w:sz w:val="22"/>
          <w:szCs w:val="22"/>
          <w:lang w:val="pt-PT"/>
        </w:rPr>
        <w:t xml:space="preserve"> 184.</w:t>
      </w:r>
    </w:p>
  </w:footnote>
  <w:footnote w:id="41">
    <w:p w:rsidR="00553E42" w:rsidRPr="00E2355A" w:rsidRDefault="00553E42"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iCs/>
          <w:color w:val="000000" w:themeColor="text1"/>
          <w:sz w:val="22"/>
          <w:szCs w:val="22"/>
        </w:rPr>
        <w:t xml:space="preserve">Guardian News and Media Ltd v </w:t>
      </w:r>
      <w:proofErr w:type="spellStart"/>
      <w:r w:rsidRPr="00E2355A">
        <w:rPr>
          <w:rFonts w:ascii="Garamond" w:hAnsi="Garamond"/>
          <w:i/>
          <w:iCs/>
          <w:color w:val="000000" w:themeColor="text1"/>
          <w:sz w:val="22"/>
          <w:szCs w:val="22"/>
        </w:rPr>
        <w:t>Incedal</w:t>
      </w:r>
      <w:proofErr w:type="spellEnd"/>
      <w:r w:rsidRPr="00E2355A">
        <w:rPr>
          <w:rFonts w:ascii="Garamond" w:hAnsi="Garamond"/>
          <w:color w:val="000000" w:themeColor="text1"/>
          <w:sz w:val="22"/>
          <w:szCs w:val="22"/>
        </w:rPr>
        <w:t xml:space="preserve"> [2014] EWCA Crim 1861; [2015] 1 Cr. App. R. 4, [4].</w:t>
      </w:r>
      <w:proofErr w:type="gramEnd"/>
    </w:p>
  </w:footnote>
  <w:footnote w:id="42">
    <w:p w:rsidR="00553E42" w:rsidRPr="00E2355A" w:rsidRDefault="00553E42"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See </w:t>
      </w:r>
      <w:proofErr w:type="spellStart"/>
      <w:r w:rsidRPr="00E2355A">
        <w:rPr>
          <w:rFonts w:ascii="Garamond" w:hAnsi="Garamond"/>
          <w:color w:val="000000" w:themeColor="text1"/>
          <w:sz w:val="22"/>
          <w:szCs w:val="22"/>
        </w:rPr>
        <w:t>eg</w:t>
      </w:r>
      <w:proofErr w:type="spellEnd"/>
      <w:r w:rsidRPr="00E2355A">
        <w:rPr>
          <w:rFonts w:ascii="Garamond" w:hAnsi="Garamond"/>
          <w:color w:val="000000" w:themeColor="text1"/>
          <w:sz w:val="22"/>
          <w:szCs w:val="22"/>
        </w:rPr>
        <w:t xml:space="preserve"> Inquiries Act </w:t>
      </w:r>
      <w:r w:rsidR="00DB3A4E" w:rsidRPr="00E2355A">
        <w:rPr>
          <w:rFonts w:ascii="Garamond" w:hAnsi="Garamond"/>
          <w:color w:val="000000" w:themeColor="text1"/>
          <w:sz w:val="22"/>
          <w:szCs w:val="22"/>
        </w:rPr>
        <w:t>2005</w:t>
      </w:r>
      <w:r w:rsidRPr="00E2355A">
        <w:rPr>
          <w:rFonts w:ascii="Garamond" w:hAnsi="Garamond"/>
          <w:color w:val="000000" w:themeColor="text1"/>
          <w:sz w:val="22"/>
          <w:szCs w:val="22"/>
        </w:rPr>
        <w:t xml:space="preserve"> s</w:t>
      </w:r>
      <w:r w:rsidR="003A0889">
        <w:rPr>
          <w:rFonts w:ascii="Garamond" w:hAnsi="Garamond"/>
          <w:color w:val="000000" w:themeColor="text1"/>
          <w:sz w:val="22"/>
          <w:szCs w:val="22"/>
        </w:rPr>
        <w:t xml:space="preserve"> </w:t>
      </w:r>
      <w:r w:rsidRPr="00E2355A">
        <w:rPr>
          <w:rFonts w:ascii="Garamond" w:hAnsi="Garamond"/>
          <w:color w:val="000000" w:themeColor="text1"/>
          <w:sz w:val="22"/>
          <w:szCs w:val="22"/>
        </w:rPr>
        <w:t>36.</w:t>
      </w:r>
    </w:p>
  </w:footnote>
  <w:footnote w:id="43">
    <w:p w:rsidR="00553E42" w:rsidRPr="00E2355A" w:rsidRDefault="00553E42"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spellStart"/>
      <w:proofErr w:type="gramStart"/>
      <w:r w:rsidR="00981FD5" w:rsidRPr="00E2355A">
        <w:rPr>
          <w:rFonts w:ascii="Garamond" w:hAnsi="Garamond"/>
          <w:i/>
          <w:iCs/>
          <w:color w:val="000000" w:themeColor="text1"/>
          <w:sz w:val="22"/>
          <w:szCs w:val="22"/>
        </w:rPr>
        <w:t>Incedal</w:t>
      </w:r>
      <w:proofErr w:type="spellEnd"/>
      <w:r w:rsidR="00981FD5" w:rsidRPr="00E2355A">
        <w:rPr>
          <w:rFonts w:ascii="Garamond" w:hAnsi="Garamond"/>
          <w:color w:val="000000" w:themeColor="text1"/>
          <w:sz w:val="22"/>
          <w:szCs w:val="22"/>
        </w:rPr>
        <w:t xml:space="preserve"> [2014] EWCA Crim 1861</w:t>
      </w:r>
      <w:r w:rsidR="004A24C8" w:rsidRPr="00E2355A">
        <w:rPr>
          <w:rFonts w:ascii="Garamond" w:hAnsi="Garamond"/>
          <w:color w:val="000000" w:themeColor="text1"/>
          <w:sz w:val="22"/>
          <w:szCs w:val="22"/>
        </w:rPr>
        <w:t xml:space="preserve">, </w:t>
      </w:r>
      <w:r w:rsidRPr="00E2355A">
        <w:rPr>
          <w:rFonts w:ascii="Garamond" w:hAnsi="Garamond"/>
          <w:color w:val="000000" w:themeColor="text1"/>
          <w:sz w:val="22"/>
          <w:szCs w:val="22"/>
        </w:rPr>
        <w:t>[19].</w:t>
      </w:r>
      <w:proofErr w:type="gramEnd"/>
    </w:p>
  </w:footnote>
  <w:footnote w:id="44">
    <w:p w:rsidR="00553E42" w:rsidRPr="00E2355A" w:rsidRDefault="00553E42"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075755" w:rsidRPr="00E2355A">
        <w:rPr>
          <w:rFonts w:ascii="Garamond" w:eastAsia="PMingLiU" w:hAnsi="Garamond"/>
          <w:i/>
          <w:color w:val="000000" w:themeColor="text1"/>
          <w:sz w:val="22"/>
          <w:szCs w:val="22"/>
          <w:lang w:eastAsia="zh-TW"/>
        </w:rPr>
        <w:t>Secretary of State for Foreign and Commonwealth Affairs v Assistant Deputy Coroner for Inner North London</w:t>
      </w:r>
      <w:r w:rsidR="00075755" w:rsidRPr="00E2355A">
        <w:rPr>
          <w:rFonts w:ascii="Garamond" w:hAnsi="Garamond"/>
          <w:color w:val="000000" w:themeColor="text1"/>
          <w:sz w:val="22"/>
          <w:szCs w:val="22"/>
        </w:rPr>
        <w:t xml:space="preserve"> </w:t>
      </w:r>
      <w:r w:rsidRPr="00E2355A">
        <w:rPr>
          <w:rFonts w:ascii="Garamond" w:hAnsi="Garamond"/>
          <w:color w:val="000000" w:themeColor="text1"/>
          <w:sz w:val="22"/>
          <w:szCs w:val="22"/>
        </w:rPr>
        <w:t>[2013] EWHC 3724 (Admin)</w:t>
      </w:r>
      <w:r w:rsidR="00A3536A" w:rsidRPr="00E2355A">
        <w:rPr>
          <w:rFonts w:ascii="Garamond" w:hAnsi="Garamond"/>
          <w:color w:val="000000" w:themeColor="text1"/>
          <w:sz w:val="22"/>
          <w:szCs w:val="22"/>
        </w:rPr>
        <w:t>; [2014] ACD 43.</w:t>
      </w:r>
      <w:proofErr w:type="gramEnd"/>
    </w:p>
  </w:footnote>
  <w:footnote w:id="45">
    <w:p w:rsidR="00553E42" w:rsidRPr="00E2355A" w:rsidRDefault="00553E42"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See </w:t>
      </w:r>
      <w:r w:rsidRPr="00E2355A">
        <w:rPr>
          <w:rFonts w:ascii="Garamond" w:hAnsi="Garamond"/>
          <w:i/>
          <w:iCs/>
          <w:color w:val="000000" w:themeColor="text1"/>
          <w:sz w:val="22"/>
          <w:szCs w:val="22"/>
        </w:rPr>
        <w:t>R v Wang Yam</w:t>
      </w:r>
      <w:r w:rsidRPr="00E2355A">
        <w:rPr>
          <w:rFonts w:ascii="Garamond" w:hAnsi="Garamond"/>
          <w:color w:val="000000" w:themeColor="text1"/>
          <w:sz w:val="22"/>
          <w:szCs w:val="22"/>
        </w:rPr>
        <w:t xml:space="preserve"> [2008] EWCA Crim 269, in which the Criminal Division of the Court of Appeal dismissed a challenge to the order in question. </w:t>
      </w:r>
    </w:p>
  </w:footnote>
  <w:footnote w:id="46">
    <w:p w:rsidR="00553E42" w:rsidRPr="00E2355A" w:rsidRDefault="00553E42" w:rsidP="00212269">
      <w:pPr>
        <w:pStyle w:val="FootnoteText"/>
        <w:jc w:val="both"/>
        <w:rPr>
          <w:rFonts w:ascii="Garamond" w:hAnsi="Garamond"/>
          <w:color w:val="000000" w:themeColor="text1"/>
          <w:sz w:val="22"/>
          <w:szCs w:val="22"/>
          <w:lang w:val="pt-PT"/>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lang w:val="pt-PT"/>
        </w:rPr>
        <w:t xml:space="preserve"> </w:t>
      </w:r>
      <w:r w:rsidRPr="00E2355A">
        <w:rPr>
          <w:rFonts w:ascii="Garamond" w:hAnsi="Garamond"/>
          <w:i/>
          <w:iCs/>
          <w:color w:val="000000" w:themeColor="text1"/>
          <w:sz w:val="22"/>
          <w:szCs w:val="22"/>
          <w:lang w:val="pt-PT"/>
        </w:rPr>
        <w:t xml:space="preserve">Wang </w:t>
      </w:r>
      <w:proofErr w:type="spellStart"/>
      <w:r w:rsidRPr="00E2355A">
        <w:rPr>
          <w:rFonts w:ascii="Garamond" w:hAnsi="Garamond"/>
          <w:i/>
          <w:iCs/>
          <w:color w:val="000000" w:themeColor="text1"/>
          <w:sz w:val="22"/>
          <w:szCs w:val="22"/>
          <w:lang w:val="pt-PT"/>
        </w:rPr>
        <w:t>Yam</w:t>
      </w:r>
      <w:proofErr w:type="spellEnd"/>
      <w:r w:rsidRPr="00E2355A">
        <w:rPr>
          <w:rFonts w:ascii="Garamond" w:hAnsi="Garamond"/>
          <w:i/>
          <w:iCs/>
          <w:color w:val="000000" w:themeColor="text1"/>
          <w:sz w:val="22"/>
          <w:szCs w:val="22"/>
          <w:lang w:val="pt-PT"/>
        </w:rPr>
        <w:t xml:space="preserve"> v R</w:t>
      </w:r>
      <w:r w:rsidRPr="00E2355A">
        <w:rPr>
          <w:rFonts w:ascii="Garamond" w:hAnsi="Garamond"/>
          <w:color w:val="000000" w:themeColor="text1"/>
          <w:sz w:val="22"/>
          <w:szCs w:val="22"/>
          <w:lang w:val="pt-PT"/>
        </w:rPr>
        <w:t xml:space="preserve"> [2010] EWCA </w:t>
      </w:r>
      <w:proofErr w:type="spellStart"/>
      <w:r w:rsidRPr="00E2355A">
        <w:rPr>
          <w:rFonts w:ascii="Garamond" w:hAnsi="Garamond"/>
          <w:color w:val="000000" w:themeColor="text1"/>
          <w:sz w:val="22"/>
          <w:szCs w:val="22"/>
          <w:lang w:val="pt-PT"/>
        </w:rPr>
        <w:t>Crim</w:t>
      </w:r>
      <w:proofErr w:type="spellEnd"/>
      <w:r w:rsidRPr="00E2355A">
        <w:rPr>
          <w:rFonts w:ascii="Garamond" w:hAnsi="Garamond"/>
          <w:color w:val="000000" w:themeColor="text1"/>
          <w:sz w:val="22"/>
          <w:szCs w:val="22"/>
          <w:lang w:val="pt-PT"/>
        </w:rPr>
        <w:t xml:space="preserve"> 2072.</w:t>
      </w:r>
    </w:p>
  </w:footnote>
  <w:footnote w:id="47">
    <w:p w:rsidR="00553E42" w:rsidRPr="00E2355A" w:rsidRDefault="00553E42" w:rsidP="00212269">
      <w:pPr>
        <w:pStyle w:val="FootnoteText"/>
        <w:jc w:val="both"/>
        <w:rPr>
          <w:rFonts w:ascii="Garamond" w:hAnsi="Garamond"/>
          <w:color w:val="000000" w:themeColor="text1"/>
          <w:sz w:val="22"/>
          <w:szCs w:val="22"/>
          <w:lang w:val="pt-PT"/>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lang w:val="pt-PT"/>
        </w:rPr>
        <w:t xml:space="preserve"> </w:t>
      </w:r>
      <w:r w:rsidRPr="00E2355A">
        <w:rPr>
          <w:rFonts w:ascii="Garamond" w:hAnsi="Garamond"/>
          <w:i/>
          <w:iCs/>
          <w:color w:val="000000" w:themeColor="text1"/>
          <w:sz w:val="22"/>
          <w:szCs w:val="22"/>
          <w:lang w:val="pt-PT"/>
        </w:rPr>
        <w:t xml:space="preserve">R v </w:t>
      </w:r>
      <w:proofErr w:type="spellStart"/>
      <w:r w:rsidRPr="00E2355A">
        <w:rPr>
          <w:rFonts w:ascii="Garamond" w:hAnsi="Garamond"/>
          <w:i/>
          <w:iCs/>
          <w:color w:val="000000" w:themeColor="text1"/>
          <w:sz w:val="22"/>
          <w:szCs w:val="22"/>
          <w:lang w:val="pt-PT"/>
        </w:rPr>
        <w:t>Yam</w:t>
      </w:r>
      <w:proofErr w:type="spellEnd"/>
      <w:r w:rsidRPr="00E2355A">
        <w:rPr>
          <w:rFonts w:ascii="Garamond" w:hAnsi="Garamond"/>
          <w:color w:val="000000" w:themeColor="text1"/>
          <w:sz w:val="22"/>
          <w:szCs w:val="22"/>
          <w:lang w:val="pt-PT"/>
        </w:rPr>
        <w:t xml:space="preserve"> [2008] EWCA </w:t>
      </w:r>
      <w:proofErr w:type="spellStart"/>
      <w:r w:rsidRPr="00E2355A">
        <w:rPr>
          <w:rFonts w:ascii="Garamond" w:hAnsi="Garamond"/>
          <w:color w:val="000000" w:themeColor="text1"/>
          <w:sz w:val="22"/>
          <w:szCs w:val="22"/>
          <w:lang w:val="pt-PT"/>
        </w:rPr>
        <w:t>Crim</w:t>
      </w:r>
      <w:proofErr w:type="spellEnd"/>
      <w:r w:rsidRPr="00E2355A">
        <w:rPr>
          <w:rFonts w:ascii="Garamond" w:hAnsi="Garamond"/>
          <w:color w:val="000000" w:themeColor="text1"/>
          <w:sz w:val="22"/>
          <w:szCs w:val="22"/>
          <w:lang w:val="pt-PT"/>
        </w:rPr>
        <w:t xml:space="preserve"> 269; </w:t>
      </w:r>
      <w:proofErr w:type="spellStart"/>
      <w:r w:rsidRPr="00E2355A">
        <w:rPr>
          <w:rFonts w:ascii="Garamond" w:hAnsi="Garamond"/>
          <w:color w:val="000000" w:themeColor="text1"/>
          <w:sz w:val="22"/>
          <w:szCs w:val="22"/>
          <w:lang w:val="pt-PT"/>
        </w:rPr>
        <w:t>Yam</w:t>
      </w:r>
      <w:proofErr w:type="spellEnd"/>
      <w:r w:rsidRPr="00E2355A">
        <w:rPr>
          <w:rFonts w:ascii="Garamond" w:hAnsi="Garamond"/>
          <w:color w:val="000000" w:themeColor="text1"/>
          <w:sz w:val="22"/>
          <w:szCs w:val="22"/>
          <w:lang w:val="pt-PT"/>
        </w:rPr>
        <w:t xml:space="preserve"> v R [2010] </w:t>
      </w:r>
      <w:r w:rsidR="00756B0A" w:rsidRPr="00E2355A">
        <w:rPr>
          <w:rFonts w:ascii="Garamond" w:hAnsi="Garamond"/>
          <w:color w:val="000000" w:themeColor="text1"/>
          <w:sz w:val="22"/>
          <w:szCs w:val="22"/>
          <w:lang w:val="pt-PT"/>
        </w:rPr>
        <w:t xml:space="preserve">EWCA </w:t>
      </w:r>
      <w:proofErr w:type="spellStart"/>
      <w:r w:rsidR="00756B0A" w:rsidRPr="00E2355A">
        <w:rPr>
          <w:rFonts w:ascii="Garamond" w:hAnsi="Garamond"/>
          <w:color w:val="000000" w:themeColor="text1"/>
          <w:sz w:val="22"/>
          <w:szCs w:val="22"/>
          <w:lang w:val="pt-PT"/>
        </w:rPr>
        <w:t>Crim</w:t>
      </w:r>
      <w:proofErr w:type="spellEnd"/>
      <w:r w:rsidR="00756B0A" w:rsidRPr="00E2355A">
        <w:rPr>
          <w:rFonts w:ascii="Garamond" w:hAnsi="Garamond"/>
          <w:color w:val="000000" w:themeColor="text1"/>
          <w:sz w:val="22"/>
          <w:szCs w:val="22"/>
          <w:lang w:val="pt-PT"/>
        </w:rPr>
        <w:t xml:space="preserve"> </w:t>
      </w:r>
      <w:r w:rsidRPr="00E2355A">
        <w:rPr>
          <w:rFonts w:ascii="Garamond" w:hAnsi="Garamond"/>
          <w:color w:val="000000" w:themeColor="text1"/>
          <w:sz w:val="22"/>
          <w:szCs w:val="22"/>
          <w:lang w:val="pt-PT"/>
        </w:rPr>
        <w:t>2072.</w:t>
      </w:r>
    </w:p>
  </w:footnote>
  <w:footnote w:id="48">
    <w:p w:rsidR="00553E42" w:rsidRPr="00E2355A" w:rsidRDefault="00553E42"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Frances Gibb, </w:t>
      </w:r>
      <w:r w:rsidRPr="00E2355A">
        <w:rPr>
          <w:rFonts w:ascii="Garamond" w:hAnsi="Garamond"/>
          <w:i/>
          <w:iCs/>
          <w:color w:val="000000" w:themeColor="text1"/>
          <w:sz w:val="22"/>
          <w:szCs w:val="22"/>
        </w:rPr>
        <w:t>Why is Home Office trying to stage murder trial in secret</w:t>
      </w:r>
      <w:proofErr w:type="gramStart"/>
      <w:r w:rsidRPr="00E2355A">
        <w:rPr>
          <w:rFonts w:ascii="Garamond" w:hAnsi="Garamond"/>
          <w:i/>
          <w:iCs/>
          <w:color w:val="000000" w:themeColor="text1"/>
          <w:sz w:val="22"/>
          <w:szCs w:val="22"/>
        </w:rPr>
        <w:t>?</w:t>
      </w:r>
      <w:r w:rsidRPr="00E2355A">
        <w:rPr>
          <w:rFonts w:ascii="Garamond" w:hAnsi="Garamond"/>
          <w:color w:val="000000" w:themeColor="text1"/>
          <w:sz w:val="22"/>
          <w:szCs w:val="22"/>
        </w:rPr>
        <w:t>,</w:t>
      </w:r>
      <w:proofErr w:type="gramEnd"/>
      <w:r w:rsidRPr="00E2355A">
        <w:rPr>
          <w:rFonts w:ascii="Garamond" w:hAnsi="Garamond"/>
          <w:color w:val="000000" w:themeColor="text1"/>
          <w:sz w:val="22"/>
          <w:szCs w:val="22"/>
        </w:rPr>
        <w:t xml:space="preserve"> The Times</w:t>
      </w:r>
      <w:r w:rsidR="000940B0">
        <w:rPr>
          <w:rFonts w:ascii="Garamond" w:hAnsi="Garamond"/>
          <w:color w:val="000000" w:themeColor="text1"/>
          <w:sz w:val="22"/>
          <w:szCs w:val="22"/>
        </w:rPr>
        <w:t xml:space="preserve"> (</w:t>
      </w:r>
      <w:r w:rsidR="004C390B" w:rsidRPr="00E2355A">
        <w:rPr>
          <w:rFonts w:ascii="Garamond" w:hAnsi="Garamond"/>
          <w:color w:val="000000" w:themeColor="text1"/>
          <w:sz w:val="22"/>
          <w:szCs w:val="22"/>
        </w:rPr>
        <w:t xml:space="preserve">December </w:t>
      </w:r>
      <w:r w:rsidRPr="00E2355A">
        <w:rPr>
          <w:rFonts w:ascii="Garamond" w:hAnsi="Garamond"/>
          <w:color w:val="000000" w:themeColor="text1"/>
          <w:sz w:val="22"/>
          <w:szCs w:val="22"/>
        </w:rPr>
        <w:t>13 2007</w:t>
      </w:r>
      <w:r w:rsidR="000940B0">
        <w:rPr>
          <w:rFonts w:ascii="Garamond" w:hAnsi="Garamond"/>
          <w:color w:val="000000" w:themeColor="text1"/>
          <w:sz w:val="22"/>
          <w:szCs w:val="22"/>
        </w:rPr>
        <w:t>)</w:t>
      </w:r>
      <w:r w:rsidRPr="00E2355A">
        <w:rPr>
          <w:rFonts w:ascii="Garamond" w:hAnsi="Garamond"/>
          <w:color w:val="000000" w:themeColor="text1"/>
          <w:sz w:val="22"/>
          <w:szCs w:val="22"/>
        </w:rPr>
        <w:t>.</w:t>
      </w:r>
    </w:p>
  </w:footnote>
  <w:footnote w:id="49">
    <w:p w:rsidR="00553E42" w:rsidRPr="00E2355A" w:rsidRDefault="00553E42"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iCs/>
          <w:color w:val="000000" w:themeColor="text1"/>
          <w:sz w:val="22"/>
          <w:szCs w:val="22"/>
        </w:rPr>
        <w:t>Wang Yam v HM Attorney General</w:t>
      </w:r>
      <w:r w:rsidRPr="00E2355A">
        <w:rPr>
          <w:rFonts w:ascii="Garamond" w:hAnsi="Garamond"/>
          <w:color w:val="000000" w:themeColor="text1"/>
          <w:sz w:val="22"/>
          <w:szCs w:val="22"/>
        </w:rPr>
        <w:t xml:space="preserve"> [2014] EW </w:t>
      </w:r>
      <w:proofErr w:type="spellStart"/>
      <w:r w:rsidRPr="00E2355A">
        <w:rPr>
          <w:rFonts w:ascii="Garamond" w:hAnsi="Garamond"/>
          <w:color w:val="000000" w:themeColor="text1"/>
          <w:sz w:val="22"/>
          <w:szCs w:val="22"/>
        </w:rPr>
        <w:t>Misc</w:t>
      </w:r>
      <w:proofErr w:type="spellEnd"/>
      <w:r w:rsidRPr="00E2355A">
        <w:rPr>
          <w:rFonts w:ascii="Garamond" w:hAnsi="Garamond"/>
          <w:color w:val="000000" w:themeColor="text1"/>
          <w:sz w:val="22"/>
          <w:szCs w:val="22"/>
        </w:rPr>
        <w:t xml:space="preserve"> 10 (</w:t>
      </w:r>
      <w:proofErr w:type="spellStart"/>
      <w:r w:rsidRPr="00E2355A">
        <w:rPr>
          <w:rFonts w:ascii="Garamond" w:hAnsi="Garamond"/>
          <w:color w:val="000000" w:themeColor="text1"/>
          <w:sz w:val="22"/>
          <w:szCs w:val="22"/>
        </w:rPr>
        <w:t>CCrimC</w:t>
      </w:r>
      <w:proofErr w:type="spellEnd"/>
      <w:r w:rsidRPr="00E2355A">
        <w:rPr>
          <w:rFonts w:ascii="Garamond" w:hAnsi="Garamond"/>
          <w:color w:val="000000" w:themeColor="text1"/>
          <w:sz w:val="22"/>
          <w:szCs w:val="22"/>
        </w:rPr>
        <w:t>), [5].</w:t>
      </w:r>
      <w:proofErr w:type="gramEnd"/>
    </w:p>
  </w:footnote>
  <w:footnote w:id="50">
    <w:p w:rsidR="00553E42" w:rsidRPr="00E2355A" w:rsidRDefault="00553E42"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7173BF" w:rsidRPr="00E2355A">
        <w:rPr>
          <w:rFonts w:ascii="Garamond" w:hAnsi="Garamond"/>
          <w:color w:val="000000" w:themeColor="text1"/>
          <w:sz w:val="22"/>
          <w:szCs w:val="22"/>
        </w:rPr>
        <w:t xml:space="preserve">[2014] EW </w:t>
      </w:r>
      <w:proofErr w:type="spellStart"/>
      <w:r w:rsidR="007173BF" w:rsidRPr="00E2355A">
        <w:rPr>
          <w:rFonts w:ascii="Garamond" w:hAnsi="Garamond"/>
          <w:color w:val="000000" w:themeColor="text1"/>
          <w:sz w:val="22"/>
          <w:szCs w:val="22"/>
        </w:rPr>
        <w:t>Misc</w:t>
      </w:r>
      <w:proofErr w:type="spellEnd"/>
      <w:r w:rsidR="007173BF" w:rsidRPr="00E2355A">
        <w:rPr>
          <w:rFonts w:ascii="Garamond" w:hAnsi="Garamond"/>
          <w:color w:val="000000" w:themeColor="text1"/>
          <w:sz w:val="22"/>
          <w:szCs w:val="22"/>
        </w:rPr>
        <w:t xml:space="preserve"> 10 (</w:t>
      </w:r>
      <w:proofErr w:type="spellStart"/>
      <w:r w:rsidR="007173BF" w:rsidRPr="00E2355A">
        <w:rPr>
          <w:rFonts w:ascii="Garamond" w:hAnsi="Garamond"/>
          <w:color w:val="000000" w:themeColor="text1"/>
          <w:sz w:val="22"/>
          <w:szCs w:val="22"/>
        </w:rPr>
        <w:t>CCrimC</w:t>
      </w:r>
      <w:proofErr w:type="spellEnd"/>
      <w:r w:rsidR="007173BF" w:rsidRPr="00E2355A">
        <w:rPr>
          <w:rFonts w:ascii="Garamond" w:hAnsi="Garamond"/>
          <w:color w:val="000000" w:themeColor="text1"/>
          <w:sz w:val="22"/>
          <w:szCs w:val="22"/>
        </w:rPr>
        <w:t>), [5].</w:t>
      </w:r>
      <w:proofErr w:type="gramEnd"/>
    </w:p>
  </w:footnote>
  <w:footnote w:id="51">
    <w:p w:rsidR="00553E42" w:rsidRPr="00E2355A" w:rsidRDefault="00553E42"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7173BF" w:rsidRPr="00E2355A">
        <w:rPr>
          <w:rFonts w:ascii="Garamond" w:hAnsi="Garamond"/>
          <w:color w:val="000000" w:themeColor="text1"/>
          <w:sz w:val="22"/>
          <w:szCs w:val="22"/>
        </w:rPr>
        <w:t xml:space="preserve">[2014] EW </w:t>
      </w:r>
      <w:proofErr w:type="spellStart"/>
      <w:r w:rsidR="007173BF" w:rsidRPr="00E2355A">
        <w:rPr>
          <w:rFonts w:ascii="Garamond" w:hAnsi="Garamond"/>
          <w:color w:val="000000" w:themeColor="text1"/>
          <w:sz w:val="22"/>
          <w:szCs w:val="22"/>
        </w:rPr>
        <w:t>Misc</w:t>
      </w:r>
      <w:proofErr w:type="spellEnd"/>
      <w:r w:rsidR="007173BF" w:rsidRPr="00E2355A">
        <w:rPr>
          <w:rFonts w:ascii="Garamond" w:hAnsi="Garamond"/>
          <w:color w:val="000000" w:themeColor="text1"/>
          <w:sz w:val="22"/>
          <w:szCs w:val="22"/>
        </w:rPr>
        <w:t xml:space="preserve"> 10 (</w:t>
      </w:r>
      <w:proofErr w:type="spellStart"/>
      <w:r w:rsidR="007173BF" w:rsidRPr="00E2355A">
        <w:rPr>
          <w:rFonts w:ascii="Garamond" w:hAnsi="Garamond"/>
          <w:color w:val="000000" w:themeColor="text1"/>
          <w:sz w:val="22"/>
          <w:szCs w:val="22"/>
        </w:rPr>
        <w:t>CCrimC</w:t>
      </w:r>
      <w:proofErr w:type="spellEnd"/>
      <w:r w:rsidR="007173BF" w:rsidRPr="00E2355A">
        <w:rPr>
          <w:rFonts w:ascii="Garamond" w:hAnsi="Garamond"/>
          <w:color w:val="000000" w:themeColor="text1"/>
          <w:sz w:val="22"/>
          <w:szCs w:val="22"/>
        </w:rPr>
        <w:t xml:space="preserve">), </w:t>
      </w:r>
      <w:r w:rsidRPr="00E2355A">
        <w:rPr>
          <w:rFonts w:ascii="Garamond" w:hAnsi="Garamond"/>
          <w:color w:val="000000" w:themeColor="text1"/>
          <w:sz w:val="22"/>
          <w:szCs w:val="22"/>
        </w:rPr>
        <w:t>[50].</w:t>
      </w:r>
      <w:proofErr w:type="gramEnd"/>
    </w:p>
  </w:footnote>
  <w:footnote w:id="52">
    <w:p w:rsidR="00553E42" w:rsidRPr="00E2355A" w:rsidRDefault="00553E42"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746138" w:rsidRPr="00E2355A">
        <w:rPr>
          <w:rFonts w:ascii="Garamond" w:hAnsi="Garamond"/>
          <w:color w:val="000000" w:themeColor="text1"/>
          <w:sz w:val="22"/>
          <w:szCs w:val="22"/>
        </w:rPr>
        <w:t xml:space="preserve">[2014] EW </w:t>
      </w:r>
      <w:proofErr w:type="spellStart"/>
      <w:r w:rsidR="00746138" w:rsidRPr="00E2355A">
        <w:rPr>
          <w:rFonts w:ascii="Garamond" w:hAnsi="Garamond"/>
          <w:color w:val="000000" w:themeColor="text1"/>
          <w:sz w:val="22"/>
          <w:szCs w:val="22"/>
        </w:rPr>
        <w:t>Misc</w:t>
      </w:r>
      <w:proofErr w:type="spellEnd"/>
      <w:r w:rsidR="00746138" w:rsidRPr="00E2355A">
        <w:rPr>
          <w:rFonts w:ascii="Garamond" w:hAnsi="Garamond"/>
          <w:color w:val="000000" w:themeColor="text1"/>
          <w:sz w:val="22"/>
          <w:szCs w:val="22"/>
        </w:rPr>
        <w:t xml:space="preserve"> 10 (</w:t>
      </w:r>
      <w:proofErr w:type="spellStart"/>
      <w:r w:rsidR="00746138" w:rsidRPr="00E2355A">
        <w:rPr>
          <w:rFonts w:ascii="Garamond" w:hAnsi="Garamond"/>
          <w:color w:val="000000" w:themeColor="text1"/>
          <w:sz w:val="22"/>
          <w:szCs w:val="22"/>
        </w:rPr>
        <w:t>CCrimC</w:t>
      </w:r>
      <w:proofErr w:type="spellEnd"/>
      <w:r w:rsidR="00746138" w:rsidRPr="00E2355A">
        <w:rPr>
          <w:rFonts w:ascii="Garamond" w:hAnsi="Garamond"/>
          <w:color w:val="000000" w:themeColor="text1"/>
          <w:sz w:val="22"/>
          <w:szCs w:val="22"/>
        </w:rPr>
        <w:t xml:space="preserve">), </w:t>
      </w:r>
      <w:r w:rsidRPr="00E2355A">
        <w:rPr>
          <w:rFonts w:ascii="Garamond" w:hAnsi="Garamond"/>
          <w:color w:val="000000" w:themeColor="text1"/>
          <w:sz w:val="22"/>
          <w:szCs w:val="22"/>
        </w:rPr>
        <w:t>[71].</w:t>
      </w:r>
      <w:proofErr w:type="gramEnd"/>
    </w:p>
  </w:footnote>
  <w:footnote w:id="53">
    <w:p w:rsidR="00553E42" w:rsidRPr="00E2355A" w:rsidRDefault="00553E42" w:rsidP="00C3529C">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iCs/>
          <w:color w:val="000000" w:themeColor="text1"/>
          <w:sz w:val="22"/>
          <w:szCs w:val="22"/>
        </w:rPr>
        <w:t>R (Wang Yam) v Central Criminal Court and the Attorney General</w:t>
      </w:r>
      <w:r w:rsidRPr="00E2355A">
        <w:rPr>
          <w:rFonts w:ascii="Garamond" w:hAnsi="Garamond"/>
          <w:color w:val="000000" w:themeColor="text1"/>
          <w:sz w:val="22"/>
          <w:szCs w:val="22"/>
        </w:rPr>
        <w:t xml:space="preserve"> [2014] EWHC 3558 (Admin).</w:t>
      </w:r>
      <w:proofErr w:type="gramEnd"/>
      <w:r w:rsidR="006D2D49" w:rsidRPr="00E2355A">
        <w:rPr>
          <w:rFonts w:ascii="Garamond" w:hAnsi="Garamond"/>
          <w:color w:val="000000" w:themeColor="text1"/>
          <w:sz w:val="22"/>
          <w:szCs w:val="22"/>
        </w:rPr>
        <w:t xml:space="preserve"> </w:t>
      </w:r>
    </w:p>
  </w:footnote>
  <w:footnote w:id="54">
    <w:p w:rsidR="00027719" w:rsidRPr="00E2355A" w:rsidRDefault="00027719">
      <w:pPr>
        <w:pStyle w:val="FootnoteText"/>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0D2853" w:rsidRPr="00A95386">
        <w:rPr>
          <w:rFonts w:ascii="Garamond" w:hAnsi="Garamond"/>
          <w:i/>
          <w:color w:val="000000" w:themeColor="text1"/>
          <w:sz w:val="22"/>
          <w:szCs w:val="22"/>
        </w:rPr>
        <w:t>R (Wang Yam) v Central Criminal Court</w:t>
      </w:r>
      <w:r w:rsidR="000D2853">
        <w:rPr>
          <w:rFonts w:ascii="Garamond" w:hAnsi="Garamond"/>
          <w:color w:val="000000" w:themeColor="text1"/>
          <w:sz w:val="22"/>
          <w:szCs w:val="22"/>
        </w:rPr>
        <w:t xml:space="preserve"> [2015] UKSC 76.</w:t>
      </w:r>
      <w:proofErr w:type="gramEnd"/>
    </w:p>
  </w:footnote>
  <w:footnote w:id="55">
    <w:p w:rsidR="00D730DB" w:rsidRPr="00E2355A" w:rsidRDefault="00D730DB">
      <w:pPr>
        <w:pStyle w:val="FootnoteText"/>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502006" w:rsidRPr="00990AF5">
        <w:rPr>
          <w:rFonts w:ascii="Garamond" w:hAnsi="Garamond"/>
          <w:i/>
          <w:color w:val="000000" w:themeColor="text1"/>
          <w:sz w:val="22"/>
          <w:szCs w:val="22"/>
        </w:rPr>
        <w:t>Bank Mellat v HM Treasury</w:t>
      </w:r>
      <w:r w:rsidR="00502006">
        <w:rPr>
          <w:rFonts w:ascii="Garamond" w:hAnsi="Garamond"/>
          <w:color w:val="000000" w:themeColor="text1"/>
          <w:sz w:val="22"/>
          <w:szCs w:val="22"/>
        </w:rPr>
        <w:t xml:space="preserve"> (No 1) [2013] UKSC 38.</w:t>
      </w:r>
      <w:proofErr w:type="gramEnd"/>
    </w:p>
  </w:footnote>
  <w:footnote w:id="56">
    <w:p w:rsidR="0020267F" w:rsidRPr="00E2355A" w:rsidRDefault="0020267F" w:rsidP="00990CB0">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r w:rsidR="000512A5">
        <w:rPr>
          <w:rFonts w:ascii="Garamond" w:hAnsi="Garamond"/>
          <w:color w:val="000000" w:themeColor="text1"/>
          <w:sz w:val="22"/>
          <w:szCs w:val="22"/>
        </w:rPr>
        <w:t>The most important example</w:t>
      </w:r>
      <w:r w:rsidR="0025064F">
        <w:rPr>
          <w:rFonts w:ascii="Garamond" w:hAnsi="Garamond"/>
          <w:color w:val="000000" w:themeColor="text1"/>
          <w:sz w:val="22"/>
          <w:szCs w:val="22"/>
        </w:rPr>
        <w:t xml:space="preserve">s are the criminal appeal </w:t>
      </w:r>
      <w:r w:rsidR="00863D31" w:rsidRPr="008A6BC0">
        <w:rPr>
          <w:rFonts w:ascii="Garamond" w:hAnsi="Garamond"/>
          <w:i/>
          <w:color w:val="000000" w:themeColor="text1"/>
          <w:sz w:val="22"/>
          <w:szCs w:val="22"/>
        </w:rPr>
        <w:t xml:space="preserve">R v </w:t>
      </w:r>
      <w:proofErr w:type="spellStart"/>
      <w:r w:rsidR="00863D31" w:rsidRPr="008A6BC0">
        <w:rPr>
          <w:rFonts w:ascii="Garamond" w:hAnsi="Garamond"/>
          <w:i/>
          <w:color w:val="000000" w:themeColor="text1"/>
          <w:sz w:val="22"/>
          <w:szCs w:val="22"/>
        </w:rPr>
        <w:t>Khya</w:t>
      </w:r>
      <w:r w:rsidR="001A7100" w:rsidRPr="008A6BC0">
        <w:rPr>
          <w:rFonts w:ascii="Garamond" w:hAnsi="Garamond"/>
          <w:i/>
          <w:color w:val="000000" w:themeColor="text1"/>
          <w:sz w:val="22"/>
          <w:szCs w:val="22"/>
        </w:rPr>
        <w:t>m</w:t>
      </w:r>
      <w:proofErr w:type="spellEnd"/>
      <w:r w:rsidR="001A7100">
        <w:rPr>
          <w:rFonts w:ascii="Garamond" w:hAnsi="Garamond"/>
          <w:color w:val="000000" w:themeColor="text1"/>
          <w:sz w:val="22"/>
          <w:szCs w:val="22"/>
        </w:rPr>
        <w:t xml:space="preserve"> [2008] EWCA Crim 1612 and, on the civil side, </w:t>
      </w:r>
      <w:r w:rsidR="000512A5" w:rsidRPr="00DB5F98">
        <w:rPr>
          <w:rFonts w:ascii="Garamond" w:hAnsi="Garamond"/>
          <w:i/>
          <w:color w:val="000000" w:themeColor="text1"/>
          <w:sz w:val="22"/>
          <w:szCs w:val="22"/>
        </w:rPr>
        <w:t>Amin v Director General of the Security Service</w:t>
      </w:r>
      <w:r w:rsidR="000512A5">
        <w:rPr>
          <w:rFonts w:ascii="Garamond" w:hAnsi="Garamond"/>
          <w:color w:val="000000" w:themeColor="text1"/>
          <w:sz w:val="22"/>
          <w:szCs w:val="22"/>
        </w:rPr>
        <w:t xml:space="preserve"> [2013] EWHC 1579 (QB)</w:t>
      </w:r>
      <w:r w:rsidR="007703FA">
        <w:rPr>
          <w:rFonts w:ascii="Garamond" w:hAnsi="Garamond"/>
          <w:color w:val="000000" w:themeColor="text1"/>
          <w:sz w:val="22"/>
          <w:szCs w:val="22"/>
        </w:rPr>
        <w:t xml:space="preserve"> (the High Court’s judgment on an application to strike out the Particulars of Claim in the civil action) </w:t>
      </w:r>
      <w:r w:rsidR="000512A5">
        <w:rPr>
          <w:rFonts w:ascii="Garamond" w:hAnsi="Garamond"/>
          <w:color w:val="000000" w:themeColor="text1"/>
          <w:sz w:val="22"/>
          <w:szCs w:val="22"/>
        </w:rPr>
        <w:t>in which entire paragraphs a</w:t>
      </w:r>
      <w:r w:rsidR="0035067B">
        <w:rPr>
          <w:rFonts w:ascii="Garamond" w:hAnsi="Garamond"/>
          <w:color w:val="000000" w:themeColor="text1"/>
          <w:sz w:val="22"/>
          <w:szCs w:val="22"/>
        </w:rPr>
        <w:t xml:space="preserve">re redacted. </w:t>
      </w:r>
      <w:r w:rsidR="00082F89">
        <w:rPr>
          <w:rFonts w:ascii="Garamond" w:hAnsi="Garamond"/>
          <w:color w:val="000000" w:themeColor="text1"/>
          <w:sz w:val="22"/>
          <w:szCs w:val="22"/>
        </w:rPr>
        <w:t xml:space="preserve">The link between the in camera regime </w:t>
      </w:r>
      <w:r w:rsidR="00BB44F2">
        <w:rPr>
          <w:rFonts w:ascii="Garamond" w:hAnsi="Garamond"/>
          <w:color w:val="000000" w:themeColor="text1"/>
          <w:sz w:val="22"/>
          <w:szCs w:val="22"/>
        </w:rPr>
        <w:t xml:space="preserve">and later redactions is </w:t>
      </w:r>
      <w:r w:rsidR="00CB7DCF">
        <w:rPr>
          <w:rFonts w:ascii="Garamond" w:hAnsi="Garamond"/>
          <w:color w:val="000000" w:themeColor="text1"/>
          <w:sz w:val="22"/>
          <w:szCs w:val="22"/>
        </w:rPr>
        <w:t>stated</w:t>
      </w:r>
      <w:r w:rsidR="00BB44F2">
        <w:rPr>
          <w:rFonts w:ascii="Garamond" w:hAnsi="Garamond"/>
          <w:color w:val="000000" w:themeColor="text1"/>
          <w:sz w:val="22"/>
          <w:szCs w:val="22"/>
        </w:rPr>
        <w:t xml:space="preserve"> in </w:t>
      </w:r>
      <w:r w:rsidR="00BB44F2" w:rsidRPr="0037435B">
        <w:rPr>
          <w:rFonts w:ascii="Garamond" w:hAnsi="Garamond"/>
          <w:i/>
          <w:color w:val="000000" w:themeColor="text1"/>
          <w:sz w:val="22"/>
          <w:szCs w:val="22"/>
        </w:rPr>
        <w:t>Amin v Director General of the Security Service</w:t>
      </w:r>
      <w:r w:rsidR="00BB44F2">
        <w:rPr>
          <w:rFonts w:ascii="Garamond" w:hAnsi="Garamond"/>
          <w:color w:val="000000" w:themeColor="text1"/>
          <w:sz w:val="22"/>
          <w:szCs w:val="22"/>
        </w:rPr>
        <w:t xml:space="preserve"> [2014] EWCA </w:t>
      </w:r>
      <w:proofErr w:type="spellStart"/>
      <w:r w:rsidR="00BB44F2">
        <w:rPr>
          <w:rFonts w:ascii="Garamond" w:hAnsi="Garamond"/>
          <w:color w:val="000000" w:themeColor="text1"/>
          <w:sz w:val="22"/>
          <w:szCs w:val="22"/>
        </w:rPr>
        <w:t>Civ</w:t>
      </w:r>
      <w:proofErr w:type="spellEnd"/>
      <w:r w:rsidR="00BB44F2">
        <w:rPr>
          <w:rFonts w:ascii="Garamond" w:hAnsi="Garamond"/>
          <w:color w:val="000000" w:themeColor="text1"/>
          <w:sz w:val="22"/>
          <w:szCs w:val="22"/>
        </w:rPr>
        <w:t xml:space="preserve"> 598</w:t>
      </w:r>
      <w:r w:rsidR="00DA3EFB">
        <w:rPr>
          <w:rFonts w:ascii="Garamond" w:hAnsi="Garamond"/>
          <w:color w:val="000000" w:themeColor="text1"/>
          <w:sz w:val="22"/>
          <w:szCs w:val="22"/>
        </w:rPr>
        <w:t>, [10].</w:t>
      </w:r>
    </w:p>
  </w:footnote>
  <w:footnote w:id="57">
    <w:p w:rsidR="006B4F31" w:rsidRPr="00926C40" w:rsidRDefault="006B4F31"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0093657F" w:rsidRPr="00926C40">
        <w:rPr>
          <w:rFonts w:ascii="Garamond" w:hAnsi="Garamond"/>
          <w:color w:val="000000" w:themeColor="text1"/>
          <w:sz w:val="22"/>
          <w:szCs w:val="22"/>
        </w:rPr>
        <w:t xml:space="preserve"> </w:t>
      </w:r>
      <w:proofErr w:type="gramStart"/>
      <w:r w:rsidR="0093657F" w:rsidRPr="00926C40">
        <w:rPr>
          <w:rFonts w:ascii="Garamond" w:hAnsi="Garamond"/>
          <w:color w:val="000000" w:themeColor="text1"/>
          <w:sz w:val="22"/>
          <w:szCs w:val="22"/>
        </w:rPr>
        <w:t>[1968] A</w:t>
      </w:r>
      <w:r w:rsidRPr="00926C40">
        <w:rPr>
          <w:rFonts w:ascii="Garamond" w:hAnsi="Garamond"/>
          <w:color w:val="000000" w:themeColor="text1"/>
          <w:sz w:val="22"/>
          <w:szCs w:val="22"/>
        </w:rPr>
        <w:t>C 910.</w:t>
      </w:r>
      <w:proofErr w:type="gramEnd"/>
    </w:p>
  </w:footnote>
  <w:footnote w:id="58">
    <w:p w:rsidR="00001388" w:rsidRPr="00926C40" w:rsidRDefault="00001388"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926C40">
        <w:rPr>
          <w:rFonts w:ascii="Garamond" w:hAnsi="Garamond"/>
          <w:color w:val="000000" w:themeColor="text1"/>
          <w:sz w:val="22"/>
          <w:szCs w:val="22"/>
        </w:rPr>
        <w:t xml:space="preserve"> </w:t>
      </w:r>
      <w:proofErr w:type="gramStart"/>
      <w:r w:rsidRPr="00926C40">
        <w:rPr>
          <w:rFonts w:ascii="Garamond" w:hAnsi="Garamond"/>
          <w:i/>
          <w:iCs/>
          <w:color w:val="000000" w:themeColor="text1"/>
          <w:sz w:val="22"/>
          <w:szCs w:val="22"/>
        </w:rPr>
        <w:t>Al Rawi</w:t>
      </w:r>
      <w:r w:rsidRPr="00926C40">
        <w:rPr>
          <w:rFonts w:ascii="Garamond" w:hAnsi="Garamond"/>
          <w:color w:val="000000" w:themeColor="text1"/>
          <w:sz w:val="22"/>
          <w:szCs w:val="22"/>
        </w:rPr>
        <w:t xml:space="preserve"> [2011] UKSC 34, [20].</w:t>
      </w:r>
      <w:proofErr w:type="gramEnd"/>
    </w:p>
  </w:footnote>
  <w:footnote w:id="59">
    <w:p w:rsidR="00001388" w:rsidRPr="00E2355A" w:rsidRDefault="00001388"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926C40">
        <w:rPr>
          <w:rFonts w:ascii="Garamond" w:hAnsi="Garamond"/>
          <w:i/>
          <w:iCs/>
          <w:color w:val="000000" w:themeColor="text1"/>
          <w:sz w:val="22"/>
          <w:szCs w:val="22"/>
        </w:rPr>
        <w:t xml:space="preserve"> </w:t>
      </w:r>
      <w:proofErr w:type="gramStart"/>
      <w:r w:rsidRPr="00926C40">
        <w:rPr>
          <w:rFonts w:ascii="Garamond" w:hAnsi="Garamond"/>
          <w:i/>
          <w:iCs/>
          <w:color w:val="000000" w:themeColor="text1"/>
          <w:sz w:val="22"/>
          <w:szCs w:val="22"/>
        </w:rPr>
        <w:t>R v Wang Yam</w:t>
      </w:r>
      <w:r w:rsidRPr="00926C40">
        <w:rPr>
          <w:rFonts w:ascii="Garamond" w:hAnsi="Garamond"/>
          <w:color w:val="000000" w:themeColor="text1"/>
          <w:sz w:val="22"/>
          <w:szCs w:val="22"/>
        </w:rPr>
        <w:t xml:space="preserve"> [2008] EWCA Crim 269, [5]-[6].</w:t>
      </w:r>
      <w:proofErr w:type="gramEnd"/>
      <w:r w:rsidRPr="00926C40">
        <w:rPr>
          <w:rFonts w:ascii="Garamond" w:hAnsi="Garamond"/>
          <w:color w:val="000000" w:themeColor="text1"/>
          <w:sz w:val="22"/>
          <w:szCs w:val="22"/>
        </w:rPr>
        <w:t xml:space="preserve"> </w:t>
      </w:r>
      <w:r w:rsidRPr="00E2355A">
        <w:rPr>
          <w:rFonts w:ascii="Garamond" w:hAnsi="Garamond"/>
          <w:color w:val="000000" w:themeColor="text1"/>
          <w:sz w:val="22"/>
          <w:szCs w:val="22"/>
        </w:rPr>
        <w:t>The relevant provisions of the Criminal Procedure Rules are now Rules 16.1, which acknowledges the inherent jurisdiction to hold a trial in private on national security grounds, and 16.6-16.8, which govern the procedure which must be followed where the court can order a trial take place in private. Other statutory provisions which permit the courts to restric</w:t>
      </w:r>
      <w:r w:rsidR="00D307B7">
        <w:rPr>
          <w:rFonts w:ascii="Garamond" w:hAnsi="Garamond"/>
          <w:color w:val="000000" w:themeColor="text1"/>
          <w:sz w:val="22"/>
          <w:szCs w:val="22"/>
        </w:rPr>
        <w:t xml:space="preserve">t access to the courtroom are s </w:t>
      </w:r>
      <w:r w:rsidRPr="00E2355A">
        <w:rPr>
          <w:rFonts w:ascii="Garamond" w:hAnsi="Garamond"/>
          <w:color w:val="000000" w:themeColor="text1"/>
          <w:sz w:val="22"/>
          <w:szCs w:val="22"/>
        </w:rPr>
        <w:t>37 of the Children and Young Persons Act 1933, as amended, which applies where the court receives evidenc</w:t>
      </w:r>
      <w:r w:rsidR="00F502F1">
        <w:rPr>
          <w:rFonts w:ascii="Garamond" w:hAnsi="Garamond"/>
          <w:color w:val="000000" w:themeColor="text1"/>
          <w:sz w:val="22"/>
          <w:szCs w:val="22"/>
        </w:rPr>
        <w:t xml:space="preserve">e from a person under 18, and s </w:t>
      </w:r>
      <w:r w:rsidRPr="00E2355A">
        <w:rPr>
          <w:rFonts w:ascii="Garamond" w:hAnsi="Garamond"/>
          <w:color w:val="000000" w:themeColor="text1"/>
          <w:sz w:val="22"/>
          <w:szCs w:val="22"/>
        </w:rPr>
        <w:t xml:space="preserve">75 of the Serious Organised Crime and Police Act 2005, which applies where the court is reviewing a sentence passed on a defendant who has assisted an investigation.  </w:t>
      </w:r>
    </w:p>
  </w:footnote>
  <w:footnote w:id="60">
    <w:p w:rsidR="00001388" w:rsidRPr="00E2355A" w:rsidRDefault="00001388" w:rsidP="00212269">
      <w:pPr>
        <w:pStyle w:val="FootnoteText"/>
        <w:jc w:val="both"/>
        <w:rPr>
          <w:rFonts w:ascii="Garamond" w:hAnsi="Garamond"/>
          <w:color w:val="000000" w:themeColor="text1"/>
          <w:sz w:val="22"/>
          <w:szCs w:val="22"/>
          <w:lang w:val="pt-PT"/>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lang w:val="pt-PT"/>
        </w:rPr>
        <w:t xml:space="preserve"> </w:t>
      </w:r>
      <w:r w:rsidRPr="00E2355A">
        <w:rPr>
          <w:rFonts w:ascii="Garamond" w:hAnsi="Garamond"/>
          <w:i/>
          <w:iCs/>
          <w:color w:val="000000" w:themeColor="text1"/>
          <w:sz w:val="22"/>
          <w:szCs w:val="22"/>
          <w:lang w:val="pt-PT"/>
        </w:rPr>
        <w:t xml:space="preserve">R v Wang </w:t>
      </w:r>
      <w:proofErr w:type="spellStart"/>
      <w:r w:rsidRPr="00E2355A">
        <w:rPr>
          <w:rFonts w:ascii="Garamond" w:hAnsi="Garamond"/>
          <w:i/>
          <w:iCs/>
          <w:color w:val="000000" w:themeColor="text1"/>
          <w:sz w:val="22"/>
          <w:szCs w:val="22"/>
          <w:lang w:val="pt-PT"/>
        </w:rPr>
        <w:t>Yam</w:t>
      </w:r>
      <w:proofErr w:type="spellEnd"/>
      <w:r w:rsidRPr="00E2355A">
        <w:rPr>
          <w:rFonts w:ascii="Garamond" w:hAnsi="Garamond"/>
          <w:color w:val="000000" w:themeColor="text1"/>
          <w:sz w:val="22"/>
          <w:szCs w:val="22"/>
          <w:lang w:val="pt-PT"/>
        </w:rPr>
        <w:t xml:space="preserve"> [2008] EWCA </w:t>
      </w:r>
      <w:proofErr w:type="spellStart"/>
      <w:r w:rsidRPr="00E2355A">
        <w:rPr>
          <w:rFonts w:ascii="Garamond" w:hAnsi="Garamond"/>
          <w:color w:val="000000" w:themeColor="text1"/>
          <w:sz w:val="22"/>
          <w:szCs w:val="22"/>
          <w:lang w:val="pt-PT"/>
        </w:rPr>
        <w:t>Crim</w:t>
      </w:r>
      <w:proofErr w:type="spellEnd"/>
      <w:r w:rsidRPr="00E2355A">
        <w:rPr>
          <w:rFonts w:ascii="Garamond" w:hAnsi="Garamond"/>
          <w:color w:val="000000" w:themeColor="text1"/>
          <w:sz w:val="22"/>
          <w:szCs w:val="22"/>
          <w:lang w:val="pt-PT"/>
        </w:rPr>
        <w:t xml:space="preserve"> 269, [</w:t>
      </w:r>
      <w:proofErr w:type="gramStart"/>
      <w:r w:rsidRPr="00E2355A">
        <w:rPr>
          <w:rFonts w:ascii="Garamond" w:hAnsi="Garamond"/>
          <w:color w:val="000000" w:themeColor="text1"/>
          <w:sz w:val="22"/>
          <w:szCs w:val="22"/>
          <w:lang w:val="pt-PT"/>
        </w:rPr>
        <w:t>5]-[6</w:t>
      </w:r>
      <w:proofErr w:type="gramEnd"/>
      <w:r w:rsidRPr="00E2355A">
        <w:rPr>
          <w:rFonts w:ascii="Garamond" w:hAnsi="Garamond"/>
          <w:color w:val="000000" w:themeColor="text1"/>
          <w:sz w:val="22"/>
          <w:szCs w:val="22"/>
          <w:lang w:val="pt-PT"/>
        </w:rPr>
        <w:t>].</w:t>
      </w:r>
    </w:p>
  </w:footnote>
  <w:footnote w:id="61">
    <w:p w:rsidR="00001388" w:rsidRPr="00E2355A" w:rsidRDefault="00001388"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005F7A82">
        <w:rPr>
          <w:rFonts w:ascii="Garamond" w:hAnsi="Garamond"/>
          <w:color w:val="000000" w:themeColor="text1"/>
          <w:sz w:val="22"/>
          <w:szCs w:val="22"/>
        </w:rPr>
        <w:t xml:space="preserve"> Official Secrets Act 1913 s </w:t>
      </w:r>
      <w:r w:rsidRPr="00E2355A">
        <w:rPr>
          <w:rFonts w:ascii="Garamond" w:hAnsi="Garamond"/>
          <w:color w:val="000000" w:themeColor="text1"/>
          <w:sz w:val="22"/>
          <w:szCs w:val="22"/>
        </w:rPr>
        <w:t>8(4). The power is expressly stated to be “without prejudice to any powers which the court may possess to order the exclusion of the public from any proceedings”. It does not extend to the passing of any sentence, which must take place in public.</w:t>
      </w:r>
    </w:p>
  </w:footnote>
  <w:footnote w:id="62">
    <w:p w:rsidR="00001388" w:rsidRPr="00E2355A" w:rsidRDefault="00001388"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Administration of Justice Act 1960 s</w:t>
      </w:r>
      <w:r w:rsidR="00A76100">
        <w:rPr>
          <w:rFonts w:ascii="Garamond" w:hAnsi="Garamond"/>
          <w:color w:val="000000" w:themeColor="text1"/>
          <w:sz w:val="22"/>
          <w:szCs w:val="22"/>
        </w:rPr>
        <w:t xml:space="preserve"> </w:t>
      </w:r>
      <w:r w:rsidRPr="00E2355A">
        <w:rPr>
          <w:rFonts w:ascii="Garamond" w:hAnsi="Garamond"/>
          <w:color w:val="000000" w:themeColor="text1"/>
          <w:sz w:val="22"/>
          <w:szCs w:val="22"/>
        </w:rPr>
        <w:t>12(1</w:t>
      </w:r>
      <w:proofErr w:type="gramStart"/>
      <w:r w:rsidRPr="00E2355A">
        <w:rPr>
          <w:rFonts w:ascii="Garamond" w:hAnsi="Garamond"/>
          <w:color w:val="000000" w:themeColor="text1"/>
          <w:sz w:val="22"/>
          <w:szCs w:val="22"/>
        </w:rPr>
        <w:t>)(</w:t>
      </w:r>
      <w:proofErr w:type="gramEnd"/>
      <w:r w:rsidRPr="00E2355A">
        <w:rPr>
          <w:rFonts w:ascii="Garamond" w:hAnsi="Garamond"/>
          <w:color w:val="000000" w:themeColor="text1"/>
          <w:sz w:val="22"/>
          <w:szCs w:val="22"/>
        </w:rPr>
        <w:t>c).</w:t>
      </w:r>
    </w:p>
  </w:footnote>
  <w:footnote w:id="63">
    <w:p w:rsidR="00001388" w:rsidRPr="00E2355A" w:rsidRDefault="00001388"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The inherent jurisdiction extends to making those orders deemed necessary to ensure the effectiveness of the exclusionary order, including one which places restrictions on the reporting of the material revealed in camera which are broader than any statutory power would seem to permit: see </w:t>
      </w:r>
      <w:r w:rsidRPr="00E2355A">
        <w:rPr>
          <w:rFonts w:ascii="Garamond" w:hAnsi="Garamond"/>
          <w:i/>
          <w:iCs/>
          <w:color w:val="000000" w:themeColor="text1"/>
          <w:sz w:val="22"/>
          <w:szCs w:val="22"/>
        </w:rPr>
        <w:t>R (Yam) v Central Criminal Court</w:t>
      </w:r>
      <w:r w:rsidRPr="00E2355A">
        <w:rPr>
          <w:rFonts w:ascii="Garamond" w:hAnsi="Garamond"/>
          <w:color w:val="000000" w:themeColor="text1"/>
          <w:sz w:val="22"/>
          <w:szCs w:val="22"/>
        </w:rPr>
        <w:t xml:space="preserve"> [2014] EWHC 3558 (Admin), [79].</w:t>
      </w:r>
    </w:p>
  </w:footnote>
  <w:footnote w:id="64">
    <w:p w:rsidR="00001388" w:rsidRPr="00E2355A" w:rsidRDefault="00001388"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008A7107">
        <w:rPr>
          <w:rFonts w:ascii="Garamond" w:hAnsi="Garamond"/>
          <w:color w:val="000000" w:themeColor="text1"/>
          <w:sz w:val="22"/>
          <w:szCs w:val="22"/>
        </w:rPr>
        <w:t xml:space="preserve"> Sir Jack I</w:t>
      </w:r>
      <w:r w:rsidRPr="00E2355A">
        <w:rPr>
          <w:rFonts w:ascii="Garamond" w:hAnsi="Garamond"/>
          <w:color w:val="000000" w:themeColor="text1"/>
          <w:sz w:val="22"/>
          <w:szCs w:val="22"/>
        </w:rPr>
        <w:t xml:space="preserve"> H Jacob, </w:t>
      </w:r>
      <w:r w:rsidRPr="00E2355A">
        <w:rPr>
          <w:rFonts w:ascii="Garamond" w:hAnsi="Garamond"/>
          <w:i/>
          <w:iCs/>
          <w:color w:val="000000" w:themeColor="text1"/>
          <w:sz w:val="22"/>
          <w:szCs w:val="22"/>
        </w:rPr>
        <w:t>The Fabric of English Civil Justice</w:t>
      </w:r>
      <w:r w:rsidRPr="00E2355A">
        <w:rPr>
          <w:rFonts w:ascii="Garamond" w:hAnsi="Garamond"/>
          <w:color w:val="000000" w:themeColor="text1"/>
          <w:sz w:val="22"/>
          <w:szCs w:val="22"/>
        </w:rPr>
        <w:t xml:space="preserve"> (Sweet &amp; Maxwell 1987) 60.</w:t>
      </w:r>
    </w:p>
  </w:footnote>
  <w:footnote w:id="65">
    <w:p w:rsidR="00001388" w:rsidRPr="00E2355A" w:rsidRDefault="00001388"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007668D6">
        <w:rPr>
          <w:rFonts w:ascii="Garamond" w:hAnsi="Garamond"/>
          <w:color w:val="000000" w:themeColor="text1"/>
          <w:sz w:val="22"/>
          <w:szCs w:val="22"/>
        </w:rPr>
        <w:t xml:space="preserve"> </w:t>
      </w:r>
      <w:proofErr w:type="gramStart"/>
      <w:r w:rsidR="007668D6">
        <w:rPr>
          <w:rFonts w:ascii="Garamond" w:hAnsi="Garamond"/>
          <w:color w:val="000000" w:themeColor="text1"/>
          <w:sz w:val="22"/>
          <w:szCs w:val="22"/>
        </w:rPr>
        <w:t>I</w:t>
      </w:r>
      <w:r w:rsidRPr="00E2355A">
        <w:rPr>
          <w:rFonts w:ascii="Garamond" w:hAnsi="Garamond"/>
          <w:color w:val="000000" w:themeColor="text1"/>
          <w:sz w:val="22"/>
          <w:szCs w:val="22"/>
        </w:rPr>
        <w:t xml:space="preserve"> H</w:t>
      </w:r>
      <w:r w:rsidR="009D0B9C">
        <w:rPr>
          <w:rFonts w:ascii="Garamond" w:hAnsi="Garamond"/>
          <w:color w:val="000000" w:themeColor="text1"/>
          <w:sz w:val="22"/>
          <w:szCs w:val="22"/>
        </w:rPr>
        <w:t xml:space="preserve"> Jacob, </w:t>
      </w:r>
      <w:r w:rsidR="00026E0E">
        <w:rPr>
          <w:rFonts w:ascii="Garamond" w:hAnsi="Garamond"/>
          <w:color w:val="000000" w:themeColor="text1"/>
          <w:sz w:val="22"/>
          <w:szCs w:val="22"/>
        </w:rPr>
        <w:t>‘</w:t>
      </w:r>
      <w:r w:rsidRPr="00E2355A">
        <w:rPr>
          <w:rFonts w:ascii="Garamond" w:hAnsi="Garamond"/>
          <w:color w:val="000000" w:themeColor="text1"/>
          <w:sz w:val="22"/>
          <w:szCs w:val="22"/>
        </w:rPr>
        <w:t>The Inherent Jurisdiction of the Court</w:t>
      </w:r>
      <w:r w:rsidR="00026E0E">
        <w:rPr>
          <w:rFonts w:ascii="Garamond" w:hAnsi="Garamond"/>
          <w:color w:val="000000" w:themeColor="text1"/>
          <w:sz w:val="22"/>
          <w:szCs w:val="22"/>
        </w:rPr>
        <w:t>’</w:t>
      </w:r>
      <w:r w:rsidRPr="00E2355A">
        <w:rPr>
          <w:rFonts w:ascii="Garamond" w:hAnsi="Garamond"/>
          <w:color w:val="000000" w:themeColor="text1"/>
          <w:sz w:val="22"/>
          <w:szCs w:val="22"/>
        </w:rPr>
        <w:t xml:space="preserve"> (1970) 23 </w:t>
      </w:r>
      <w:r w:rsidRPr="008F5D88">
        <w:rPr>
          <w:rFonts w:ascii="Garamond" w:hAnsi="Garamond"/>
          <w:i/>
          <w:color w:val="000000" w:themeColor="text1"/>
          <w:sz w:val="22"/>
          <w:szCs w:val="22"/>
        </w:rPr>
        <w:t>C</w:t>
      </w:r>
      <w:r w:rsidR="00EF63D6" w:rsidRPr="008F5D88">
        <w:rPr>
          <w:rFonts w:ascii="Garamond" w:hAnsi="Garamond"/>
          <w:i/>
          <w:color w:val="000000" w:themeColor="text1"/>
          <w:sz w:val="22"/>
          <w:szCs w:val="22"/>
        </w:rPr>
        <w:t>urrent Legal Problems</w:t>
      </w:r>
      <w:r w:rsidRPr="00E2355A">
        <w:rPr>
          <w:rFonts w:ascii="Garamond" w:hAnsi="Garamond"/>
          <w:color w:val="000000" w:themeColor="text1"/>
          <w:sz w:val="22"/>
          <w:szCs w:val="22"/>
        </w:rPr>
        <w:t xml:space="preserve"> 23, 25.</w:t>
      </w:r>
      <w:proofErr w:type="gramEnd"/>
    </w:p>
  </w:footnote>
  <w:footnote w:id="66">
    <w:p w:rsidR="00312006" w:rsidRPr="00E2355A" w:rsidRDefault="00312006"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007717D3" w:rsidRPr="00E2355A">
        <w:rPr>
          <w:rFonts w:ascii="Garamond" w:hAnsi="Garamond"/>
          <w:color w:val="000000" w:themeColor="text1"/>
          <w:sz w:val="22"/>
          <w:szCs w:val="22"/>
        </w:rPr>
        <w:t>K</w:t>
      </w:r>
      <w:r w:rsidR="00117C92">
        <w:rPr>
          <w:rFonts w:ascii="Garamond" w:hAnsi="Garamond"/>
          <w:color w:val="000000" w:themeColor="text1"/>
          <w:sz w:val="22"/>
          <w:szCs w:val="22"/>
        </w:rPr>
        <w:t>ennedy v The Charity Commission</w:t>
      </w:r>
      <w:r w:rsidR="007717D3" w:rsidRPr="00E2355A">
        <w:rPr>
          <w:rFonts w:ascii="Garamond" w:hAnsi="Garamond"/>
          <w:color w:val="000000" w:themeColor="text1"/>
          <w:sz w:val="22"/>
          <w:szCs w:val="22"/>
        </w:rPr>
        <w:t xml:space="preserve"> [2014] UKSC 20, [110].</w:t>
      </w:r>
      <w:proofErr w:type="gramEnd"/>
      <w:r w:rsidR="007717D3" w:rsidRPr="00E2355A">
        <w:rPr>
          <w:rFonts w:ascii="Garamond" w:hAnsi="Garamond"/>
          <w:color w:val="000000" w:themeColor="text1"/>
          <w:sz w:val="22"/>
          <w:szCs w:val="22"/>
        </w:rPr>
        <w:t xml:space="preserve"> On open justice generally, see most famously, </w:t>
      </w:r>
      <w:r w:rsidRPr="00E2355A">
        <w:rPr>
          <w:rFonts w:ascii="Garamond" w:hAnsi="Garamond"/>
          <w:i/>
          <w:iCs/>
          <w:color w:val="000000" w:themeColor="text1"/>
          <w:sz w:val="22"/>
          <w:szCs w:val="22"/>
        </w:rPr>
        <w:t>Scott v Scott</w:t>
      </w:r>
      <w:r w:rsidR="006303DF">
        <w:rPr>
          <w:rFonts w:ascii="Garamond" w:hAnsi="Garamond"/>
          <w:color w:val="000000" w:themeColor="text1"/>
          <w:sz w:val="22"/>
          <w:szCs w:val="22"/>
        </w:rPr>
        <w:t xml:space="preserve"> [1913] A</w:t>
      </w:r>
      <w:r w:rsidRPr="00E2355A">
        <w:rPr>
          <w:rFonts w:ascii="Garamond" w:hAnsi="Garamond"/>
          <w:color w:val="000000" w:themeColor="text1"/>
          <w:sz w:val="22"/>
          <w:szCs w:val="22"/>
        </w:rPr>
        <w:t>C 417</w:t>
      </w:r>
      <w:r w:rsidR="00AA640B" w:rsidRPr="00E2355A">
        <w:rPr>
          <w:rFonts w:ascii="Garamond" w:hAnsi="Garamond"/>
          <w:color w:val="000000" w:themeColor="text1"/>
          <w:sz w:val="22"/>
          <w:szCs w:val="22"/>
        </w:rPr>
        <w:t>.</w:t>
      </w:r>
    </w:p>
  </w:footnote>
  <w:footnote w:id="67">
    <w:p w:rsidR="002628A5" w:rsidRPr="00E2355A" w:rsidRDefault="002628A5" w:rsidP="00212269">
      <w:pPr>
        <w:pStyle w:val="FootnoteText"/>
        <w:jc w:val="both"/>
        <w:rPr>
          <w:rFonts w:ascii="Garamond" w:hAnsi="Garamond"/>
          <w:color w:val="000000" w:themeColor="text1"/>
          <w:sz w:val="22"/>
          <w:szCs w:val="22"/>
          <w:lang w:val="it-IT"/>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lang w:val="it-IT"/>
        </w:rPr>
        <w:t xml:space="preserve"> </w:t>
      </w:r>
      <w:r w:rsidRPr="00E2355A">
        <w:rPr>
          <w:rFonts w:ascii="Garamond" w:hAnsi="Garamond"/>
          <w:i/>
          <w:iCs/>
          <w:color w:val="000000" w:themeColor="text1"/>
          <w:sz w:val="22"/>
          <w:szCs w:val="22"/>
          <w:lang w:val="it-IT"/>
        </w:rPr>
        <w:t>Al Rawi</w:t>
      </w:r>
      <w:r w:rsidRPr="00E2355A">
        <w:rPr>
          <w:rFonts w:ascii="Garamond" w:hAnsi="Garamond"/>
          <w:color w:val="000000" w:themeColor="text1"/>
          <w:sz w:val="22"/>
          <w:szCs w:val="22"/>
          <w:lang w:val="it-IT"/>
        </w:rPr>
        <w:t xml:space="preserve"> [2011] UKSC 34, [</w:t>
      </w:r>
      <w:proofErr w:type="gramStart"/>
      <w:r w:rsidRPr="00E2355A">
        <w:rPr>
          <w:rFonts w:ascii="Garamond" w:hAnsi="Garamond"/>
          <w:color w:val="000000" w:themeColor="text1"/>
          <w:sz w:val="22"/>
          <w:szCs w:val="22"/>
          <w:lang w:val="it-IT"/>
        </w:rPr>
        <w:t>49</w:t>
      </w:r>
      <w:proofErr w:type="gramEnd"/>
      <w:r w:rsidRPr="00E2355A">
        <w:rPr>
          <w:rFonts w:ascii="Garamond" w:hAnsi="Garamond"/>
          <w:color w:val="000000" w:themeColor="text1"/>
          <w:sz w:val="22"/>
          <w:szCs w:val="22"/>
          <w:lang w:val="it-IT"/>
        </w:rPr>
        <w:t xml:space="preserve">]. </w:t>
      </w:r>
    </w:p>
  </w:footnote>
  <w:footnote w:id="68">
    <w:p w:rsidR="00E845DF" w:rsidRPr="00E2355A" w:rsidRDefault="00E845DF" w:rsidP="00212269">
      <w:pPr>
        <w:pStyle w:val="FootnoteText"/>
        <w:jc w:val="both"/>
        <w:rPr>
          <w:rFonts w:ascii="Garamond" w:hAnsi="Garamond"/>
          <w:color w:val="000000" w:themeColor="text1"/>
          <w:sz w:val="22"/>
          <w:szCs w:val="22"/>
          <w:lang w:val="it-IT"/>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lang w:val="it-IT"/>
        </w:rPr>
        <w:t xml:space="preserve"> </w:t>
      </w:r>
      <w:proofErr w:type="spellStart"/>
      <w:r w:rsidRPr="00E2355A">
        <w:rPr>
          <w:rFonts w:ascii="Garamond" w:hAnsi="Garamond"/>
          <w:i/>
          <w:iCs/>
          <w:color w:val="000000" w:themeColor="text1"/>
          <w:sz w:val="22"/>
          <w:szCs w:val="22"/>
          <w:lang w:val="it-IT"/>
        </w:rPr>
        <w:t>Incedal</w:t>
      </w:r>
      <w:proofErr w:type="spellEnd"/>
      <w:r w:rsidRPr="00E2355A">
        <w:rPr>
          <w:rFonts w:ascii="Garamond" w:hAnsi="Garamond"/>
          <w:color w:val="000000" w:themeColor="text1"/>
          <w:sz w:val="22"/>
          <w:szCs w:val="22"/>
          <w:lang w:val="it-IT"/>
        </w:rPr>
        <w:t xml:space="preserve"> [2014] EWCA </w:t>
      </w:r>
      <w:proofErr w:type="spellStart"/>
      <w:r w:rsidRPr="00E2355A">
        <w:rPr>
          <w:rFonts w:ascii="Garamond" w:hAnsi="Garamond"/>
          <w:color w:val="000000" w:themeColor="text1"/>
          <w:sz w:val="22"/>
          <w:szCs w:val="22"/>
          <w:lang w:val="it-IT"/>
        </w:rPr>
        <w:t>Crim</w:t>
      </w:r>
      <w:proofErr w:type="spellEnd"/>
      <w:r w:rsidRPr="00E2355A">
        <w:rPr>
          <w:rFonts w:ascii="Garamond" w:hAnsi="Garamond"/>
          <w:color w:val="000000" w:themeColor="text1"/>
          <w:sz w:val="22"/>
          <w:szCs w:val="22"/>
          <w:lang w:val="it-IT"/>
        </w:rPr>
        <w:t xml:space="preserve"> 1861, [</w:t>
      </w:r>
      <w:proofErr w:type="gramStart"/>
      <w:r w:rsidRPr="00E2355A">
        <w:rPr>
          <w:rFonts w:ascii="Garamond" w:hAnsi="Garamond"/>
          <w:color w:val="000000" w:themeColor="text1"/>
          <w:sz w:val="22"/>
          <w:szCs w:val="22"/>
          <w:lang w:val="it-IT"/>
        </w:rPr>
        <w:t>12</w:t>
      </w:r>
      <w:proofErr w:type="gramEnd"/>
      <w:r w:rsidRPr="00E2355A">
        <w:rPr>
          <w:rFonts w:ascii="Garamond" w:hAnsi="Garamond"/>
          <w:color w:val="000000" w:themeColor="text1"/>
          <w:sz w:val="22"/>
          <w:szCs w:val="22"/>
          <w:lang w:val="it-IT"/>
        </w:rPr>
        <w:t>].</w:t>
      </w:r>
    </w:p>
  </w:footnote>
  <w:footnote w:id="69">
    <w:p w:rsidR="009E6A66" w:rsidRPr="00E2355A" w:rsidRDefault="009E6A66" w:rsidP="00212269">
      <w:pPr>
        <w:pStyle w:val="FootnoteText"/>
        <w:jc w:val="both"/>
        <w:rPr>
          <w:rFonts w:ascii="Garamond" w:hAnsi="Garamond"/>
          <w:color w:val="000000" w:themeColor="text1"/>
          <w:sz w:val="22"/>
          <w:szCs w:val="22"/>
          <w:lang w:val="pt-PT"/>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lang w:val="pt-PT"/>
        </w:rPr>
        <w:t xml:space="preserve"> </w:t>
      </w:r>
      <w:r w:rsidRPr="00E2355A">
        <w:rPr>
          <w:rFonts w:ascii="Garamond" w:hAnsi="Garamond"/>
          <w:i/>
          <w:iCs/>
          <w:color w:val="000000" w:themeColor="text1"/>
          <w:sz w:val="22"/>
          <w:szCs w:val="22"/>
          <w:lang w:val="pt-PT"/>
        </w:rPr>
        <w:t>R v H</w:t>
      </w:r>
      <w:r w:rsidRPr="00E2355A">
        <w:rPr>
          <w:rFonts w:ascii="Garamond" w:hAnsi="Garamond"/>
          <w:color w:val="000000" w:themeColor="text1"/>
          <w:sz w:val="22"/>
          <w:szCs w:val="22"/>
          <w:lang w:val="pt-PT"/>
        </w:rPr>
        <w:t xml:space="preserve"> </w:t>
      </w:r>
      <w:r w:rsidR="000E488B" w:rsidRPr="00E2355A">
        <w:rPr>
          <w:rFonts w:ascii="Garamond" w:hAnsi="Garamond"/>
          <w:color w:val="000000" w:themeColor="text1"/>
          <w:sz w:val="22"/>
          <w:szCs w:val="22"/>
          <w:lang w:val="pt-PT"/>
        </w:rPr>
        <w:t xml:space="preserve">[2004] UKHL 3, </w:t>
      </w:r>
      <w:r w:rsidRPr="00E2355A">
        <w:rPr>
          <w:rFonts w:ascii="Garamond" w:hAnsi="Garamond"/>
          <w:color w:val="000000" w:themeColor="text1"/>
          <w:sz w:val="22"/>
          <w:szCs w:val="22"/>
          <w:lang w:val="pt-PT"/>
        </w:rPr>
        <w:t>[36].</w:t>
      </w:r>
    </w:p>
  </w:footnote>
  <w:footnote w:id="70">
    <w:p w:rsidR="009E6A66" w:rsidRPr="00E2355A" w:rsidRDefault="009E6A66" w:rsidP="00212269">
      <w:pPr>
        <w:pStyle w:val="FootnoteText"/>
        <w:jc w:val="both"/>
        <w:rPr>
          <w:rFonts w:ascii="Garamond" w:hAnsi="Garamond"/>
          <w:color w:val="000000" w:themeColor="text1"/>
          <w:sz w:val="22"/>
          <w:szCs w:val="22"/>
          <w:lang w:val="pt-PT"/>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lang w:val="pt-PT"/>
        </w:rPr>
        <w:t xml:space="preserve"> </w:t>
      </w:r>
      <w:proofErr w:type="spellStart"/>
      <w:r w:rsidRPr="00E2355A">
        <w:rPr>
          <w:rFonts w:ascii="Garamond" w:hAnsi="Garamond"/>
          <w:i/>
          <w:iCs/>
          <w:color w:val="000000" w:themeColor="text1"/>
          <w:sz w:val="22"/>
          <w:szCs w:val="22"/>
          <w:lang w:val="pt-PT"/>
        </w:rPr>
        <w:t>Incedal</w:t>
      </w:r>
      <w:proofErr w:type="spellEnd"/>
      <w:r w:rsidRPr="00E2355A">
        <w:rPr>
          <w:rFonts w:ascii="Garamond" w:hAnsi="Garamond"/>
          <w:color w:val="000000" w:themeColor="text1"/>
          <w:sz w:val="22"/>
          <w:szCs w:val="22"/>
          <w:lang w:val="pt-PT"/>
        </w:rPr>
        <w:t xml:space="preserve"> [2014] EWCA </w:t>
      </w:r>
      <w:proofErr w:type="spellStart"/>
      <w:r w:rsidRPr="00E2355A">
        <w:rPr>
          <w:rFonts w:ascii="Garamond" w:hAnsi="Garamond"/>
          <w:color w:val="000000" w:themeColor="text1"/>
          <w:sz w:val="22"/>
          <w:szCs w:val="22"/>
          <w:lang w:val="pt-PT"/>
        </w:rPr>
        <w:t>Crim</w:t>
      </w:r>
      <w:proofErr w:type="spellEnd"/>
      <w:r w:rsidRPr="00E2355A">
        <w:rPr>
          <w:rFonts w:ascii="Garamond" w:hAnsi="Garamond"/>
          <w:color w:val="000000" w:themeColor="text1"/>
          <w:sz w:val="22"/>
          <w:szCs w:val="22"/>
          <w:lang w:val="pt-PT"/>
        </w:rPr>
        <w:t xml:space="preserve"> 1861, [17].</w:t>
      </w:r>
    </w:p>
  </w:footnote>
  <w:footnote w:id="71">
    <w:p w:rsidR="009E6A66" w:rsidRPr="00E2355A" w:rsidRDefault="009E6A66"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spellStart"/>
      <w:proofErr w:type="gramStart"/>
      <w:r w:rsidR="00672558" w:rsidRPr="00E2355A">
        <w:rPr>
          <w:rFonts w:ascii="Garamond" w:hAnsi="Garamond"/>
          <w:i/>
          <w:iCs/>
          <w:color w:val="000000" w:themeColor="text1"/>
          <w:sz w:val="22"/>
          <w:szCs w:val="22"/>
        </w:rPr>
        <w:t>Incedal</w:t>
      </w:r>
      <w:proofErr w:type="spellEnd"/>
      <w:r w:rsidR="00672558" w:rsidRPr="00E2355A">
        <w:rPr>
          <w:rFonts w:ascii="Garamond" w:hAnsi="Garamond"/>
          <w:color w:val="000000" w:themeColor="text1"/>
          <w:sz w:val="22"/>
          <w:szCs w:val="22"/>
        </w:rPr>
        <w:t xml:space="preserve"> </w:t>
      </w:r>
      <w:r w:rsidR="00623C50" w:rsidRPr="00E2355A">
        <w:rPr>
          <w:rFonts w:ascii="Garamond" w:hAnsi="Garamond"/>
          <w:color w:val="000000" w:themeColor="text1"/>
          <w:sz w:val="22"/>
          <w:szCs w:val="22"/>
        </w:rPr>
        <w:t xml:space="preserve">[2014] EWCA Crim 1861, </w:t>
      </w:r>
      <w:r w:rsidRPr="00E2355A">
        <w:rPr>
          <w:rFonts w:ascii="Garamond" w:hAnsi="Garamond"/>
          <w:color w:val="000000" w:themeColor="text1"/>
          <w:sz w:val="22"/>
          <w:szCs w:val="22"/>
        </w:rPr>
        <w:t>[17].</w:t>
      </w:r>
      <w:proofErr w:type="gramEnd"/>
    </w:p>
  </w:footnote>
  <w:footnote w:id="72">
    <w:p w:rsidR="00BD3E79" w:rsidRPr="00E2355A" w:rsidRDefault="00BD3E79"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r w:rsidR="008937BA" w:rsidRPr="00E2355A">
        <w:rPr>
          <w:rFonts w:ascii="Garamond" w:hAnsi="Garamond"/>
          <w:color w:val="000000" w:themeColor="text1"/>
          <w:sz w:val="22"/>
          <w:szCs w:val="22"/>
        </w:rPr>
        <w:t xml:space="preserve">See also </w:t>
      </w:r>
      <w:r w:rsidR="00340F8C" w:rsidRPr="00E2355A">
        <w:rPr>
          <w:rFonts w:ascii="Garamond" w:hAnsi="Garamond"/>
          <w:i/>
          <w:iCs/>
          <w:color w:val="000000" w:themeColor="text1"/>
          <w:sz w:val="22"/>
          <w:szCs w:val="22"/>
        </w:rPr>
        <w:t>In re K</w:t>
      </w:r>
      <w:r w:rsidR="00340F8C" w:rsidRPr="00E2355A">
        <w:rPr>
          <w:rFonts w:ascii="Garamond" w:hAnsi="Garamond"/>
          <w:color w:val="000000" w:themeColor="text1"/>
          <w:sz w:val="22"/>
          <w:szCs w:val="22"/>
        </w:rPr>
        <w:t xml:space="preserve"> [1965] AC 201, 238: “a principle </w:t>
      </w:r>
      <w:r w:rsidR="00C309D8" w:rsidRPr="00E2355A">
        <w:rPr>
          <w:rFonts w:ascii="Garamond" w:hAnsi="Garamond"/>
          <w:color w:val="000000" w:themeColor="text1"/>
          <w:sz w:val="22"/>
          <w:szCs w:val="22"/>
        </w:rPr>
        <w:t>of judicial inquiry, whether fundamental or not, is only a means to an end. If it can be shown in any particular class of case that the observance of a principle of this sort does not serve the ends of justice, it must be dismissed; otherwise it would become the master instead of the service of justice.”</w:t>
      </w:r>
      <w:r w:rsidR="003C6CD0" w:rsidRPr="00E2355A">
        <w:rPr>
          <w:rFonts w:ascii="Garamond" w:hAnsi="Garamond"/>
          <w:color w:val="000000" w:themeColor="text1"/>
          <w:sz w:val="22"/>
          <w:szCs w:val="22"/>
        </w:rPr>
        <w:t xml:space="preserve"> (Lord Devlin).</w:t>
      </w:r>
    </w:p>
  </w:footnote>
  <w:footnote w:id="73">
    <w:p w:rsidR="004B3A3E" w:rsidRPr="00E2355A" w:rsidRDefault="004B3A3E"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See the Justice and Security Act 2013.</w:t>
      </w:r>
    </w:p>
  </w:footnote>
  <w:footnote w:id="74">
    <w:p w:rsidR="00F15565" w:rsidRPr="00926C40" w:rsidRDefault="00F15565" w:rsidP="00212269">
      <w:pPr>
        <w:pStyle w:val="FootnoteText"/>
        <w:jc w:val="both"/>
        <w:rPr>
          <w:rFonts w:ascii="Garamond" w:hAnsi="Garamond"/>
          <w:color w:val="000000" w:themeColor="text1"/>
          <w:sz w:val="22"/>
          <w:szCs w:val="22"/>
          <w:lang w:val="pt-PT"/>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rPr>
        <w:t xml:space="preserve"> </w:t>
      </w:r>
      <w:proofErr w:type="gramStart"/>
      <w:r w:rsidRPr="00E2355A">
        <w:rPr>
          <w:rFonts w:ascii="Garamond" w:hAnsi="Garamond"/>
          <w:i/>
          <w:iCs/>
          <w:color w:val="000000" w:themeColor="text1"/>
          <w:sz w:val="22"/>
          <w:szCs w:val="22"/>
        </w:rPr>
        <w:t>R v H</w:t>
      </w:r>
      <w:r w:rsidRPr="00E2355A">
        <w:rPr>
          <w:rFonts w:ascii="Garamond" w:hAnsi="Garamond"/>
          <w:color w:val="000000" w:themeColor="text1"/>
          <w:sz w:val="22"/>
          <w:szCs w:val="22"/>
        </w:rPr>
        <w:t xml:space="preserve"> [2004] UKHL 3.</w:t>
      </w:r>
      <w:proofErr w:type="gramEnd"/>
      <w:r w:rsidRPr="00E2355A">
        <w:rPr>
          <w:rFonts w:ascii="Garamond" w:hAnsi="Garamond"/>
          <w:color w:val="000000" w:themeColor="text1"/>
          <w:sz w:val="22"/>
          <w:szCs w:val="22"/>
        </w:rPr>
        <w:t xml:space="preserve"> </w:t>
      </w:r>
      <w:r w:rsidRPr="00926C40">
        <w:rPr>
          <w:rFonts w:ascii="Garamond" w:hAnsi="Garamond"/>
          <w:color w:val="000000" w:themeColor="text1"/>
          <w:sz w:val="22"/>
          <w:szCs w:val="22"/>
          <w:lang w:val="pt-PT"/>
        </w:rPr>
        <w:t>[36].</w:t>
      </w:r>
    </w:p>
  </w:footnote>
  <w:footnote w:id="75">
    <w:p w:rsidR="00695A47" w:rsidRPr="00E2355A" w:rsidRDefault="00695A47"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E2355A">
        <w:rPr>
          <w:rFonts w:ascii="Garamond" w:hAnsi="Garamond"/>
          <w:color w:val="000000" w:themeColor="text1"/>
          <w:sz w:val="22"/>
          <w:szCs w:val="22"/>
          <w:lang w:val="pt-PT"/>
        </w:rPr>
        <w:t xml:space="preserve"> </w:t>
      </w:r>
      <w:r w:rsidRPr="00E2355A">
        <w:rPr>
          <w:rFonts w:ascii="Garamond" w:hAnsi="Garamond"/>
          <w:i/>
          <w:iCs/>
          <w:color w:val="000000" w:themeColor="text1"/>
          <w:sz w:val="22"/>
          <w:szCs w:val="22"/>
          <w:lang w:val="pt-PT"/>
        </w:rPr>
        <w:t xml:space="preserve">R v Wang </w:t>
      </w:r>
      <w:proofErr w:type="spellStart"/>
      <w:r w:rsidRPr="00E2355A">
        <w:rPr>
          <w:rFonts w:ascii="Garamond" w:hAnsi="Garamond"/>
          <w:i/>
          <w:iCs/>
          <w:color w:val="000000" w:themeColor="text1"/>
          <w:sz w:val="22"/>
          <w:szCs w:val="22"/>
          <w:lang w:val="pt-PT"/>
        </w:rPr>
        <w:t>Yam</w:t>
      </w:r>
      <w:proofErr w:type="spellEnd"/>
      <w:r w:rsidRPr="00E2355A">
        <w:rPr>
          <w:rFonts w:ascii="Garamond" w:hAnsi="Garamond"/>
          <w:color w:val="000000" w:themeColor="text1"/>
          <w:sz w:val="22"/>
          <w:szCs w:val="22"/>
          <w:lang w:val="pt-PT"/>
        </w:rPr>
        <w:t xml:space="preserve"> [2008] EWCA </w:t>
      </w:r>
      <w:proofErr w:type="spellStart"/>
      <w:r w:rsidRPr="00E2355A">
        <w:rPr>
          <w:rFonts w:ascii="Garamond" w:hAnsi="Garamond"/>
          <w:color w:val="000000" w:themeColor="text1"/>
          <w:sz w:val="22"/>
          <w:szCs w:val="22"/>
          <w:lang w:val="pt-PT"/>
        </w:rPr>
        <w:t>Crim</w:t>
      </w:r>
      <w:proofErr w:type="spellEnd"/>
      <w:r w:rsidRPr="00E2355A">
        <w:rPr>
          <w:rFonts w:ascii="Garamond" w:hAnsi="Garamond"/>
          <w:color w:val="000000" w:themeColor="text1"/>
          <w:sz w:val="22"/>
          <w:szCs w:val="22"/>
          <w:lang w:val="pt-PT"/>
        </w:rPr>
        <w:t xml:space="preserve"> 269, [6].</w:t>
      </w:r>
      <w:r w:rsidR="00FB3761" w:rsidRPr="00E2355A">
        <w:rPr>
          <w:rFonts w:ascii="Garamond" w:hAnsi="Garamond"/>
          <w:color w:val="000000" w:themeColor="text1"/>
          <w:sz w:val="22"/>
          <w:szCs w:val="22"/>
          <w:lang w:val="pt-PT"/>
        </w:rPr>
        <w:t xml:space="preserve"> </w:t>
      </w:r>
      <w:r w:rsidR="00FB3761" w:rsidRPr="00E2355A">
        <w:rPr>
          <w:rFonts w:ascii="Garamond" w:hAnsi="Garamond"/>
          <w:color w:val="000000" w:themeColor="text1"/>
          <w:sz w:val="22"/>
          <w:szCs w:val="22"/>
        </w:rPr>
        <w:t xml:space="preserve">As made </w:t>
      </w:r>
      <w:r w:rsidR="00647B2F" w:rsidRPr="00E2355A">
        <w:rPr>
          <w:rFonts w:ascii="Garamond" w:hAnsi="Garamond"/>
          <w:color w:val="000000" w:themeColor="text1"/>
          <w:sz w:val="22"/>
          <w:szCs w:val="22"/>
        </w:rPr>
        <w:t>explicit</w:t>
      </w:r>
      <w:r w:rsidR="00FB3761" w:rsidRPr="00E2355A">
        <w:rPr>
          <w:rFonts w:ascii="Garamond" w:hAnsi="Garamond"/>
          <w:color w:val="000000" w:themeColor="text1"/>
          <w:sz w:val="22"/>
          <w:szCs w:val="22"/>
        </w:rPr>
        <w:t xml:space="preserve"> in Wang Yam, this rule implies that the holding of </w:t>
      </w:r>
      <w:r w:rsidR="008D111B" w:rsidRPr="00E2355A">
        <w:rPr>
          <w:rFonts w:ascii="Garamond" w:hAnsi="Garamond"/>
          <w:color w:val="000000" w:themeColor="text1"/>
          <w:sz w:val="22"/>
          <w:szCs w:val="22"/>
        </w:rPr>
        <w:t>an</w:t>
      </w:r>
      <w:r w:rsidR="00FB3761" w:rsidRPr="00E2355A">
        <w:rPr>
          <w:rFonts w:ascii="Garamond" w:hAnsi="Garamond"/>
          <w:color w:val="000000" w:themeColor="text1"/>
          <w:sz w:val="22"/>
          <w:szCs w:val="22"/>
        </w:rPr>
        <w:t xml:space="preserve"> </w:t>
      </w:r>
      <w:r w:rsidR="00FB3761" w:rsidRPr="00E2355A">
        <w:rPr>
          <w:rFonts w:ascii="Garamond" w:hAnsi="Garamond"/>
          <w:i/>
          <w:iCs/>
          <w:color w:val="000000" w:themeColor="text1"/>
          <w:sz w:val="22"/>
          <w:szCs w:val="22"/>
        </w:rPr>
        <w:t>in camera</w:t>
      </w:r>
      <w:r w:rsidR="00FB3761" w:rsidRPr="00E2355A">
        <w:rPr>
          <w:rFonts w:ascii="Garamond" w:hAnsi="Garamond"/>
          <w:color w:val="000000" w:themeColor="text1"/>
          <w:sz w:val="22"/>
          <w:szCs w:val="22"/>
        </w:rPr>
        <w:t xml:space="preserve"> trial is not </w:t>
      </w:r>
      <w:r w:rsidR="00FB3761" w:rsidRPr="00E2355A">
        <w:rPr>
          <w:rFonts w:ascii="Garamond" w:hAnsi="Garamond"/>
          <w:i/>
          <w:iCs/>
          <w:color w:val="000000" w:themeColor="text1"/>
          <w:sz w:val="22"/>
          <w:szCs w:val="22"/>
        </w:rPr>
        <w:t xml:space="preserve">ipso facto </w:t>
      </w:r>
      <w:r w:rsidR="00FB3761" w:rsidRPr="00E2355A">
        <w:rPr>
          <w:rFonts w:ascii="Garamond" w:hAnsi="Garamond"/>
          <w:color w:val="000000" w:themeColor="text1"/>
          <w:sz w:val="22"/>
          <w:szCs w:val="22"/>
        </w:rPr>
        <w:t xml:space="preserve">unfair. For present purposes, I take that understanding </w:t>
      </w:r>
      <w:r w:rsidR="000B5A66" w:rsidRPr="00E2355A">
        <w:rPr>
          <w:rFonts w:ascii="Garamond" w:hAnsi="Garamond"/>
          <w:color w:val="000000" w:themeColor="text1"/>
          <w:sz w:val="22"/>
          <w:szCs w:val="22"/>
        </w:rPr>
        <w:t>to</w:t>
      </w:r>
      <w:r w:rsidR="00FB3761" w:rsidRPr="00E2355A">
        <w:rPr>
          <w:rFonts w:ascii="Garamond" w:hAnsi="Garamond"/>
          <w:color w:val="000000" w:themeColor="text1"/>
          <w:sz w:val="22"/>
          <w:szCs w:val="22"/>
        </w:rPr>
        <w:t xml:space="preserve"> be correct.</w:t>
      </w:r>
    </w:p>
  </w:footnote>
  <w:footnote w:id="76">
    <w:p w:rsidR="006D4B51" w:rsidRPr="00926C40" w:rsidRDefault="006D4B51" w:rsidP="00212269">
      <w:pPr>
        <w:pStyle w:val="FootnoteText"/>
        <w:jc w:val="both"/>
        <w:rPr>
          <w:rFonts w:ascii="Garamond" w:eastAsia="PMingLiU" w:hAnsi="Garamond"/>
          <w:color w:val="000000" w:themeColor="text1"/>
          <w:sz w:val="22"/>
          <w:szCs w:val="22"/>
          <w:lang w:val="it-IT" w:eastAsia="zh-TW"/>
        </w:rPr>
      </w:pPr>
      <w:r w:rsidRPr="00E2355A">
        <w:rPr>
          <w:rStyle w:val="FootnoteReference"/>
          <w:rFonts w:ascii="Garamond" w:hAnsi="Garamond"/>
          <w:color w:val="000000" w:themeColor="text1"/>
          <w:sz w:val="22"/>
          <w:szCs w:val="22"/>
        </w:rPr>
        <w:footnoteRef/>
      </w:r>
      <w:r w:rsidRPr="00926C40">
        <w:rPr>
          <w:rFonts w:ascii="Garamond" w:hAnsi="Garamond"/>
          <w:color w:val="000000" w:themeColor="text1"/>
          <w:sz w:val="22"/>
          <w:szCs w:val="22"/>
          <w:lang w:val="it-IT"/>
        </w:rPr>
        <w:t xml:space="preserve"> </w:t>
      </w:r>
      <w:r w:rsidR="00547728" w:rsidRPr="00926C40">
        <w:rPr>
          <w:rFonts w:ascii="Garamond" w:hAnsi="Garamond"/>
          <w:i/>
          <w:iCs/>
          <w:color w:val="000000" w:themeColor="text1"/>
          <w:sz w:val="22"/>
          <w:szCs w:val="22"/>
          <w:lang w:val="it-IT"/>
        </w:rPr>
        <w:t xml:space="preserve">Al Rawi </w:t>
      </w:r>
      <w:r w:rsidR="00547728" w:rsidRPr="00926C40">
        <w:rPr>
          <w:rFonts w:ascii="Garamond" w:hAnsi="Garamond"/>
          <w:color w:val="000000" w:themeColor="text1"/>
          <w:sz w:val="22"/>
          <w:szCs w:val="22"/>
          <w:lang w:val="it-IT"/>
        </w:rPr>
        <w:t>[2011] UKSC 34</w:t>
      </w:r>
      <w:r w:rsidR="006A20F5" w:rsidRPr="00926C40">
        <w:rPr>
          <w:rFonts w:ascii="Garamond" w:hAnsi="Garamond"/>
          <w:color w:val="000000" w:themeColor="text1"/>
          <w:sz w:val="22"/>
          <w:szCs w:val="22"/>
          <w:lang w:val="it-IT"/>
        </w:rPr>
        <w:t>.</w:t>
      </w:r>
    </w:p>
  </w:footnote>
  <w:footnote w:id="77">
    <w:p w:rsidR="00CE1451" w:rsidRPr="00926C40" w:rsidRDefault="00CE1451">
      <w:pPr>
        <w:pStyle w:val="FootnoteText"/>
        <w:rPr>
          <w:rFonts w:ascii="Garamond" w:hAnsi="Garamond"/>
          <w:color w:val="000000" w:themeColor="text1"/>
          <w:sz w:val="22"/>
          <w:szCs w:val="22"/>
          <w:lang w:val="it-IT"/>
        </w:rPr>
      </w:pPr>
      <w:r w:rsidRPr="00E2355A">
        <w:rPr>
          <w:rStyle w:val="FootnoteReference"/>
          <w:rFonts w:ascii="Garamond" w:hAnsi="Garamond"/>
          <w:color w:val="000000" w:themeColor="text1"/>
          <w:sz w:val="22"/>
          <w:szCs w:val="22"/>
        </w:rPr>
        <w:footnoteRef/>
      </w:r>
      <w:r w:rsidRPr="00926C40">
        <w:rPr>
          <w:rFonts w:ascii="Garamond" w:hAnsi="Garamond"/>
          <w:color w:val="000000" w:themeColor="text1"/>
          <w:sz w:val="22"/>
          <w:szCs w:val="22"/>
          <w:lang w:val="it-IT"/>
        </w:rPr>
        <w:t xml:space="preserve"> </w:t>
      </w:r>
      <w:proofErr w:type="spellStart"/>
      <w:r w:rsidR="006C4F97" w:rsidRPr="00926C40">
        <w:rPr>
          <w:rFonts w:ascii="Garamond" w:hAnsi="Garamond"/>
          <w:i/>
          <w:iCs/>
          <w:color w:val="000000" w:themeColor="text1"/>
          <w:sz w:val="22"/>
          <w:szCs w:val="22"/>
          <w:lang w:val="it-IT"/>
        </w:rPr>
        <w:t>Incedal</w:t>
      </w:r>
      <w:proofErr w:type="spellEnd"/>
      <w:r w:rsidR="006C4F97" w:rsidRPr="00926C40">
        <w:rPr>
          <w:rFonts w:ascii="Garamond" w:hAnsi="Garamond"/>
          <w:color w:val="000000" w:themeColor="text1"/>
          <w:sz w:val="22"/>
          <w:szCs w:val="22"/>
          <w:lang w:val="it-IT"/>
        </w:rPr>
        <w:t xml:space="preserve"> [2014] EWCA </w:t>
      </w:r>
      <w:proofErr w:type="spellStart"/>
      <w:r w:rsidR="006C4F97" w:rsidRPr="00926C40">
        <w:rPr>
          <w:rFonts w:ascii="Garamond" w:hAnsi="Garamond"/>
          <w:color w:val="000000" w:themeColor="text1"/>
          <w:sz w:val="22"/>
          <w:szCs w:val="22"/>
          <w:lang w:val="it-IT"/>
        </w:rPr>
        <w:t>Crim</w:t>
      </w:r>
      <w:proofErr w:type="spellEnd"/>
      <w:r w:rsidR="006C4F97" w:rsidRPr="00926C40">
        <w:rPr>
          <w:rFonts w:ascii="Garamond" w:hAnsi="Garamond"/>
          <w:color w:val="000000" w:themeColor="text1"/>
          <w:sz w:val="22"/>
          <w:szCs w:val="22"/>
          <w:lang w:val="it-IT"/>
        </w:rPr>
        <w:t xml:space="preserve"> 1861, [</w:t>
      </w:r>
      <w:proofErr w:type="gramStart"/>
      <w:r w:rsidR="006C4F97" w:rsidRPr="00926C40">
        <w:rPr>
          <w:rFonts w:ascii="Garamond" w:hAnsi="Garamond"/>
          <w:color w:val="000000" w:themeColor="text1"/>
          <w:sz w:val="22"/>
          <w:szCs w:val="22"/>
          <w:lang w:val="it-IT"/>
        </w:rPr>
        <w:t>47</w:t>
      </w:r>
      <w:proofErr w:type="gramEnd"/>
      <w:r w:rsidR="006C4F97" w:rsidRPr="00926C40">
        <w:rPr>
          <w:rFonts w:ascii="Garamond" w:hAnsi="Garamond"/>
          <w:color w:val="000000" w:themeColor="text1"/>
          <w:sz w:val="22"/>
          <w:szCs w:val="22"/>
          <w:lang w:val="it-IT"/>
        </w:rPr>
        <w:t>].</w:t>
      </w:r>
    </w:p>
  </w:footnote>
  <w:footnote w:id="78">
    <w:p w:rsidR="00CE1451" w:rsidRPr="00926C40" w:rsidRDefault="00CE1451">
      <w:pPr>
        <w:pStyle w:val="FootnoteText"/>
        <w:rPr>
          <w:rFonts w:ascii="Garamond" w:hAnsi="Garamond"/>
          <w:color w:val="000000" w:themeColor="text1"/>
          <w:sz w:val="22"/>
          <w:szCs w:val="22"/>
          <w:lang w:val="pt-PT"/>
        </w:rPr>
      </w:pPr>
      <w:r w:rsidRPr="00E2355A">
        <w:rPr>
          <w:rStyle w:val="FootnoteReference"/>
          <w:rFonts w:ascii="Garamond" w:hAnsi="Garamond"/>
          <w:color w:val="000000" w:themeColor="text1"/>
          <w:sz w:val="22"/>
          <w:szCs w:val="22"/>
        </w:rPr>
        <w:footnoteRef/>
      </w:r>
      <w:r w:rsidRPr="00926C40">
        <w:rPr>
          <w:rFonts w:ascii="Garamond" w:hAnsi="Garamond"/>
          <w:color w:val="000000" w:themeColor="text1"/>
          <w:sz w:val="22"/>
          <w:szCs w:val="22"/>
          <w:lang w:val="pt-PT"/>
        </w:rPr>
        <w:t xml:space="preserve"> </w:t>
      </w:r>
      <w:proofErr w:type="spellStart"/>
      <w:r w:rsidR="006C4F97" w:rsidRPr="00926C40">
        <w:rPr>
          <w:rFonts w:ascii="Garamond" w:hAnsi="Garamond"/>
          <w:i/>
          <w:iCs/>
          <w:color w:val="000000" w:themeColor="text1"/>
          <w:sz w:val="22"/>
          <w:szCs w:val="22"/>
          <w:lang w:val="pt-PT"/>
        </w:rPr>
        <w:t>Incedal</w:t>
      </w:r>
      <w:proofErr w:type="spellEnd"/>
      <w:r w:rsidR="006C4F97" w:rsidRPr="00926C40">
        <w:rPr>
          <w:rFonts w:ascii="Garamond" w:hAnsi="Garamond"/>
          <w:color w:val="000000" w:themeColor="text1"/>
          <w:sz w:val="22"/>
          <w:szCs w:val="22"/>
          <w:lang w:val="pt-PT"/>
        </w:rPr>
        <w:t xml:space="preserve"> [2014] EWCA </w:t>
      </w:r>
      <w:proofErr w:type="spellStart"/>
      <w:r w:rsidR="006C4F97" w:rsidRPr="00926C40">
        <w:rPr>
          <w:rFonts w:ascii="Garamond" w:hAnsi="Garamond"/>
          <w:color w:val="000000" w:themeColor="text1"/>
          <w:sz w:val="22"/>
          <w:szCs w:val="22"/>
          <w:lang w:val="pt-PT"/>
        </w:rPr>
        <w:t>Crim</w:t>
      </w:r>
      <w:proofErr w:type="spellEnd"/>
      <w:r w:rsidR="006C4F97" w:rsidRPr="00926C40">
        <w:rPr>
          <w:rFonts w:ascii="Garamond" w:hAnsi="Garamond"/>
          <w:color w:val="000000" w:themeColor="text1"/>
          <w:sz w:val="22"/>
          <w:szCs w:val="22"/>
          <w:lang w:val="pt-PT"/>
        </w:rPr>
        <w:t xml:space="preserve"> 1861, [47].</w:t>
      </w:r>
    </w:p>
  </w:footnote>
  <w:footnote w:id="79">
    <w:p w:rsidR="0090079B" w:rsidRPr="00E2355A" w:rsidRDefault="0090079B"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Pr="00926C40">
        <w:rPr>
          <w:rFonts w:ascii="Garamond" w:hAnsi="Garamond"/>
          <w:color w:val="000000" w:themeColor="text1"/>
          <w:sz w:val="22"/>
          <w:szCs w:val="22"/>
          <w:lang w:val="pt-PT"/>
        </w:rPr>
        <w:t xml:space="preserve"> Jacob</w:t>
      </w:r>
      <w:r w:rsidR="00C20D9B" w:rsidRPr="00926C40">
        <w:rPr>
          <w:rFonts w:ascii="Garamond" w:hAnsi="Garamond"/>
          <w:color w:val="000000" w:themeColor="text1"/>
          <w:sz w:val="22"/>
          <w:szCs w:val="22"/>
          <w:lang w:val="pt-PT"/>
        </w:rPr>
        <w:t xml:space="preserve"> (n 65</w:t>
      </w:r>
      <w:r w:rsidR="00275C79" w:rsidRPr="00926C40">
        <w:rPr>
          <w:rFonts w:ascii="Garamond" w:hAnsi="Garamond"/>
          <w:color w:val="000000" w:themeColor="text1"/>
          <w:sz w:val="22"/>
          <w:szCs w:val="22"/>
          <w:lang w:val="pt-PT"/>
        </w:rPr>
        <w:t>)</w:t>
      </w:r>
      <w:r w:rsidRPr="00926C40">
        <w:rPr>
          <w:rFonts w:ascii="Garamond" w:hAnsi="Garamond"/>
          <w:color w:val="000000" w:themeColor="text1"/>
          <w:sz w:val="22"/>
          <w:szCs w:val="22"/>
          <w:lang w:val="pt-PT"/>
        </w:rPr>
        <w:t xml:space="preserve"> 24. </w:t>
      </w:r>
      <w:r w:rsidRPr="00E2355A">
        <w:rPr>
          <w:rFonts w:ascii="Garamond" w:hAnsi="Garamond"/>
          <w:color w:val="000000" w:themeColor="text1"/>
          <w:sz w:val="22"/>
          <w:szCs w:val="22"/>
        </w:rPr>
        <w:t>It may be the case that the statutory provision in question ousts the inherent juris</w:t>
      </w:r>
      <w:r w:rsidR="006B2353">
        <w:rPr>
          <w:rFonts w:ascii="Garamond" w:hAnsi="Garamond"/>
          <w:color w:val="000000" w:themeColor="text1"/>
          <w:sz w:val="22"/>
          <w:szCs w:val="22"/>
        </w:rPr>
        <w:t xml:space="preserve">diction even if not explicit: M </w:t>
      </w:r>
      <w:r w:rsidRPr="00E2355A">
        <w:rPr>
          <w:rFonts w:ascii="Garamond" w:hAnsi="Garamond"/>
          <w:color w:val="000000" w:themeColor="text1"/>
          <w:sz w:val="22"/>
          <w:szCs w:val="22"/>
        </w:rPr>
        <w:t xml:space="preserve">S </w:t>
      </w:r>
      <w:proofErr w:type="spellStart"/>
      <w:r w:rsidRPr="00E2355A">
        <w:rPr>
          <w:rFonts w:ascii="Garamond" w:hAnsi="Garamond"/>
          <w:color w:val="000000" w:themeColor="text1"/>
          <w:sz w:val="22"/>
          <w:szCs w:val="22"/>
        </w:rPr>
        <w:t>Dockray</w:t>
      </w:r>
      <w:proofErr w:type="spellEnd"/>
      <w:r w:rsidRPr="00E2355A">
        <w:rPr>
          <w:rFonts w:ascii="Garamond" w:hAnsi="Garamond"/>
          <w:color w:val="000000" w:themeColor="text1"/>
          <w:sz w:val="22"/>
          <w:szCs w:val="22"/>
        </w:rPr>
        <w:t xml:space="preserve">, </w:t>
      </w:r>
      <w:r w:rsidR="009F16E0">
        <w:rPr>
          <w:rFonts w:ascii="Garamond" w:hAnsi="Garamond"/>
          <w:color w:val="000000" w:themeColor="text1"/>
          <w:sz w:val="22"/>
          <w:szCs w:val="22"/>
        </w:rPr>
        <w:t>‘</w:t>
      </w:r>
      <w:r w:rsidRPr="00E2355A">
        <w:rPr>
          <w:rFonts w:ascii="Garamond" w:hAnsi="Garamond"/>
          <w:color w:val="000000" w:themeColor="text1"/>
          <w:sz w:val="22"/>
          <w:szCs w:val="22"/>
        </w:rPr>
        <w:t>The Inherent Jurisdictio</w:t>
      </w:r>
      <w:r w:rsidR="00506BD5">
        <w:rPr>
          <w:rFonts w:ascii="Garamond" w:hAnsi="Garamond"/>
          <w:color w:val="000000" w:themeColor="text1"/>
          <w:sz w:val="22"/>
          <w:szCs w:val="22"/>
        </w:rPr>
        <w:t>n to Regulate Civil Proceedings</w:t>
      </w:r>
      <w:r w:rsidR="009F16E0">
        <w:rPr>
          <w:rFonts w:ascii="Garamond" w:hAnsi="Garamond"/>
          <w:color w:val="000000" w:themeColor="text1"/>
          <w:sz w:val="22"/>
          <w:szCs w:val="22"/>
        </w:rPr>
        <w:t>’</w:t>
      </w:r>
      <w:r w:rsidRPr="00E2355A">
        <w:rPr>
          <w:rFonts w:ascii="Garamond" w:hAnsi="Garamond"/>
          <w:color w:val="000000" w:themeColor="text1"/>
          <w:sz w:val="22"/>
          <w:szCs w:val="22"/>
        </w:rPr>
        <w:t xml:space="preserve"> (1997) 113 </w:t>
      </w:r>
      <w:r w:rsidRPr="000B79E2">
        <w:rPr>
          <w:rFonts w:ascii="Garamond" w:hAnsi="Garamond"/>
          <w:i/>
          <w:color w:val="000000" w:themeColor="text1"/>
          <w:sz w:val="22"/>
          <w:szCs w:val="22"/>
        </w:rPr>
        <w:t>L</w:t>
      </w:r>
      <w:r w:rsidR="00A951D1" w:rsidRPr="000B79E2">
        <w:rPr>
          <w:rFonts w:ascii="Garamond" w:hAnsi="Garamond"/>
          <w:i/>
          <w:color w:val="000000" w:themeColor="text1"/>
          <w:sz w:val="22"/>
          <w:szCs w:val="22"/>
        </w:rPr>
        <w:t xml:space="preserve">aw </w:t>
      </w:r>
      <w:r w:rsidRPr="000B79E2">
        <w:rPr>
          <w:rFonts w:ascii="Garamond" w:hAnsi="Garamond"/>
          <w:i/>
          <w:color w:val="000000" w:themeColor="text1"/>
          <w:sz w:val="22"/>
          <w:szCs w:val="22"/>
        </w:rPr>
        <w:t>Q</w:t>
      </w:r>
      <w:r w:rsidR="00A951D1" w:rsidRPr="000B79E2">
        <w:rPr>
          <w:rFonts w:ascii="Garamond" w:hAnsi="Garamond"/>
          <w:i/>
          <w:color w:val="000000" w:themeColor="text1"/>
          <w:sz w:val="22"/>
          <w:szCs w:val="22"/>
        </w:rPr>
        <w:t xml:space="preserve">uarterly </w:t>
      </w:r>
      <w:r w:rsidRPr="000B79E2">
        <w:rPr>
          <w:rFonts w:ascii="Garamond" w:hAnsi="Garamond"/>
          <w:i/>
          <w:color w:val="000000" w:themeColor="text1"/>
          <w:sz w:val="22"/>
          <w:szCs w:val="22"/>
        </w:rPr>
        <w:t>R</w:t>
      </w:r>
      <w:r w:rsidR="00A951D1" w:rsidRPr="000B79E2">
        <w:rPr>
          <w:rFonts w:ascii="Garamond" w:hAnsi="Garamond"/>
          <w:i/>
          <w:color w:val="000000" w:themeColor="text1"/>
          <w:sz w:val="22"/>
          <w:szCs w:val="22"/>
        </w:rPr>
        <w:t>eview</w:t>
      </w:r>
      <w:r w:rsidR="00A10D8D" w:rsidRPr="00E2355A">
        <w:rPr>
          <w:rFonts w:ascii="Garamond" w:hAnsi="Garamond"/>
          <w:color w:val="000000" w:themeColor="text1"/>
          <w:sz w:val="22"/>
          <w:szCs w:val="22"/>
        </w:rPr>
        <w:t xml:space="preserve"> </w:t>
      </w:r>
      <w:r w:rsidRPr="00E2355A">
        <w:rPr>
          <w:rFonts w:ascii="Garamond" w:hAnsi="Garamond"/>
          <w:color w:val="000000" w:themeColor="text1"/>
          <w:sz w:val="22"/>
          <w:szCs w:val="22"/>
        </w:rPr>
        <w:t>120, 127-8.</w:t>
      </w:r>
    </w:p>
  </w:footnote>
  <w:footnote w:id="80">
    <w:p w:rsidR="0090079B" w:rsidRPr="00E2355A" w:rsidRDefault="0090079B" w:rsidP="00212269">
      <w:pPr>
        <w:pStyle w:val="FootnoteText"/>
        <w:jc w:val="both"/>
        <w:rPr>
          <w:rFonts w:ascii="Garamond" w:hAnsi="Garamond"/>
          <w:color w:val="000000" w:themeColor="text1"/>
          <w:sz w:val="22"/>
          <w:szCs w:val="22"/>
        </w:rPr>
      </w:pPr>
      <w:r w:rsidRPr="00E2355A">
        <w:rPr>
          <w:rStyle w:val="FootnoteReference"/>
          <w:rFonts w:ascii="Garamond" w:hAnsi="Garamond"/>
          <w:color w:val="000000" w:themeColor="text1"/>
          <w:sz w:val="22"/>
          <w:szCs w:val="22"/>
        </w:rPr>
        <w:footnoteRef/>
      </w:r>
      <w:r w:rsidR="003D6FC9">
        <w:rPr>
          <w:rFonts w:ascii="Garamond" w:hAnsi="Garamond"/>
          <w:color w:val="000000" w:themeColor="text1"/>
          <w:sz w:val="22"/>
          <w:szCs w:val="22"/>
        </w:rPr>
        <w:t xml:space="preserve"> </w:t>
      </w:r>
      <w:proofErr w:type="spellStart"/>
      <w:proofErr w:type="gramStart"/>
      <w:r w:rsidR="003D6FC9">
        <w:rPr>
          <w:rFonts w:ascii="Garamond" w:hAnsi="Garamond"/>
          <w:color w:val="000000" w:themeColor="text1"/>
          <w:sz w:val="22"/>
          <w:szCs w:val="22"/>
        </w:rPr>
        <w:t>Dockray</w:t>
      </w:r>
      <w:proofErr w:type="spellEnd"/>
      <w:r w:rsidR="003D6FC9">
        <w:rPr>
          <w:rFonts w:ascii="Garamond" w:hAnsi="Garamond"/>
          <w:color w:val="000000" w:themeColor="text1"/>
          <w:sz w:val="22"/>
          <w:szCs w:val="22"/>
        </w:rPr>
        <w:t xml:space="preserve"> (n 7</w:t>
      </w:r>
      <w:r w:rsidR="00C20D9B">
        <w:rPr>
          <w:rFonts w:ascii="Garamond" w:hAnsi="Garamond"/>
          <w:color w:val="000000" w:themeColor="text1"/>
          <w:sz w:val="22"/>
          <w:szCs w:val="22"/>
        </w:rPr>
        <w:t>9</w:t>
      </w:r>
      <w:r w:rsidR="003D6FC9">
        <w:rPr>
          <w:rFonts w:ascii="Garamond" w:hAnsi="Garamond"/>
          <w:color w:val="000000" w:themeColor="text1"/>
          <w:sz w:val="22"/>
          <w:szCs w:val="22"/>
        </w:rPr>
        <w:t>)</w:t>
      </w:r>
      <w:r w:rsidRPr="00E2355A">
        <w:rPr>
          <w:rFonts w:ascii="Garamond" w:hAnsi="Garamond"/>
          <w:color w:val="000000" w:themeColor="text1"/>
          <w:sz w:val="22"/>
          <w:szCs w:val="22"/>
        </w:rPr>
        <w:t xml:space="preserve"> 128 states that "the inherent jurisdiction may supplement but cannot be used to lay down procedure which is contrary to or inconsistent with a valid rule of the Supreme Court".</w:t>
      </w:r>
      <w:proofErr w:type="gramEnd"/>
      <w:r w:rsidRPr="00E2355A">
        <w:rPr>
          <w:rFonts w:ascii="Garamond" w:hAnsi="Garamond"/>
          <w:color w:val="000000" w:themeColor="text1"/>
          <w:sz w:val="22"/>
          <w:szCs w:val="22"/>
        </w:rPr>
        <w:t xml:space="preserve"> This was approved by the Court of Appeal in </w:t>
      </w:r>
      <w:r w:rsidRPr="00E2355A">
        <w:rPr>
          <w:rFonts w:ascii="Garamond" w:hAnsi="Garamond"/>
          <w:i/>
          <w:iCs/>
          <w:color w:val="000000" w:themeColor="text1"/>
          <w:sz w:val="22"/>
          <w:szCs w:val="22"/>
        </w:rPr>
        <w:t xml:space="preserve">Raja v Van </w:t>
      </w:r>
      <w:proofErr w:type="spellStart"/>
      <w:r w:rsidRPr="00E2355A">
        <w:rPr>
          <w:rFonts w:ascii="Garamond" w:hAnsi="Garamond"/>
          <w:i/>
          <w:iCs/>
          <w:color w:val="000000" w:themeColor="text1"/>
          <w:sz w:val="22"/>
          <w:szCs w:val="22"/>
        </w:rPr>
        <w:t>Hoogstraaten</w:t>
      </w:r>
      <w:proofErr w:type="spellEnd"/>
      <w:r w:rsidR="007A210A" w:rsidRPr="00E2355A">
        <w:rPr>
          <w:rFonts w:ascii="Garamond" w:hAnsi="Garamond"/>
          <w:color w:val="000000" w:themeColor="text1"/>
          <w:sz w:val="22"/>
          <w:szCs w:val="22"/>
        </w:rPr>
        <w:t xml:space="preserve"> (No 9) [2008] EWCA </w:t>
      </w:r>
      <w:proofErr w:type="spellStart"/>
      <w:r w:rsidR="007A210A" w:rsidRPr="00E2355A">
        <w:rPr>
          <w:rFonts w:ascii="Garamond" w:hAnsi="Garamond"/>
          <w:color w:val="000000" w:themeColor="text1"/>
          <w:sz w:val="22"/>
          <w:szCs w:val="22"/>
        </w:rPr>
        <w:t>Civ</w:t>
      </w:r>
      <w:proofErr w:type="spellEnd"/>
      <w:r w:rsidR="007A210A" w:rsidRPr="00E2355A">
        <w:rPr>
          <w:rFonts w:ascii="Garamond" w:hAnsi="Garamond"/>
          <w:color w:val="000000" w:themeColor="text1"/>
          <w:sz w:val="22"/>
          <w:szCs w:val="22"/>
        </w:rPr>
        <w:t xml:space="preserve"> 1444; [2009] 1 WLR 1143</w:t>
      </w:r>
      <w:r w:rsidRPr="00E2355A">
        <w:rPr>
          <w:rFonts w:ascii="Garamond" w:hAnsi="Garamond"/>
          <w:color w:val="000000" w:themeColor="text1"/>
          <w:sz w:val="22"/>
          <w:szCs w:val="22"/>
        </w:rPr>
        <w:t xml:space="preserve"> where it was stated that the position “pre-CPR… was that the inherent powers of the court could not be invoked to do something which was inconsistent with a rule” and confirmed that “[t]he same position has obtained since the introduction of the CPR” (at [74]-[78]).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0391A"/>
    <w:multiLevelType w:val="hybridMultilevel"/>
    <w:tmpl w:val="F71A299A"/>
    <w:lvl w:ilvl="0" w:tplc="6A06EFF4">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522559"/>
    <w:multiLevelType w:val="hybridMultilevel"/>
    <w:tmpl w:val="80EC3B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9EE0266"/>
    <w:multiLevelType w:val="hybridMultilevel"/>
    <w:tmpl w:val="97BC8992"/>
    <w:lvl w:ilvl="0" w:tplc="DCD220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130453D"/>
    <w:multiLevelType w:val="hybridMultilevel"/>
    <w:tmpl w:val="E0D4C7D2"/>
    <w:lvl w:ilvl="0" w:tplc="52B44E4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451FF9"/>
    <w:multiLevelType w:val="hybridMultilevel"/>
    <w:tmpl w:val="1C0C4518"/>
    <w:lvl w:ilvl="0" w:tplc="17A68F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9A3"/>
    <w:rsid w:val="000000A5"/>
    <w:rsid w:val="00001190"/>
    <w:rsid w:val="00001388"/>
    <w:rsid w:val="000029B7"/>
    <w:rsid w:val="000039A3"/>
    <w:rsid w:val="0000645A"/>
    <w:rsid w:val="00010635"/>
    <w:rsid w:val="0001110F"/>
    <w:rsid w:val="00011903"/>
    <w:rsid w:val="0001215C"/>
    <w:rsid w:val="000121CE"/>
    <w:rsid w:val="00012619"/>
    <w:rsid w:val="00012CFE"/>
    <w:rsid w:val="000157CA"/>
    <w:rsid w:val="000158F5"/>
    <w:rsid w:val="000161E6"/>
    <w:rsid w:val="00016581"/>
    <w:rsid w:val="000176D5"/>
    <w:rsid w:val="00017A91"/>
    <w:rsid w:val="00017A9B"/>
    <w:rsid w:val="00017B7C"/>
    <w:rsid w:val="00020537"/>
    <w:rsid w:val="000207E6"/>
    <w:rsid w:val="000209C9"/>
    <w:rsid w:val="00020B2B"/>
    <w:rsid w:val="000214E1"/>
    <w:rsid w:val="0002176A"/>
    <w:rsid w:val="00022EF7"/>
    <w:rsid w:val="000231F2"/>
    <w:rsid w:val="0002357A"/>
    <w:rsid w:val="00023D58"/>
    <w:rsid w:val="00025A8D"/>
    <w:rsid w:val="00026105"/>
    <w:rsid w:val="00026E0E"/>
    <w:rsid w:val="00027719"/>
    <w:rsid w:val="00030CEE"/>
    <w:rsid w:val="0003169C"/>
    <w:rsid w:val="00031C20"/>
    <w:rsid w:val="00032F3A"/>
    <w:rsid w:val="00032F42"/>
    <w:rsid w:val="000336D2"/>
    <w:rsid w:val="00035073"/>
    <w:rsid w:val="0003593F"/>
    <w:rsid w:val="00035A65"/>
    <w:rsid w:val="00035C39"/>
    <w:rsid w:val="000360F9"/>
    <w:rsid w:val="00036576"/>
    <w:rsid w:val="00036649"/>
    <w:rsid w:val="00036ACA"/>
    <w:rsid w:val="00036C25"/>
    <w:rsid w:val="00037965"/>
    <w:rsid w:val="00037EAF"/>
    <w:rsid w:val="000406FA"/>
    <w:rsid w:val="00040C9C"/>
    <w:rsid w:val="000411BA"/>
    <w:rsid w:val="000444D4"/>
    <w:rsid w:val="00044C24"/>
    <w:rsid w:val="00044CEB"/>
    <w:rsid w:val="00046EA5"/>
    <w:rsid w:val="00047D2B"/>
    <w:rsid w:val="00047DA0"/>
    <w:rsid w:val="000512A5"/>
    <w:rsid w:val="00052DE8"/>
    <w:rsid w:val="00053B51"/>
    <w:rsid w:val="00054866"/>
    <w:rsid w:val="0005507D"/>
    <w:rsid w:val="00055465"/>
    <w:rsid w:val="000555C0"/>
    <w:rsid w:val="000558C1"/>
    <w:rsid w:val="00056A49"/>
    <w:rsid w:val="000575D8"/>
    <w:rsid w:val="000578B0"/>
    <w:rsid w:val="00061678"/>
    <w:rsid w:val="000619AB"/>
    <w:rsid w:val="000628A3"/>
    <w:rsid w:val="00063EA1"/>
    <w:rsid w:val="0006415E"/>
    <w:rsid w:val="00064AA3"/>
    <w:rsid w:val="00064E84"/>
    <w:rsid w:val="00065A1D"/>
    <w:rsid w:val="00066C31"/>
    <w:rsid w:val="00066DDF"/>
    <w:rsid w:val="00067842"/>
    <w:rsid w:val="000713E2"/>
    <w:rsid w:val="00072B38"/>
    <w:rsid w:val="00073876"/>
    <w:rsid w:val="00074678"/>
    <w:rsid w:val="0007470C"/>
    <w:rsid w:val="0007525B"/>
    <w:rsid w:val="00075755"/>
    <w:rsid w:val="0007631C"/>
    <w:rsid w:val="0007701D"/>
    <w:rsid w:val="000772CC"/>
    <w:rsid w:val="000772E3"/>
    <w:rsid w:val="00077A32"/>
    <w:rsid w:val="00077CD0"/>
    <w:rsid w:val="000825A6"/>
    <w:rsid w:val="00082F89"/>
    <w:rsid w:val="00083B5E"/>
    <w:rsid w:val="000841D6"/>
    <w:rsid w:val="00084882"/>
    <w:rsid w:val="00085C25"/>
    <w:rsid w:val="000871CB"/>
    <w:rsid w:val="00087848"/>
    <w:rsid w:val="00090406"/>
    <w:rsid w:val="00090541"/>
    <w:rsid w:val="00091254"/>
    <w:rsid w:val="000940B0"/>
    <w:rsid w:val="00094A3F"/>
    <w:rsid w:val="00094ADD"/>
    <w:rsid w:val="00094F17"/>
    <w:rsid w:val="00095276"/>
    <w:rsid w:val="0009788A"/>
    <w:rsid w:val="00097899"/>
    <w:rsid w:val="000A1493"/>
    <w:rsid w:val="000A171E"/>
    <w:rsid w:val="000A1776"/>
    <w:rsid w:val="000A1882"/>
    <w:rsid w:val="000A3DCC"/>
    <w:rsid w:val="000A40CE"/>
    <w:rsid w:val="000A44A6"/>
    <w:rsid w:val="000A48CF"/>
    <w:rsid w:val="000A4C7C"/>
    <w:rsid w:val="000A5455"/>
    <w:rsid w:val="000A55D5"/>
    <w:rsid w:val="000A584C"/>
    <w:rsid w:val="000A5BCC"/>
    <w:rsid w:val="000A5F3E"/>
    <w:rsid w:val="000A6140"/>
    <w:rsid w:val="000A6256"/>
    <w:rsid w:val="000B1B0D"/>
    <w:rsid w:val="000B1C17"/>
    <w:rsid w:val="000B29B3"/>
    <w:rsid w:val="000B2C81"/>
    <w:rsid w:val="000B4040"/>
    <w:rsid w:val="000B5A66"/>
    <w:rsid w:val="000B5C98"/>
    <w:rsid w:val="000B5D7C"/>
    <w:rsid w:val="000B648C"/>
    <w:rsid w:val="000B6CEC"/>
    <w:rsid w:val="000B7720"/>
    <w:rsid w:val="000B79E2"/>
    <w:rsid w:val="000C078E"/>
    <w:rsid w:val="000C1AF0"/>
    <w:rsid w:val="000C1EBB"/>
    <w:rsid w:val="000C1EC0"/>
    <w:rsid w:val="000C25D2"/>
    <w:rsid w:val="000C2DB7"/>
    <w:rsid w:val="000C3165"/>
    <w:rsid w:val="000C4763"/>
    <w:rsid w:val="000C4782"/>
    <w:rsid w:val="000C7708"/>
    <w:rsid w:val="000D0883"/>
    <w:rsid w:val="000D1F05"/>
    <w:rsid w:val="000D2165"/>
    <w:rsid w:val="000D2455"/>
    <w:rsid w:val="000D2853"/>
    <w:rsid w:val="000D3CA8"/>
    <w:rsid w:val="000D5645"/>
    <w:rsid w:val="000D58FD"/>
    <w:rsid w:val="000D643F"/>
    <w:rsid w:val="000D68BC"/>
    <w:rsid w:val="000D69AB"/>
    <w:rsid w:val="000D6A4A"/>
    <w:rsid w:val="000D7CC7"/>
    <w:rsid w:val="000E01B8"/>
    <w:rsid w:val="000E03BC"/>
    <w:rsid w:val="000E0408"/>
    <w:rsid w:val="000E1160"/>
    <w:rsid w:val="000E3699"/>
    <w:rsid w:val="000E3DB0"/>
    <w:rsid w:val="000E488B"/>
    <w:rsid w:val="000E697F"/>
    <w:rsid w:val="000E759E"/>
    <w:rsid w:val="000F09FA"/>
    <w:rsid w:val="000F0C42"/>
    <w:rsid w:val="000F0C57"/>
    <w:rsid w:val="000F3240"/>
    <w:rsid w:val="000F33B7"/>
    <w:rsid w:val="000F3D56"/>
    <w:rsid w:val="000F4901"/>
    <w:rsid w:val="000F77A1"/>
    <w:rsid w:val="00100190"/>
    <w:rsid w:val="0010071B"/>
    <w:rsid w:val="00100B5A"/>
    <w:rsid w:val="00100C96"/>
    <w:rsid w:val="001011D3"/>
    <w:rsid w:val="001026CE"/>
    <w:rsid w:val="00103563"/>
    <w:rsid w:val="00103C3B"/>
    <w:rsid w:val="00104C95"/>
    <w:rsid w:val="0010502A"/>
    <w:rsid w:val="00105964"/>
    <w:rsid w:val="00105EEA"/>
    <w:rsid w:val="0010796D"/>
    <w:rsid w:val="00107C31"/>
    <w:rsid w:val="0011009E"/>
    <w:rsid w:val="00111321"/>
    <w:rsid w:val="00112551"/>
    <w:rsid w:val="00112798"/>
    <w:rsid w:val="00113B99"/>
    <w:rsid w:val="001157D4"/>
    <w:rsid w:val="00115AAC"/>
    <w:rsid w:val="001160DC"/>
    <w:rsid w:val="001174E9"/>
    <w:rsid w:val="00117C92"/>
    <w:rsid w:val="00117E3B"/>
    <w:rsid w:val="0012027E"/>
    <w:rsid w:val="00120517"/>
    <w:rsid w:val="001206FD"/>
    <w:rsid w:val="00120D30"/>
    <w:rsid w:val="00121755"/>
    <w:rsid w:val="00121A71"/>
    <w:rsid w:val="00121CE5"/>
    <w:rsid w:val="001229E4"/>
    <w:rsid w:val="00123956"/>
    <w:rsid w:val="0012469E"/>
    <w:rsid w:val="001260B7"/>
    <w:rsid w:val="001261F7"/>
    <w:rsid w:val="00126820"/>
    <w:rsid w:val="00126B4C"/>
    <w:rsid w:val="00127179"/>
    <w:rsid w:val="001277DE"/>
    <w:rsid w:val="00130542"/>
    <w:rsid w:val="00130976"/>
    <w:rsid w:val="00131D21"/>
    <w:rsid w:val="001321B5"/>
    <w:rsid w:val="001325CC"/>
    <w:rsid w:val="0013263E"/>
    <w:rsid w:val="001350CF"/>
    <w:rsid w:val="00135CFD"/>
    <w:rsid w:val="00136423"/>
    <w:rsid w:val="00136D8F"/>
    <w:rsid w:val="001400D9"/>
    <w:rsid w:val="001405F7"/>
    <w:rsid w:val="00141212"/>
    <w:rsid w:val="001423BE"/>
    <w:rsid w:val="00143298"/>
    <w:rsid w:val="00143306"/>
    <w:rsid w:val="001444D0"/>
    <w:rsid w:val="00145F9B"/>
    <w:rsid w:val="00146623"/>
    <w:rsid w:val="00146A0C"/>
    <w:rsid w:val="00147A09"/>
    <w:rsid w:val="00147C3E"/>
    <w:rsid w:val="00150694"/>
    <w:rsid w:val="00152C17"/>
    <w:rsid w:val="00153636"/>
    <w:rsid w:val="00153D0C"/>
    <w:rsid w:val="00154980"/>
    <w:rsid w:val="001550A8"/>
    <w:rsid w:val="001564C7"/>
    <w:rsid w:val="0015661F"/>
    <w:rsid w:val="00157380"/>
    <w:rsid w:val="00160225"/>
    <w:rsid w:val="00160A5C"/>
    <w:rsid w:val="0016197D"/>
    <w:rsid w:val="001624F7"/>
    <w:rsid w:val="001630BB"/>
    <w:rsid w:val="00163B63"/>
    <w:rsid w:val="00163BB6"/>
    <w:rsid w:val="00166923"/>
    <w:rsid w:val="00166A97"/>
    <w:rsid w:val="001671A1"/>
    <w:rsid w:val="00167433"/>
    <w:rsid w:val="00167EAD"/>
    <w:rsid w:val="00170890"/>
    <w:rsid w:val="00170BFE"/>
    <w:rsid w:val="00171AEF"/>
    <w:rsid w:val="00177121"/>
    <w:rsid w:val="00177575"/>
    <w:rsid w:val="0017789C"/>
    <w:rsid w:val="00177B9B"/>
    <w:rsid w:val="00177F7C"/>
    <w:rsid w:val="0018063B"/>
    <w:rsid w:val="0018066B"/>
    <w:rsid w:val="00181C54"/>
    <w:rsid w:val="00182DD0"/>
    <w:rsid w:val="001838A6"/>
    <w:rsid w:val="0018392B"/>
    <w:rsid w:val="00183BBC"/>
    <w:rsid w:val="001845E3"/>
    <w:rsid w:val="001850B3"/>
    <w:rsid w:val="001852C0"/>
    <w:rsid w:val="001854FA"/>
    <w:rsid w:val="00187ECF"/>
    <w:rsid w:val="0019177E"/>
    <w:rsid w:val="0019280D"/>
    <w:rsid w:val="00192AF4"/>
    <w:rsid w:val="00192B54"/>
    <w:rsid w:val="00194D11"/>
    <w:rsid w:val="001950F5"/>
    <w:rsid w:val="00196A0B"/>
    <w:rsid w:val="0019797C"/>
    <w:rsid w:val="001A175F"/>
    <w:rsid w:val="001A3870"/>
    <w:rsid w:val="001A3D67"/>
    <w:rsid w:val="001A4586"/>
    <w:rsid w:val="001A5E25"/>
    <w:rsid w:val="001A62D1"/>
    <w:rsid w:val="001A67FE"/>
    <w:rsid w:val="001A7100"/>
    <w:rsid w:val="001A7181"/>
    <w:rsid w:val="001A7B85"/>
    <w:rsid w:val="001A7BA0"/>
    <w:rsid w:val="001B01EF"/>
    <w:rsid w:val="001B0467"/>
    <w:rsid w:val="001B051A"/>
    <w:rsid w:val="001B081E"/>
    <w:rsid w:val="001B0AE3"/>
    <w:rsid w:val="001B1B58"/>
    <w:rsid w:val="001B2934"/>
    <w:rsid w:val="001B306D"/>
    <w:rsid w:val="001B4E41"/>
    <w:rsid w:val="001B50D7"/>
    <w:rsid w:val="001B5237"/>
    <w:rsid w:val="001B6C1F"/>
    <w:rsid w:val="001B6D16"/>
    <w:rsid w:val="001B7529"/>
    <w:rsid w:val="001C0C01"/>
    <w:rsid w:val="001C0F64"/>
    <w:rsid w:val="001C2070"/>
    <w:rsid w:val="001C323D"/>
    <w:rsid w:val="001C3655"/>
    <w:rsid w:val="001C3733"/>
    <w:rsid w:val="001C6395"/>
    <w:rsid w:val="001C6529"/>
    <w:rsid w:val="001C766E"/>
    <w:rsid w:val="001C7EEE"/>
    <w:rsid w:val="001D020E"/>
    <w:rsid w:val="001D095D"/>
    <w:rsid w:val="001D1000"/>
    <w:rsid w:val="001D12F8"/>
    <w:rsid w:val="001D2222"/>
    <w:rsid w:val="001D27EF"/>
    <w:rsid w:val="001D29A2"/>
    <w:rsid w:val="001D3CFF"/>
    <w:rsid w:val="001D55B4"/>
    <w:rsid w:val="001D5B53"/>
    <w:rsid w:val="001D6FA7"/>
    <w:rsid w:val="001D71BD"/>
    <w:rsid w:val="001D72E7"/>
    <w:rsid w:val="001D7510"/>
    <w:rsid w:val="001D7F02"/>
    <w:rsid w:val="001E03A9"/>
    <w:rsid w:val="001E13BE"/>
    <w:rsid w:val="001E1C5C"/>
    <w:rsid w:val="001E2DB7"/>
    <w:rsid w:val="001E445E"/>
    <w:rsid w:val="001E464E"/>
    <w:rsid w:val="001E5597"/>
    <w:rsid w:val="001E59AF"/>
    <w:rsid w:val="001E6612"/>
    <w:rsid w:val="001E7B77"/>
    <w:rsid w:val="001F0937"/>
    <w:rsid w:val="001F0A6C"/>
    <w:rsid w:val="001F0C16"/>
    <w:rsid w:val="001F14E1"/>
    <w:rsid w:val="001F2C04"/>
    <w:rsid w:val="001F2F8E"/>
    <w:rsid w:val="001F3D72"/>
    <w:rsid w:val="001F3F09"/>
    <w:rsid w:val="001F4EA9"/>
    <w:rsid w:val="001F5955"/>
    <w:rsid w:val="001F5CB0"/>
    <w:rsid w:val="001F6241"/>
    <w:rsid w:val="001F6288"/>
    <w:rsid w:val="0020267F"/>
    <w:rsid w:val="002034EE"/>
    <w:rsid w:val="00204DC2"/>
    <w:rsid w:val="0020518F"/>
    <w:rsid w:val="00206D99"/>
    <w:rsid w:val="00206E15"/>
    <w:rsid w:val="002077F9"/>
    <w:rsid w:val="0021023C"/>
    <w:rsid w:val="00210554"/>
    <w:rsid w:val="00212269"/>
    <w:rsid w:val="0021245C"/>
    <w:rsid w:val="002131DF"/>
    <w:rsid w:val="00216FAC"/>
    <w:rsid w:val="002202B7"/>
    <w:rsid w:val="00220BAD"/>
    <w:rsid w:val="00222686"/>
    <w:rsid w:val="00222A31"/>
    <w:rsid w:val="00222B7E"/>
    <w:rsid w:val="0022491F"/>
    <w:rsid w:val="002254FE"/>
    <w:rsid w:val="00225868"/>
    <w:rsid w:val="002258E1"/>
    <w:rsid w:val="00226881"/>
    <w:rsid w:val="00226D49"/>
    <w:rsid w:val="0022734B"/>
    <w:rsid w:val="00227B05"/>
    <w:rsid w:val="00227DBD"/>
    <w:rsid w:val="00227E78"/>
    <w:rsid w:val="0023003B"/>
    <w:rsid w:val="0023060F"/>
    <w:rsid w:val="00230B11"/>
    <w:rsid w:val="00231D4E"/>
    <w:rsid w:val="00233789"/>
    <w:rsid w:val="00234519"/>
    <w:rsid w:val="002352E6"/>
    <w:rsid w:val="00235609"/>
    <w:rsid w:val="00235AFA"/>
    <w:rsid w:val="0023630C"/>
    <w:rsid w:val="00236F3B"/>
    <w:rsid w:val="00237246"/>
    <w:rsid w:val="00240F8E"/>
    <w:rsid w:val="0024168A"/>
    <w:rsid w:val="002421CA"/>
    <w:rsid w:val="002425F8"/>
    <w:rsid w:val="00242965"/>
    <w:rsid w:val="00243235"/>
    <w:rsid w:val="00243D40"/>
    <w:rsid w:val="00243E50"/>
    <w:rsid w:val="0024420B"/>
    <w:rsid w:val="0024460E"/>
    <w:rsid w:val="002447F1"/>
    <w:rsid w:val="00244AA5"/>
    <w:rsid w:val="002452F1"/>
    <w:rsid w:val="0024570C"/>
    <w:rsid w:val="00246490"/>
    <w:rsid w:val="0024693F"/>
    <w:rsid w:val="00246A03"/>
    <w:rsid w:val="00250126"/>
    <w:rsid w:val="0025064F"/>
    <w:rsid w:val="00250767"/>
    <w:rsid w:val="002508EE"/>
    <w:rsid w:val="002525D7"/>
    <w:rsid w:val="00252DA6"/>
    <w:rsid w:val="002533D2"/>
    <w:rsid w:val="00253B2E"/>
    <w:rsid w:val="002548F6"/>
    <w:rsid w:val="00254A01"/>
    <w:rsid w:val="002552A8"/>
    <w:rsid w:val="002560D1"/>
    <w:rsid w:val="00256320"/>
    <w:rsid w:val="0025729C"/>
    <w:rsid w:val="00257955"/>
    <w:rsid w:val="00257CB2"/>
    <w:rsid w:val="00260203"/>
    <w:rsid w:val="00260DF8"/>
    <w:rsid w:val="00260FC9"/>
    <w:rsid w:val="0026184B"/>
    <w:rsid w:val="00261E1D"/>
    <w:rsid w:val="00262424"/>
    <w:rsid w:val="002628A5"/>
    <w:rsid w:val="00262AFF"/>
    <w:rsid w:val="002644FA"/>
    <w:rsid w:val="002649D7"/>
    <w:rsid w:val="002655DA"/>
    <w:rsid w:val="00266FAB"/>
    <w:rsid w:val="00267900"/>
    <w:rsid w:val="00267E6E"/>
    <w:rsid w:val="00271EDE"/>
    <w:rsid w:val="00272A5B"/>
    <w:rsid w:val="00272DB9"/>
    <w:rsid w:val="00273759"/>
    <w:rsid w:val="00273D3E"/>
    <w:rsid w:val="00273FA2"/>
    <w:rsid w:val="00275C79"/>
    <w:rsid w:val="00276396"/>
    <w:rsid w:val="002765F8"/>
    <w:rsid w:val="00277E46"/>
    <w:rsid w:val="0028035D"/>
    <w:rsid w:val="002810E1"/>
    <w:rsid w:val="002816E4"/>
    <w:rsid w:val="00282306"/>
    <w:rsid w:val="0028263F"/>
    <w:rsid w:val="0028333B"/>
    <w:rsid w:val="00283C28"/>
    <w:rsid w:val="002844D5"/>
    <w:rsid w:val="00285045"/>
    <w:rsid w:val="00285F77"/>
    <w:rsid w:val="002860E3"/>
    <w:rsid w:val="00286130"/>
    <w:rsid w:val="00287659"/>
    <w:rsid w:val="002901A9"/>
    <w:rsid w:val="0029039F"/>
    <w:rsid w:val="00290DC2"/>
    <w:rsid w:val="00291107"/>
    <w:rsid w:val="002912EE"/>
    <w:rsid w:val="00291AC0"/>
    <w:rsid w:val="00291EA6"/>
    <w:rsid w:val="00293D7C"/>
    <w:rsid w:val="00294132"/>
    <w:rsid w:val="00296206"/>
    <w:rsid w:val="0029630F"/>
    <w:rsid w:val="00296539"/>
    <w:rsid w:val="002970EC"/>
    <w:rsid w:val="0029781D"/>
    <w:rsid w:val="002A2B12"/>
    <w:rsid w:val="002A3236"/>
    <w:rsid w:val="002A409B"/>
    <w:rsid w:val="002A423A"/>
    <w:rsid w:val="002A4FF7"/>
    <w:rsid w:val="002A5F4C"/>
    <w:rsid w:val="002A625E"/>
    <w:rsid w:val="002B2410"/>
    <w:rsid w:val="002B406B"/>
    <w:rsid w:val="002B40BB"/>
    <w:rsid w:val="002B5B75"/>
    <w:rsid w:val="002B5E37"/>
    <w:rsid w:val="002B6C8D"/>
    <w:rsid w:val="002B73C5"/>
    <w:rsid w:val="002C088C"/>
    <w:rsid w:val="002C0A44"/>
    <w:rsid w:val="002C0B5A"/>
    <w:rsid w:val="002C1C9D"/>
    <w:rsid w:val="002C1D61"/>
    <w:rsid w:val="002C24B9"/>
    <w:rsid w:val="002C2826"/>
    <w:rsid w:val="002C2DBE"/>
    <w:rsid w:val="002C314E"/>
    <w:rsid w:val="002C4048"/>
    <w:rsid w:val="002C4524"/>
    <w:rsid w:val="002C6530"/>
    <w:rsid w:val="002C690F"/>
    <w:rsid w:val="002C729F"/>
    <w:rsid w:val="002C7D8D"/>
    <w:rsid w:val="002D2C6A"/>
    <w:rsid w:val="002D2E89"/>
    <w:rsid w:val="002D3AF1"/>
    <w:rsid w:val="002D4B6A"/>
    <w:rsid w:val="002D513C"/>
    <w:rsid w:val="002D569E"/>
    <w:rsid w:val="002D5933"/>
    <w:rsid w:val="002D5EA9"/>
    <w:rsid w:val="002D602A"/>
    <w:rsid w:val="002D6DCC"/>
    <w:rsid w:val="002D729F"/>
    <w:rsid w:val="002D7633"/>
    <w:rsid w:val="002D783E"/>
    <w:rsid w:val="002E051F"/>
    <w:rsid w:val="002E0A4B"/>
    <w:rsid w:val="002E0BE6"/>
    <w:rsid w:val="002E14E8"/>
    <w:rsid w:val="002E1A83"/>
    <w:rsid w:val="002E1BC7"/>
    <w:rsid w:val="002E212C"/>
    <w:rsid w:val="002E24C0"/>
    <w:rsid w:val="002E25C3"/>
    <w:rsid w:val="002E3119"/>
    <w:rsid w:val="002E3140"/>
    <w:rsid w:val="002E33BD"/>
    <w:rsid w:val="002E35A8"/>
    <w:rsid w:val="002E4A81"/>
    <w:rsid w:val="002E5F39"/>
    <w:rsid w:val="002E6954"/>
    <w:rsid w:val="002E7797"/>
    <w:rsid w:val="002F034E"/>
    <w:rsid w:val="002F196F"/>
    <w:rsid w:val="002F1FD8"/>
    <w:rsid w:val="002F3525"/>
    <w:rsid w:val="002F51BB"/>
    <w:rsid w:val="002F577F"/>
    <w:rsid w:val="002F67A1"/>
    <w:rsid w:val="002F67DE"/>
    <w:rsid w:val="002F78C3"/>
    <w:rsid w:val="003006AC"/>
    <w:rsid w:val="003023E1"/>
    <w:rsid w:val="00303042"/>
    <w:rsid w:val="003031A1"/>
    <w:rsid w:val="00303526"/>
    <w:rsid w:val="00304D17"/>
    <w:rsid w:val="00305462"/>
    <w:rsid w:val="00306F87"/>
    <w:rsid w:val="0030705C"/>
    <w:rsid w:val="00307932"/>
    <w:rsid w:val="00307B54"/>
    <w:rsid w:val="003103E3"/>
    <w:rsid w:val="00310FDE"/>
    <w:rsid w:val="00311314"/>
    <w:rsid w:val="003115D8"/>
    <w:rsid w:val="00311723"/>
    <w:rsid w:val="00311B29"/>
    <w:rsid w:val="00312006"/>
    <w:rsid w:val="00313140"/>
    <w:rsid w:val="003133E8"/>
    <w:rsid w:val="003137F9"/>
    <w:rsid w:val="00313B37"/>
    <w:rsid w:val="003143C8"/>
    <w:rsid w:val="003148FC"/>
    <w:rsid w:val="00314C40"/>
    <w:rsid w:val="00315296"/>
    <w:rsid w:val="003156B0"/>
    <w:rsid w:val="00315855"/>
    <w:rsid w:val="003176F4"/>
    <w:rsid w:val="003205CC"/>
    <w:rsid w:val="00320FFB"/>
    <w:rsid w:val="0032216E"/>
    <w:rsid w:val="0032291F"/>
    <w:rsid w:val="003234A0"/>
    <w:rsid w:val="00324580"/>
    <w:rsid w:val="0032579E"/>
    <w:rsid w:val="00325B09"/>
    <w:rsid w:val="00325CBD"/>
    <w:rsid w:val="003266A2"/>
    <w:rsid w:val="00326C6C"/>
    <w:rsid w:val="00326EF7"/>
    <w:rsid w:val="00327547"/>
    <w:rsid w:val="00327931"/>
    <w:rsid w:val="00330146"/>
    <w:rsid w:val="003302C4"/>
    <w:rsid w:val="0033055E"/>
    <w:rsid w:val="003309AC"/>
    <w:rsid w:val="0033178A"/>
    <w:rsid w:val="00331D42"/>
    <w:rsid w:val="003325D7"/>
    <w:rsid w:val="00332C5C"/>
    <w:rsid w:val="00333285"/>
    <w:rsid w:val="0033337C"/>
    <w:rsid w:val="003341F8"/>
    <w:rsid w:val="0033483A"/>
    <w:rsid w:val="00335876"/>
    <w:rsid w:val="00336D5D"/>
    <w:rsid w:val="0034042B"/>
    <w:rsid w:val="00340A0F"/>
    <w:rsid w:val="00340F8C"/>
    <w:rsid w:val="00341D60"/>
    <w:rsid w:val="003423D4"/>
    <w:rsid w:val="00342B41"/>
    <w:rsid w:val="00342C31"/>
    <w:rsid w:val="003440BB"/>
    <w:rsid w:val="003440CF"/>
    <w:rsid w:val="003440D7"/>
    <w:rsid w:val="00344319"/>
    <w:rsid w:val="00346AC2"/>
    <w:rsid w:val="00346E55"/>
    <w:rsid w:val="00347B8D"/>
    <w:rsid w:val="00347F69"/>
    <w:rsid w:val="0035067B"/>
    <w:rsid w:val="00350B80"/>
    <w:rsid w:val="00350B87"/>
    <w:rsid w:val="00352ACC"/>
    <w:rsid w:val="00352C8F"/>
    <w:rsid w:val="00353134"/>
    <w:rsid w:val="003533CD"/>
    <w:rsid w:val="00353555"/>
    <w:rsid w:val="00353A14"/>
    <w:rsid w:val="00354241"/>
    <w:rsid w:val="00354410"/>
    <w:rsid w:val="00356BB7"/>
    <w:rsid w:val="00357059"/>
    <w:rsid w:val="00357D59"/>
    <w:rsid w:val="00360A71"/>
    <w:rsid w:val="00361DD4"/>
    <w:rsid w:val="003621E4"/>
    <w:rsid w:val="00362232"/>
    <w:rsid w:val="00364094"/>
    <w:rsid w:val="00364407"/>
    <w:rsid w:val="00365006"/>
    <w:rsid w:val="0036533B"/>
    <w:rsid w:val="00366AE9"/>
    <w:rsid w:val="00372048"/>
    <w:rsid w:val="00373C4A"/>
    <w:rsid w:val="00373E52"/>
    <w:rsid w:val="0037435B"/>
    <w:rsid w:val="003746F7"/>
    <w:rsid w:val="0037694B"/>
    <w:rsid w:val="00377D0C"/>
    <w:rsid w:val="00380CC7"/>
    <w:rsid w:val="00380E53"/>
    <w:rsid w:val="00381028"/>
    <w:rsid w:val="00381EB8"/>
    <w:rsid w:val="00382319"/>
    <w:rsid w:val="0038250C"/>
    <w:rsid w:val="00383228"/>
    <w:rsid w:val="00383686"/>
    <w:rsid w:val="00386357"/>
    <w:rsid w:val="00386555"/>
    <w:rsid w:val="0038717F"/>
    <w:rsid w:val="00390DEC"/>
    <w:rsid w:val="00393803"/>
    <w:rsid w:val="00393B27"/>
    <w:rsid w:val="003948D0"/>
    <w:rsid w:val="0039598A"/>
    <w:rsid w:val="003959D6"/>
    <w:rsid w:val="0039661B"/>
    <w:rsid w:val="0039713A"/>
    <w:rsid w:val="0039732B"/>
    <w:rsid w:val="00397575"/>
    <w:rsid w:val="003A0111"/>
    <w:rsid w:val="003A01F9"/>
    <w:rsid w:val="003A087C"/>
    <w:rsid w:val="003A0889"/>
    <w:rsid w:val="003A0946"/>
    <w:rsid w:val="003A1623"/>
    <w:rsid w:val="003A187F"/>
    <w:rsid w:val="003A221E"/>
    <w:rsid w:val="003A3ECE"/>
    <w:rsid w:val="003A4EC5"/>
    <w:rsid w:val="003A5993"/>
    <w:rsid w:val="003A5BA7"/>
    <w:rsid w:val="003A76AF"/>
    <w:rsid w:val="003A7FCC"/>
    <w:rsid w:val="003B0063"/>
    <w:rsid w:val="003B035B"/>
    <w:rsid w:val="003B03FC"/>
    <w:rsid w:val="003B04A3"/>
    <w:rsid w:val="003B0CE0"/>
    <w:rsid w:val="003B1370"/>
    <w:rsid w:val="003B1709"/>
    <w:rsid w:val="003B392C"/>
    <w:rsid w:val="003B4369"/>
    <w:rsid w:val="003B5920"/>
    <w:rsid w:val="003B5F77"/>
    <w:rsid w:val="003B625D"/>
    <w:rsid w:val="003B65E3"/>
    <w:rsid w:val="003B79AA"/>
    <w:rsid w:val="003C0065"/>
    <w:rsid w:val="003C04A6"/>
    <w:rsid w:val="003C0C71"/>
    <w:rsid w:val="003C106C"/>
    <w:rsid w:val="003C24BA"/>
    <w:rsid w:val="003C5368"/>
    <w:rsid w:val="003C6056"/>
    <w:rsid w:val="003C6750"/>
    <w:rsid w:val="003C6CD0"/>
    <w:rsid w:val="003C7542"/>
    <w:rsid w:val="003D1B3B"/>
    <w:rsid w:val="003D2393"/>
    <w:rsid w:val="003D291C"/>
    <w:rsid w:val="003D2AD9"/>
    <w:rsid w:val="003D3DE2"/>
    <w:rsid w:val="003D4E24"/>
    <w:rsid w:val="003D5027"/>
    <w:rsid w:val="003D57B0"/>
    <w:rsid w:val="003D5EBB"/>
    <w:rsid w:val="003D63F6"/>
    <w:rsid w:val="003D6FC9"/>
    <w:rsid w:val="003D735D"/>
    <w:rsid w:val="003D7A3C"/>
    <w:rsid w:val="003D7A87"/>
    <w:rsid w:val="003E0479"/>
    <w:rsid w:val="003E0817"/>
    <w:rsid w:val="003E1C58"/>
    <w:rsid w:val="003E241A"/>
    <w:rsid w:val="003E2A8B"/>
    <w:rsid w:val="003E4A4E"/>
    <w:rsid w:val="003E5647"/>
    <w:rsid w:val="003E6104"/>
    <w:rsid w:val="003E70F6"/>
    <w:rsid w:val="003E7F72"/>
    <w:rsid w:val="003F0949"/>
    <w:rsid w:val="003F1C3A"/>
    <w:rsid w:val="003F1ECF"/>
    <w:rsid w:val="003F360B"/>
    <w:rsid w:val="003F48ED"/>
    <w:rsid w:val="003F4D0E"/>
    <w:rsid w:val="003F4E56"/>
    <w:rsid w:val="003F59F0"/>
    <w:rsid w:val="003F6766"/>
    <w:rsid w:val="003F6D6D"/>
    <w:rsid w:val="003F6DD7"/>
    <w:rsid w:val="004001EA"/>
    <w:rsid w:val="00400352"/>
    <w:rsid w:val="004003E7"/>
    <w:rsid w:val="00400B55"/>
    <w:rsid w:val="00401C3A"/>
    <w:rsid w:val="00402113"/>
    <w:rsid w:val="00402C89"/>
    <w:rsid w:val="00403456"/>
    <w:rsid w:val="00405198"/>
    <w:rsid w:val="004052DA"/>
    <w:rsid w:val="0040585F"/>
    <w:rsid w:val="00406124"/>
    <w:rsid w:val="004064FE"/>
    <w:rsid w:val="00406AAC"/>
    <w:rsid w:val="00407009"/>
    <w:rsid w:val="00407426"/>
    <w:rsid w:val="0040769B"/>
    <w:rsid w:val="00407D31"/>
    <w:rsid w:val="00410DAD"/>
    <w:rsid w:val="0041205C"/>
    <w:rsid w:val="004137A7"/>
    <w:rsid w:val="00413A9C"/>
    <w:rsid w:val="00414710"/>
    <w:rsid w:val="00414A54"/>
    <w:rsid w:val="00415001"/>
    <w:rsid w:val="004154B6"/>
    <w:rsid w:val="0041556E"/>
    <w:rsid w:val="004168FB"/>
    <w:rsid w:val="00417A56"/>
    <w:rsid w:val="00420D9F"/>
    <w:rsid w:val="0042114E"/>
    <w:rsid w:val="00421730"/>
    <w:rsid w:val="00421C00"/>
    <w:rsid w:val="00423E9B"/>
    <w:rsid w:val="0042510E"/>
    <w:rsid w:val="00425E34"/>
    <w:rsid w:val="00427021"/>
    <w:rsid w:val="004300F6"/>
    <w:rsid w:val="00431710"/>
    <w:rsid w:val="0043192E"/>
    <w:rsid w:val="00431C80"/>
    <w:rsid w:val="0043207E"/>
    <w:rsid w:val="004325CF"/>
    <w:rsid w:val="0043277C"/>
    <w:rsid w:val="0043315A"/>
    <w:rsid w:val="0043388E"/>
    <w:rsid w:val="0043408A"/>
    <w:rsid w:val="004356DE"/>
    <w:rsid w:val="00436CCF"/>
    <w:rsid w:val="00437621"/>
    <w:rsid w:val="00437666"/>
    <w:rsid w:val="00437F18"/>
    <w:rsid w:val="004407EF"/>
    <w:rsid w:val="00440974"/>
    <w:rsid w:val="00440B57"/>
    <w:rsid w:val="00442C40"/>
    <w:rsid w:val="004433D5"/>
    <w:rsid w:val="00446905"/>
    <w:rsid w:val="00447451"/>
    <w:rsid w:val="00447596"/>
    <w:rsid w:val="004500EE"/>
    <w:rsid w:val="004501B3"/>
    <w:rsid w:val="004504E5"/>
    <w:rsid w:val="004507F6"/>
    <w:rsid w:val="00450DBD"/>
    <w:rsid w:val="00450FAB"/>
    <w:rsid w:val="0045128C"/>
    <w:rsid w:val="00452BEB"/>
    <w:rsid w:val="00452C78"/>
    <w:rsid w:val="00453C00"/>
    <w:rsid w:val="00453E61"/>
    <w:rsid w:val="00454300"/>
    <w:rsid w:val="00454B70"/>
    <w:rsid w:val="00454F5F"/>
    <w:rsid w:val="00457092"/>
    <w:rsid w:val="004577AF"/>
    <w:rsid w:val="00461211"/>
    <w:rsid w:val="004628BD"/>
    <w:rsid w:val="00463673"/>
    <w:rsid w:val="00463CAB"/>
    <w:rsid w:val="00464252"/>
    <w:rsid w:val="0046466D"/>
    <w:rsid w:val="004655E8"/>
    <w:rsid w:val="00466497"/>
    <w:rsid w:val="004665C7"/>
    <w:rsid w:val="00466766"/>
    <w:rsid w:val="00466DBC"/>
    <w:rsid w:val="00467955"/>
    <w:rsid w:val="00467E2E"/>
    <w:rsid w:val="0047087C"/>
    <w:rsid w:val="00470B58"/>
    <w:rsid w:val="00471101"/>
    <w:rsid w:val="004723D5"/>
    <w:rsid w:val="004728EB"/>
    <w:rsid w:val="00473F0D"/>
    <w:rsid w:val="0047434E"/>
    <w:rsid w:val="0047522C"/>
    <w:rsid w:val="00476534"/>
    <w:rsid w:val="00476CAF"/>
    <w:rsid w:val="0047785F"/>
    <w:rsid w:val="004778CB"/>
    <w:rsid w:val="00480611"/>
    <w:rsid w:val="00481DE9"/>
    <w:rsid w:val="004821BF"/>
    <w:rsid w:val="00484E8A"/>
    <w:rsid w:val="0048592C"/>
    <w:rsid w:val="0048674B"/>
    <w:rsid w:val="004916D8"/>
    <w:rsid w:val="00491C2E"/>
    <w:rsid w:val="00492ACE"/>
    <w:rsid w:val="00492B32"/>
    <w:rsid w:val="00495716"/>
    <w:rsid w:val="00495A35"/>
    <w:rsid w:val="004968E4"/>
    <w:rsid w:val="004976BC"/>
    <w:rsid w:val="004976C0"/>
    <w:rsid w:val="004A0046"/>
    <w:rsid w:val="004A16D6"/>
    <w:rsid w:val="004A1D3B"/>
    <w:rsid w:val="004A23EC"/>
    <w:rsid w:val="004A24C8"/>
    <w:rsid w:val="004A2B49"/>
    <w:rsid w:val="004A3ABF"/>
    <w:rsid w:val="004A45B0"/>
    <w:rsid w:val="004A46FA"/>
    <w:rsid w:val="004A5B17"/>
    <w:rsid w:val="004A5BBD"/>
    <w:rsid w:val="004A73B7"/>
    <w:rsid w:val="004A7CA3"/>
    <w:rsid w:val="004B0B83"/>
    <w:rsid w:val="004B1C43"/>
    <w:rsid w:val="004B225D"/>
    <w:rsid w:val="004B2BC5"/>
    <w:rsid w:val="004B2CF9"/>
    <w:rsid w:val="004B3384"/>
    <w:rsid w:val="004B3968"/>
    <w:rsid w:val="004B3A3E"/>
    <w:rsid w:val="004B3C06"/>
    <w:rsid w:val="004B416A"/>
    <w:rsid w:val="004B4681"/>
    <w:rsid w:val="004B4A05"/>
    <w:rsid w:val="004B4E47"/>
    <w:rsid w:val="004B53C6"/>
    <w:rsid w:val="004B5650"/>
    <w:rsid w:val="004B5A71"/>
    <w:rsid w:val="004B5C55"/>
    <w:rsid w:val="004B5CC6"/>
    <w:rsid w:val="004B5DBC"/>
    <w:rsid w:val="004B72FD"/>
    <w:rsid w:val="004C026C"/>
    <w:rsid w:val="004C1008"/>
    <w:rsid w:val="004C390B"/>
    <w:rsid w:val="004C3D10"/>
    <w:rsid w:val="004C5030"/>
    <w:rsid w:val="004C50A4"/>
    <w:rsid w:val="004C6546"/>
    <w:rsid w:val="004C69BB"/>
    <w:rsid w:val="004C7F59"/>
    <w:rsid w:val="004D0EEF"/>
    <w:rsid w:val="004D1CF2"/>
    <w:rsid w:val="004D2496"/>
    <w:rsid w:val="004D30B7"/>
    <w:rsid w:val="004D3946"/>
    <w:rsid w:val="004D3FA6"/>
    <w:rsid w:val="004D5CC6"/>
    <w:rsid w:val="004D72F5"/>
    <w:rsid w:val="004E0D28"/>
    <w:rsid w:val="004E1153"/>
    <w:rsid w:val="004E1636"/>
    <w:rsid w:val="004E2CE6"/>
    <w:rsid w:val="004E3C31"/>
    <w:rsid w:val="004E3D3E"/>
    <w:rsid w:val="004E3F71"/>
    <w:rsid w:val="004E4462"/>
    <w:rsid w:val="004E562D"/>
    <w:rsid w:val="004E57ED"/>
    <w:rsid w:val="004E5CCE"/>
    <w:rsid w:val="004E6D2A"/>
    <w:rsid w:val="004E6FAB"/>
    <w:rsid w:val="004E7E63"/>
    <w:rsid w:val="004F2051"/>
    <w:rsid w:val="004F2192"/>
    <w:rsid w:val="004F345E"/>
    <w:rsid w:val="004F3C29"/>
    <w:rsid w:val="004F46E7"/>
    <w:rsid w:val="004F5D50"/>
    <w:rsid w:val="004F5E2B"/>
    <w:rsid w:val="004F6CD6"/>
    <w:rsid w:val="004F7156"/>
    <w:rsid w:val="004F733A"/>
    <w:rsid w:val="004F7DB4"/>
    <w:rsid w:val="0050016F"/>
    <w:rsid w:val="00500E31"/>
    <w:rsid w:val="00500F34"/>
    <w:rsid w:val="00501E72"/>
    <w:rsid w:val="00502006"/>
    <w:rsid w:val="005042E3"/>
    <w:rsid w:val="00504380"/>
    <w:rsid w:val="0050444F"/>
    <w:rsid w:val="00504CD5"/>
    <w:rsid w:val="00505051"/>
    <w:rsid w:val="005054B2"/>
    <w:rsid w:val="00506348"/>
    <w:rsid w:val="00506BD5"/>
    <w:rsid w:val="00507E06"/>
    <w:rsid w:val="00507E6D"/>
    <w:rsid w:val="0051023A"/>
    <w:rsid w:val="00511C2D"/>
    <w:rsid w:val="00512422"/>
    <w:rsid w:val="00513065"/>
    <w:rsid w:val="0051369D"/>
    <w:rsid w:val="00513F3B"/>
    <w:rsid w:val="00514625"/>
    <w:rsid w:val="00515779"/>
    <w:rsid w:val="00516542"/>
    <w:rsid w:val="0052169D"/>
    <w:rsid w:val="00522AF8"/>
    <w:rsid w:val="00522F59"/>
    <w:rsid w:val="00525365"/>
    <w:rsid w:val="0052581C"/>
    <w:rsid w:val="0052660E"/>
    <w:rsid w:val="00526AE6"/>
    <w:rsid w:val="00526C37"/>
    <w:rsid w:val="00526DC6"/>
    <w:rsid w:val="00527487"/>
    <w:rsid w:val="0052748E"/>
    <w:rsid w:val="005301A6"/>
    <w:rsid w:val="0053062B"/>
    <w:rsid w:val="00530A67"/>
    <w:rsid w:val="00531B76"/>
    <w:rsid w:val="00532C5D"/>
    <w:rsid w:val="00532F28"/>
    <w:rsid w:val="00535C5C"/>
    <w:rsid w:val="00535CCC"/>
    <w:rsid w:val="00535DA0"/>
    <w:rsid w:val="0053638C"/>
    <w:rsid w:val="00536C7B"/>
    <w:rsid w:val="005371F4"/>
    <w:rsid w:val="0053741C"/>
    <w:rsid w:val="00537942"/>
    <w:rsid w:val="00543D5F"/>
    <w:rsid w:val="00543E6F"/>
    <w:rsid w:val="00544901"/>
    <w:rsid w:val="005456A1"/>
    <w:rsid w:val="0054592D"/>
    <w:rsid w:val="00545A94"/>
    <w:rsid w:val="00546210"/>
    <w:rsid w:val="00546312"/>
    <w:rsid w:val="00546498"/>
    <w:rsid w:val="00546A30"/>
    <w:rsid w:val="00546A41"/>
    <w:rsid w:val="00547728"/>
    <w:rsid w:val="00547A0C"/>
    <w:rsid w:val="005507E2"/>
    <w:rsid w:val="00551FBB"/>
    <w:rsid w:val="00552D82"/>
    <w:rsid w:val="00553470"/>
    <w:rsid w:val="00553E42"/>
    <w:rsid w:val="00555B0B"/>
    <w:rsid w:val="00557159"/>
    <w:rsid w:val="00557162"/>
    <w:rsid w:val="00557657"/>
    <w:rsid w:val="005601F1"/>
    <w:rsid w:val="00560BB5"/>
    <w:rsid w:val="00560DED"/>
    <w:rsid w:val="00561011"/>
    <w:rsid w:val="005617B9"/>
    <w:rsid w:val="005618C9"/>
    <w:rsid w:val="0056193F"/>
    <w:rsid w:val="00563816"/>
    <w:rsid w:val="005649F5"/>
    <w:rsid w:val="00564A54"/>
    <w:rsid w:val="00564A6F"/>
    <w:rsid w:val="00564B33"/>
    <w:rsid w:val="00566ABA"/>
    <w:rsid w:val="00566C97"/>
    <w:rsid w:val="00567807"/>
    <w:rsid w:val="00567CBD"/>
    <w:rsid w:val="00567CD9"/>
    <w:rsid w:val="00570035"/>
    <w:rsid w:val="0057054B"/>
    <w:rsid w:val="00570589"/>
    <w:rsid w:val="005705C2"/>
    <w:rsid w:val="00570EF4"/>
    <w:rsid w:val="00571434"/>
    <w:rsid w:val="00571FC0"/>
    <w:rsid w:val="00572B00"/>
    <w:rsid w:val="00573439"/>
    <w:rsid w:val="00573753"/>
    <w:rsid w:val="005737D6"/>
    <w:rsid w:val="00576CA9"/>
    <w:rsid w:val="00577093"/>
    <w:rsid w:val="005773C5"/>
    <w:rsid w:val="005778CA"/>
    <w:rsid w:val="00577A35"/>
    <w:rsid w:val="005804F8"/>
    <w:rsid w:val="00580F5A"/>
    <w:rsid w:val="00581569"/>
    <w:rsid w:val="005815FE"/>
    <w:rsid w:val="0058194D"/>
    <w:rsid w:val="005826B8"/>
    <w:rsid w:val="00584B00"/>
    <w:rsid w:val="00585F59"/>
    <w:rsid w:val="00586478"/>
    <w:rsid w:val="0058664E"/>
    <w:rsid w:val="00587184"/>
    <w:rsid w:val="00593C5C"/>
    <w:rsid w:val="0059454D"/>
    <w:rsid w:val="0059457F"/>
    <w:rsid w:val="0059458C"/>
    <w:rsid w:val="005956D3"/>
    <w:rsid w:val="005958EB"/>
    <w:rsid w:val="00595D48"/>
    <w:rsid w:val="005960E1"/>
    <w:rsid w:val="0059633B"/>
    <w:rsid w:val="005A2412"/>
    <w:rsid w:val="005A263D"/>
    <w:rsid w:val="005A27F9"/>
    <w:rsid w:val="005A50B2"/>
    <w:rsid w:val="005A55AA"/>
    <w:rsid w:val="005A63DC"/>
    <w:rsid w:val="005A7782"/>
    <w:rsid w:val="005B1E22"/>
    <w:rsid w:val="005B2DDB"/>
    <w:rsid w:val="005B43CB"/>
    <w:rsid w:val="005B51E9"/>
    <w:rsid w:val="005B5E0A"/>
    <w:rsid w:val="005B7379"/>
    <w:rsid w:val="005B77A5"/>
    <w:rsid w:val="005C02FD"/>
    <w:rsid w:val="005C0EF7"/>
    <w:rsid w:val="005C12DE"/>
    <w:rsid w:val="005C2A49"/>
    <w:rsid w:val="005C2D97"/>
    <w:rsid w:val="005C3FEE"/>
    <w:rsid w:val="005C5D3C"/>
    <w:rsid w:val="005C642D"/>
    <w:rsid w:val="005C686C"/>
    <w:rsid w:val="005D04AA"/>
    <w:rsid w:val="005D2A0C"/>
    <w:rsid w:val="005D2DB4"/>
    <w:rsid w:val="005D2E04"/>
    <w:rsid w:val="005D36B6"/>
    <w:rsid w:val="005D3EFB"/>
    <w:rsid w:val="005D52D0"/>
    <w:rsid w:val="005D5C5C"/>
    <w:rsid w:val="005D6AA0"/>
    <w:rsid w:val="005D6DDF"/>
    <w:rsid w:val="005D7C85"/>
    <w:rsid w:val="005D7D32"/>
    <w:rsid w:val="005E0281"/>
    <w:rsid w:val="005E1823"/>
    <w:rsid w:val="005E1882"/>
    <w:rsid w:val="005E3EF8"/>
    <w:rsid w:val="005E400B"/>
    <w:rsid w:val="005E43C0"/>
    <w:rsid w:val="005E4A37"/>
    <w:rsid w:val="005E4E4A"/>
    <w:rsid w:val="005E5719"/>
    <w:rsid w:val="005E5FC0"/>
    <w:rsid w:val="005E6C07"/>
    <w:rsid w:val="005E75A7"/>
    <w:rsid w:val="005F015D"/>
    <w:rsid w:val="005F1524"/>
    <w:rsid w:val="005F1CDC"/>
    <w:rsid w:val="005F275A"/>
    <w:rsid w:val="005F364F"/>
    <w:rsid w:val="005F69E8"/>
    <w:rsid w:val="005F7A82"/>
    <w:rsid w:val="005F7DD2"/>
    <w:rsid w:val="005F7DE6"/>
    <w:rsid w:val="0060005F"/>
    <w:rsid w:val="0060029A"/>
    <w:rsid w:val="006008CE"/>
    <w:rsid w:val="0060094A"/>
    <w:rsid w:val="00600FD2"/>
    <w:rsid w:val="00601072"/>
    <w:rsid w:val="00601E85"/>
    <w:rsid w:val="006026C0"/>
    <w:rsid w:val="00602D26"/>
    <w:rsid w:val="00602D96"/>
    <w:rsid w:val="0060408F"/>
    <w:rsid w:val="00604683"/>
    <w:rsid w:val="00604B00"/>
    <w:rsid w:val="00605384"/>
    <w:rsid w:val="006056A8"/>
    <w:rsid w:val="00605A28"/>
    <w:rsid w:val="006109FD"/>
    <w:rsid w:val="0061122C"/>
    <w:rsid w:val="00612091"/>
    <w:rsid w:val="006138F4"/>
    <w:rsid w:val="00614155"/>
    <w:rsid w:val="0061488F"/>
    <w:rsid w:val="0062070F"/>
    <w:rsid w:val="006208C5"/>
    <w:rsid w:val="00620EA8"/>
    <w:rsid w:val="00621219"/>
    <w:rsid w:val="00621A1B"/>
    <w:rsid w:val="00621AE1"/>
    <w:rsid w:val="00621CD9"/>
    <w:rsid w:val="00622043"/>
    <w:rsid w:val="006222FA"/>
    <w:rsid w:val="00622DEA"/>
    <w:rsid w:val="0062357A"/>
    <w:rsid w:val="00623C50"/>
    <w:rsid w:val="00625421"/>
    <w:rsid w:val="0062784D"/>
    <w:rsid w:val="006303DF"/>
    <w:rsid w:val="00631BDC"/>
    <w:rsid w:val="00632372"/>
    <w:rsid w:val="0063301A"/>
    <w:rsid w:val="00633A4A"/>
    <w:rsid w:val="006368C0"/>
    <w:rsid w:val="006373DA"/>
    <w:rsid w:val="00637B01"/>
    <w:rsid w:val="0064013E"/>
    <w:rsid w:val="006404C0"/>
    <w:rsid w:val="00640725"/>
    <w:rsid w:val="00641A50"/>
    <w:rsid w:val="0064428D"/>
    <w:rsid w:val="00645665"/>
    <w:rsid w:val="00645E20"/>
    <w:rsid w:val="006462BC"/>
    <w:rsid w:val="006473D9"/>
    <w:rsid w:val="006478CC"/>
    <w:rsid w:val="00647B2F"/>
    <w:rsid w:val="0065043C"/>
    <w:rsid w:val="00652101"/>
    <w:rsid w:val="006529AE"/>
    <w:rsid w:val="00652CE9"/>
    <w:rsid w:val="00653EFC"/>
    <w:rsid w:val="00654A64"/>
    <w:rsid w:val="00654C70"/>
    <w:rsid w:val="00654DFE"/>
    <w:rsid w:val="00654E41"/>
    <w:rsid w:val="006577DF"/>
    <w:rsid w:val="00657B34"/>
    <w:rsid w:val="00657D8C"/>
    <w:rsid w:val="00657F63"/>
    <w:rsid w:val="00660006"/>
    <w:rsid w:val="00660311"/>
    <w:rsid w:val="00660A50"/>
    <w:rsid w:val="00662088"/>
    <w:rsid w:val="00663C92"/>
    <w:rsid w:val="00663E10"/>
    <w:rsid w:val="006656DA"/>
    <w:rsid w:val="00666755"/>
    <w:rsid w:val="00666D62"/>
    <w:rsid w:val="00667548"/>
    <w:rsid w:val="0067083C"/>
    <w:rsid w:val="00670D58"/>
    <w:rsid w:val="00671181"/>
    <w:rsid w:val="0067159E"/>
    <w:rsid w:val="00671971"/>
    <w:rsid w:val="00671D4B"/>
    <w:rsid w:val="00672558"/>
    <w:rsid w:val="0067302D"/>
    <w:rsid w:val="00673759"/>
    <w:rsid w:val="00673C1D"/>
    <w:rsid w:val="00674D4D"/>
    <w:rsid w:val="00675504"/>
    <w:rsid w:val="006758AD"/>
    <w:rsid w:val="00675CA9"/>
    <w:rsid w:val="00676089"/>
    <w:rsid w:val="00680031"/>
    <w:rsid w:val="00680F40"/>
    <w:rsid w:val="00681213"/>
    <w:rsid w:val="00681EC1"/>
    <w:rsid w:val="0068240C"/>
    <w:rsid w:val="006836B6"/>
    <w:rsid w:val="00684F2B"/>
    <w:rsid w:val="0068557D"/>
    <w:rsid w:val="00687309"/>
    <w:rsid w:val="00691577"/>
    <w:rsid w:val="006918C1"/>
    <w:rsid w:val="00693527"/>
    <w:rsid w:val="00693544"/>
    <w:rsid w:val="0069494B"/>
    <w:rsid w:val="00695A47"/>
    <w:rsid w:val="00695FEB"/>
    <w:rsid w:val="00697D15"/>
    <w:rsid w:val="006A07E4"/>
    <w:rsid w:val="006A0961"/>
    <w:rsid w:val="006A0EE8"/>
    <w:rsid w:val="006A165B"/>
    <w:rsid w:val="006A169F"/>
    <w:rsid w:val="006A16DB"/>
    <w:rsid w:val="006A20F5"/>
    <w:rsid w:val="006A27C1"/>
    <w:rsid w:val="006A28C3"/>
    <w:rsid w:val="006A2B3C"/>
    <w:rsid w:val="006A2D32"/>
    <w:rsid w:val="006A3031"/>
    <w:rsid w:val="006A38DA"/>
    <w:rsid w:val="006A3A63"/>
    <w:rsid w:val="006A3FAF"/>
    <w:rsid w:val="006A407D"/>
    <w:rsid w:val="006A44B1"/>
    <w:rsid w:val="006A5644"/>
    <w:rsid w:val="006A5BFC"/>
    <w:rsid w:val="006A6D31"/>
    <w:rsid w:val="006B0DFD"/>
    <w:rsid w:val="006B0E9B"/>
    <w:rsid w:val="006B2353"/>
    <w:rsid w:val="006B266D"/>
    <w:rsid w:val="006B294C"/>
    <w:rsid w:val="006B2AA5"/>
    <w:rsid w:val="006B31C0"/>
    <w:rsid w:val="006B4177"/>
    <w:rsid w:val="006B4F31"/>
    <w:rsid w:val="006B6893"/>
    <w:rsid w:val="006B7918"/>
    <w:rsid w:val="006C0853"/>
    <w:rsid w:val="006C2583"/>
    <w:rsid w:val="006C2BCB"/>
    <w:rsid w:val="006C2DA7"/>
    <w:rsid w:val="006C2E4C"/>
    <w:rsid w:val="006C2ED6"/>
    <w:rsid w:val="006C3019"/>
    <w:rsid w:val="006C31B9"/>
    <w:rsid w:val="006C4BA6"/>
    <w:rsid w:val="006C4F97"/>
    <w:rsid w:val="006C7B97"/>
    <w:rsid w:val="006C7E6A"/>
    <w:rsid w:val="006D052B"/>
    <w:rsid w:val="006D0DE1"/>
    <w:rsid w:val="006D1618"/>
    <w:rsid w:val="006D1890"/>
    <w:rsid w:val="006D2729"/>
    <w:rsid w:val="006D2D49"/>
    <w:rsid w:val="006D2EE6"/>
    <w:rsid w:val="006D49B1"/>
    <w:rsid w:val="006D4B51"/>
    <w:rsid w:val="006D4CB2"/>
    <w:rsid w:val="006D4EEA"/>
    <w:rsid w:val="006D5F30"/>
    <w:rsid w:val="006D5FEA"/>
    <w:rsid w:val="006D7BED"/>
    <w:rsid w:val="006E059D"/>
    <w:rsid w:val="006E0B8A"/>
    <w:rsid w:val="006E12B1"/>
    <w:rsid w:val="006E13C2"/>
    <w:rsid w:val="006E15E3"/>
    <w:rsid w:val="006E2604"/>
    <w:rsid w:val="006E2968"/>
    <w:rsid w:val="006E2A64"/>
    <w:rsid w:val="006E4648"/>
    <w:rsid w:val="006E4C2F"/>
    <w:rsid w:val="006E4E20"/>
    <w:rsid w:val="006E549F"/>
    <w:rsid w:val="006E5532"/>
    <w:rsid w:val="006E6C9B"/>
    <w:rsid w:val="006E7C0E"/>
    <w:rsid w:val="006F0B4C"/>
    <w:rsid w:val="006F2074"/>
    <w:rsid w:val="006F4086"/>
    <w:rsid w:val="006F44D5"/>
    <w:rsid w:val="006F51D1"/>
    <w:rsid w:val="006F5362"/>
    <w:rsid w:val="006F56CA"/>
    <w:rsid w:val="006F6EB4"/>
    <w:rsid w:val="006F7549"/>
    <w:rsid w:val="0070112C"/>
    <w:rsid w:val="0070118F"/>
    <w:rsid w:val="007017D6"/>
    <w:rsid w:val="00701C9D"/>
    <w:rsid w:val="00701CE7"/>
    <w:rsid w:val="0070421D"/>
    <w:rsid w:val="0070436D"/>
    <w:rsid w:val="00704C17"/>
    <w:rsid w:val="007058CC"/>
    <w:rsid w:val="007063DB"/>
    <w:rsid w:val="00706F76"/>
    <w:rsid w:val="007100C5"/>
    <w:rsid w:val="0071061C"/>
    <w:rsid w:val="007112D4"/>
    <w:rsid w:val="007118E6"/>
    <w:rsid w:val="0071276A"/>
    <w:rsid w:val="0071280C"/>
    <w:rsid w:val="00713F72"/>
    <w:rsid w:val="007140B4"/>
    <w:rsid w:val="0071466B"/>
    <w:rsid w:val="00714CA8"/>
    <w:rsid w:val="00714E35"/>
    <w:rsid w:val="007159F1"/>
    <w:rsid w:val="007173BF"/>
    <w:rsid w:val="007173EA"/>
    <w:rsid w:val="007178E2"/>
    <w:rsid w:val="00717F6B"/>
    <w:rsid w:val="007207FE"/>
    <w:rsid w:val="00721159"/>
    <w:rsid w:val="00721745"/>
    <w:rsid w:val="00722D99"/>
    <w:rsid w:val="0072344C"/>
    <w:rsid w:val="0072386C"/>
    <w:rsid w:val="00724246"/>
    <w:rsid w:val="00725782"/>
    <w:rsid w:val="0072645A"/>
    <w:rsid w:val="0072673B"/>
    <w:rsid w:val="007268B2"/>
    <w:rsid w:val="00726F58"/>
    <w:rsid w:val="007270CB"/>
    <w:rsid w:val="00730D87"/>
    <w:rsid w:val="00730E03"/>
    <w:rsid w:val="00731DA0"/>
    <w:rsid w:val="007322ED"/>
    <w:rsid w:val="007324B7"/>
    <w:rsid w:val="007325EB"/>
    <w:rsid w:val="00732F2F"/>
    <w:rsid w:val="00733293"/>
    <w:rsid w:val="00733768"/>
    <w:rsid w:val="0073421D"/>
    <w:rsid w:val="00734C7B"/>
    <w:rsid w:val="007351A9"/>
    <w:rsid w:val="00735526"/>
    <w:rsid w:val="00735816"/>
    <w:rsid w:val="0073622C"/>
    <w:rsid w:val="00736D7F"/>
    <w:rsid w:val="007406DD"/>
    <w:rsid w:val="00740871"/>
    <w:rsid w:val="00741670"/>
    <w:rsid w:val="0074178C"/>
    <w:rsid w:val="00741D25"/>
    <w:rsid w:val="00742174"/>
    <w:rsid w:val="0074265C"/>
    <w:rsid w:val="007431E0"/>
    <w:rsid w:val="00744469"/>
    <w:rsid w:val="0074460C"/>
    <w:rsid w:val="007449CD"/>
    <w:rsid w:val="00744FD2"/>
    <w:rsid w:val="007454FD"/>
    <w:rsid w:val="00746138"/>
    <w:rsid w:val="00746800"/>
    <w:rsid w:val="00750A97"/>
    <w:rsid w:val="007513C2"/>
    <w:rsid w:val="00751B13"/>
    <w:rsid w:val="0075214E"/>
    <w:rsid w:val="00752E4D"/>
    <w:rsid w:val="0075315E"/>
    <w:rsid w:val="007545A6"/>
    <w:rsid w:val="0075477F"/>
    <w:rsid w:val="007558EE"/>
    <w:rsid w:val="00756902"/>
    <w:rsid w:val="00756B0A"/>
    <w:rsid w:val="007611FC"/>
    <w:rsid w:val="007615C9"/>
    <w:rsid w:val="00762882"/>
    <w:rsid w:val="00763539"/>
    <w:rsid w:val="00763677"/>
    <w:rsid w:val="007650FE"/>
    <w:rsid w:val="00765E00"/>
    <w:rsid w:val="00765EA6"/>
    <w:rsid w:val="00765EE0"/>
    <w:rsid w:val="007668D6"/>
    <w:rsid w:val="007670F9"/>
    <w:rsid w:val="00767348"/>
    <w:rsid w:val="00767D44"/>
    <w:rsid w:val="007703FA"/>
    <w:rsid w:val="007717D3"/>
    <w:rsid w:val="00771A2E"/>
    <w:rsid w:val="00771C9C"/>
    <w:rsid w:val="007728C5"/>
    <w:rsid w:val="00772BC3"/>
    <w:rsid w:val="007732B7"/>
    <w:rsid w:val="00773D48"/>
    <w:rsid w:val="0077589B"/>
    <w:rsid w:val="007763CF"/>
    <w:rsid w:val="00777665"/>
    <w:rsid w:val="00780ADA"/>
    <w:rsid w:val="00781AE1"/>
    <w:rsid w:val="00781BB1"/>
    <w:rsid w:val="00782F4D"/>
    <w:rsid w:val="00783F6B"/>
    <w:rsid w:val="00783F9F"/>
    <w:rsid w:val="00784211"/>
    <w:rsid w:val="007842D3"/>
    <w:rsid w:val="00785957"/>
    <w:rsid w:val="00785D4E"/>
    <w:rsid w:val="0078601E"/>
    <w:rsid w:val="00786C0F"/>
    <w:rsid w:val="00790F05"/>
    <w:rsid w:val="0079104F"/>
    <w:rsid w:val="0079206A"/>
    <w:rsid w:val="00795912"/>
    <w:rsid w:val="00796458"/>
    <w:rsid w:val="00796BC9"/>
    <w:rsid w:val="0079792A"/>
    <w:rsid w:val="007A0C3C"/>
    <w:rsid w:val="007A0DA7"/>
    <w:rsid w:val="007A1FC4"/>
    <w:rsid w:val="007A210A"/>
    <w:rsid w:val="007A3A73"/>
    <w:rsid w:val="007A59FE"/>
    <w:rsid w:val="007A5BC4"/>
    <w:rsid w:val="007A63BD"/>
    <w:rsid w:val="007A706F"/>
    <w:rsid w:val="007B013F"/>
    <w:rsid w:val="007B07E1"/>
    <w:rsid w:val="007B19E3"/>
    <w:rsid w:val="007B1EF7"/>
    <w:rsid w:val="007B24EB"/>
    <w:rsid w:val="007B4041"/>
    <w:rsid w:val="007B4209"/>
    <w:rsid w:val="007B5070"/>
    <w:rsid w:val="007B5B82"/>
    <w:rsid w:val="007B5FB6"/>
    <w:rsid w:val="007B7ACF"/>
    <w:rsid w:val="007C02BD"/>
    <w:rsid w:val="007C03DB"/>
    <w:rsid w:val="007C1047"/>
    <w:rsid w:val="007C1D76"/>
    <w:rsid w:val="007C2033"/>
    <w:rsid w:val="007C2CCA"/>
    <w:rsid w:val="007C2E11"/>
    <w:rsid w:val="007C3026"/>
    <w:rsid w:val="007C3864"/>
    <w:rsid w:val="007C3A19"/>
    <w:rsid w:val="007C3E2B"/>
    <w:rsid w:val="007C4201"/>
    <w:rsid w:val="007C4E1E"/>
    <w:rsid w:val="007C5725"/>
    <w:rsid w:val="007C6A9D"/>
    <w:rsid w:val="007C6D7B"/>
    <w:rsid w:val="007D1533"/>
    <w:rsid w:val="007D208C"/>
    <w:rsid w:val="007D222A"/>
    <w:rsid w:val="007D2862"/>
    <w:rsid w:val="007D3643"/>
    <w:rsid w:val="007D37CD"/>
    <w:rsid w:val="007D3877"/>
    <w:rsid w:val="007D3989"/>
    <w:rsid w:val="007D45C2"/>
    <w:rsid w:val="007D64B6"/>
    <w:rsid w:val="007D6AA9"/>
    <w:rsid w:val="007D6CD2"/>
    <w:rsid w:val="007D75EC"/>
    <w:rsid w:val="007D79C2"/>
    <w:rsid w:val="007D7C03"/>
    <w:rsid w:val="007E0BD5"/>
    <w:rsid w:val="007E0C2B"/>
    <w:rsid w:val="007E1549"/>
    <w:rsid w:val="007E2067"/>
    <w:rsid w:val="007E2097"/>
    <w:rsid w:val="007E2AB1"/>
    <w:rsid w:val="007E3A38"/>
    <w:rsid w:val="007E47A1"/>
    <w:rsid w:val="007E5074"/>
    <w:rsid w:val="007E5D91"/>
    <w:rsid w:val="007E66B9"/>
    <w:rsid w:val="007E6FE2"/>
    <w:rsid w:val="007F0046"/>
    <w:rsid w:val="007F0723"/>
    <w:rsid w:val="007F0C23"/>
    <w:rsid w:val="007F16EE"/>
    <w:rsid w:val="007F1811"/>
    <w:rsid w:val="007F2A5C"/>
    <w:rsid w:val="007F312E"/>
    <w:rsid w:val="007F3F0B"/>
    <w:rsid w:val="007F43BD"/>
    <w:rsid w:val="007F4E14"/>
    <w:rsid w:val="007F5373"/>
    <w:rsid w:val="007F5807"/>
    <w:rsid w:val="007F5BB4"/>
    <w:rsid w:val="007F5CBE"/>
    <w:rsid w:val="007F6588"/>
    <w:rsid w:val="007F6722"/>
    <w:rsid w:val="007F78A9"/>
    <w:rsid w:val="008011E2"/>
    <w:rsid w:val="008026E2"/>
    <w:rsid w:val="00804635"/>
    <w:rsid w:val="00804769"/>
    <w:rsid w:val="00804A11"/>
    <w:rsid w:val="00804F06"/>
    <w:rsid w:val="00804F25"/>
    <w:rsid w:val="0080552F"/>
    <w:rsid w:val="008070ED"/>
    <w:rsid w:val="0081020F"/>
    <w:rsid w:val="00810B4C"/>
    <w:rsid w:val="008116B7"/>
    <w:rsid w:val="00812046"/>
    <w:rsid w:val="0081283C"/>
    <w:rsid w:val="00812898"/>
    <w:rsid w:val="008138CA"/>
    <w:rsid w:val="00813A82"/>
    <w:rsid w:val="00813CB9"/>
    <w:rsid w:val="00814132"/>
    <w:rsid w:val="008146D2"/>
    <w:rsid w:val="0081503B"/>
    <w:rsid w:val="00815F02"/>
    <w:rsid w:val="00817772"/>
    <w:rsid w:val="008209B4"/>
    <w:rsid w:val="008220D8"/>
    <w:rsid w:val="00823897"/>
    <w:rsid w:val="00824468"/>
    <w:rsid w:val="008262AF"/>
    <w:rsid w:val="00826322"/>
    <w:rsid w:val="00826734"/>
    <w:rsid w:val="00827545"/>
    <w:rsid w:val="008276AB"/>
    <w:rsid w:val="008279CA"/>
    <w:rsid w:val="00827B9E"/>
    <w:rsid w:val="00827FD9"/>
    <w:rsid w:val="00830391"/>
    <w:rsid w:val="00830961"/>
    <w:rsid w:val="00830963"/>
    <w:rsid w:val="00830A67"/>
    <w:rsid w:val="0083176C"/>
    <w:rsid w:val="00831845"/>
    <w:rsid w:val="008333FF"/>
    <w:rsid w:val="00835121"/>
    <w:rsid w:val="0083611C"/>
    <w:rsid w:val="008366EF"/>
    <w:rsid w:val="0083799E"/>
    <w:rsid w:val="00837FA6"/>
    <w:rsid w:val="00841550"/>
    <w:rsid w:val="00841A5C"/>
    <w:rsid w:val="00841E18"/>
    <w:rsid w:val="0084229C"/>
    <w:rsid w:val="00843B8B"/>
    <w:rsid w:val="0084448F"/>
    <w:rsid w:val="00844591"/>
    <w:rsid w:val="008451F7"/>
    <w:rsid w:val="00845F64"/>
    <w:rsid w:val="00847CD1"/>
    <w:rsid w:val="00847E18"/>
    <w:rsid w:val="00850362"/>
    <w:rsid w:val="00850B71"/>
    <w:rsid w:val="00850D47"/>
    <w:rsid w:val="008514AB"/>
    <w:rsid w:val="0085238A"/>
    <w:rsid w:val="00852F23"/>
    <w:rsid w:val="00853013"/>
    <w:rsid w:val="008538AE"/>
    <w:rsid w:val="008539DD"/>
    <w:rsid w:val="00853EE3"/>
    <w:rsid w:val="0085454E"/>
    <w:rsid w:val="00855518"/>
    <w:rsid w:val="0085576F"/>
    <w:rsid w:val="00855EE5"/>
    <w:rsid w:val="008561EC"/>
    <w:rsid w:val="0085625F"/>
    <w:rsid w:val="0085663C"/>
    <w:rsid w:val="008577DC"/>
    <w:rsid w:val="00857B65"/>
    <w:rsid w:val="00860368"/>
    <w:rsid w:val="008603AA"/>
    <w:rsid w:val="00860D03"/>
    <w:rsid w:val="008618DE"/>
    <w:rsid w:val="008620DE"/>
    <w:rsid w:val="00862FCB"/>
    <w:rsid w:val="00863434"/>
    <w:rsid w:val="00863A5E"/>
    <w:rsid w:val="00863D31"/>
    <w:rsid w:val="008642C6"/>
    <w:rsid w:val="00865B7F"/>
    <w:rsid w:val="00866129"/>
    <w:rsid w:val="008665CB"/>
    <w:rsid w:val="0086728E"/>
    <w:rsid w:val="0086761E"/>
    <w:rsid w:val="008701EE"/>
    <w:rsid w:val="008707A9"/>
    <w:rsid w:val="00871402"/>
    <w:rsid w:val="00871A60"/>
    <w:rsid w:val="00871D5A"/>
    <w:rsid w:val="008736F6"/>
    <w:rsid w:val="008743BB"/>
    <w:rsid w:val="00874725"/>
    <w:rsid w:val="00874D18"/>
    <w:rsid w:val="00875D47"/>
    <w:rsid w:val="008764AA"/>
    <w:rsid w:val="008809AF"/>
    <w:rsid w:val="0088360F"/>
    <w:rsid w:val="00883ED0"/>
    <w:rsid w:val="008842FA"/>
    <w:rsid w:val="00886300"/>
    <w:rsid w:val="00887D13"/>
    <w:rsid w:val="00891392"/>
    <w:rsid w:val="00893005"/>
    <w:rsid w:val="008937BA"/>
    <w:rsid w:val="008947B1"/>
    <w:rsid w:val="00894CFB"/>
    <w:rsid w:val="0089517C"/>
    <w:rsid w:val="008960FA"/>
    <w:rsid w:val="008A11E3"/>
    <w:rsid w:val="008A30F4"/>
    <w:rsid w:val="008A380C"/>
    <w:rsid w:val="008A6545"/>
    <w:rsid w:val="008A6BC0"/>
    <w:rsid w:val="008A70A5"/>
    <w:rsid w:val="008A7107"/>
    <w:rsid w:val="008A75D8"/>
    <w:rsid w:val="008B1B7C"/>
    <w:rsid w:val="008B3E22"/>
    <w:rsid w:val="008B3F08"/>
    <w:rsid w:val="008B5426"/>
    <w:rsid w:val="008B545A"/>
    <w:rsid w:val="008B5C73"/>
    <w:rsid w:val="008B6B0F"/>
    <w:rsid w:val="008B7A72"/>
    <w:rsid w:val="008C04C9"/>
    <w:rsid w:val="008C12F8"/>
    <w:rsid w:val="008C1A30"/>
    <w:rsid w:val="008C1B61"/>
    <w:rsid w:val="008C1E00"/>
    <w:rsid w:val="008C284C"/>
    <w:rsid w:val="008C2AE6"/>
    <w:rsid w:val="008C2BB1"/>
    <w:rsid w:val="008C3CA2"/>
    <w:rsid w:val="008C4B85"/>
    <w:rsid w:val="008C50FF"/>
    <w:rsid w:val="008C56E3"/>
    <w:rsid w:val="008D03D0"/>
    <w:rsid w:val="008D111B"/>
    <w:rsid w:val="008D319A"/>
    <w:rsid w:val="008D34F5"/>
    <w:rsid w:val="008D3F42"/>
    <w:rsid w:val="008D46F5"/>
    <w:rsid w:val="008D5440"/>
    <w:rsid w:val="008D5D89"/>
    <w:rsid w:val="008D63A6"/>
    <w:rsid w:val="008D72B4"/>
    <w:rsid w:val="008D74D9"/>
    <w:rsid w:val="008E2023"/>
    <w:rsid w:val="008E2116"/>
    <w:rsid w:val="008E2519"/>
    <w:rsid w:val="008E322F"/>
    <w:rsid w:val="008E40DE"/>
    <w:rsid w:val="008E4311"/>
    <w:rsid w:val="008E44F1"/>
    <w:rsid w:val="008E4FDD"/>
    <w:rsid w:val="008E5A1E"/>
    <w:rsid w:val="008E6472"/>
    <w:rsid w:val="008E6591"/>
    <w:rsid w:val="008E6C83"/>
    <w:rsid w:val="008E7FB8"/>
    <w:rsid w:val="008F0751"/>
    <w:rsid w:val="008F0C4A"/>
    <w:rsid w:val="008F192F"/>
    <w:rsid w:val="008F1BEE"/>
    <w:rsid w:val="008F23E2"/>
    <w:rsid w:val="008F2D27"/>
    <w:rsid w:val="008F418D"/>
    <w:rsid w:val="008F4405"/>
    <w:rsid w:val="008F5550"/>
    <w:rsid w:val="008F56CD"/>
    <w:rsid w:val="008F5815"/>
    <w:rsid w:val="008F5D41"/>
    <w:rsid w:val="008F5D88"/>
    <w:rsid w:val="008F5DE9"/>
    <w:rsid w:val="008F6F46"/>
    <w:rsid w:val="008F7452"/>
    <w:rsid w:val="009004D8"/>
    <w:rsid w:val="009004E7"/>
    <w:rsid w:val="0090079B"/>
    <w:rsid w:val="00900C32"/>
    <w:rsid w:val="00900D5A"/>
    <w:rsid w:val="009013DF"/>
    <w:rsid w:val="00901444"/>
    <w:rsid w:val="009016DC"/>
    <w:rsid w:val="00901F11"/>
    <w:rsid w:val="00902373"/>
    <w:rsid w:val="00902AFB"/>
    <w:rsid w:val="009033EA"/>
    <w:rsid w:val="00904EC7"/>
    <w:rsid w:val="00905F82"/>
    <w:rsid w:val="00907402"/>
    <w:rsid w:val="00907580"/>
    <w:rsid w:val="00907A90"/>
    <w:rsid w:val="009103F9"/>
    <w:rsid w:val="009110FB"/>
    <w:rsid w:val="00911382"/>
    <w:rsid w:val="0091332A"/>
    <w:rsid w:val="00913684"/>
    <w:rsid w:val="00914AF1"/>
    <w:rsid w:val="00915A08"/>
    <w:rsid w:val="009179D7"/>
    <w:rsid w:val="00917F68"/>
    <w:rsid w:val="009201AF"/>
    <w:rsid w:val="0092073B"/>
    <w:rsid w:val="0092076B"/>
    <w:rsid w:val="009208F3"/>
    <w:rsid w:val="00923FB5"/>
    <w:rsid w:val="00925295"/>
    <w:rsid w:val="00925893"/>
    <w:rsid w:val="00925A6A"/>
    <w:rsid w:val="00926C40"/>
    <w:rsid w:val="00927619"/>
    <w:rsid w:val="0093073A"/>
    <w:rsid w:val="00930B0D"/>
    <w:rsid w:val="00931820"/>
    <w:rsid w:val="00931C4E"/>
    <w:rsid w:val="00932A96"/>
    <w:rsid w:val="00932BB8"/>
    <w:rsid w:val="00932FB3"/>
    <w:rsid w:val="00933C5E"/>
    <w:rsid w:val="00935695"/>
    <w:rsid w:val="0093657F"/>
    <w:rsid w:val="0093676C"/>
    <w:rsid w:val="00936FCE"/>
    <w:rsid w:val="00940130"/>
    <w:rsid w:val="0094013E"/>
    <w:rsid w:val="009403F8"/>
    <w:rsid w:val="00940E67"/>
    <w:rsid w:val="0094149A"/>
    <w:rsid w:val="009420AB"/>
    <w:rsid w:val="0094340B"/>
    <w:rsid w:val="00943C0D"/>
    <w:rsid w:val="00943F5E"/>
    <w:rsid w:val="009443B8"/>
    <w:rsid w:val="00944F17"/>
    <w:rsid w:val="009452CD"/>
    <w:rsid w:val="0094557A"/>
    <w:rsid w:val="00946243"/>
    <w:rsid w:val="009471B4"/>
    <w:rsid w:val="00947478"/>
    <w:rsid w:val="009478AA"/>
    <w:rsid w:val="00947DCF"/>
    <w:rsid w:val="00952301"/>
    <w:rsid w:val="00952AE2"/>
    <w:rsid w:val="0095359A"/>
    <w:rsid w:val="00954519"/>
    <w:rsid w:val="009553E0"/>
    <w:rsid w:val="00955F38"/>
    <w:rsid w:val="0095660A"/>
    <w:rsid w:val="00956A04"/>
    <w:rsid w:val="00956BEF"/>
    <w:rsid w:val="00956C8A"/>
    <w:rsid w:val="00956FB5"/>
    <w:rsid w:val="0095723B"/>
    <w:rsid w:val="00957D95"/>
    <w:rsid w:val="00957E18"/>
    <w:rsid w:val="00957F52"/>
    <w:rsid w:val="00960DEF"/>
    <w:rsid w:val="00962398"/>
    <w:rsid w:val="0096372A"/>
    <w:rsid w:val="00964A83"/>
    <w:rsid w:val="00965CB4"/>
    <w:rsid w:val="00966038"/>
    <w:rsid w:val="009665D3"/>
    <w:rsid w:val="0096677C"/>
    <w:rsid w:val="00966E54"/>
    <w:rsid w:val="00966FD7"/>
    <w:rsid w:val="00967361"/>
    <w:rsid w:val="00967909"/>
    <w:rsid w:val="00970A95"/>
    <w:rsid w:val="00971193"/>
    <w:rsid w:val="00971DC9"/>
    <w:rsid w:val="009723E3"/>
    <w:rsid w:val="00972C64"/>
    <w:rsid w:val="00972D84"/>
    <w:rsid w:val="00974107"/>
    <w:rsid w:val="00974EDE"/>
    <w:rsid w:val="00975EA2"/>
    <w:rsid w:val="009767D9"/>
    <w:rsid w:val="009767F0"/>
    <w:rsid w:val="00976815"/>
    <w:rsid w:val="009769CF"/>
    <w:rsid w:val="00976AC3"/>
    <w:rsid w:val="00976E7F"/>
    <w:rsid w:val="00976FA0"/>
    <w:rsid w:val="00977320"/>
    <w:rsid w:val="009774E9"/>
    <w:rsid w:val="00980695"/>
    <w:rsid w:val="0098186C"/>
    <w:rsid w:val="00981FD5"/>
    <w:rsid w:val="00982F3A"/>
    <w:rsid w:val="009834BA"/>
    <w:rsid w:val="00983717"/>
    <w:rsid w:val="00983B04"/>
    <w:rsid w:val="00984859"/>
    <w:rsid w:val="00986254"/>
    <w:rsid w:val="0098627A"/>
    <w:rsid w:val="00986648"/>
    <w:rsid w:val="00986B15"/>
    <w:rsid w:val="00986B36"/>
    <w:rsid w:val="00986F61"/>
    <w:rsid w:val="00987746"/>
    <w:rsid w:val="00987C1A"/>
    <w:rsid w:val="00987C5F"/>
    <w:rsid w:val="00987D4D"/>
    <w:rsid w:val="00990041"/>
    <w:rsid w:val="00990AF5"/>
    <w:rsid w:val="00990CB0"/>
    <w:rsid w:val="00991482"/>
    <w:rsid w:val="00991C6E"/>
    <w:rsid w:val="00992D48"/>
    <w:rsid w:val="00992E2A"/>
    <w:rsid w:val="00992F6A"/>
    <w:rsid w:val="009931FB"/>
    <w:rsid w:val="009941E1"/>
    <w:rsid w:val="009955EE"/>
    <w:rsid w:val="009962BF"/>
    <w:rsid w:val="009966B6"/>
    <w:rsid w:val="009A0EF6"/>
    <w:rsid w:val="009A1CA7"/>
    <w:rsid w:val="009A1D06"/>
    <w:rsid w:val="009A202A"/>
    <w:rsid w:val="009A39A4"/>
    <w:rsid w:val="009A4565"/>
    <w:rsid w:val="009A479F"/>
    <w:rsid w:val="009A4C25"/>
    <w:rsid w:val="009A4DBC"/>
    <w:rsid w:val="009A4E97"/>
    <w:rsid w:val="009A5686"/>
    <w:rsid w:val="009A57C8"/>
    <w:rsid w:val="009A69F3"/>
    <w:rsid w:val="009B0769"/>
    <w:rsid w:val="009B21F8"/>
    <w:rsid w:val="009B31D6"/>
    <w:rsid w:val="009B434D"/>
    <w:rsid w:val="009B4558"/>
    <w:rsid w:val="009B4D2D"/>
    <w:rsid w:val="009B5091"/>
    <w:rsid w:val="009B5A64"/>
    <w:rsid w:val="009B5B13"/>
    <w:rsid w:val="009B68D7"/>
    <w:rsid w:val="009B68DA"/>
    <w:rsid w:val="009B6F6B"/>
    <w:rsid w:val="009B75ED"/>
    <w:rsid w:val="009C0006"/>
    <w:rsid w:val="009C03EA"/>
    <w:rsid w:val="009C0694"/>
    <w:rsid w:val="009C0A9B"/>
    <w:rsid w:val="009C0E71"/>
    <w:rsid w:val="009C2163"/>
    <w:rsid w:val="009C26AC"/>
    <w:rsid w:val="009C3D64"/>
    <w:rsid w:val="009C51F2"/>
    <w:rsid w:val="009C543B"/>
    <w:rsid w:val="009C54B5"/>
    <w:rsid w:val="009C56D3"/>
    <w:rsid w:val="009C71D2"/>
    <w:rsid w:val="009D0B9C"/>
    <w:rsid w:val="009D13A7"/>
    <w:rsid w:val="009D3AD0"/>
    <w:rsid w:val="009D3BF9"/>
    <w:rsid w:val="009D4580"/>
    <w:rsid w:val="009D4C92"/>
    <w:rsid w:val="009D50A5"/>
    <w:rsid w:val="009D532C"/>
    <w:rsid w:val="009D552E"/>
    <w:rsid w:val="009D5602"/>
    <w:rsid w:val="009D5A21"/>
    <w:rsid w:val="009D5F33"/>
    <w:rsid w:val="009D73FD"/>
    <w:rsid w:val="009E0385"/>
    <w:rsid w:val="009E23B9"/>
    <w:rsid w:val="009E34D1"/>
    <w:rsid w:val="009E360D"/>
    <w:rsid w:val="009E3D51"/>
    <w:rsid w:val="009E4079"/>
    <w:rsid w:val="009E45C2"/>
    <w:rsid w:val="009E4759"/>
    <w:rsid w:val="009E5757"/>
    <w:rsid w:val="009E5C32"/>
    <w:rsid w:val="009E5D8F"/>
    <w:rsid w:val="009E645F"/>
    <w:rsid w:val="009E67A0"/>
    <w:rsid w:val="009E6A66"/>
    <w:rsid w:val="009E6EE2"/>
    <w:rsid w:val="009E78BF"/>
    <w:rsid w:val="009E78DD"/>
    <w:rsid w:val="009F07EF"/>
    <w:rsid w:val="009F0C3E"/>
    <w:rsid w:val="009F116F"/>
    <w:rsid w:val="009F16E0"/>
    <w:rsid w:val="009F1AB0"/>
    <w:rsid w:val="009F2FF0"/>
    <w:rsid w:val="009F33FC"/>
    <w:rsid w:val="009F3B4E"/>
    <w:rsid w:val="009F3C2E"/>
    <w:rsid w:val="009F3DD2"/>
    <w:rsid w:val="009F4D2D"/>
    <w:rsid w:val="009F5379"/>
    <w:rsid w:val="009F6C9F"/>
    <w:rsid w:val="009F7290"/>
    <w:rsid w:val="009F76CA"/>
    <w:rsid w:val="009F7D44"/>
    <w:rsid w:val="009F7EE4"/>
    <w:rsid w:val="00A000B0"/>
    <w:rsid w:val="00A001EF"/>
    <w:rsid w:val="00A01A22"/>
    <w:rsid w:val="00A023B7"/>
    <w:rsid w:val="00A025E8"/>
    <w:rsid w:val="00A02CA7"/>
    <w:rsid w:val="00A03378"/>
    <w:rsid w:val="00A0404D"/>
    <w:rsid w:val="00A04164"/>
    <w:rsid w:val="00A04B31"/>
    <w:rsid w:val="00A050C1"/>
    <w:rsid w:val="00A054B0"/>
    <w:rsid w:val="00A0562D"/>
    <w:rsid w:val="00A056E4"/>
    <w:rsid w:val="00A064A5"/>
    <w:rsid w:val="00A07C32"/>
    <w:rsid w:val="00A10D07"/>
    <w:rsid w:val="00A10D6C"/>
    <w:rsid w:val="00A10D8D"/>
    <w:rsid w:val="00A114DC"/>
    <w:rsid w:val="00A11A63"/>
    <w:rsid w:val="00A11B9F"/>
    <w:rsid w:val="00A134C1"/>
    <w:rsid w:val="00A13B54"/>
    <w:rsid w:val="00A13F97"/>
    <w:rsid w:val="00A14686"/>
    <w:rsid w:val="00A14BAE"/>
    <w:rsid w:val="00A1537B"/>
    <w:rsid w:val="00A160FD"/>
    <w:rsid w:val="00A16EC7"/>
    <w:rsid w:val="00A170C3"/>
    <w:rsid w:val="00A1786A"/>
    <w:rsid w:val="00A205C4"/>
    <w:rsid w:val="00A20C52"/>
    <w:rsid w:val="00A20CBB"/>
    <w:rsid w:val="00A21F9F"/>
    <w:rsid w:val="00A2509E"/>
    <w:rsid w:val="00A30341"/>
    <w:rsid w:val="00A3044B"/>
    <w:rsid w:val="00A318F5"/>
    <w:rsid w:val="00A32EF9"/>
    <w:rsid w:val="00A35093"/>
    <w:rsid w:val="00A3536A"/>
    <w:rsid w:val="00A35C8B"/>
    <w:rsid w:val="00A35F18"/>
    <w:rsid w:val="00A36115"/>
    <w:rsid w:val="00A36259"/>
    <w:rsid w:val="00A362BD"/>
    <w:rsid w:val="00A36CA3"/>
    <w:rsid w:val="00A371C6"/>
    <w:rsid w:val="00A3748E"/>
    <w:rsid w:val="00A375EC"/>
    <w:rsid w:val="00A41F3D"/>
    <w:rsid w:val="00A43267"/>
    <w:rsid w:val="00A43279"/>
    <w:rsid w:val="00A44176"/>
    <w:rsid w:val="00A446EC"/>
    <w:rsid w:val="00A44862"/>
    <w:rsid w:val="00A4546B"/>
    <w:rsid w:val="00A45966"/>
    <w:rsid w:val="00A45EA1"/>
    <w:rsid w:val="00A47083"/>
    <w:rsid w:val="00A47F68"/>
    <w:rsid w:val="00A507FF"/>
    <w:rsid w:val="00A50C59"/>
    <w:rsid w:val="00A51007"/>
    <w:rsid w:val="00A51659"/>
    <w:rsid w:val="00A51D8E"/>
    <w:rsid w:val="00A5225C"/>
    <w:rsid w:val="00A545AC"/>
    <w:rsid w:val="00A54889"/>
    <w:rsid w:val="00A548C5"/>
    <w:rsid w:val="00A54D6E"/>
    <w:rsid w:val="00A57DA5"/>
    <w:rsid w:val="00A57DBE"/>
    <w:rsid w:val="00A601C8"/>
    <w:rsid w:val="00A60B7D"/>
    <w:rsid w:val="00A61C63"/>
    <w:rsid w:val="00A637CF"/>
    <w:rsid w:val="00A67DDF"/>
    <w:rsid w:val="00A70FE9"/>
    <w:rsid w:val="00A71CA2"/>
    <w:rsid w:val="00A727C0"/>
    <w:rsid w:val="00A7284E"/>
    <w:rsid w:val="00A728A1"/>
    <w:rsid w:val="00A739E4"/>
    <w:rsid w:val="00A73BDE"/>
    <w:rsid w:val="00A749DC"/>
    <w:rsid w:val="00A7567D"/>
    <w:rsid w:val="00A76100"/>
    <w:rsid w:val="00A769CF"/>
    <w:rsid w:val="00A76A3F"/>
    <w:rsid w:val="00A77CEB"/>
    <w:rsid w:val="00A8300E"/>
    <w:rsid w:val="00A83EB9"/>
    <w:rsid w:val="00A84CD8"/>
    <w:rsid w:val="00A8592C"/>
    <w:rsid w:val="00A85A38"/>
    <w:rsid w:val="00A85F4D"/>
    <w:rsid w:val="00A86C3F"/>
    <w:rsid w:val="00A9013E"/>
    <w:rsid w:val="00A90835"/>
    <w:rsid w:val="00A90BCF"/>
    <w:rsid w:val="00A90EFC"/>
    <w:rsid w:val="00A91FAC"/>
    <w:rsid w:val="00A92FA4"/>
    <w:rsid w:val="00A94E15"/>
    <w:rsid w:val="00A951D1"/>
    <w:rsid w:val="00A95386"/>
    <w:rsid w:val="00A95B92"/>
    <w:rsid w:val="00A9632A"/>
    <w:rsid w:val="00A96486"/>
    <w:rsid w:val="00A969ED"/>
    <w:rsid w:val="00A9718B"/>
    <w:rsid w:val="00AA0286"/>
    <w:rsid w:val="00AA0DBE"/>
    <w:rsid w:val="00AA1822"/>
    <w:rsid w:val="00AA1A3B"/>
    <w:rsid w:val="00AA1F50"/>
    <w:rsid w:val="00AA2643"/>
    <w:rsid w:val="00AA431A"/>
    <w:rsid w:val="00AA5C40"/>
    <w:rsid w:val="00AA5F85"/>
    <w:rsid w:val="00AA640B"/>
    <w:rsid w:val="00AA64E3"/>
    <w:rsid w:val="00AA6584"/>
    <w:rsid w:val="00AA795B"/>
    <w:rsid w:val="00AB0532"/>
    <w:rsid w:val="00AB1685"/>
    <w:rsid w:val="00AB251F"/>
    <w:rsid w:val="00AB2785"/>
    <w:rsid w:val="00AB30C4"/>
    <w:rsid w:val="00AB4718"/>
    <w:rsid w:val="00AB4A2E"/>
    <w:rsid w:val="00AB4C83"/>
    <w:rsid w:val="00AB7A0D"/>
    <w:rsid w:val="00AC013D"/>
    <w:rsid w:val="00AC11E2"/>
    <w:rsid w:val="00AC3263"/>
    <w:rsid w:val="00AC3855"/>
    <w:rsid w:val="00AC3960"/>
    <w:rsid w:val="00AC47FD"/>
    <w:rsid w:val="00AC517D"/>
    <w:rsid w:val="00AC5360"/>
    <w:rsid w:val="00AC5501"/>
    <w:rsid w:val="00AC5A09"/>
    <w:rsid w:val="00AC6BE5"/>
    <w:rsid w:val="00AC6F38"/>
    <w:rsid w:val="00AC7385"/>
    <w:rsid w:val="00AC7BA9"/>
    <w:rsid w:val="00AD0083"/>
    <w:rsid w:val="00AD268F"/>
    <w:rsid w:val="00AD34A2"/>
    <w:rsid w:val="00AD351C"/>
    <w:rsid w:val="00AD3668"/>
    <w:rsid w:val="00AD3686"/>
    <w:rsid w:val="00AD44A7"/>
    <w:rsid w:val="00AD45B8"/>
    <w:rsid w:val="00AD5987"/>
    <w:rsid w:val="00AD5CDE"/>
    <w:rsid w:val="00AD6081"/>
    <w:rsid w:val="00AD634D"/>
    <w:rsid w:val="00AD6693"/>
    <w:rsid w:val="00AD6B11"/>
    <w:rsid w:val="00AD6CB3"/>
    <w:rsid w:val="00AD71AE"/>
    <w:rsid w:val="00AD73F0"/>
    <w:rsid w:val="00AD7475"/>
    <w:rsid w:val="00AE0C50"/>
    <w:rsid w:val="00AE2370"/>
    <w:rsid w:val="00AE2AC6"/>
    <w:rsid w:val="00AE396F"/>
    <w:rsid w:val="00AE46E1"/>
    <w:rsid w:val="00AE6355"/>
    <w:rsid w:val="00AF28D4"/>
    <w:rsid w:val="00AF51FA"/>
    <w:rsid w:val="00AF5C26"/>
    <w:rsid w:val="00AF724C"/>
    <w:rsid w:val="00AF7900"/>
    <w:rsid w:val="00AF7D78"/>
    <w:rsid w:val="00B005D4"/>
    <w:rsid w:val="00B014D6"/>
    <w:rsid w:val="00B01B81"/>
    <w:rsid w:val="00B026FE"/>
    <w:rsid w:val="00B0310E"/>
    <w:rsid w:val="00B0325B"/>
    <w:rsid w:val="00B034D8"/>
    <w:rsid w:val="00B03800"/>
    <w:rsid w:val="00B04D53"/>
    <w:rsid w:val="00B057E1"/>
    <w:rsid w:val="00B059BD"/>
    <w:rsid w:val="00B05A7C"/>
    <w:rsid w:val="00B05BFF"/>
    <w:rsid w:val="00B06607"/>
    <w:rsid w:val="00B06F63"/>
    <w:rsid w:val="00B10537"/>
    <w:rsid w:val="00B12760"/>
    <w:rsid w:val="00B12AA9"/>
    <w:rsid w:val="00B16528"/>
    <w:rsid w:val="00B165C8"/>
    <w:rsid w:val="00B17A0F"/>
    <w:rsid w:val="00B20AEC"/>
    <w:rsid w:val="00B21283"/>
    <w:rsid w:val="00B221C8"/>
    <w:rsid w:val="00B229A5"/>
    <w:rsid w:val="00B22D0C"/>
    <w:rsid w:val="00B235C4"/>
    <w:rsid w:val="00B23D16"/>
    <w:rsid w:val="00B248A0"/>
    <w:rsid w:val="00B24E23"/>
    <w:rsid w:val="00B24FC2"/>
    <w:rsid w:val="00B252F9"/>
    <w:rsid w:val="00B2643F"/>
    <w:rsid w:val="00B268DF"/>
    <w:rsid w:val="00B26C44"/>
    <w:rsid w:val="00B274C4"/>
    <w:rsid w:val="00B30C85"/>
    <w:rsid w:val="00B31A48"/>
    <w:rsid w:val="00B31F8A"/>
    <w:rsid w:val="00B32624"/>
    <w:rsid w:val="00B34D86"/>
    <w:rsid w:val="00B35012"/>
    <w:rsid w:val="00B37D56"/>
    <w:rsid w:val="00B40CEA"/>
    <w:rsid w:val="00B41DDF"/>
    <w:rsid w:val="00B42328"/>
    <w:rsid w:val="00B44CC3"/>
    <w:rsid w:val="00B45101"/>
    <w:rsid w:val="00B4563B"/>
    <w:rsid w:val="00B45B13"/>
    <w:rsid w:val="00B45EA0"/>
    <w:rsid w:val="00B4699A"/>
    <w:rsid w:val="00B46C66"/>
    <w:rsid w:val="00B4765D"/>
    <w:rsid w:val="00B5235F"/>
    <w:rsid w:val="00B526EC"/>
    <w:rsid w:val="00B52C31"/>
    <w:rsid w:val="00B537F2"/>
    <w:rsid w:val="00B539B3"/>
    <w:rsid w:val="00B5509B"/>
    <w:rsid w:val="00B56039"/>
    <w:rsid w:val="00B56A36"/>
    <w:rsid w:val="00B571F5"/>
    <w:rsid w:val="00B60D1D"/>
    <w:rsid w:val="00B62282"/>
    <w:rsid w:val="00B6286D"/>
    <w:rsid w:val="00B62EC0"/>
    <w:rsid w:val="00B63BE9"/>
    <w:rsid w:val="00B63EB1"/>
    <w:rsid w:val="00B6596A"/>
    <w:rsid w:val="00B65FBD"/>
    <w:rsid w:val="00B661FD"/>
    <w:rsid w:val="00B66DEE"/>
    <w:rsid w:val="00B66EC2"/>
    <w:rsid w:val="00B66F34"/>
    <w:rsid w:val="00B675BB"/>
    <w:rsid w:val="00B67D73"/>
    <w:rsid w:val="00B70D20"/>
    <w:rsid w:val="00B72C42"/>
    <w:rsid w:val="00B73A25"/>
    <w:rsid w:val="00B743F9"/>
    <w:rsid w:val="00B746A9"/>
    <w:rsid w:val="00B74B0C"/>
    <w:rsid w:val="00B74FCB"/>
    <w:rsid w:val="00B75400"/>
    <w:rsid w:val="00B754A6"/>
    <w:rsid w:val="00B75ACD"/>
    <w:rsid w:val="00B75E07"/>
    <w:rsid w:val="00B764AF"/>
    <w:rsid w:val="00B76694"/>
    <w:rsid w:val="00B82C40"/>
    <w:rsid w:val="00B82D97"/>
    <w:rsid w:val="00B84E15"/>
    <w:rsid w:val="00B85279"/>
    <w:rsid w:val="00B860B3"/>
    <w:rsid w:val="00B87430"/>
    <w:rsid w:val="00B87E03"/>
    <w:rsid w:val="00B90004"/>
    <w:rsid w:val="00B9057E"/>
    <w:rsid w:val="00B90589"/>
    <w:rsid w:val="00B9127D"/>
    <w:rsid w:val="00B92345"/>
    <w:rsid w:val="00B93449"/>
    <w:rsid w:val="00B9359E"/>
    <w:rsid w:val="00B9387F"/>
    <w:rsid w:val="00B93968"/>
    <w:rsid w:val="00B94AF6"/>
    <w:rsid w:val="00B95B66"/>
    <w:rsid w:val="00B96143"/>
    <w:rsid w:val="00B96576"/>
    <w:rsid w:val="00B9768D"/>
    <w:rsid w:val="00B97DA7"/>
    <w:rsid w:val="00BA1AF4"/>
    <w:rsid w:val="00BA1C89"/>
    <w:rsid w:val="00BA28F0"/>
    <w:rsid w:val="00BA2E6A"/>
    <w:rsid w:val="00BA348B"/>
    <w:rsid w:val="00BA35DB"/>
    <w:rsid w:val="00BA36C0"/>
    <w:rsid w:val="00BA51FA"/>
    <w:rsid w:val="00BA57E3"/>
    <w:rsid w:val="00BA5A13"/>
    <w:rsid w:val="00BA6C98"/>
    <w:rsid w:val="00BA6D57"/>
    <w:rsid w:val="00BA75D8"/>
    <w:rsid w:val="00BB02D1"/>
    <w:rsid w:val="00BB04B4"/>
    <w:rsid w:val="00BB067E"/>
    <w:rsid w:val="00BB0C1B"/>
    <w:rsid w:val="00BB0EF0"/>
    <w:rsid w:val="00BB17CC"/>
    <w:rsid w:val="00BB1C6A"/>
    <w:rsid w:val="00BB252B"/>
    <w:rsid w:val="00BB25BF"/>
    <w:rsid w:val="00BB2A0A"/>
    <w:rsid w:val="00BB2E42"/>
    <w:rsid w:val="00BB33AA"/>
    <w:rsid w:val="00BB393C"/>
    <w:rsid w:val="00BB3E69"/>
    <w:rsid w:val="00BB42A6"/>
    <w:rsid w:val="00BB44F2"/>
    <w:rsid w:val="00BB5706"/>
    <w:rsid w:val="00BB5A2B"/>
    <w:rsid w:val="00BB60F6"/>
    <w:rsid w:val="00BB652B"/>
    <w:rsid w:val="00BB6604"/>
    <w:rsid w:val="00BB6651"/>
    <w:rsid w:val="00BB74CF"/>
    <w:rsid w:val="00BC00CC"/>
    <w:rsid w:val="00BC082A"/>
    <w:rsid w:val="00BC0C0B"/>
    <w:rsid w:val="00BC136C"/>
    <w:rsid w:val="00BC1424"/>
    <w:rsid w:val="00BC2344"/>
    <w:rsid w:val="00BC2F28"/>
    <w:rsid w:val="00BC3BF9"/>
    <w:rsid w:val="00BC4C73"/>
    <w:rsid w:val="00BC4E06"/>
    <w:rsid w:val="00BC5355"/>
    <w:rsid w:val="00BC5D78"/>
    <w:rsid w:val="00BC6307"/>
    <w:rsid w:val="00BC68AC"/>
    <w:rsid w:val="00BC784D"/>
    <w:rsid w:val="00BD0CD0"/>
    <w:rsid w:val="00BD1761"/>
    <w:rsid w:val="00BD1EAB"/>
    <w:rsid w:val="00BD2C51"/>
    <w:rsid w:val="00BD2F4C"/>
    <w:rsid w:val="00BD3E79"/>
    <w:rsid w:val="00BD4915"/>
    <w:rsid w:val="00BD4E09"/>
    <w:rsid w:val="00BD4E6C"/>
    <w:rsid w:val="00BD6D53"/>
    <w:rsid w:val="00BD6EF4"/>
    <w:rsid w:val="00BD704C"/>
    <w:rsid w:val="00BE09B9"/>
    <w:rsid w:val="00BE0A78"/>
    <w:rsid w:val="00BE0CCD"/>
    <w:rsid w:val="00BE24A2"/>
    <w:rsid w:val="00BE267B"/>
    <w:rsid w:val="00BE546C"/>
    <w:rsid w:val="00BE5C49"/>
    <w:rsid w:val="00BE6BF9"/>
    <w:rsid w:val="00BE7352"/>
    <w:rsid w:val="00BE7C0D"/>
    <w:rsid w:val="00BE7DBB"/>
    <w:rsid w:val="00BF2BE5"/>
    <w:rsid w:val="00BF3498"/>
    <w:rsid w:val="00BF38E0"/>
    <w:rsid w:val="00BF42FC"/>
    <w:rsid w:val="00BF7812"/>
    <w:rsid w:val="00BF7BCD"/>
    <w:rsid w:val="00C00296"/>
    <w:rsid w:val="00C015F8"/>
    <w:rsid w:val="00C02354"/>
    <w:rsid w:val="00C027E4"/>
    <w:rsid w:val="00C027ED"/>
    <w:rsid w:val="00C02C95"/>
    <w:rsid w:val="00C02D4C"/>
    <w:rsid w:val="00C03D73"/>
    <w:rsid w:val="00C040CD"/>
    <w:rsid w:val="00C04AAC"/>
    <w:rsid w:val="00C05408"/>
    <w:rsid w:val="00C05877"/>
    <w:rsid w:val="00C0695A"/>
    <w:rsid w:val="00C06CEC"/>
    <w:rsid w:val="00C06F91"/>
    <w:rsid w:val="00C074F3"/>
    <w:rsid w:val="00C07871"/>
    <w:rsid w:val="00C10C05"/>
    <w:rsid w:val="00C11591"/>
    <w:rsid w:val="00C11664"/>
    <w:rsid w:val="00C11FB5"/>
    <w:rsid w:val="00C1208C"/>
    <w:rsid w:val="00C12205"/>
    <w:rsid w:val="00C1352B"/>
    <w:rsid w:val="00C1461D"/>
    <w:rsid w:val="00C14F43"/>
    <w:rsid w:val="00C1503B"/>
    <w:rsid w:val="00C1521F"/>
    <w:rsid w:val="00C16F47"/>
    <w:rsid w:val="00C17084"/>
    <w:rsid w:val="00C178CB"/>
    <w:rsid w:val="00C178EE"/>
    <w:rsid w:val="00C17993"/>
    <w:rsid w:val="00C17F36"/>
    <w:rsid w:val="00C20D9B"/>
    <w:rsid w:val="00C21B80"/>
    <w:rsid w:val="00C21ED2"/>
    <w:rsid w:val="00C22BE9"/>
    <w:rsid w:val="00C2339C"/>
    <w:rsid w:val="00C23527"/>
    <w:rsid w:val="00C23F41"/>
    <w:rsid w:val="00C2444F"/>
    <w:rsid w:val="00C24FF7"/>
    <w:rsid w:val="00C25921"/>
    <w:rsid w:val="00C2646B"/>
    <w:rsid w:val="00C2682E"/>
    <w:rsid w:val="00C26F61"/>
    <w:rsid w:val="00C27634"/>
    <w:rsid w:val="00C3005A"/>
    <w:rsid w:val="00C302EB"/>
    <w:rsid w:val="00C303B6"/>
    <w:rsid w:val="00C307DA"/>
    <w:rsid w:val="00C309D8"/>
    <w:rsid w:val="00C31131"/>
    <w:rsid w:val="00C31D90"/>
    <w:rsid w:val="00C327C5"/>
    <w:rsid w:val="00C327D8"/>
    <w:rsid w:val="00C33358"/>
    <w:rsid w:val="00C33B09"/>
    <w:rsid w:val="00C33D49"/>
    <w:rsid w:val="00C34CBC"/>
    <w:rsid w:val="00C35270"/>
    <w:rsid w:val="00C3529C"/>
    <w:rsid w:val="00C354CA"/>
    <w:rsid w:val="00C37681"/>
    <w:rsid w:val="00C37755"/>
    <w:rsid w:val="00C379FB"/>
    <w:rsid w:val="00C40090"/>
    <w:rsid w:val="00C41155"/>
    <w:rsid w:val="00C41269"/>
    <w:rsid w:val="00C42157"/>
    <w:rsid w:val="00C42866"/>
    <w:rsid w:val="00C42BB4"/>
    <w:rsid w:val="00C42EB3"/>
    <w:rsid w:val="00C43D6D"/>
    <w:rsid w:val="00C443E6"/>
    <w:rsid w:val="00C44BC9"/>
    <w:rsid w:val="00C457DD"/>
    <w:rsid w:val="00C470CE"/>
    <w:rsid w:val="00C47EF8"/>
    <w:rsid w:val="00C511E5"/>
    <w:rsid w:val="00C5134E"/>
    <w:rsid w:val="00C51980"/>
    <w:rsid w:val="00C51BC3"/>
    <w:rsid w:val="00C51EDB"/>
    <w:rsid w:val="00C52399"/>
    <w:rsid w:val="00C52657"/>
    <w:rsid w:val="00C55608"/>
    <w:rsid w:val="00C55FD8"/>
    <w:rsid w:val="00C56050"/>
    <w:rsid w:val="00C6315C"/>
    <w:rsid w:val="00C6329D"/>
    <w:rsid w:val="00C63387"/>
    <w:rsid w:val="00C633AB"/>
    <w:rsid w:val="00C643D7"/>
    <w:rsid w:val="00C64C1E"/>
    <w:rsid w:val="00C65011"/>
    <w:rsid w:val="00C65C7F"/>
    <w:rsid w:val="00C65CBF"/>
    <w:rsid w:val="00C660DE"/>
    <w:rsid w:val="00C6627D"/>
    <w:rsid w:val="00C70215"/>
    <w:rsid w:val="00C71D9D"/>
    <w:rsid w:val="00C72309"/>
    <w:rsid w:val="00C72DB1"/>
    <w:rsid w:val="00C7399A"/>
    <w:rsid w:val="00C74A39"/>
    <w:rsid w:val="00C761FD"/>
    <w:rsid w:val="00C76224"/>
    <w:rsid w:val="00C80A2D"/>
    <w:rsid w:val="00C81971"/>
    <w:rsid w:val="00C835DC"/>
    <w:rsid w:val="00C840F4"/>
    <w:rsid w:val="00C86006"/>
    <w:rsid w:val="00C862E7"/>
    <w:rsid w:val="00C86BCB"/>
    <w:rsid w:val="00C86F47"/>
    <w:rsid w:val="00C909B2"/>
    <w:rsid w:val="00C92A90"/>
    <w:rsid w:val="00C93A2E"/>
    <w:rsid w:val="00C93E2B"/>
    <w:rsid w:val="00C95232"/>
    <w:rsid w:val="00C959F6"/>
    <w:rsid w:val="00C95A87"/>
    <w:rsid w:val="00C9643A"/>
    <w:rsid w:val="00CA0220"/>
    <w:rsid w:val="00CA1D36"/>
    <w:rsid w:val="00CA2EB0"/>
    <w:rsid w:val="00CA3BEC"/>
    <w:rsid w:val="00CA592A"/>
    <w:rsid w:val="00CA601D"/>
    <w:rsid w:val="00CA6F78"/>
    <w:rsid w:val="00CA703E"/>
    <w:rsid w:val="00CA7C07"/>
    <w:rsid w:val="00CB0600"/>
    <w:rsid w:val="00CB0663"/>
    <w:rsid w:val="00CB09D2"/>
    <w:rsid w:val="00CB15AF"/>
    <w:rsid w:val="00CB1E92"/>
    <w:rsid w:val="00CB27E4"/>
    <w:rsid w:val="00CB29CC"/>
    <w:rsid w:val="00CB3D1E"/>
    <w:rsid w:val="00CB3D75"/>
    <w:rsid w:val="00CB49D9"/>
    <w:rsid w:val="00CB57B9"/>
    <w:rsid w:val="00CB695A"/>
    <w:rsid w:val="00CB77B4"/>
    <w:rsid w:val="00CB7DCF"/>
    <w:rsid w:val="00CC153B"/>
    <w:rsid w:val="00CC274B"/>
    <w:rsid w:val="00CC3938"/>
    <w:rsid w:val="00CC5770"/>
    <w:rsid w:val="00CC64FD"/>
    <w:rsid w:val="00CC6804"/>
    <w:rsid w:val="00CC767B"/>
    <w:rsid w:val="00CC7BB2"/>
    <w:rsid w:val="00CD02D0"/>
    <w:rsid w:val="00CD1245"/>
    <w:rsid w:val="00CD1887"/>
    <w:rsid w:val="00CD243A"/>
    <w:rsid w:val="00CD4AF0"/>
    <w:rsid w:val="00CD4C57"/>
    <w:rsid w:val="00CD56B5"/>
    <w:rsid w:val="00CE0044"/>
    <w:rsid w:val="00CE1451"/>
    <w:rsid w:val="00CE1894"/>
    <w:rsid w:val="00CE1A89"/>
    <w:rsid w:val="00CE1F24"/>
    <w:rsid w:val="00CE1F8D"/>
    <w:rsid w:val="00CE2194"/>
    <w:rsid w:val="00CE2E8F"/>
    <w:rsid w:val="00CE38F6"/>
    <w:rsid w:val="00CE3A6A"/>
    <w:rsid w:val="00CE4B20"/>
    <w:rsid w:val="00CE4C31"/>
    <w:rsid w:val="00CE580C"/>
    <w:rsid w:val="00CE5EBB"/>
    <w:rsid w:val="00CE6925"/>
    <w:rsid w:val="00CE70B4"/>
    <w:rsid w:val="00CF01B5"/>
    <w:rsid w:val="00CF0C42"/>
    <w:rsid w:val="00CF11EA"/>
    <w:rsid w:val="00CF1895"/>
    <w:rsid w:val="00CF2306"/>
    <w:rsid w:val="00CF2A6A"/>
    <w:rsid w:val="00CF30B6"/>
    <w:rsid w:val="00CF5788"/>
    <w:rsid w:val="00CF5D28"/>
    <w:rsid w:val="00CF5D6E"/>
    <w:rsid w:val="00CF5F93"/>
    <w:rsid w:val="00CF74F3"/>
    <w:rsid w:val="00CF7E05"/>
    <w:rsid w:val="00D005E0"/>
    <w:rsid w:val="00D010A5"/>
    <w:rsid w:val="00D02E02"/>
    <w:rsid w:val="00D03194"/>
    <w:rsid w:val="00D036E2"/>
    <w:rsid w:val="00D03A3C"/>
    <w:rsid w:val="00D05A07"/>
    <w:rsid w:val="00D05E77"/>
    <w:rsid w:val="00D05F6F"/>
    <w:rsid w:val="00D06F54"/>
    <w:rsid w:val="00D10016"/>
    <w:rsid w:val="00D12528"/>
    <w:rsid w:val="00D12FA7"/>
    <w:rsid w:val="00D1381E"/>
    <w:rsid w:val="00D13F5D"/>
    <w:rsid w:val="00D15AF1"/>
    <w:rsid w:val="00D162AE"/>
    <w:rsid w:val="00D16640"/>
    <w:rsid w:val="00D1674D"/>
    <w:rsid w:val="00D17E84"/>
    <w:rsid w:val="00D223BD"/>
    <w:rsid w:val="00D22863"/>
    <w:rsid w:val="00D22D36"/>
    <w:rsid w:val="00D22E2A"/>
    <w:rsid w:val="00D22F49"/>
    <w:rsid w:val="00D23C64"/>
    <w:rsid w:val="00D23D1B"/>
    <w:rsid w:val="00D23D2C"/>
    <w:rsid w:val="00D242AA"/>
    <w:rsid w:val="00D24D8E"/>
    <w:rsid w:val="00D262D6"/>
    <w:rsid w:val="00D2655E"/>
    <w:rsid w:val="00D26A3E"/>
    <w:rsid w:val="00D27F22"/>
    <w:rsid w:val="00D307B7"/>
    <w:rsid w:val="00D3105D"/>
    <w:rsid w:val="00D3156A"/>
    <w:rsid w:val="00D31A92"/>
    <w:rsid w:val="00D33460"/>
    <w:rsid w:val="00D33CBD"/>
    <w:rsid w:val="00D33CC0"/>
    <w:rsid w:val="00D33CE7"/>
    <w:rsid w:val="00D33F5C"/>
    <w:rsid w:val="00D34CF9"/>
    <w:rsid w:val="00D35375"/>
    <w:rsid w:val="00D3571D"/>
    <w:rsid w:val="00D3572D"/>
    <w:rsid w:val="00D35C8D"/>
    <w:rsid w:val="00D35FBF"/>
    <w:rsid w:val="00D37993"/>
    <w:rsid w:val="00D41C66"/>
    <w:rsid w:val="00D4218B"/>
    <w:rsid w:val="00D42B04"/>
    <w:rsid w:val="00D43AAB"/>
    <w:rsid w:val="00D44D77"/>
    <w:rsid w:val="00D44F2E"/>
    <w:rsid w:val="00D46151"/>
    <w:rsid w:val="00D46255"/>
    <w:rsid w:val="00D47883"/>
    <w:rsid w:val="00D47BC9"/>
    <w:rsid w:val="00D47EAE"/>
    <w:rsid w:val="00D50D3D"/>
    <w:rsid w:val="00D518A5"/>
    <w:rsid w:val="00D52EA4"/>
    <w:rsid w:val="00D53C3B"/>
    <w:rsid w:val="00D54086"/>
    <w:rsid w:val="00D54E82"/>
    <w:rsid w:val="00D56F00"/>
    <w:rsid w:val="00D61C04"/>
    <w:rsid w:val="00D63645"/>
    <w:rsid w:val="00D65D50"/>
    <w:rsid w:val="00D6610D"/>
    <w:rsid w:val="00D66137"/>
    <w:rsid w:val="00D67B45"/>
    <w:rsid w:val="00D70664"/>
    <w:rsid w:val="00D70927"/>
    <w:rsid w:val="00D723CF"/>
    <w:rsid w:val="00D730DB"/>
    <w:rsid w:val="00D73473"/>
    <w:rsid w:val="00D73C52"/>
    <w:rsid w:val="00D753D4"/>
    <w:rsid w:val="00D75ABF"/>
    <w:rsid w:val="00D7625A"/>
    <w:rsid w:val="00D77AF6"/>
    <w:rsid w:val="00D81BFA"/>
    <w:rsid w:val="00D8259E"/>
    <w:rsid w:val="00D82B10"/>
    <w:rsid w:val="00D82DFE"/>
    <w:rsid w:val="00D83586"/>
    <w:rsid w:val="00D84AC7"/>
    <w:rsid w:val="00D85205"/>
    <w:rsid w:val="00D85E6D"/>
    <w:rsid w:val="00D86925"/>
    <w:rsid w:val="00D871B7"/>
    <w:rsid w:val="00D87246"/>
    <w:rsid w:val="00D87794"/>
    <w:rsid w:val="00D90ABF"/>
    <w:rsid w:val="00D90BBB"/>
    <w:rsid w:val="00D90DAD"/>
    <w:rsid w:val="00D90DF4"/>
    <w:rsid w:val="00D913FE"/>
    <w:rsid w:val="00D931D9"/>
    <w:rsid w:val="00D939F8"/>
    <w:rsid w:val="00D9434C"/>
    <w:rsid w:val="00D945E1"/>
    <w:rsid w:val="00D9464D"/>
    <w:rsid w:val="00D95A9B"/>
    <w:rsid w:val="00D96743"/>
    <w:rsid w:val="00D9691C"/>
    <w:rsid w:val="00D97061"/>
    <w:rsid w:val="00D975F6"/>
    <w:rsid w:val="00D97895"/>
    <w:rsid w:val="00DA041F"/>
    <w:rsid w:val="00DA154A"/>
    <w:rsid w:val="00DA28CD"/>
    <w:rsid w:val="00DA29F1"/>
    <w:rsid w:val="00DA2A86"/>
    <w:rsid w:val="00DA36FA"/>
    <w:rsid w:val="00DA3891"/>
    <w:rsid w:val="00DA3EFB"/>
    <w:rsid w:val="00DA4B8D"/>
    <w:rsid w:val="00DA52A7"/>
    <w:rsid w:val="00DA5E2D"/>
    <w:rsid w:val="00DA7FFE"/>
    <w:rsid w:val="00DB092F"/>
    <w:rsid w:val="00DB110B"/>
    <w:rsid w:val="00DB1164"/>
    <w:rsid w:val="00DB16B9"/>
    <w:rsid w:val="00DB1A09"/>
    <w:rsid w:val="00DB2A98"/>
    <w:rsid w:val="00DB2F34"/>
    <w:rsid w:val="00DB3A4E"/>
    <w:rsid w:val="00DB4231"/>
    <w:rsid w:val="00DB4447"/>
    <w:rsid w:val="00DB4E20"/>
    <w:rsid w:val="00DB54C5"/>
    <w:rsid w:val="00DB5551"/>
    <w:rsid w:val="00DB5E1F"/>
    <w:rsid w:val="00DB5F98"/>
    <w:rsid w:val="00DB62AA"/>
    <w:rsid w:val="00DC008A"/>
    <w:rsid w:val="00DC1596"/>
    <w:rsid w:val="00DC1688"/>
    <w:rsid w:val="00DC2CD4"/>
    <w:rsid w:val="00DC4D42"/>
    <w:rsid w:val="00DC573C"/>
    <w:rsid w:val="00DC6022"/>
    <w:rsid w:val="00DC60FF"/>
    <w:rsid w:val="00DC7027"/>
    <w:rsid w:val="00DC7396"/>
    <w:rsid w:val="00DC7B71"/>
    <w:rsid w:val="00DC7C89"/>
    <w:rsid w:val="00DD174A"/>
    <w:rsid w:val="00DD1AAB"/>
    <w:rsid w:val="00DD3E3D"/>
    <w:rsid w:val="00DD3E49"/>
    <w:rsid w:val="00DD4CB4"/>
    <w:rsid w:val="00DD5316"/>
    <w:rsid w:val="00DD671D"/>
    <w:rsid w:val="00DD6A61"/>
    <w:rsid w:val="00DD6B4D"/>
    <w:rsid w:val="00DD6D51"/>
    <w:rsid w:val="00DD75D2"/>
    <w:rsid w:val="00DE24D6"/>
    <w:rsid w:val="00DE2CF2"/>
    <w:rsid w:val="00DE4D3B"/>
    <w:rsid w:val="00DE52C3"/>
    <w:rsid w:val="00DE5ED4"/>
    <w:rsid w:val="00DE6201"/>
    <w:rsid w:val="00DE6299"/>
    <w:rsid w:val="00DE74EF"/>
    <w:rsid w:val="00DF0475"/>
    <w:rsid w:val="00DF0578"/>
    <w:rsid w:val="00DF14F0"/>
    <w:rsid w:val="00DF168F"/>
    <w:rsid w:val="00DF2319"/>
    <w:rsid w:val="00DF2D65"/>
    <w:rsid w:val="00DF34F1"/>
    <w:rsid w:val="00DF35FE"/>
    <w:rsid w:val="00DF48FC"/>
    <w:rsid w:val="00DF5709"/>
    <w:rsid w:val="00DF5C23"/>
    <w:rsid w:val="00DF7295"/>
    <w:rsid w:val="00DF7FB3"/>
    <w:rsid w:val="00E005DC"/>
    <w:rsid w:val="00E02F1B"/>
    <w:rsid w:val="00E03C9C"/>
    <w:rsid w:val="00E041AC"/>
    <w:rsid w:val="00E0458F"/>
    <w:rsid w:val="00E05A44"/>
    <w:rsid w:val="00E05CE7"/>
    <w:rsid w:val="00E0610E"/>
    <w:rsid w:val="00E07C9F"/>
    <w:rsid w:val="00E101D5"/>
    <w:rsid w:val="00E116B5"/>
    <w:rsid w:val="00E126AD"/>
    <w:rsid w:val="00E126CD"/>
    <w:rsid w:val="00E12B02"/>
    <w:rsid w:val="00E1333D"/>
    <w:rsid w:val="00E13457"/>
    <w:rsid w:val="00E14CBE"/>
    <w:rsid w:val="00E15312"/>
    <w:rsid w:val="00E163DE"/>
    <w:rsid w:val="00E1663C"/>
    <w:rsid w:val="00E17195"/>
    <w:rsid w:val="00E21698"/>
    <w:rsid w:val="00E2355A"/>
    <w:rsid w:val="00E25E8C"/>
    <w:rsid w:val="00E2609D"/>
    <w:rsid w:val="00E2664B"/>
    <w:rsid w:val="00E26A7A"/>
    <w:rsid w:val="00E26C9F"/>
    <w:rsid w:val="00E26E8E"/>
    <w:rsid w:val="00E30131"/>
    <w:rsid w:val="00E31C62"/>
    <w:rsid w:val="00E31E78"/>
    <w:rsid w:val="00E32EA7"/>
    <w:rsid w:val="00E331F7"/>
    <w:rsid w:val="00E33876"/>
    <w:rsid w:val="00E3487D"/>
    <w:rsid w:val="00E34E0D"/>
    <w:rsid w:val="00E35050"/>
    <w:rsid w:val="00E3582E"/>
    <w:rsid w:val="00E35882"/>
    <w:rsid w:val="00E35A76"/>
    <w:rsid w:val="00E366B3"/>
    <w:rsid w:val="00E37E53"/>
    <w:rsid w:val="00E411D9"/>
    <w:rsid w:val="00E41762"/>
    <w:rsid w:val="00E42D51"/>
    <w:rsid w:val="00E42D68"/>
    <w:rsid w:val="00E436DD"/>
    <w:rsid w:val="00E44E30"/>
    <w:rsid w:val="00E455B0"/>
    <w:rsid w:val="00E458A7"/>
    <w:rsid w:val="00E459E2"/>
    <w:rsid w:val="00E45FB1"/>
    <w:rsid w:val="00E46F52"/>
    <w:rsid w:val="00E4751F"/>
    <w:rsid w:val="00E506D6"/>
    <w:rsid w:val="00E5187C"/>
    <w:rsid w:val="00E521A5"/>
    <w:rsid w:val="00E5380A"/>
    <w:rsid w:val="00E5420C"/>
    <w:rsid w:val="00E54C32"/>
    <w:rsid w:val="00E5519A"/>
    <w:rsid w:val="00E55550"/>
    <w:rsid w:val="00E55CE4"/>
    <w:rsid w:val="00E567DA"/>
    <w:rsid w:val="00E570EE"/>
    <w:rsid w:val="00E60533"/>
    <w:rsid w:val="00E60ECA"/>
    <w:rsid w:val="00E610CF"/>
    <w:rsid w:val="00E613C6"/>
    <w:rsid w:val="00E638C8"/>
    <w:rsid w:val="00E64201"/>
    <w:rsid w:val="00E64D66"/>
    <w:rsid w:val="00E6505B"/>
    <w:rsid w:val="00E65658"/>
    <w:rsid w:val="00E65BC9"/>
    <w:rsid w:val="00E65DD4"/>
    <w:rsid w:val="00E66197"/>
    <w:rsid w:val="00E6620B"/>
    <w:rsid w:val="00E66564"/>
    <w:rsid w:val="00E66965"/>
    <w:rsid w:val="00E67BFB"/>
    <w:rsid w:val="00E707BC"/>
    <w:rsid w:val="00E70F32"/>
    <w:rsid w:val="00E716B9"/>
    <w:rsid w:val="00E724A7"/>
    <w:rsid w:val="00E72735"/>
    <w:rsid w:val="00E744D1"/>
    <w:rsid w:val="00E749CC"/>
    <w:rsid w:val="00E7593E"/>
    <w:rsid w:val="00E75A14"/>
    <w:rsid w:val="00E76229"/>
    <w:rsid w:val="00E769B0"/>
    <w:rsid w:val="00E82805"/>
    <w:rsid w:val="00E82D4A"/>
    <w:rsid w:val="00E8315F"/>
    <w:rsid w:val="00E84277"/>
    <w:rsid w:val="00E84436"/>
    <w:rsid w:val="00E845DF"/>
    <w:rsid w:val="00E84FCD"/>
    <w:rsid w:val="00E850B3"/>
    <w:rsid w:val="00E851BC"/>
    <w:rsid w:val="00E8539D"/>
    <w:rsid w:val="00E853ED"/>
    <w:rsid w:val="00E85717"/>
    <w:rsid w:val="00E85755"/>
    <w:rsid w:val="00E85A6C"/>
    <w:rsid w:val="00E86435"/>
    <w:rsid w:val="00E8707E"/>
    <w:rsid w:val="00E876F2"/>
    <w:rsid w:val="00E90437"/>
    <w:rsid w:val="00E905B0"/>
    <w:rsid w:val="00E90A5B"/>
    <w:rsid w:val="00E92C0B"/>
    <w:rsid w:val="00E9414F"/>
    <w:rsid w:val="00E94BF5"/>
    <w:rsid w:val="00E95D4C"/>
    <w:rsid w:val="00E966E7"/>
    <w:rsid w:val="00EA05B3"/>
    <w:rsid w:val="00EA064A"/>
    <w:rsid w:val="00EA0DB1"/>
    <w:rsid w:val="00EA0F40"/>
    <w:rsid w:val="00EA1338"/>
    <w:rsid w:val="00EA1594"/>
    <w:rsid w:val="00EA1B6B"/>
    <w:rsid w:val="00EA321E"/>
    <w:rsid w:val="00EA36A8"/>
    <w:rsid w:val="00EA433B"/>
    <w:rsid w:val="00EA5418"/>
    <w:rsid w:val="00EA684C"/>
    <w:rsid w:val="00EA7336"/>
    <w:rsid w:val="00EA7345"/>
    <w:rsid w:val="00EA7733"/>
    <w:rsid w:val="00EA7BC0"/>
    <w:rsid w:val="00EB04B6"/>
    <w:rsid w:val="00EB0D37"/>
    <w:rsid w:val="00EB1335"/>
    <w:rsid w:val="00EB2A31"/>
    <w:rsid w:val="00EB434C"/>
    <w:rsid w:val="00EB484B"/>
    <w:rsid w:val="00EB55FB"/>
    <w:rsid w:val="00EB66FF"/>
    <w:rsid w:val="00EB6E69"/>
    <w:rsid w:val="00EC2BF3"/>
    <w:rsid w:val="00EC2DDA"/>
    <w:rsid w:val="00EC3012"/>
    <w:rsid w:val="00EC3176"/>
    <w:rsid w:val="00EC508B"/>
    <w:rsid w:val="00EC5162"/>
    <w:rsid w:val="00EC688D"/>
    <w:rsid w:val="00EC6BAB"/>
    <w:rsid w:val="00ED027B"/>
    <w:rsid w:val="00ED040A"/>
    <w:rsid w:val="00ED113C"/>
    <w:rsid w:val="00ED13CD"/>
    <w:rsid w:val="00ED2325"/>
    <w:rsid w:val="00ED27CA"/>
    <w:rsid w:val="00ED2FA1"/>
    <w:rsid w:val="00ED3533"/>
    <w:rsid w:val="00ED3564"/>
    <w:rsid w:val="00ED36BE"/>
    <w:rsid w:val="00ED498A"/>
    <w:rsid w:val="00ED5BA7"/>
    <w:rsid w:val="00ED6891"/>
    <w:rsid w:val="00EE088A"/>
    <w:rsid w:val="00EE2CC5"/>
    <w:rsid w:val="00EE2D72"/>
    <w:rsid w:val="00EE378E"/>
    <w:rsid w:val="00EE513A"/>
    <w:rsid w:val="00EE6159"/>
    <w:rsid w:val="00EE6615"/>
    <w:rsid w:val="00EE6B8C"/>
    <w:rsid w:val="00EE72AB"/>
    <w:rsid w:val="00EE7A33"/>
    <w:rsid w:val="00EE7BC5"/>
    <w:rsid w:val="00EE7CAB"/>
    <w:rsid w:val="00EF14A6"/>
    <w:rsid w:val="00EF157B"/>
    <w:rsid w:val="00EF28C2"/>
    <w:rsid w:val="00EF39B5"/>
    <w:rsid w:val="00EF4338"/>
    <w:rsid w:val="00EF4406"/>
    <w:rsid w:val="00EF4EE2"/>
    <w:rsid w:val="00EF61FE"/>
    <w:rsid w:val="00EF63D6"/>
    <w:rsid w:val="00EF6B07"/>
    <w:rsid w:val="00EF7D47"/>
    <w:rsid w:val="00EF7DC0"/>
    <w:rsid w:val="00F009FC"/>
    <w:rsid w:val="00F00AC2"/>
    <w:rsid w:val="00F01683"/>
    <w:rsid w:val="00F01778"/>
    <w:rsid w:val="00F01915"/>
    <w:rsid w:val="00F02607"/>
    <w:rsid w:val="00F03B5A"/>
    <w:rsid w:val="00F05288"/>
    <w:rsid w:val="00F05B1F"/>
    <w:rsid w:val="00F06115"/>
    <w:rsid w:val="00F06B94"/>
    <w:rsid w:val="00F07DC4"/>
    <w:rsid w:val="00F1001E"/>
    <w:rsid w:val="00F102A1"/>
    <w:rsid w:val="00F10B06"/>
    <w:rsid w:val="00F10B6F"/>
    <w:rsid w:val="00F11CCF"/>
    <w:rsid w:val="00F12A6B"/>
    <w:rsid w:val="00F131DF"/>
    <w:rsid w:val="00F1326F"/>
    <w:rsid w:val="00F13A39"/>
    <w:rsid w:val="00F14926"/>
    <w:rsid w:val="00F15565"/>
    <w:rsid w:val="00F15A88"/>
    <w:rsid w:val="00F2166A"/>
    <w:rsid w:val="00F21A56"/>
    <w:rsid w:val="00F239DC"/>
    <w:rsid w:val="00F23AFF"/>
    <w:rsid w:val="00F24FF5"/>
    <w:rsid w:val="00F25E7D"/>
    <w:rsid w:val="00F26168"/>
    <w:rsid w:val="00F26172"/>
    <w:rsid w:val="00F262E6"/>
    <w:rsid w:val="00F2684F"/>
    <w:rsid w:val="00F273A5"/>
    <w:rsid w:val="00F27A41"/>
    <w:rsid w:val="00F27B47"/>
    <w:rsid w:val="00F30B76"/>
    <w:rsid w:val="00F31112"/>
    <w:rsid w:val="00F31EB6"/>
    <w:rsid w:val="00F327E0"/>
    <w:rsid w:val="00F32882"/>
    <w:rsid w:val="00F32EE0"/>
    <w:rsid w:val="00F33B1D"/>
    <w:rsid w:val="00F3621D"/>
    <w:rsid w:val="00F36994"/>
    <w:rsid w:val="00F416A9"/>
    <w:rsid w:val="00F41A92"/>
    <w:rsid w:val="00F4222A"/>
    <w:rsid w:val="00F42A07"/>
    <w:rsid w:val="00F42CAB"/>
    <w:rsid w:val="00F433E7"/>
    <w:rsid w:val="00F43DA2"/>
    <w:rsid w:val="00F43DE5"/>
    <w:rsid w:val="00F442DC"/>
    <w:rsid w:val="00F4524C"/>
    <w:rsid w:val="00F463A5"/>
    <w:rsid w:val="00F46428"/>
    <w:rsid w:val="00F47202"/>
    <w:rsid w:val="00F47B8D"/>
    <w:rsid w:val="00F47F3C"/>
    <w:rsid w:val="00F502F1"/>
    <w:rsid w:val="00F5030C"/>
    <w:rsid w:val="00F50A77"/>
    <w:rsid w:val="00F5288F"/>
    <w:rsid w:val="00F53985"/>
    <w:rsid w:val="00F54871"/>
    <w:rsid w:val="00F55D55"/>
    <w:rsid w:val="00F570B5"/>
    <w:rsid w:val="00F5728D"/>
    <w:rsid w:val="00F606BF"/>
    <w:rsid w:val="00F60811"/>
    <w:rsid w:val="00F60C98"/>
    <w:rsid w:val="00F61021"/>
    <w:rsid w:val="00F61431"/>
    <w:rsid w:val="00F61BB7"/>
    <w:rsid w:val="00F6221E"/>
    <w:rsid w:val="00F622B8"/>
    <w:rsid w:val="00F62A12"/>
    <w:rsid w:val="00F63936"/>
    <w:rsid w:val="00F63C37"/>
    <w:rsid w:val="00F647E1"/>
    <w:rsid w:val="00F64C24"/>
    <w:rsid w:val="00F65D93"/>
    <w:rsid w:val="00F67861"/>
    <w:rsid w:val="00F706EA"/>
    <w:rsid w:val="00F73406"/>
    <w:rsid w:val="00F7418D"/>
    <w:rsid w:val="00F7718D"/>
    <w:rsid w:val="00F802DA"/>
    <w:rsid w:val="00F80826"/>
    <w:rsid w:val="00F812BE"/>
    <w:rsid w:val="00F828AD"/>
    <w:rsid w:val="00F83846"/>
    <w:rsid w:val="00F838EF"/>
    <w:rsid w:val="00F84F82"/>
    <w:rsid w:val="00F85207"/>
    <w:rsid w:val="00F854A5"/>
    <w:rsid w:val="00F85526"/>
    <w:rsid w:val="00F85E79"/>
    <w:rsid w:val="00F90642"/>
    <w:rsid w:val="00F91D55"/>
    <w:rsid w:val="00F922BF"/>
    <w:rsid w:val="00F926AA"/>
    <w:rsid w:val="00F92B12"/>
    <w:rsid w:val="00F92DDC"/>
    <w:rsid w:val="00F93B6D"/>
    <w:rsid w:val="00F95760"/>
    <w:rsid w:val="00F97289"/>
    <w:rsid w:val="00F973EB"/>
    <w:rsid w:val="00FA08B2"/>
    <w:rsid w:val="00FA0F23"/>
    <w:rsid w:val="00FA19A3"/>
    <w:rsid w:val="00FA2D65"/>
    <w:rsid w:val="00FA3C50"/>
    <w:rsid w:val="00FA42A7"/>
    <w:rsid w:val="00FA4409"/>
    <w:rsid w:val="00FA4806"/>
    <w:rsid w:val="00FA529E"/>
    <w:rsid w:val="00FA552A"/>
    <w:rsid w:val="00FA5A49"/>
    <w:rsid w:val="00FA7507"/>
    <w:rsid w:val="00FA7CF2"/>
    <w:rsid w:val="00FB0DEC"/>
    <w:rsid w:val="00FB13DE"/>
    <w:rsid w:val="00FB2622"/>
    <w:rsid w:val="00FB365A"/>
    <w:rsid w:val="00FB3761"/>
    <w:rsid w:val="00FB48C8"/>
    <w:rsid w:val="00FB579A"/>
    <w:rsid w:val="00FB716A"/>
    <w:rsid w:val="00FB7C9D"/>
    <w:rsid w:val="00FC017D"/>
    <w:rsid w:val="00FC1557"/>
    <w:rsid w:val="00FC15E8"/>
    <w:rsid w:val="00FC1CD3"/>
    <w:rsid w:val="00FC3A4B"/>
    <w:rsid w:val="00FC3E5F"/>
    <w:rsid w:val="00FC56B1"/>
    <w:rsid w:val="00FD0609"/>
    <w:rsid w:val="00FD1530"/>
    <w:rsid w:val="00FD16D4"/>
    <w:rsid w:val="00FD26B6"/>
    <w:rsid w:val="00FD2BCD"/>
    <w:rsid w:val="00FD6416"/>
    <w:rsid w:val="00FD6853"/>
    <w:rsid w:val="00FD6A59"/>
    <w:rsid w:val="00FD7159"/>
    <w:rsid w:val="00FE0FBA"/>
    <w:rsid w:val="00FE268E"/>
    <w:rsid w:val="00FE312A"/>
    <w:rsid w:val="00FE34B8"/>
    <w:rsid w:val="00FE3ED1"/>
    <w:rsid w:val="00FE477B"/>
    <w:rsid w:val="00FE53AE"/>
    <w:rsid w:val="00FE6872"/>
    <w:rsid w:val="00FE6A50"/>
    <w:rsid w:val="00FE7F99"/>
    <w:rsid w:val="00FF136D"/>
    <w:rsid w:val="00FF1D09"/>
    <w:rsid w:val="00FF2B3A"/>
    <w:rsid w:val="00FF3C78"/>
    <w:rsid w:val="00FF3E58"/>
    <w:rsid w:val="00FF450F"/>
    <w:rsid w:val="00FF481C"/>
    <w:rsid w:val="00FF5172"/>
    <w:rsid w:val="00FF54C6"/>
    <w:rsid w:val="00FF6263"/>
    <w:rsid w:val="00FF677D"/>
    <w:rsid w:val="00FF678B"/>
    <w:rsid w:val="00FF6A5D"/>
    <w:rsid w:val="00FF6C0E"/>
    <w:rsid w:val="00FF6E67"/>
    <w:rsid w:val="00FF7323"/>
    <w:rsid w:val="00FF74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D72"/>
    <w:pPr>
      <w:ind w:left="720"/>
      <w:contextualSpacing/>
    </w:pPr>
  </w:style>
  <w:style w:type="paragraph" w:styleId="FootnoteText">
    <w:name w:val="footnote text"/>
    <w:basedOn w:val="Normal"/>
    <w:link w:val="FootnoteTextChar"/>
    <w:uiPriority w:val="99"/>
    <w:unhideWhenUsed/>
    <w:rsid w:val="00481DE9"/>
    <w:pPr>
      <w:spacing w:after="0" w:line="240" w:lineRule="auto"/>
    </w:pPr>
    <w:rPr>
      <w:sz w:val="20"/>
      <w:szCs w:val="20"/>
    </w:rPr>
  </w:style>
  <w:style w:type="character" w:customStyle="1" w:styleId="FootnoteTextChar">
    <w:name w:val="Footnote Text Char"/>
    <w:basedOn w:val="DefaultParagraphFont"/>
    <w:link w:val="FootnoteText"/>
    <w:uiPriority w:val="99"/>
    <w:rsid w:val="00481DE9"/>
    <w:rPr>
      <w:sz w:val="20"/>
      <w:szCs w:val="20"/>
    </w:rPr>
  </w:style>
  <w:style w:type="character" w:styleId="FootnoteReference">
    <w:name w:val="footnote reference"/>
    <w:basedOn w:val="DefaultParagraphFont"/>
    <w:uiPriority w:val="99"/>
    <w:semiHidden/>
    <w:unhideWhenUsed/>
    <w:rsid w:val="00481DE9"/>
    <w:rPr>
      <w:vertAlign w:val="superscript"/>
    </w:rPr>
  </w:style>
  <w:style w:type="paragraph" w:styleId="EndnoteText">
    <w:name w:val="endnote text"/>
    <w:basedOn w:val="Normal"/>
    <w:link w:val="EndnoteTextChar"/>
    <w:uiPriority w:val="99"/>
    <w:semiHidden/>
    <w:unhideWhenUsed/>
    <w:rsid w:val="006D4B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4B51"/>
    <w:rPr>
      <w:sz w:val="20"/>
      <w:szCs w:val="20"/>
    </w:rPr>
  </w:style>
  <w:style w:type="character" w:styleId="EndnoteReference">
    <w:name w:val="endnote reference"/>
    <w:basedOn w:val="DefaultParagraphFont"/>
    <w:uiPriority w:val="99"/>
    <w:semiHidden/>
    <w:unhideWhenUsed/>
    <w:rsid w:val="006D4B51"/>
    <w:rPr>
      <w:vertAlign w:val="superscript"/>
    </w:rPr>
  </w:style>
  <w:style w:type="paragraph" w:styleId="Header">
    <w:name w:val="header"/>
    <w:basedOn w:val="Normal"/>
    <w:link w:val="HeaderChar"/>
    <w:uiPriority w:val="99"/>
    <w:unhideWhenUsed/>
    <w:rsid w:val="00497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6BC"/>
  </w:style>
  <w:style w:type="paragraph" w:styleId="Footer">
    <w:name w:val="footer"/>
    <w:basedOn w:val="Normal"/>
    <w:link w:val="FooterChar"/>
    <w:uiPriority w:val="99"/>
    <w:unhideWhenUsed/>
    <w:rsid w:val="00497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6BC"/>
  </w:style>
  <w:style w:type="paragraph" w:styleId="BalloonText">
    <w:name w:val="Balloon Text"/>
    <w:basedOn w:val="Normal"/>
    <w:link w:val="BalloonTextChar"/>
    <w:uiPriority w:val="99"/>
    <w:semiHidden/>
    <w:unhideWhenUsed/>
    <w:rsid w:val="005737D6"/>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5737D6"/>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D72"/>
    <w:pPr>
      <w:ind w:left="720"/>
      <w:contextualSpacing/>
    </w:pPr>
  </w:style>
  <w:style w:type="paragraph" w:styleId="FootnoteText">
    <w:name w:val="footnote text"/>
    <w:basedOn w:val="Normal"/>
    <w:link w:val="FootnoteTextChar"/>
    <w:uiPriority w:val="99"/>
    <w:unhideWhenUsed/>
    <w:rsid w:val="00481DE9"/>
    <w:pPr>
      <w:spacing w:after="0" w:line="240" w:lineRule="auto"/>
    </w:pPr>
    <w:rPr>
      <w:sz w:val="20"/>
      <w:szCs w:val="20"/>
    </w:rPr>
  </w:style>
  <w:style w:type="character" w:customStyle="1" w:styleId="FootnoteTextChar">
    <w:name w:val="Footnote Text Char"/>
    <w:basedOn w:val="DefaultParagraphFont"/>
    <w:link w:val="FootnoteText"/>
    <w:uiPriority w:val="99"/>
    <w:rsid w:val="00481DE9"/>
    <w:rPr>
      <w:sz w:val="20"/>
      <w:szCs w:val="20"/>
    </w:rPr>
  </w:style>
  <w:style w:type="character" w:styleId="FootnoteReference">
    <w:name w:val="footnote reference"/>
    <w:basedOn w:val="DefaultParagraphFont"/>
    <w:uiPriority w:val="99"/>
    <w:semiHidden/>
    <w:unhideWhenUsed/>
    <w:rsid w:val="00481DE9"/>
    <w:rPr>
      <w:vertAlign w:val="superscript"/>
    </w:rPr>
  </w:style>
  <w:style w:type="paragraph" w:styleId="EndnoteText">
    <w:name w:val="endnote text"/>
    <w:basedOn w:val="Normal"/>
    <w:link w:val="EndnoteTextChar"/>
    <w:uiPriority w:val="99"/>
    <w:semiHidden/>
    <w:unhideWhenUsed/>
    <w:rsid w:val="006D4B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4B51"/>
    <w:rPr>
      <w:sz w:val="20"/>
      <w:szCs w:val="20"/>
    </w:rPr>
  </w:style>
  <w:style w:type="character" w:styleId="EndnoteReference">
    <w:name w:val="endnote reference"/>
    <w:basedOn w:val="DefaultParagraphFont"/>
    <w:uiPriority w:val="99"/>
    <w:semiHidden/>
    <w:unhideWhenUsed/>
    <w:rsid w:val="006D4B51"/>
    <w:rPr>
      <w:vertAlign w:val="superscript"/>
    </w:rPr>
  </w:style>
  <w:style w:type="paragraph" w:styleId="Header">
    <w:name w:val="header"/>
    <w:basedOn w:val="Normal"/>
    <w:link w:val="HeaderChar"/>
    <w:uiPriority w:val="99"/>
    <w:unhideWhenUsed/>
    <w:rsid w:val="00497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6BC"/>
  </w:style>
  <w:style w:type="paragraph" w:styleId="Footer">
    <w:name w:val="footer"/>
    <w:basedOn w:val="Normal"/>
    <w:link w:val="FooterChar"/>
    <w:uiPriority w:val="99"/>
    <w:unhideWhenUsed/>
    <w:rsid w:val="00497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6BC"/>
  </w:style>
  <w:style w:type="paragraph" w:styleId="BalloonText">
    <w:name w:val="Balloon Text"/>
    <w:basedOn w:val="Normal"/>
    <w:link w:val="BalloonTextChar"/>
    <w:uiPriority w:val="99"/>
    <w:semiHidden/>
    <w:unhideWhenUsed/>
    <w:rsid w:val="005737D6"/>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5737D6"/>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666374">
      <w:bodyDiv w:val="1"/>
      <w:marLeft w:val="0"/>
      <w:marRight w:val="0"/>
      <w:marTop w:val="0"/>
      <w:marBottom w:val="0"/>
      <w:divBdr>
        <w:top w:val="none" w:sz="0" w:space="0" w:color="auto"/>
        <w:left w:val="none" w:sz="0" w:space="0" w:color="auto"/>
        <w:bottom w:val="none" w:sz="0" w:space="0" w:color="auto"/>
        <w:right w:val="none" w:sz="0" w:space="0" w:color="auto"/>
      </w:divBdr>
    </w:div>
    <w:div w:id="18227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12218</TotalTime>
  <Pages>1</Pages>
  <Words>6910</Words>
  <Characters>39391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Scott P.F.</cp:lastModifiedBy>
  <cp:revision>3061</cp:revision>
  <cp:lastPrinted>2015-10-13T11:15:00Z</cp:lastPrinted>
  <dcterms:created xsi:type="dcterms:W3CDTF">2015-03-23T16:45:00Z</dcterms:created>
  <dcterms:modified xsi:type="dcterms:W3CDTF">2016-01-08T18:51:00Z</dcterms:modified>
</cp:coreProperties>
</file>