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67" w:rsidRDefault="006F5A67" w:rsidP="006F5A67">
      <w:pPr>
        <w:rPr>
          <w:b/>
        </w:rPr>
      </w:pPr>
      <w:r>
        <w:rPr>
          <w:b/>
        </w:rPr>
        <w:t>TITLE</w:t>
      </w:r>
    </w:p>
    <w:p w:rsidR="006F5A67" w:rsidRPr="00D90AD4" w:rsidRDefault="006F5A67" w:rsidP="006F5A67">
      <w:r>
        <w:t xml:space="preserve">Evaluation of the Metasin assay for intraoperative assessment of sentinel lymph node metastases in breast cancer. </w:t>
      </w:r>
    </w:p>
    <w:p w:rsidR="006F5A67" w:rsidRDefault="006F5A67" w:rsidP="006F5A67">
      <w:pPr>
        <w:rPr>
          <w:b/>
        </w:rPr>
      </w:pPr>
    </w:p>
    <w:p w:rsidR="006F5A67" w:rsidRPr="00FC15EA" w:rsidRDefault="006F5A67" w:rsidP="006F5A67">
      <w:pPr>
        <w:rPr>
          <w:b/>
        </w:rPr>
      </w:pPr>
      <w:r w:rsidRPr="00FC15EA">
        <w:rPr>
          <w:b/>
        </w:rPr>
        <w:t>AUTHORS</w:t>
      </w:r>
    </w:p>
    <w:p w:rsidR="006F5A67" w:rsidRDefault="00046B51" w:rsidP="006F5A67">
      <w:r>
        <w:t>G</w:t>
      </w:r>
      <w:r w:rsidR="00882BC6">
        <w:t xml:space="preserve"> J </w:t>
      </w:r>
      <w:r>
        <w:t>Smith,</w:t>
      </w:r>
      <w:r w:rsidRPr="00046B51">
        <w:rPr>
          <w:vertAlign w:val="superscript"/>
        </w:rPr>
        <w:t>1</w:t>
      </w:r>
      <w:r>
        <w:t xml:space="preserve"> </w:t>
      </w:r>
      <w:r w:rsidR="006F5A67">
        <w:t>E Hodges,</w:t>
      </w:r>
      <w:r w:rsidRPr="00046B51">
        <w:rPr>
          <w:vertAlign w:val="superscript"/>
        </w:rPr>
        <w:t>2</w:t>
      </w:r>
      <w:r>
        <w:rPr>
          <w:vertAlign w:val="superscript"/>
        </w:rPr>
        <w:t xml:space="preserve"> </w:t>
      </w:r>
      <w:r w:rsidR="00F24DC7">
        <w:t>H Markham</w:t>
      </w:r>
      <w:r w:rsidR="006F5A67">
        <w:t>,</w:t>
      </w:r>
      <w:r w:rsidRPr="00046B51">
        <w:rPr>
          <w:vertAlign w:val="superscript"/>
        </w:rPr>
        <w:t>3</w:t>
      </w:r>
      <w:r w:rsidR="006F5A67">
        <w:t xml:space="preserve"> </w:t>
      </w:r>
      <w:r w:rsidR="00F24DC7">
        <w:t>S Zhang,</w:t>
      </w:r>
      <w:r w:rsidRPr="00046B51">
        <w:rPr>
          <w:vertAlign w:val="superscript"/>
        </w:rPr>
        <w:t>1</w:t>
      </w:r>
      <w:r w:rsidR="00F24DC7" w:rsidRPr="00046B51">
        <w:rPr>
          <w:vertAlign w:val="superscript"/>
        </w:rPr>
        <w:t xml:space="preserve"> </w:t>
      </w:r>
      <w:r>
        <w:rPr>
          <w:vertAlign w:val="superscript"/>
        </w:rPr>
        <w:t xml:space="preserve"> </w:t>
      </w:r>
      <w:r w:rsidR="006F5A67">
        <w:t xml:space="preserve">R I Cutress </w:t>
      </w:r>
      <w:r w:rsidR="006F5A67" w:rsidRPr="00947321">
        <w:rPr>
          <w:vertAlign w:val="superscript"/>
        </w:rPr>
        <w:t>4</w:t>
      </w:r>
      <w:r w:rsidR="006F5A67">
        <w:t>.</w:t>
      </w:r>
    </w:p>
    <w:p w:rsidR="00046B51" w:rsidRDefault="00046B51" w:rsidP="00F24DC7">
      <w:pPr>
        <w:spacing w:line="240" w:lineRule="auto"/>
        <w:rPr>
          <w:vertAlign w:val="superscript"/>
        </w:rPr>
      </w:pPr>
      <w:r>
        <w:rPr>
          <w:vertAlign w:val="superscript"/>
        </w:rPr>
        <w:t>1</w:t>
      </w:r>
      <w:r w:rsidRPr="00046B51">
        <w:t xml:space="preserve"> </w:t>
      </w:r>
      <w:r>
        <w:t>Biomedical Scientist, Molecular Pathology, University Hospital Southampton, UK.</w:t>
      </w:r>
    </w:p>
    <w:p w:rsidR="00046B51" w:rsidRDefault="00F24DC7" w:rsidP="00046B51">
      <w:pPr>
        <w:spacing w:line="240" w:lineRule="auto"/>
      </w:pPr>
      <w:r>
        <w:rPr>
          <w:vertAlign w:val="superscript"/>
        </w:rPr>
        <w:t>2</w:t>
      </w:r>
      <w:r w:rsidR="00046B51">
        <w:rPr>
          <w:vertAlign w:val="superscript"/>
        </w:rPr>
        <w:t xml:space="preserve"> </w:t>
      </w:r>
      <w:r w:rsidR="00046B51">
        <w:t>Consultant Clinical Scientist, Immunology &amp; Molecular Pathology, University Hospital Southampton, UK.</w:t>
      </w:r>
    </w:p>
    <w:p w:rsidR="00046B51" w:rsidRDefault="00F24DC7" w:rsidP="00046B51">
      <w:pPr>
        <w:spacing w:line="240" w:lineRule="auto"/>
      </w:pPr>
      <w:r>
        <w:rPr>
          <w:vertAlign w:val="superscript"/>
        </w:rPr>
        <w:t>3</w:t>
      </w:r>
      <w:r w:rsidR="00CA0296">
        <w:rPr>
          <w:vertAlign w:val="superscript"/>
        </w:rPr>
        <w:t xml:space="preserve"> </w:t>
      </w:r>
      <w:r w:rsidR="00046B51">
        <w:t>Consultant Histopathologist, University Hospital Southampton, UK.</w:t>
      </w:r>
    </w:p>
    <w:p w:rsidR="006F5A67" w:rsidRDefault="006F5A67" w:rsidP="006F5A67">
      <w:pPr>
        <w:spacing w:line="240" w:lineRule="auto"/>
      </w:pPr>
      <w:r w:rsidRPr="00947321">
        <w:rPr>
          <w:vertAlign w:val="superscript"/>
        </w:rPr>
        <w:t>4</w:t>
      </w:r>
      <w:r w:rsidR="00CA0296">
        <w:rPr>
          <w:vertAlign w:val="superscript"/>
        </w:rPr>
        <w:t xml:space="preserve"> </w:t>
      </w:r>
      <w:r>
        <w:t xml:space="preserve">Associate Professor and Consultant Surgeon, University of Southampton and University Hospital Southampton, UK.    </w:t>
      </w:r>
    </w:p>
    <w:p w:rsidR="006F5A67" w:rsidRDefault="006F5A67" w:rsidP="006F5A67">
      <w:pPr>
        <w:spacing w:line="240" w:lineRule="auto"/>
      </w:pPr>
    </w:p>
    <w:p w:rsidR="006F5A67" w:rsidRDefault="006F5A67" w:rsidP="006F5A67">
      <w:pPr>
        <w:spacing w:line="240" w:lineRule="auto"/>
      </w:pPr>
      <w:r>
        <w:t xml:space="preserve">Author to whom correspondence should be addressed; Mr R.I Cutress, Cancer Research UK Clinical Centre, Somers Cancer Research Building, MP824, Southampton General Hospital, Southampton, SO16 6YD, UK; E-Mail:          R.I.Cutress@soton.ac.uk; Tel: (023) 81206184.                      </w:t>
      </w:r>
    </w:p>
    <w:p w:rsidR="006F5A67" w:rsidRDefault="006F5A67" w:rsidP="006F5A67">
      <w:pPr>
        <w:spacing w:line="240" w:lineRule="auto"/>
      </w:pPr>
    </w:p>
    <w:p w:rsidR="006F5A67" w:rsidRDefault="006F5A67" w:rsidP="006F5A67">
      <w:pPr>
        <w:rPr>
          <w:b/>
        </w:rPr>
      </w:pPr>
    </w:p>
    <w:p w:rsidR="006F5A67" w:rsidRDefault="006F5A67" w:rsidP="006F5A67">
      <w:pPr>
        <w:rPr>
          <w:b/>
        </w:rPr>
      </w:pPr>
      <w:r w:rsidRPr="00FC15EA">
        <w:rPr>
          <w:b/>
        </w:rPr>
        <w:t>KEYWORDS</w:t>
      </w:r>
      <w:bookmarkStart w:id="0" w:name="_GoBack"/>
      <w:bookmarkEnd w:id="0"/>
    </w:p>
    <w:p w:rsidR="006F5A67" w:rsidRPr="00EF117A" w:rsidRDefault="006F5A67" w:rsidP="006F5A67">
      <w:r w:rsidRPr="00EF117A">
        <w:t>Metasin;</w:t>
      </w:r>
      <w:r>
        <w:t xml:space="preserve"> Sentinel lymph node; OSNA; Intraoperative; NICE.</w:t>
      </w:r>
    </w:p>
    <w:p w:rsidR="006F5A67" w:rsidRDefault="006F5A67" w:rsidP="006F5A67">
      <w:pPr>
        <w:rPr>
          <w:b/>
        </w:rPr>
      </w:pPr>
    </w:p>
    <w:p w:rsidR="002D5284" w:rsidRDefault="006F5A67" w:rsidP="006F5A67">
      <w:pPr>
        <w:rPr>
          <w:b/>
        </w:rPr>
      </w:pPr>
      <w:r>
        <w:rPr>
          <w:b/>
        </w:rPr>
        <w:t xml:space="preserve">WORD COUNT    </w:t>
      </w:r>
    </w:p>
    <w:p w:rsidR="006F5A67" w:rsidRDefault="0034135D" w:rsidP="006F5A67">
      <w:pPr>
        <w:rPr>
          <w:b/>
        </w:rPr>
      </w:pPr>
      <w:r>
        <w:t>29</w:t>
      </w:r>
      <w:r w:rsidR="0014192B">
        <w:t>97</w:t>
      </w:r>
    </w:p>
    <w:p w:rsidR="006F5A67" w:rsidRDefault="006F5A67" w:rsidP="006F5A67">
      <w:pPr>
        <w:spacing w:line="240" w:lineRule="auto"/>
        <w:jc w:val="left"/>
      </w:pPr>
      <w:r>
        <w:br w:type="page"/>
      </w:r>
    </w:p>
    <w:p w:rsidR="006F5A67" w:rsidRDefault="006F5A67" w:rsidP="006F5A67">
      <w:pPr>
        <w:spacing w:line="240" w:lineRule="auto"/>
        <w:rPr>
          <w:b/>
        </w:rPr>
      </w:pPr>
      <w:r w:rsidRPr="00FC15EA">
        <w:rPr>
          <w:b/>
        </w:rPr>
        <w:lastRenderedPageBreak/>
        <w:t>ABSTRACT</w:t>
      </w:r>
    </w:p>
    <w:p w:rsidR="006F5A67" w:rsidRPr="00FC15EA" w:rsidRDefault="006F5A67" w:rsidP="006F5A67">
      <w:pPr>
        <w:spacing w:line="240" w:lineRule="auto"/>
        <w:rPr>
          <w:b/>
        </w:rPr>
      </w:pPr>
    </w:p>
    <w:p w:rsidR="006F5A67" w:rsidRDefault="006F5A67" w:rsidP="006F5A67">
      <w:pPr>
        <w:rPr>
          <w:rFonts w:eastAsiaTheme="minorHAnsi"/>
        </w:rPr>
      </w:pPr>
      <w:r w:rsidRPr="00F24DC7">
        <w:rPr>
          <w:rFonts w:eastAsiaTheme="minorHAnsi"/>
          <w:b/>
        </w:rPr>
        <w:t>Aims</w:t>
      </w:r>
      <w:r w:rsidR="006F3DDA" w:rsidRPr="006F3DDA">
        <w:rPr>
          <w:rFonts w:eastAsiaTheme="minorHAnsi"/>
        </w:rPr>
        <w:t xml:space="preserve">: </w:t>
      </w:r>
      <w:r>
        <w:rPr>
          <w:rFonts w:eastAsiaTheme="minorHAnsi"/>
        </w:rPr>
        <w:t>Sentinel lymph node (SLN)</w:t>
      </w:r>
      <w:r w:rsidRPr="006E002D">
        <w:rPr>
          <w:rFonts w:eastAsiaTheme="minorHAnsi"/>
        </w:rPr>
        <w:t xml:space="preserve"> biopsy is the preferred </w:t>
      </w:r>
      <w:r>
        <w:rPr>
          <w:rFonts w:eastAsiaTheme="minorHAnsi"/>
        </w:rPr>
        <w:t xml:space="preserve">surgical </w:t>
      </w:r>
      <w:r w:rsidRPr="006E002D">
        <w:rPr>
          <w:rFonts w:eastAsiaTheme="minorHAnsi"/>
        </w:rPr>
        <w:t xml:space="preserve">technique for staging the axilla </w:t>
      </w:r>
      <w:r>
        <w:rPr>
          <w:rFonts w:eastAsiaTheme="minorHAnsi"/>
        </w:rPr>
        <w:t xml:space="preserve">in clinically node negative breast cancer. Accurate intraoperative staging allows for the immediate performance of an axillary clearance in node-positive patients. We assessed the Metasin assay for the intraoperative analysis of SLNs in a prospective evaluation of 250 consecutive patients undergoing intra-operative SLN analysis at the Breast Unit, University Hospital, Southampton, UK. </w:t>
      </w:r>
    </w:p>
    <w:p w:rsidR="006F5A67" w:rsidRDefault="006F5A67" w:rsidP="006F5A67">
      <w:pPr>
        <w:rPr>
          <w:rFonts w:eastAsiaTheme="minorHAnsi"/>
        </w:rPr>
      </w:pPr>
      <w:r w:rsidRPr="00F24DC7">
        <w:rPr>
          <w:rFonts w:eastAsiaTheme="minorHAnsi"/>
          <w:b/>
        </w:rPr>
        <w:t>Methods</w:t>
      </w:r>
      <w:r w:rsidR="006F3DDA" w:rsidRPr="006F3DDA">
        <w:rPr>
          <w:rFonts w:eastAsiaTheme="minorHAnsi"/>
        </w:rPr>
        <w:t xml:space="preserve">: </w:t>
      </w:r>
      <w:r>
        <w:t xml:space="preserve">Metasin </w:t>
      </w:r>
      <w:r w:rsidRPr="006E002D">
        <w:rPr>
          <w:rFonts w:eastAsiaTheme="minorHAnsi"/>
        </w:rPr>
        <w:t xml:space="preserve">uses </w:t>
      </w:r>
      <w:r>
        <w:rPr>
          <w:rFonts w:eastAsiaTheme="minorHAnsi"/>
        </w:rPr>
        <w:t xml:space="preserve">a </w:t>
      </w:r>
      <w:r w:rsidR="00BB4E1E">
        <w:rPr>
          <w:rFonts w:eastAsiaTheme="minorHAnsi"/>
        </w:rPr>
        <w:t xml:space="preserve">real time quantitative </w:t>
      </w:r>
      <w:r w:rsidRPr="006E002D">
        <w:rPr>
          <w:rFonts w:eastAsiaTheme="minorHAnsi"/>
        </w:rPr>
        <w:t>polymerase chain reaction (RT-</w:t>
      </w:r>
      <w:r w:rsidR="00BB4E1E">
        <w:rPr>
          <w:rFonts w:eastAsiaTheme="minorHAnsi"/>
        </w:rPr>
        <w:t>q</w:t>
      </w:r>
      <w:r w:rsidRPr="006E002D">
        <w:rPr>
          <w:rFonts w:eastAsiaTheme="minorHAnsi"/>
        </w:rPr>
        <w:t>PCR) to detect two markers of metastasis</w:t>
      </w:r>
      <w:r>
        <w:rPr>
          <w:rFonts w:eastAsiaTheme="minorHAnsi"/>
        </w:rPr>
        <w:t>:-</w:t>
      </w:r>
      <w:r w:rsidRPr="006E002D">
        <w:rPr>
          <w:rFonts w:eastAsiaTheme="minorHAnsi"/>
        </w:rPr>
        <w:t>, cytokeratin 19 (CK19) an epithelial marker and mammaglobin (MGB) a breast specific marker.</w:t>
      </w:r>
      <w:r>
        <w:rPr>
          <w:rFonts w:eastAsiaTheme="minorHAnsi"/>
        </w:rPr>
        <w:t xml:space="preserve"> </w:t>
      </w:r>
      <w:r w:rsidR="00F24DC7">
        <w:rPr>
          <w:rFonts w:eastAsiaTheme="minorHAnsi"/>
        </w:rPr>
        <w:t>Metasin results were compared to the results from routine paraffin block Histopathology.</w:t>
      </w:r>
    </w:p>
    <w:p w:rsidR="006F5A67" w:rsidRDefault="006F5A67" w:rsidP="006F5A67">
      <w:r w:rsidRPr="00F24DC7">
        <w:rPr>
          <w:rFonts w:eastAsiaTheme="minorHAnsi"/>
          <w:b/>
        </w:rPr>
        <w:t>Results</w:t>
      </w:r>
      <w:r w:rsidR="006F3DDA" w:rsidRPr="006F3DDA">
        <w:rPr>
          <w:rFonts w:eastAsiaTheme="minorHAnsi"/>
        </w:rPr>
        <w:t xml:space="preserve">: </w:t>
      </w:r>
      <w:r>
        <w:rPr>
          <w:rFonts w:eastAsiaTheme="minorHAnsi"/>
        </w:rPr>
        <w:t>Metasin was robust, with a failure rate of &lt;1%</w:t>
      </w:r>
      <w:r w:rsidR="00F24DC7">
        <w:rPr>
          <w:rFonts w:eastAsiaTheme="minorHAnsi"/>
        </w:rPr>
        <w:t>,</w:t>
      </w:r>
      <w:r>
        <w:rPr>
          <w:rFonts w:eastAsiaTheme="minorHAnsi"/>
        </w:rPr>
        <w:t xml:space="preserve"> and demonstrated excellent accuracy and reproducibility. The average turnaround time for the Metasin assay was 42 minutes, the largest variable being the number of nodes assayed. </w:t>
      </w:r>
      <w:r>
        <w:t xml:space="preserve">A total of 533 SLNs were evaluated with 75 patients testing positive for MGB and/or CK19. Based on the analysis of individual SLNs the overall concordance between Metasin and Histology was 92.3% (sensitivity 88.7%, specificity 92.9%). When adjusted for tissue allocation bias the concordance was 93.8% (sensitivity 89.8%, specificity 94.6%). In this evaluation 57/250 patients (23%) proceeded to axillary clearance based on Metasin results and were considered spared a second operative procedure. </w:t>
      </w:r>
    </w:p>
    <w:p w:rsidR="006F5A67" w:rsidRDefault="006F5A67" w:rsidP="006F5A67">
      <w:r w:rsidRPr="00F24DC7">
        <w:rPr>
          <w:b/>
        </w:rPr>
        <w:t>Conclusions</w:t>
      </w:r>
      <w:r w:rsidR="006F3DDA" w:rsidRPr="00F24DC7">
        <w:rPr>
          <w:b/>
        </w:rPr>
        <w:t>:</w:t>
      </w:r>
      <w:r w:rsidR="006F3DDA" w:rsidRPr="006F3DDA">
        <w:t xml:space="preserve"> </w:t>
      </w:r>
      <w:r>
        <w:t>Metasin has proven to be an accurate, reproducib</w:t>
      </w:r>
      <w:r w:rsidR="00F24DC7">
        <w:t xml:space="preserve">le and reliable laboratory test. </w:t>
      </w:r>
      <w:r>
        <w:t xml:space="preserve"> </w:t>
      </w:r>
      <w:r w:rsidR="00F17760">
        <w:t xml:space="preserve">The analysis time is acceptable for intraoperative use, and in comparison to routine </w:t>
      </w:r>
      <w:r>
        <w:t xml:space="preserve">Histology </w:t>
      </w:r>
      <w:r w:rsidR="00F17760">
        <w:t xml:space="preserve">demonstrates acceptable </w:t>
      </w:r>
      <w:r>
        <w:t>concordance, sensitivity and specificity.</w:t>
      </w:r>
    </w:p>
    <w:p w:rsidR="006F5A67" w:rsidRDefault="006F5A67">
      <w:pPr>
        <w:spacing w:line="240" w:lineRule="auto"/>
        <w:jc w:val="left"/>
      </w:pPr>
      <w:r>
        <w:br w:type="page"/>
      </w:r>
    </w:p>
    <w:p w:rsidR="006F5A67" w:rsidRPr="00F17760" w:rsidRDefault="006F5A67" w:rsidP="00F17760">
      <w:pPr>
        <w:tabs>
          <w:tab w:val="left" w:pos="5290"/>
        </w:tabs>
        <w:spacing w:line="240" w:lineRule="auto"/>
        <w:rPr>
          <w:i/>
        </w:rPr>
      </w:pPr>
      <w:r>
        <w:rPr>
          <w:b/>
        </w:rPr>
        <w:lastRenderedPageBreak/>
        <w:t xml:space="preserve">INTRODUCTION </w:t>
      </w:r>
      <w:r w:rsidR="00F17760">
        <w:rPr>
          <w:b/>
        </w:rPr>
        <w:tab/>
      </w:r>
    </w:p>
    <w:p w:rsidR="006E002D" w:rsidRDefault="006E002D" w:rsidP="00FC15EA">
      <w:pPr>
        <w:spacing w:line="240" w:lineRule="auto"/>
        <w:rPr>
          <w:b/>
        </w:rPr>
      </w:pPr>
    </w:p>
    <w:p w:rsidR="006E002D" w:rsidRPr="006E002D" w:rsidRDefault="006E002D" w:rsidP="004367C7">
      <w:pPr>
        <w:spacing w:after="200"/>
        <w:jc w:val="left"/>
        <w:rPr>
          <w:rFonts w:eastAsiaTheme="minorHAnsi"/>
        </w:rPr>
      </w:pPr>
      <w:r w:rsidRPr="006E002D">
        <w:rPr>
          <w:rFonts w:eastAsiaTheme="minorHAnsi"/>
        </w:rPr>
        <w:t xml:space="preserve">Sentinel lymph node biopsy </w:t>
      </w:r>
      <w:r w:rsidR="001F0AAA">
        <w:rPr>
          <w:rFonts w:eastAsiaTheme="minorHAnsi"/>
        </w:rPr>
        <w:t xml:space="preserve">(SLNB) </w:t>
      </w:r>
      <w:r w:rsidRPr="006E002D">
        <w:rPr>
          <w:rFonts w:eastAsiaTheme="minorHAnsi"/>
        </w:rPr>
        <w:t>is the preferred technique for staging the axilla during breast surgery</w:t>
      </w:r>
      <w:r w:rsidR="00B80BD1">
        <w:rPr>
          <w:rFonts w:eastAsiaTheme="minorHAnsi"/>
        </w:rPr>
        <w:t>.[</w:t>
      </w:r>
      <w:r w:rsidRPr="006E002D">
        <w:rPr>
          <w:rFonts w:eastAsiaTheme="minorHAnsi"/>
        </w:rPr>
        <w:t>1-3</w:t>
      </w:r>
      <w:r w:rsidR="00B80BD1">
        <w:rPr>
          <w:rFonts w:eastAsiaTheme="minorHAnsi"/>
        </w:rPr>
        <w:t>]</w:t>
      </w:r>
      <w:r w:rsidRPr="006E002D">
        <w:rPr>
          <w:rFonts w:eastAsiaTheme="minorHAnsi"/>
        </w:rPr>
        <w:t xml:space="preserve"> It is associated with clinical outcomes equ</w:t>
      </w:r>
      <w:r w:rsidR="008523D6">
        <w:rPr>
          <w:rFonts w:eastAsiaTheme="minorHAnsi"/>
        </w:rPr>
        <w:t>ivalent to axillary dissection</w:t>
      </w:r>
      <w:r w:rsidR="00B80BD1">
        <w:rPr>
          <w:rFonts w:eastAsiaTheme="minorHAnsi"/>
        </w:rPr>
        <w:t>,[</w:t>
      </w:r>
      <w:r w:rsidRPr="006E002D">
        <w:rPr>
          <w:rFonts w:eastAsiaTheme="minorHAnsi"/>
        </w:rPr>
        <w:t>4</w:t>
      </w:r>
      <w:r w:rsidR="00B80BD1">
        <w:rPr>
          <w:rFonts w:eastAsiaTheme="minorHAnsi"/>
        </w:rPr>
        <w:t>]</w:t>
      </w:r>
      <w:r w:rsidRPr="006E002D">
        <w:rPr>
          <w:rFonts w:eastAsiaTheme="minorHAnsi"/>
        </w:rPr>
        <w:t xml:space="preserve"> reduced morbidity and improved quality of life</w:t>
      </w:r>
      <w:r w:rsidR="00B80BD1">
        <w:rPr>
          <w:rFonts w:eastAsiaTheme="minorHAnsi"/>
        </w:rPr>
        <w:t>.[</w:t>
      </w:r>
      <w:r w:rsidRPr="006E002D">
        <w:rPr>
          <w:rFonts w:eastAsiaTheme="minorHAnsi"/>
        </w:rPr>
        <w:t>5</w:t>
      </w:r>
      <w:r w:rsidR="00B80BD1">
        <w:rPr>
          <w:rFonts w:eastAsiaTheme="minorHAnsi"/>
        </w:rPr>
        <w:t>]</w:t>
      </w:r>
    </w:p>
    <w:p w:rsidR="006E002D" w:rsidRPr="006E002D" w:rsidRDefault="006E002D" w:rsidP="004367C7">
      <w:pPr>
        <w:spacing w:after="200"/>
        <w:jc w:val="left"/>
        <w:rPr>
          <w:rFonts w:eastAsiaTheme="minorHAnsi"/>
        </w:rPr>
      </w:pPr>
      <w:r w:rsidRPr="006E002D">
        <w:rPr>
          <w:rFonts w:eastAsiaTheme="minorHAnsi"/>
        </w:rPr>
        <w:t xml:space="preserve">The current </w:t>
      </w:r>
      <w:r w:rsidR="00F17760">
        <w:rPr>
          <w:rFonts w:eastAsiaTheme="minorHAnsi"/>
        </w:rPr>
        <w:t xml:space="preserve">published </w:t>
      </w:r>
      <w:r w:rsidRPr="006E002D">
        <w:rPr>
          <w:rFonts w:eastAsiaTheme="minorHAnsi"/>
        </w:rPr>
        <w:t>UK recommendation is that patients with a positive SLN</w:t>
      </w:r>
      <w:r w:rsidR="001F0AAA">
        <w:rPr>
          <w:rFonts w:eastAsiaTheme="minorHAnsi"/>
        </w:rPr>
        <w:t>B</w:t>
      </w:r>
      <w:r w:rsidRPr="006E002D">
        <w:rPr>
          <w:rFonts w:eastAsiaTheme="minorHAnsi"/>
        </w:rPr>
        <w:t xml:space="preserve"> undergo further axillary treatment</w:t>
      </w:r>
      <w:r w:rsidR="00B80BD1">
        <w:rPr>
          <w:rFonts w:eastAsiaTheme="minorHAnsi"/>
        </w:rPr>
        <w:t>.[</w:t>
      </w:r>
      <w:r w:rsidR="00CA284F">
        <w:rPr>
          <w:rFonts w:eastAsiaTheme="minorHAnsi"/>
        </w:rPr>
        <w:t>3,</w:t>
      </w:r>
      <w:r w:rsidRPr="006E002D">
        <w:rPr>
          <w:rFonts w:eastAsiaTheme="minorHAnsi"/>
        </w:rPr>
        <w:t>6</w:t>
      </w:r>
      <w:r w:rsidR="00B80BD1">
        <w:rPr>
          <w:rFonts w:eastAsiaTheme="minorHAnsi"/>
        </w:rPr>
        <w:t>]</w:t>
      </w:r>
      <w:r w:rsidRPr="006E002D">
        <w:rPr>
          <w:rFonts w:eastAsiaTheme="minorHAnsi"/>
        </w:rPr>
        <w:t xml:space="preserve"> Intraoperative assessment of the </w:t>
      </w:r>
      <w:r w:rsidR="001F0AAA">
        <w:rPr>
          <w:rFonts w:eastAsiaTheme="minorHAnsi"/>
        </w:rPr>
        <w:t>sentinel lymph node (S</w:t>
      </w:r>
      <w:r w:rsidRPr="006E002D">
        <w:rPr>
          <w:rFonts w:eastAsiaTheme="minorHAnsi"/>
        </w:rPr>
        <w:t>LN</w:t>
      </w:r>
      <w:r w:rsidR="001F0AAA">
        <w:rPr>
          <w:rFonts w:eastAsiaTheme="minorHAnsi"/>
        </w:rPr>
        <w:t>)</w:t>
      </w:r>
      <w:r w:rsidRPr="006E002D">
        <w:rPr>
          <w:rFonts w:eastAsiaTheme="minorHAnsi"/>
        </w:rPr>
        <w:t xml:space="preserve"> will stage the axilla, allowing an immediate axillary clearance to be performed in node positive patients. This avoids a second operation in these patients and averts possible delays to adjuvant chemotherapy or radiotherapy</w:t>
      </w:r>
      <w:r w:rsidR="00B80BD1">
        <w:rPr>
          <w:rFonts w:eastAsiaTheme="minorHAnsi"/>
        </w:rPr>
        <w:t>.[</w:t>
      </w:r>
      <w:r w:rsidRPr="006E002D">
        <w:rPr>
          <w:rFonts w:eastAsiaTheme="minorHAnsi"/>
        </w:rPr>
        <w:t>4</w:t>
      </w:r>
      <w:r w:rsidR="00B80BD1">
        <w:rPr>
          <w:rFonts w:eastAsiaTheme="minorHAnsi"/>
        </w:rPr>
        <w:t>]</w:t>
      </w:r>
      <w:r w:rsidRPr="006E002D">
        <w:rPr>
          <w:rFonts w:eastAsiaTheme="minorHAnsi"/>
        </w:rPr>
        <w:t xml:space="preserve"> In addition this should be of cost benefit for the </w:t>
      </w:r>
      <w:r w:rsidR="00086780">
        <w:rPr>
          <w:rFonts w:eastAsiaTheme="minorHAnsi"/>
        </w:rPr>
        <w:t>UK National Health Service (</w:t>
      </w:r>
      <w:r w:rsidRPr="006E002D">
        <w:rPr>
          <w:rFonts w:eastAsiaTheme="minorHAnsi"/>
        </w:rPr>
        <w:t>NHS</w:t>
      </w:r>
      <w:r w:rsidR="00086780">
        <w:rPr>
          <w:rFonts w:eastAsiaTheme="minorHAnsi"/>
        </w:rPr>
        <w:t>)</w:t>
      </w:r>
      <w:r w:rsidR="00B80BD1">
        <w:rPr>
          <w:rFonts w:eastAsiaTheme="minorHAnsi"/>
        </w:rPr>
        <w:t>.[</w:t>
      </w:r>
      <w:r w:rsidRPr="006E002D">
        <w:rPr>
          <w:rFonts w:eastAsiaTheme="minorHAnsi"/>
        </w:rPr>
        <w:t>7</w:t>
      </w:r>
      <w:r w:rsidR="00B80BD1">
        <w:rPr>
          <w:rFonts w:eastAsiaTheme="minorHAnsi"/>
        </w:rPr>
        <w:t>]</w:t>
      </w:r>
    </w:p>
    <w:p w:rsidR="00CA284F" w:rsidRDefault="006E002D" w:rsidP="004367C7">
      <w:pPr>
        <w:spacing w:after="200"/>
        <w:jc w:val="left"/>
        <w:rPr>
          <w:rFonts w:eastAsiaTheme="minorHAnsi"/>
        </w:rPr>
      </w:pPr>
      <w:r w:rsidRPr="006E002D">
        <w:rPr>
          <w:rFonts w:eastAsiaTheme="minorHAnsi"/>
        </w:rPr>
        <w:t xml:space="preserve">Traditional histological techniques for intraoperative analysis are </w:t>
      </w:r>
      <w:r w:rsidR="003D63AF">
        <w:rPr>
          <w:rFonts w:eastAsiaTheme="minorHAnsi"/>
        </w:rPr>
        <w:t>f</w:t>
      </w:r>
      <w:r w:rsidRPr="006E002D">
        <w:rPr>
          <w:rFonts w:eastAsiaTheme="minorHAnsi"/>
        </w:rPr>
        <w:t>rozen section analysis and touch imprint cytology. These are highly specific, approaching 100%, but the sensitivity is variable at around 60 – 70% and the reliable detection of micrometastases is a particular issue</w:t>
      </w:r>
      <w:r w:rsidR="00B43201">
        <w:rPr>
          <w:rFonts w:eastAsiaTheme="minorHAnsi"/>
        </w:rPr>
        <w:t>.[</w:t>
      </w:r>
      <w:r w:rsidRPr="006E002D">
        <w:rPr>
          <w:rFonts w:eastAsiaTheme="minorHAnsi"/>
        </w:rPr>
        <w:t>8-10</w:t>
      </w:r>
      <w:r w:rsidR="00B43201">
        <w:rPr>
          <w:rFonts w:eastAsiaTheme="minorHAnsi"/>
        </w:rPr>
        <w:t>]</w:t>
      </w:r>
      <w:r w:rsidRPr="006E002D">
        <w:rPr>
          <w:rFonts w:eastAsiaTheme="minorHAnsi"/>
        </w:rPr>
        <w:t xml:space="preserve"> </w:t>
      </w:r>
    </w:p>
    <w:p w:rsidR="006E002D" w:rsidRPr="006E002D" w:rsidRDefault="008F7904" w:rsidP="004367C7">
      <w:pPr>
        <w:spacing w:after="200"/>
        <w:jc w:val="left"/>
        <w:rPr>
          <w:rFonts w:eastAsiaTheme="minorHAnsi"/>
        </w:rPr>
      </w:pPr>
      <w:r>
        <w:rPr>
          <w:rFonts w:eastAsiaTheme="minorHAnsi"/>
        </w:rPr>
        <w:t>M</w:t>
      </w:r>
      <w:r w:rsidR="006E002D" w:rsidRPr="006E002D">
        <w:rPr>
          <w:rFonts w:eastAsiaTheme="minorHAnsi"/>
        </w:rPr>
        <w:t xml:space="preserve">olecular tests have the potential to be even more sensitive than the “gold standard” paraffin blocked based </w:t>
      </w:r>
      <w:r w:rsidR="00056AA9">
        <w:rPr>
          <w:rFonts w:eastAsiaTheme="minorHAnsi"/>
        </w:rPr>
        <w:t>Histology</w:t>
      </w:r>
      <w:r w:rsidR="006E002D" w:rsidRPr="006E002D">
        <w:rPr>
          <w:rFonts w:eastAsiaTheme="minorHAnsi"/>
        </w:rPr>
        <w:t xml:space="preserve"> techniques, not least because they allow the sampling of the whole SLN biopsy</w:t>
      </w:r>
      <w:r w:rsidR="003D63AF">
        <w:rPr>
          <w:rFonts w:eastAsiaTheme="minorHAnsi"/>
        </w:rPr>
        <w:t>.[</w:t>
      </w:r>
      <w:r w:rsidR="00B43201">
        <w:rPr>
          <w:rFonts w:eastAsiaTheme="minorHAnsi"/>
        </w:rPr>
        <w:t>1</w:t>
      </w:r>
      <w:r w:rsidR="006E002D" w:rsidRPr="006E002D">
        <w:rPr>
          <w:rFonts w:eastAsiaTheme="minorHAnsi"/>
        </w:rPr>
        <w:t>0</w:t>
      </w:r>
      <w:r w:rsidR="00B43201">
        <w:rPr>
          <w:rFonts w:eastAsiaTheme="minorHAnsi"/>
        </w:rPr>
        <w:t>]</w:t>
      </w:r>
      <w:r w:rsidR="00CA284F">
        <w:rPr>
          <w:rFonts w:eastAsiaTheme="minorHAnsi"/>
        </w:rPr>
        <w:t xml:space="preserve"> </w:t>
      </w:r>
      <w:r w:rsidR="003D63AF">
        <w:rPr>
          <w:rFonts w:eastAsiaTheme="minorHAnsi"/>
        </w:rPr>
        <w:t>T</w:t>
      </w:r>
      <w:r w:rsidR="006E002D" w:rsidRPr="006E002D">
        <w:rPr>
          <w:rFonts w:eastAsiaTheme="minorHAnsi"/>
        </w:rPr>
        <w:t xml:space="preserve">wo molecular tests </w:t>
      </w:r>
      <w:r w:rsidR="00473866">
        <w:rPr>
          <w:rFonts w:eastAsiaTheme="minorHAnsi"/>
        </w:rPr>
        <w:t xml:space="preserve">are </w:t>
      </w:r>
      <w:r w:rsidR="006E002D" w:rsidRPr="006E002D">
        <w:rPr>
          <w:rFonts w:eastAsiaTheme="minorHAnsi"/>
        </w:rPr>
        <w:t>available for analysi</w:t>
      </w:r>
      <w:r w:rsidR="002E3FD6">
        <w:rPr>
          <w:rFonts w:eastAsiaTheme="minorHAnsi"/>
        </w:rPr>
        <w:t>ng</w:t>
      </w:r>
      <w:r w:rsidR="006E002D" w:rsidRPr="006E002D">
        <w:rPr>
          <w:rFonts w:eastAsiaTheme="minorHAnsi"/>
        </w:rPr>
        <w:t xml:space="preserve"> </w:t>
      </w:r>
      <w:r w:rsidR="002E3FD6">
        <w:rPr>
          <w:rFonts w:eastAsiaTheme="minorHAnsi"/>
        </w:rPr>
        <w:t>SLNs</w:t>
      </w:r>
      <w:r w:rsidR="006E002D" w:rsidRPr="006E002D">
        <w:rPr>
          <w:rFonts w:eastAsiaTheme="minorHAnsi"/>
        </w:rPr>
        <w:t xml:space="preserve"> in breast cancer:  Metasin </w:t>
      </w:r>
      <w:r w:rsidR="00B43201">
        <w:rPr>
          <w:rFonts w:eastAsiaTheme="minorHAnsi"/>
        </w:rPr>
        <w:t>[</w:t>
      </w:r>
      <w:r w:rsidR="006E002D" w:rsidRPr="006E002D">
        <w:rPr>
          <w:rFonts w:eastAsiaTheme="minorHAnsi"/>
        </w:rPr>
        <w:t>11</w:t>
      </w:r>
      <w:r w:rsidR="00B43201">
        <w:rPr>
          <w:rFonts w:eastAsiaTheme="minorHAnsi"/>
        </w:rPr>
        <w:t>]</w:t>
      </w:r>
      <w:r w:rsidR="006E002D" w:rsidRPr="006E002D">
        <w:rPr>
          <w:rFonts w:eastAsiaTheme="minorHAnsi"/>
        </w:rPr>
        <w:t xml:space="preserve"> and the OSNA RD-100i system (Sysmex, Kobe, Japan)</w:t>
      </w:r>
      <w:r w:rsidR="00B43201">
        <w:rPr>
          <w:rFonts w:eastAsiaTheme="minorHAnsi"/>
        </w:rPr>
        <w:t>.[</w:t>
      </w:r>
      <w:r w:rsidR="006E002D" w:rsidRPr="006E002D">
        <w:rPr>
          <w:rFonts w:eastAsiaTheme="minorHAnsi"/>
        </w:rPr>
        <w:t>12</w:t>
      </w:r>
      <w:r w:rsidR="00B43201">
        <w:rPr>
          <w:rFonts w:eastAsiaTheme="minorHAnsi"/>
        </w:rPr>
        <w:t>,13]</w:t>
      </w:r>
      <w:r w:rsidR="006E002D" w:rsidRPr="006E002D">
        <w:rPr>
          <w:rFonts w:eastAsiaTheme="minorHAnsi"/>
        </w:rPr>
        <w:t xml:space="preserve"> Metasin is </w:t>
      </w:r>
      <w:r w:rsidR="00086780">
        <w:rPr>
          <w:rFonts w:eastAsiaTheme="minorHAnsi"/>
        </w:rPr>
        <w:t xml:space="preserve">similar to the </w:t>
      </w:r>
      <w:r w:rsidR="006E002D" w:rsidRPr="006E002D">
        <w:rPr>
          <w:rFonts w:eastAsiaTheme="minorHAnsi"/>
        </w:rPr>
        <w:t>GeneSearch BLNA assay (Veridex LLC, Warren, NJ, USA)</w:t>
      </w:r>
      <w:r w:rsidR="00086780">
        <w:rPr>
          <w:rFonts w:eastAsiaTheme="minorHAnsi"/>
        </w:rPr>
        <w:t>, which is no longer commercially available</w:t>
      </w:r>
      <w:r w:rsidR="00B43201">
        <w:rPr>
          <w:rFonts w:eastAsiaTheme="minorHAnsi"/>
        </w:rPr>
        <w:t>.[</w:t>
      </w:r>
      <w:r w:rsidR="006E002D" w:rsidRPr="006E002D">
        <w:rPr>
          <w:rFonts w:eastAsiaTheme="minorHAnsi"/>
        </w:rPr>
        <w:t>14-17</w:t>
      </w:r>
      <w:r w:rsidR="00B43201">
        <w:rPr>
          <w:rFonts w:eastAsiaTheme="minorHAnsi"/>
        </w:rPr>
        <w:t>]</w:t>
      </w:r>
      <w:r w:rsidR="006E002D" w:rsidRPr="006E002D">
        <w:rPr>
          <w:rFonts w:eastAsiaTheme="minorHAnsi"/>
        </w:rPr>
        <w:t xml:space="preserve"> It uses </w:t>
      </w:r>
      <w:r w:rsidR="00BB4E1E">
        <w:rPr>
          <w:rFonts w:eastAsiaTheme="minorHAnsi"/>
        </w:rPr>
        <w:t xml:space="preserve">a real time </w:t>
      </w:r>
      <w:r w:rsidR="006E002D" w:rsidRPr="006E002D">
        <w:rPr>
          <w:rFonts w:eastAsiaTheme="minorHAnsi"/>
        </w:rPr>
        <w:t>quantitative polymerase chain reaction (RT-</w:t>
      </w:r>
      <w:r w:rsidR="00BB4E1E">
        <w:rPr>
          <w:rFonts w:eastAsiaTheme="minorHAnsi"/>
        </w:rPr>
        <w:t>q</w:t>
      </w:r>
      <w:r w:rsidR="006E002D" w:rsidRPr="006E002D">
        <w:rPr>
          <w:rFonts w:eastAsiaTheme="minorHAnsi"/>
        </w:rPr>
        <w:t>PCR) to detect two markers of metastasis, cytokeratin 19 (CK19) an epithelial marker and mammaglobin (MGB) a breast specific marker. To ensure the validity of the RNA extraction porphobilinogen deaminase (PBGD) is used as a</w:t>
      </w:r>
      <w:r w:rsidR="00086780">
        <w:rPr>
          <w:rFonts w:eastAsiaTheme="minorHAnsi"/>
        </w:rPr>
        <w:t xml:space="preserve"> </w:t>
      </w:r>
      <w:r w:rsidR="006E002D" w:rsidRPr="006E002D">
        <w:rPr>
          <w:rFonts w:eastAsiaTheme="minorHAnsi"/>
        </w:rPr>
        <w:t xml:space="preserve">control. With publication of </w:t>
      </w:r>
      <w:r w:rsidR="00086780">
        <w:rPr>
          <w:rFonts w:eastAsiaTheme="minorHAnsi"/>
        </w:rPr>
        <w:t xml:space="preserve">Metasin </w:t>
      </w:r>
      <w:r w:rsidR="006E002D" w:rsidRPr="006E002D">
        <w:rPr>
          <w:rFonts w:eastAsiaTheme="minorHAnsi"/>
        </w:rPr>
        <w:lastRenderedPageBreak/>
        <w:t>primer and probe sequences</w:t>
      </w:r>
      <w:r w:rsidR="00B43201">
        <w:rPr>
          <w:rFonts w:eastAsiaTheme="minorHAnsi"/>
        </w:rPr>
        <w:t>,</w:t>
      </w:r>
      <w:r w:rsidR="006E002D" w:rsidRPr="006E002D">
        <w:rPr>
          <w:rFonts w:eastAsiaTheme="minorHAnsi"/>
        </w:rPr>
        <w:t xml:space="preserve"> laboratories are now able to use commercially available reagents and </w:t>
      </w:r>
      <w:r>
        <w:rPr>
          <w:rFonts w:eastAsiaTheme="minorHAnsi"/>
        </w:rPr>
        <w:t>a choice of PCR platforms</w:t>
      </w:r>
      <w:r w:rsidR="006E002D" w:rsidRPr="006E002D">
        <w:rPr>
          <w:rFonts w:eastAsiaTheme="minorHAnsi"/>
        </w:rPr>
        <w:t xml:space="preserve"> to validate the method for their own use.</w:t>
      </w:r>
      <w:r w:rsidR="00B43201">
        <w:rPr>
          <w:rFonts w:eastAsiaTheme="minorHAnsi"/>
        </w:rPr>
        <w:t>[11]</w:t>
      </w:r>
      <w:r w:rsidR="006E002D" w:rsidRPr="006E002D">
        <w:rPr>
          <w:rFonts w:eastAsiaTheme="minorHAnsi"/>
        </w:rPr>
        <w:t xml:space="preserve"> Metasin has been evaluated </w:t>
      </w:r>
      <w:r w:rsidR="00B43201">
        <w:rPr>
          <w:rFonts w:eastAsiaTheme="minorHAnsi"/>
        </w:rPr>
        <w:t>against</w:t>
      </w:r>
      <w:r w:rsidR="006E002D" w:rsidRPr="006E002D">
        <w:rPr>
          <w:rFonts w:eastAsiaTheme="minorHAnsi"/>
        </w:rPr>
        <w:t xml:space="preserve"> Genesearch and compared to routine histological techniques</w:t>
      </w:r>
      <w:r w:rsidR="00B43201">
        <w:rPr>
          <w:rFonts w:eastAsiaTheme="minorHAnsi"/>
        </w:rPr>
        <w:t>.[</w:t>
      </w:r>
      <w:r w:rsidR="006E002D" w:rsidRPr="006E002D">
        <w:rPr>
          <w:rFonts w:eastAsiaTheme="minorHAnsi"/>
        </w:rPr>
        <w:t>11</w:t>
      </w:r>
      <w:r w:rsidR="00B43201">
        <w:rPr>
          <w:rFonts w:eastAsiaTheme="minorHAnsi"/>
        </w:rPr>
        <w:t>]</w:t>
      </w:r>
    </w:p>
    <w:p w:rsidR="006E002D" w:rsidRPr="006E002D" w:rsidRDefault="006E002D" w:rsidP="004367C7">
      <w:pPr>
        <w:spacing w:after="200"/>
        <w:jc w:val="left"/>
        <w:rPr>
          <w:rFonts w:eastAsiaTheme="minorHAnsi"/>
        </w:rPr>
      </w:pPr>
      <w:r w:rsidRPr="006E002D">
        <w:rPr>
          <w:rFonts w:eastAsiaTheme="minorHAnsi"/>
        </w:rPr>
        <w:t>The OSNA RD-100i system is a fully automated assay using reverse transcriptase loop-mediated isothermal amplification (RT-LAMP) detect</w:t>
      </w:r>
      <w:r w:rsidR="009D361B">
        <w:rPr>
          <w:rFonts w:eastAsiaTheme="minorHAnsi"/>
        </w:rPr>
        <w:t>ing</w:t>
      </w:r>
      <w:r w:rsidRPr="006E002D">
        <w:rPr>
          <w:rFonts w:eastAsiaTheme="minorHAnsi"/>
        </w:rPr>
        <w:t xml:space="preserve"> CK19 only. </w:t>
      </w:r>
    </w:p>
    <w:p w:rsidR="006E002D" w:rsidRPr="006E002D" w:rsidRDefault="006E002D" w:rsidP="004367C7">
      <w:pPr>
        <w:spacing w:after="200"/>
        <w:jc w:val="left"/>
        <w:rPr>
          <w:rFonts w:eastAsiaTheme="minorHAnsi"/>
        </w:rPr>
      </w:pPr>
      <w:r w:rsidRPr="006E002D">
        <w:rPr>
          <w:rFonts w:eastAsiaTheme="minorHAnsi"/>
        </w:rPr>
        <w:t>NICE diagnostic guidelines published in 2013 recommended whole lymph node analysis using the RD-100i OSNA system as an option for detecting SLN metastases during lymph node surgery.</w:t>
      </w:r>
      <w:r w:rsidR="00B43201">
        <w:rPr>
          <w:rFonts w:eastAsiaTheme="minorHAnsi"/>
        </w:rPr>
        <w:t>[18]</w:t>
      </w:r>
      <w:r w:rsidRPr="006E002D">
        <w:rPr>
          <w:rFonts w:eastAsiaTheme="minorHAnsi"/>
        </w:rPr>
        <w:t xml:space="preserve"> The guidelines further recommended that robust evidence of the Metasin test should be demonstrated in clinical practice</w:t>
      </w:r>
      <w:r w:rsidR="009D361B">
        <w:rPr>
          <w:rFonts w:eastAsiaTheme="minorHAnsi"/>
        </w:rPr>
        <w:t>.</w:t>
      </w:r>
      <w:r w:rsidRPr="006E002D">
        <w:rPr>
          <w:rFonts w:eastAsiaTheme="minorHAnsi"/>
        </w:rPr>
        <w:t xml:space="preserve"> </w:t>
      </w:r>
      <w:r w:rsidR="00CA284F">
        <w:rPr>
          <w:rFonts w:eastAsiaTheme="minorHAnsi"/>
        </w:rPr>
        <w:t>This paper outlines our experience providing such evidence in clinical practice.</w:t>
      </w:r>
    </w:p>
    <w:p w:rsidR="00FC15EA" w:rsidRDefault="00FC15EA" w:rsidP="00FC15EA">
      <w:pPr>
        <w:spacing w:line="240" w:lineRule="auto"/>
      </w:pPr>
    </w:p>
    <w:p w:rsidR="00B4244D" w:rsidRDefault="00B4244D" w:rsidP="00FC15EA">
      <w:pPr>
        <w:spacing w:line="240" w:lineRule="auto"/>
        <w:rPr>
          <w:b/>
        </w:rPr>
      </w:pPr>
      <w:r w:rsidRPr="00217127">
        <w:rPr>
          <w:b/>
        </w:rPr>
        <w:t>METHODS</w:t>
      </w:r>
    </w:p>
    <w:p w:rsidR="00CC3ABA" w:rsidRDefault="00CC3ABA" w:rsidP="00FC15EA">
      <w:pPr>
        <w:spacing w:line="240" w:lineRule="auto"/>
        <w:rPr>
          <w:b/>
        </w:rPr>
      </w:pPr>
    </w:p>
    <w:p w:rsidR="00CD3A50" w:rsidRPr="00CC3ABA" w:rsidRDefault="00CD3A50" w:rsidP="00CD3A50">
      <w:pPr>
        <w:rPr>
          <w:b/>
        </w:rPr>
      </w:pPr>
      <w:r w:rsidRPr="00CC3ABA">
        <w:rPr>
          <w:b/>
        </w:rPr>
        <w:t>Study design and patient selection</w:t>
      </w:r>
    </w:p>
    <w:p w:rsidR="00CC4D0F" w:rsidRDefault="00BD7E78" w:rsidP="00CD3A50">
      <w:r>
        <w:t>Between April 2013 and July 2014, 250 consecutive p</w:t>
      </w:r>
      <w:r w:rsidR="008C120A">
        <w:t>atients with breast cancer underwent axillary evaluation according to NICE guidance with axillary ultrasound and FNA as appropriate.</w:t>
      </w:r>
      <w:r w:rsidR="009613C1">
        <w:t>[3]</w:t>
      </w:r>
      <w:r w:rsidR="008C120A">
        <w:t xml:space="preserve"> Those with clinically and radiologically negative axillae proceeded to sentinel node biopsy and intra-op</w:t>
      </w:r>
      <w:r w:rsidR="00BC22B4">
        <w:t>erative</w:t>
      </w:r>
      <w:r w:rsidR="008C120A">
        <w:t xml:space="preserve"> analysis with </w:t>
      </w:r>
      <w:r w:rsidR="00BC22B4">
        <w:t>M</w:t>
      </w:r>
      <w:r w:rsidR="008C120A">
        <w:t>etas</w:t>
      </w:r>
      <w:r w:rsidR="00BC22B4">
        <w:t>i</w:t>
      </w:r>
      <w:r w:rsidR="008C120A">
        <w:t xml:space="preserve">n. </w:t>
      </w:r>
      <w:r w:rsidR="0012773B">
        <w:t xml:space="preserve">Patients were </w:t>
      </w:r>
      <w:r w:rsidR="00DB7FB7">
        <w:t xml:space="preserve">counselled with regards to </w:t>
      </w:r>
      <w:r w:rsidR="0012773B">
        <w:t xml:space="preserve">the implications of discordant results between </w:t>
      </w:r>
      <w:r w:rsidR="00056AA9">
        <w:t>Histology</w:t>
      </w:r>
      <w:r w:rsidR="00DB7FB7">
        <w:t xml:space="preserve"> and the Metasin assay. All patients specifically consented to intra operative analysis and subsequent axillary cl</w:t>
      </w:r>
      <w:r w:rsidR="001F0AAA">
        <w:t xml:space="preserve">earance based on the results of </w:t>
      </w:r>
      <w:r w:rsidR="00DB7FB7">
        <w:t>Metasin</w:t>
      </w:r>
      <w:r w:rsidR="009D361B">
        <w:t>.</w:t>
      </w:r>
    </w:p>
    <w:p w:rsidR="00CD3A50" w:rsidRPr="00CC3ABA" w:rsidRDefault="00CD3A50" w:rsidP="00CD3A50">
      <w:pPr>
        <w:rPr>
          <w:b/>
        </w:rPr>
      </w:pPr>
      <w:r w:rsidRPr="00CC3ABA">
        <w:rPr>
          <w:b/>
        </w:rPr>
        <w:t>Surgical management</w:t>
      </w:r>
    </w:p>
    <w:p w:rsidR="008F59F9" w:rsidRDefault="00CC4D0F" w:rsidP="00CD3A50">
      <w:r>
        <w:t>SLN</w:t>
      </w:r>
      <w:r w:rsidR="001F0AAA">
        <w:t xml:space="preserve">B </w:t>
      </w:r>
      <w:r>
        <w:t>was performed according to New Start guidelines</w:t>
      </w:r>
      <w:r w:rsidR="009613C1">
        <w:t>.</w:t>
      </w:r>
      <w:r w:rsidR="00B43201">
        <w:t>[</w:t>
      </w:r>
      <w:r w:rsidR="005B3791">
        <w:t>2</w:t>
      </w:r>
      <w:r w:rsidR="00B43201">
        <w:t>]</w:t>
      </w:r>
      <w:r>
        <w:t xml:space="preserve"> Prior to surgery 6-40</w:t>
      </w:r>
      <w:r w:rsidR="002B27EB">
        <w:t xml:space="preserve">MBq </w:t>
      </w:r>
      <w:r w:rsidR="002B27EB" w:rsidRPr="002B27EB">
        <w:rPr>
          <w:vertAlign w:val="superscript"/>
        </w:rPr>
        <w:t>99m</w:t>
      </w:r>
      <w:r w:rsidR="002B27EB">
        <w:t xml:space="preserve">Tc-labelled nanocolloid (Nanocoll; GE Healthcare, Slough, UK) was injected </w:t>
      </w:r>
      <w:r w:rsidR="00DB78DF">
        <w:t xml:space="preserve">intradermally </w:t>
      </w:r>
      <w:r w:rsidR="002B27EB">
        <w:t xml:space="preserve">into the peri-areolar tissue and </w:t>
      </w:r>
      <w:r w:rsidR="008F59F9">
        <w:t>lymphoscintigraphy performed</w:t>
      </w:r>
      <w:r w:rsidR="002B27EB">
        <w:t xml:space="preserve">. </w:t>
      </w:r>
      <w:r w:rsidR="002B27EB">
        <w:lastRenderedPageBreak/>
        <w:t xml:space="preserve">The timing of the injection and that of the surgery determined the dose of </w:t>
      </w:r>
      <w:r w:rsidR="002B27EB" w:rsidRPr="002B27EB">
        <w:rPr>
          <w:vertAlign w:val="superscript"/>
        </w:rPr>
        <w:t>99m</w:t>
      </w:r>
      <w:r w:rsidR="002B27EB">
        <w:t xml:space="preserve">Tc. Following anaesthesia, </w:t>
      </w:r>
      <w:r w:rsidR="008C120A">
        <w:t xml:space="preserve">if used </w:t>
      </w:r>
      <w:r w:rsidR="002B27EB">
        <w:t xml:space="preserve">Patent V Blue dye (Laboratoire Guerbert, Paris, France) </w:t>
      </w:r>
      <w:r w:rsidR="008F59F9">
        <w:t xml:space="preserve">was injected </w:t>
      </w:r>
      <w:r w:rsidR="002B27EB">
        <w:t>into the sub-areolar tissue</w:t>
      </w:r>
      <w:r w:rsidR="008F59F9">
        <w:t xml:space="preserve">. SLNs were trimmed to remove </w:t>
      </w:r>
      <w:r w:rsidR="004D2A3A">
        <w:t xml:space="preserve">excess </w:t>
      </w:r>
      <w:r w:rsidR="008F59F9">
        <w:t>fat</w:t>
      </w:r>
      <w:r w:rsidR="004D2A3A">
        <w:t>.</w:t>
      </w:r>
      <w:r w:rsidR="008F59F9">
        <w:t xml:space="preserve"> </w:t>
      </w:r>
      <w:r w:rsidR="004D2A3A">
        <w:t xml:space="preserve">During </w:t>
      </w:r>
      <w:r w:rsidR="008F59F9">
        <w:t>the Metasin assay the surgeon performed the breast tumour resection.</w:t>
      </w:r>
    </w:p>
    <w:p w:rsidR="00B00911" w:rsidRPr="00CC3ABA" w:rsidRDefault="00B00911" w:rsidP="00CD3A50">
      <w:pPr>
        <w:spacing w:before="240"/>
        <w:rPr>
          <w:b/>
        </w:rPr>
      </w:pPr>
      <w:r w:rsidRPr="00CC3ABA">
        <w:rPr>
          <w:b/>
        </w:rPr>
        <w:t>Metasin assay</w:t>
      </w:r>
    </w:p>
    <w:p w:rsidR="00E7061D" w:rsidRDefault="00C32E63" w:rsidP="00B4244D">
      <w:r>
        <w:t xml:space="preserve">The Metasin assay was performed as described previously.[11] In brief, </w:t>
      </w:r>
      <w:r w:rsidR="005C582E">
        <w:t>S</w:t>
      </w:r>
      <w:r w:rsidR="008F59F9">
        <w:t>LNs</w:t>
      </w:r>
      <w:r w:rsidR="005C582E">
        <w:t xml:space="preserve"> w</w:t>
      </w:r>
      <w:r w:rsidR="00A1756A">
        <w:t>ere sliced at 2mm intervals</w:t>
      </w:r>
      <w:r w:rsidR="001F0B1A">
        <w:t xml:space="preserve"> </w:t>
      </w:r>
      <w:r w:rsidR="004367C7">
        <w:t xml:space="preserve">in </w:t>
      </w:r>
      <w:r w:rsidR="001F0B1A">
        <w:t>accord</w:t>
      </w:r>
      <w:r w:rsidR="004367C7">
        <w:t xml:space="preserve">ance to </w:t>
      </w:r>
      <w:r w:rsidR="001F0B1A">
        <w:t>minimum dataset guidelines</w:t>
      </w:r>
      <w:r w:rsidR="009613C1">
        <w:t>.[</w:t>
      </w:r>
      <w:r w:rsidR="004367C7">
        <w:t>19</w:t>
      </w:r>
      <w:r w:rsidR="009613C1">
        <w:t xml:space="preserve">, </w:t>
      </w:r>
      <w:r w:rsidR="004367C7">
        <w:t>20</w:t>
      </w:r>
      <w:r w:rsidR="009613C1">
        <w:t>]</w:t>
      </w:r>
      <w:r w:rsidR="00A1756A">
        <w:t xml:space="preserve"> Alternate slices were tested in the Metasin assay and the remainder of the tissue underwent routine </w:t>
      </w:r>
      <w:r w:rsidR="00056AA9">
        <w:t>Histology</w:t>
      </w:r>
      <w:r w:rsidR="00A1756A">
        <w:t xml:space="preserve"> examination. For the Metasin assay the slices were weighed and homogenised into RLT buffer (Qiagen</w:t>
      </w:r>
      <w:r w:rsidR="00A1756A" w:rsidRPr="00A1756A">
        <w:rPr>
          <w:vertAlign w:val="superscript"/>
        </w:rPr>
        <w:t>®</w:t>
      </w:r>
      <w:r w:rsidR="00B87BFE">
        <w:t>) containing 1%</w:t>
      </w:r>
      <w:r w:rsidR="00A1756A">
        <w:t xml:space="preserve"> 2-mercaptoethanol</w:t>
      </w:r>
      <w:r w:rsidR="00E7061D">
        <w:t xml:space="preserve"> (Sigma-Aldrich)</w:t>
      </w:r>
      <w:r w:rsidR="00A1756A">
        <w:t>.</w:t>
      </w:r>
      <w:r w:rsidR="00E7061D">
        <w:t xml:space="preserve"> </w:t>
      </w:r>
      <w:r>
        <w:t xml:space="preserve">The buffer volume was adjusted to standardise the amount of SLN per extraction. </w:t>
      </w:r>
      <w:r w:rsidR="00E7061D">
        <w:t>RNA was extracted using the RNeasy Mini Kit (Qiagen</w:t>
      </w:r>
      <w:r w:rsidR="00E7061D" w:rsidRPr="00A1756A">
        <w:rPr>
          <w:vertAlign w:val="superscript"/>
        </w:rPr>
        <w:t>®</w:t>
      </w:r>
      <w:r w:rsidR="00E7061D">
        <w:t>)</w:t>
      </w:r>
      <w:r w:rsidR="00B47C04">
        <w:t xml:space="preserve"> and the products run in the Metasin assay on the Cepheid SmartCycler (Cepheid. Sunnyvale, California, USA).</w:t>
      </w:r>
      <w:r w:rsidR="007623B6">
        <w:t>[11]</w:t>
      </w:r>
      <w:r w:rsidR="00B47C04">
        <w:t xml:space="preserve"> </w:t>
      </w:r>
      <w:r w:rsidR="004D2A3A">
        <w:t>T</w:t>
      </w:r>
      <w:r w:rsidR="007E1015">
        <w:t xml:space="preserve">he SmartCycler performs 38 PCR cycles </w:t>
      </w:r>
      <w:r w:rsidR="004D2A3A">
        <w:t xml:space="preserve">in </w:t>
      </w:r>
      <w:r w:rsidR="00EA01C1">
        <w:t xml:space="preserve">27 </w:t>
      </w:r>
      <w:r w:rsidR="00B47C04">
        <w:t>min</w:t>
      </w:r>
      <w:r w:rsidR="00EA01C1">
        <w:t>utes</w:t>
      </w:r>
      <w:r w:rsidR="00E30970">
        <w:t>.</w:t>
      </w:r>
      <w:r w:rsidR="00B47C04">
        <w:t xml:space="preserve"> </w:t>
      </w:r>
      <w:r w:rsidR="00AE0597">
        <w:t>The Metasin assay analyses three marker genes</w:t>
      </w:r>
      <w:r w:rsidR="00357469">
        <w:t>,</w:t>
      </w:r>
      <w:r w:rsidR="00E30970">
        <w:t xml:space="preserve"> </w:t>
      </w:r>
      <w:r w:rsidR="00357469">
        <w:t xml:space="preserve">CK19, MGB and PBGD </w:t>
      </w:r>
      <w:r w:rsidR="00E30970">
        <w:t>in a multiplex reaction</w:t>
      </w:r>
      <w:r w:rsidR="00357469">
        <w:t>.</w:t>
      </w:r>
      <w:r w:rsidR="00E30970">
        <w:t xml:space="preserve"> </w:t>
      </w:r>
      <w:r w:rsidR="00B47C04">
        <w:t xml:space="preserve">Known patient positive and negative controls and a </w:t>
      </w:r>
      <w:r w:rsidR="00357469">
        <w:t>non-target</w:t>
      </w:r>
      <w:r w:rsidR="00B47C04">
        <w:t xml:space="preserve"> control a</w:t>
      </w:r>
      <w:r w:rsidR="007E1015">
        <w:t>re</w:t>
      </w:r>
      <w:r w:rsidR="00B47C04">
        <w:t xml:space="preserve"> run</w:t>
      </w:r>
      <w:r w:rsidR="007E1015">
        <w:t xml:space="preserve"> with each assay to ensure the validity of </w:t>
      </w:r>
      <w:r w:rsidR="004201B6">
        <w:t xml:space="preserve">the </w:t>
      </w:r>
      <w:r w:rsidR="007E1015">
        <w:t xml:space="preserve">results. </w:t>
      </w:r>
      <w:r w:rsidR="009D361B">
        <w:t>A</w:t>
      </w:r>
      <w:r w:rsidR="007E1015">
        <w:t>ll test samples</w:t>
      </w:r>
      <w:r w:rsidR="004201B6">
        <w:t>,</w:t>
      </w:r>
      <w:r w:rsidR="007E1015">
        <w:t xml:space="preserve"> </w:t>
      </w:r>
      <w:r w:rsidR="004201B6">
        <w:t xml:space="preserve">to give a valid result </w:t>
      </w:r>
      <w:r w:rsidR="007E1015">
        <w:t>must have a C</w:t>
      </w:r>
      <w:r w:rsidR="0014192B">
        <w:t>q</w:t>
      </w:r>
      <w:r w:rsidR="007E1015">
        <w:t xml:space="preserve"> &lt;36 for PBGD</w:t>
      </w:r>
      <w:r w:rsidR="00357469">
        <w:t>.</w:t>
      </w:r>
      <w:r w:rsidR="007E1015">
        <w:t xml:space="preserve"> </w:t>
      </w:r>
      <w:r w:rsidR="00AE0597">
        <w:t xml:space="preserve">The assay </w:t>
      </w:r>
      <w:r w:rsidR="00E30970">
        <w:t>is</w:t>
      </w:r>
      <w:r w:rsidR="00AE0597">
        <w:t xml:space="preserve"> calle</w:t>
      </w:r>
      <w:r w:rsidR="00E30970">
        <w:t>d invalid if the controls fail</w:t>
      </w:r>
      <w:r w:rsidR="00AE0597">
        <w:t>.</w:t>
      </w:r>
    </w:p>
    <w:p w:rsidR="00447880" w:rsidRDefault="0036465B" w:rsidP="007847BF">
      <w:r>
        <w:t>Patient results were classified as positive – macrometastasis, positive – micrometastasis</w:t>
      </w:r>
      <w:r w:rsidR="00AE0597">
        <w:t>,</w:t>
      </w:r>
      <w:r>
        <w:t xml:space="preserve"> </w:t>
      </w:r>
      <w:r w:rsidR="00AE0597">
        <w:t xml:space="preserve">and </w:t>
      </w:r>
      <w:r>
        <w:t>negative, based on the C</w:t>
      </w:r>
      <w:r w:rsidR="0014192B">
        <w:t>q</w:t>
      </w:r>
      <w:r>
        <w:t xml:space="preserve"> values for MGB and CK19 given in </w:t>
      </w:r>
    </w:p>
    <w:p w:rsidR="007847BF" w:rsidRDefault="0036465B" w:rsidP="007847BF">
      <w:r>
        <w:t>Table 1.</w:t>
      </w:r>
    </w:p>
    <w:p w:rsidR="00432910" w:rsidRDefault="00432910" w:rsidP="007847BF">
      <w:pPr>
        <w:rPr>
          <w:b/>
        </w:rPr>
      </w:pPr>
    </w:p>
    <w:p w:rsidR="00432910" w:rsidRDefault="00432910" w:rsidP="007847BF">
      <w:pPr>
        <w:rPr>
          <w:b/>
        </w:rPr>
      </w:pPr>
    </w:p>
    <w:p w:rsidR="008120E7" w:rsidRDefault="008120E7" w:rsidP="007847BF">
      <w:pPr>
        <w:rPr>
          <w:b/>
        </w:rPr>
      </w:pPr>
    </w:p>
    <w:p w:rsidR="00432910" w:rsidRDefault="00432910" w:rsidP="007847BF">
      <w:pPr>
        <w:rPr>
          <w:b/>
        </w:rPr>
      </w:pPr>
    </w:p>
    <w:p w:rsidR="00432910" w:rsidRDefault="00432910" w:rsidP="007847BF">
      <w:pPr>
        <w:rPr>
          <w:b/>
        </w:rPr>
      </w:pPr>
    </w:p>
    <w:p w:rsidR="00B77279" w:rsidRDefault="00B77279" w:rsidP="007847BF">
      <w:r>
        <w:rPr>
          <w:b/>
        </w:rPr>
        <w:t>T</w:t>
      </w:r>
      <w:r w:rsidRPr="0036465B">
        <w:rPr>
          <w:b/>
        </w:rPr>
        <w:t>able 1</w:t>
      </w:r>
      <w:r>
        <w:rPr>
          <w:b/>
        </w:rPr>
        <w:t>.</w:t>
      </w:r>
      <w:r>
        <w:t xml:space="preserve"> Interpretation of Metasin results</w:t>
      </w:r>
    </w:p>
    <w:tbl>
      <w:tblPr>
        <w:tblStyle w:val="TableGrid"/>
        <w:tblW w:w="0" w:type="auto"/>
        <w:tblLook w:val="04A0" w:firstRow="1" w:lastRow="0" w:firstColumn="1" w:lastColumn="0" w:noHBand="0" w:noVBand="1"/>
      </w:tblPr>
      <w:tblGrid>
        <w:gridCol w:w="846"/>
        <w:gridCol w:w="2410"/>
        <w:gridCol w:w="2551"/>
      </w:tblGrid>
      <w:tr w:rsidR="00B77279" w:rsidTr="007847BF">
        <w:trPr>
          <w:trHeight w:val="381"/>
        </w:trPr>
        <w:tc>
          <w:tcPr>
            <w:tcW w:w="846" w:type="dxa"/>
            <w:tcBorders>
              <w:top w:val="single" w:sz="6" w:space="0" w:color="auto"/>
              <w:left w:val="nil"/>
              <w:bottom w:val="single" w:sz="6" w:space="0" w:color="auto"/>
              <w:right w:val="nil"/>
            </w:tcBorders>
            <w:vAlign w:val="center"/>
          </w:tcPr>
          <w:p w:rsidR="00B77279" w:rsidRDefault="00B77279" w:rsidP="007847BF">
            <w:pPr>
              <w:spacing w:line="240" w:lineRule="auto"/>
              <w:jc w:val="center"/>
            </w:pPr>
          </w:p>
        </w:tc>
        <w:tc>
          <w:tcPr>
            <w:tcW w:w="2410" w:type="dxa"/>
            <w:tcBorders>
              <w:top w:val="single" w:sz="6" w:space="0" w:color="auto"/>
              <w:left w:val="nil"/>
              <w:bottom w:val="single" w:sz="6" w:space="0" w:color="auto"/>
              <w:right w:val="nil"/>
            </w:tcBorders>
            <w:vAlign w:val="center"/>
          </w:tcPr>
          <w:p w:rsidR="00B77279" w:rsidRPr="00315843" w:rsidRDefault="00B77279" w:rsidP="0014192B">
            <w:pPr>
              <w:spacing w:line="240" w:lineRule="auto"/>
              <w:jc w:val="center"/>
              <w:rPr>
                <w:b/>
              </w:rPr>
            </w:pPr>
            <w:r w:rsidRPr="00315843">
              <w:rPr>
                <w:b/>
              </w:rPr>
              <w:t>C</w:t>
            </w:r>
            <w:r w:rsidR="0014192B">
              <w:rPr>
                <w:b/>
              </w:rPr>
              <w:t>q</w:t>
            </w:r>
            <w:r w:rsidRPr="00315843">
              <w:rPr>
                <w:b/>
              </w:rPr>
              <w:t xml:space="preserve"> Value</w:t>
            </w:r>
          </w:p>
        </w:tc>
        <w:tc>
          <w:tcPr>
            <w:tcW w:w="2551" w:type="dxa"/>
            <w:tcBorders>
              <w:top w:val="single" w:sz="6" w:space="0" w:color="auto"/>
              <w:left w:val="nil"/>
              <w:bottom w:val="single" w:sz="6" w:space="0" w:color="auto"/>
              <w:right w:val="nil"/>
            </w:tcBorders>
            <w:vAlign w:val="center"/>
          </w:tcPr>
          <w:p w:rsidR="00B77279" w:rsidRPr="00315843" w:rsidRDefault="00B77279" w:rsidP="007847BF">
            <w:pPr>
              <w:spacing w:line="240" w:lineRule="auto"/>
              <w:jc w:val="center"/>
              <w:rPr>
                <w:b/>
              </w:rPr>
            </w:pPr>
            <w:r w:rsidRPr="00315843">
              <w:rPr>
                <w:b/>
              </w:rPr>
              <w:t>Interpretation</w:t>
            </w:r>
          </w:p>
        </w:tc>
      </w:tr>
      <w:tr w:rsidR="00B77279" w:rsidTr="007847BF">
        <w:trPr>
          <w:trHeight w:val="381"/>
        </w:trPr>
        <w:tc>
          <w:tcPr>
            <w:tcW w:w="846" w:type="dxa"/>
            <w:vMerge w:val="restart"/>
            <w:tcBorders>
              <w:top w:val="single" w:sz="6" w:space="0" w:color="auto"/>
              <w:left w:val="nil"/>
              <w:right w:val="nil"/>
            </w:tcBorders>
          </w:tcPr>
          <w:p w:rsidR="00B77279" w:rsidRPr="00315843" w:rsidRDefault="00B77279" w:rsidP="007847BF">
            <w:pPr>
              <w:spacing w:line="240" w:lineRule="auto"/>
              <w:jc w:val="center"/>
              <w:rPr>
                <w:b/>
              </w:rPr>
            </w:pPr>
            <w:r w:rsidRPr="00315843">
              <w:rPr>
                <w:b/>
              </w:rPr>
              <w:t>MGB</w:t>
            </w:r>
          </w:p>
        </w:tc>
        <w:tc>
          <w:tcPr>
            <w:tcW w:w="2410" w:type="dxa"/>
            <w:tcBorders>
              <w:top w:val="single" w:sz="6" w:space="0" w:color="auto"/>
              <w:left w:val="nil"/>
              <w:bottom w:val="nil"/>
              <w:right w:val="nil"/>
            </w:tcBorders>
            <w:vAlign w:val="center"/>
          </w:tcPr>
          <w:p w:rsidR="00B77279" w:rsidRDefault="00B77279" w:rsidP="007847BF">
            <w:pPr>
              <w:spacing w:line="240" w:lineRule="auto"/>
              <w:jc w:val="center"/>
            </w:pPr>
            <w:r>
              <w:t>&gt;32.7</w:t>
            </w:r>
          </w:p>
        </w:tc>
        <w:tc>
          <w:tcPr>
            <w:tcW w:w="2551" w:type="dxa"/>
            <w:tcBorders>
              <w:top w:val="single" w:sz="6" w:space="0" w:color="auto"/>
              <w:left w:val="nil"/>
              <w:bottom w:val="nil"/>
              <w:right w:val="nil"/>
            </w:tcBorders>
            <w:vAlign w:val="center"/>
          </w:tcPr>
          <w:p w:rsidR="00B77279" w:rsidRDefault="00B77279" w:rsidP="007847BF">
            <w:pPr>
              <w:spacing w:line="240" w:lineRule="auto"/>
              <w:jc w:val="center"/>
            </w:pPr>
            <w:r>
              <w:t>Negative</w:t>
            </w:r>
          </w:p>
        </w:tc>
      </w:tr>
      <w:tr w:rsidR="00B77279" w:rsidTr="007847BF">
        <w:trPr>
          <w:trHeight w:val="381"/>
        </w:trPr>
        <w:tc>
          <w:tcPr>
            <w:tcW w:w="846" w:type="dxa"/>
            <w:vMerge/>
            <w:tcBorders>
              <w:left w:val="nil"/>
              <w:right w:val="nil"/>
            </w:tcBorders>
          </w:tcPr>
          <w:p w:rsidR="00B77279" w:rsidRDefault="00B77279" w:rsidP="007847BF">
            <w:pPr>
              <w:spacing w:line="240" w:lineRule="auto"/>
              <w:jc w:val="center"/>
            </w:pPr>
          </w:p>
        </w:tc>
        <w:tc>
          <w:tcPr>
            <w:tcW w:w="2410" w:type="dxa"/>
            <w:tcBorders>
              <w:top w:val="nil"/>
              <w:left w:val="nil"/>
              <w:bottom w:val="nil"/>
              <w:right w:val="nil"/>
            </w:tcBorders>
            <w:vAlign w:val="center"/>
          </w:tcPr>
          <w:p w:rsidR="00B77279" w:rsidRDefault="00B77279" w:rsidP="007847BF">
            <w:pPr>
              <w:spacing w:line="240" w:lineRule="auto"/>
              <w:jc w:val="center"/>
            </w:pPr>
            <w:r>
              <w:t>≥ 27.9 and ≤ 32.7</w:t>
            </w:r>
          </w:p>
        </w:tc>
        <w:tc>
          <w:tcPr>
            <w:tcW w:w="2551" w:type="dxa"/>
            <w:tcBorders>
              <w:top w:val="nil"/>
              <w:left w:val="nil"/>
              <w:bottom w:val="nil"/>
              <w:right w:val="nil"/>
            </w:tcBorders>
            <w:vAlign w:val="center"/>
          </w:tcPr>
          <w:p w:rsidR="00B77279" w:rsidRDefault="00B77279" w:rsidP="007847BF">
            <w:pPr>
              <w:spacing w:line="240" w:lineRule="auto"/>
              <w:jc w:val="center"/>
            </w:pPr>
            <w:r>
              <w:t>Micrometastasis</w:t>
            </w:r>
          </w:p>
        </w:tc>
      </w:tr>
      <w:tr w:rsidR="00B77279" w:rsidTr="007847BF">
        <w:trPr>
          <w:trHeight w:val="381"/>
        </w:trPr>
        <w:tc>
          <w:tcPr>
            <w:tcW w:w="846" w:type="dxa"/>
            <w:vMerge/>
            <w:tcBorders>
              <w:left w:val="nil"/>
              <w:bottom w:val="single" w:sz="4" w:space="0" w:color="auto"/>
              <w:right w:val="nil"/>
            </w:tcBorders>
          </w:tcPr>
          <w:p w:rsidR="00B77279" w:rsidRDefault="00B77279" w:rsidP="007847BF">
            <w:pPr>
              <w:spacing w:line="240" w:lineRule="auto"/>
              <w:jc w:val="center"/>
            </w:pPr>
          </w:p>
        </w:tc>
        <w:tc>
          <w:tcPr>
            <w:tcW w:w="2410" w:type="dxa"/>
            <w:tcBorders>
              <w:top w:val="nil"/>
              <w:left w:val="nil"/>
              <w:bottom w:val="single" w:sz="4" w:space="0" w:color="auto"/>
              <w:right w:val="nil"/>
            </w:tcBorders>
            <w:vAlign w:val="center"/>
          </w:tcPr>
          <w:p w:rsidR="00B77279" w:rsidRDefault="00B77279" w:rsidP="007847BF">
            <w:pPr>
              <w:spacing w:line="240" w:lineRule="auto"/>
              <w:jc w:val="center"/>
            </w:pPr>
            <w:r>
              <w:t>&lt;27.9</w:t>
            </w:r>
          </w:p>
        </w:tc>
        <w:tc>
          <w:tcPr>
            <w:tcW w:w="2551" w:type="dxa"/>
            <w:tcBorders>
              <w:top w:val="nil"/>
              <w:left w:val="nil"/>
              <w:bottom w:val="single" w:sz="4" w:space="0" w:color="auto"/>
              <w:right w:val="nil"/>
            </w:tcBorders>
            <w:vAlign w:val="center"/>
          </w:tcPr>
          <w:p w:rsidR="00B77279" w:rsidRDefault="00B77279" w:rsidP="007847BF">
            <w:pPr>
              <w:spacing w:line="240" w:lineRule="auto"/>
              <w:jc w:val="center"/>
            </w:pPr>
            <w:r>
              <w:t>Macrometastasis</w:t>
            </w:r>
          </w:p>
        </w:tc>
      </w:tr>
      <w:tr w:rsidR="00B77279" w:rsidTr="007847BF">
        <w:trPr>
          <w:trHeight w:val="381"/>
        </w:trPr>
        <w:tc>
          <w:tcPr>
            <w:tcW w:w="846" w:type="dxa"/>
            <w:vMerge w:val="restart"/>
            <w:tcBorders>
              <w:left w:val="nil"/>
              <w:right w:val="nil"/>
            </w:tcBorders>
          </w:tcPr>
          <w:p w:rsidR="00B77279" w:rsidRPr="00315843" w:rsidRDefault="00B77279" w:rsidP="007847BF">
            <w:pPr>
              <w:spacing w:line="240" w:lineRule="auto"/>
              <w:jc w:val="center"/>
              <w:rPr>
                <w:b/>
              </w:rPr>
            </w:pPr>
            <w:r w:rsidRPr="00315843">
              <w:rPr>
                <w:b/>
              </w:rPr>
              <w:t>CK19</w:t>
            </w:r>
          </w:p>
        </w:tc>
        <w:tc>
          <w:tcPr>
            <w:tcW w:w="2410" w:type="dxa"/>
            <w:tcBorders>
              <w:left w:val="nil"/>
              <w:bottom w:val="nil"/>
              <w:right w:val="nil"/>
            </w:tcBorders>
            <w:vAlign w:val="center"/>
          </w:tcPr>
          <w:p w:rsidR="00B77279" w:rsidRDefault="00B77279" w:rsidP="007847BF">
            <w:pPr>
              <w:spacing w:line="240" w:lineRule="auto"/>
              <w:jc w:val="center"/>
            </w:pPr>
            <w:r>
              <w:t>&gt; 31.7</w:t>
            </w:r>
          </w:p>
        </w:tc>
        <w:tc>
          <w:tcPr>
            <w:tcW w:w="2551" w:type="dxa"/>
            <w:tcBorders>
              <w:left w:val="nil"/>
              <w:bottom w:val="nil"/>
              <w:right w:val="nil"/>
            </w:tcBorders>
            <w:vAlign w:val="center"/>
          </w:tcPr>
          <w:p w:rsidR="00B77279" w:rsidRDefault="00B77279" w:rsidP="007847BF">
            <w:pPr>
              <w:spacing w:line="240" w:lineRule="auto"/>
              <w:jc w:val="center"/>
            </w:pPr>
            <w:r>
              <w:t>Negative</w:t>
            </w:r>
          </w:p>
        </w:tc>
      </w:tr>
      <w:tr w:rsidR="00B77279" w:rsidTr="007847BF">
        <w:trPr>
          <w:trHeight w:val="381"/>
        </w:trPr>
        <w:tc>
          <w:tcPr>
            <w:tcW w:w="846" w:type="dxa"/>
            <w:vMerge/>
            <w:tcBorders>
              <w:left w:val="nil"/>
              <w:right w:val="nil"/>
            </w:tcBorders>
            <w:vAlign w:val="center"/>
          </w:tcPr>
          <w:p w:rsidR="00B77279" w:rsidRDefault="00B77279" w:rsidP="007847BF">
            <w:pPr>
              <w:spacing w:line="240" w:lineRule="auto"/>
              <w:jc w:val="center"/>
            </w:pPr>
          </w:p>
        </w:tc>
        <w:tc>
          <w:tcPr>
            <w:tcW w:w="2410" w:type="dxa"/>
            <w:tcBorders>
              <w:top w:val="nil"/>
              <w:left w:val="nil"/>
              <w:bottom w:val="nil"/>
              <w:right w:val="nil"/>
            </w:tcBorders>
            <w:vAlign w:val="center"/>
          </w:tcPr>
          <w:p w:rsidR="00B77279" w:rsidRDefault="00B77279" w:rsidP="007847BF">
            <w:pPr>
              <w:spacing w:line="240" w:lineRule="auto"/>
              <w:jc w:val="center"/>
            </w:pPr>
            <w:r>
              <w:t>≥ 25.1 and ≤ 31.7</w:t>
            </w:r>
          </w:p>
        </w:tc>
        <w:tc>
          <w:tcPr>
            <w:tcW w:w="2551" w:type="dxa"/>
            <w:tcBorders>
              <w:top w:val="nil"/>
              <w:left w:val="nil"/>
              <w:bottom w:val="nil"/>
              <w:right w:val="nil"/>
            </w:tcBorders>
            <w:vAlign w:val="center"/>
          </w:tcPr>
          <w:p w:rsidR="00B77279" w:rsidRDefault="00B77279" w:rsidP="007847BF">
            <w:pPr>
              <w:spacing w:line="240" w:lineRule="auto"/>
              <w:jc w:val="center"/>
            </w:pPr>
            <w:r>
              <w:t>Micrometastasis</w:t>
            </w:r>
          </w:p>
        </w:tc>
      </w:tr>
      <w:tr w:rsidR="00B77279" w:rsidTr="007847BF">
        <w:trPr>
          <w:trHeight w:val="381"/>
        </w:trPr>
        <w:tc>
          <w:tcPr>
            <w:tcW w:w="846" w:type="dxa"/>
            <w:vMerge/>
            <w:tcBorders>
              <w:left w:val="nil"/>
              <w:bottom w:val="single" w:sz="6" w:space="0" w:color="auto"/>
              <w:right w:val="nil"/>
            </w:tcBorders>
            <w:vAlign w:val="center"/>
          </w:tcPr>
          <w:p w:rsidR="00B77279" w:rsidRDefault="00B77279" w:rsidP="007847BF">
            <w:pPr>
              <w:spacing w:line="240" w:lineRule="auto"/>
              <w:jc w:val="center"/>
            </w:pPr>
          </w:p>
        </w:tc>
        <w:tc>
          <w:tcPr>
            <w:tcW w:w="2410" w:type="dxa"/>
            <w:tcBorders>
              <w:top w:val="nil"/>
              <w:left w:val="nil"/>
              <w:bottom w:val="single" w:sz="6" w:space="0" w:color="auto"/>
              <w:right w:val="nil"/>
            </w:tcBorders>
            <w:vAlign w:val="center"/>
          </w:tcPr>
          <w:p w:rsidR="00B77279" w:rsidRDefault="00B77279" w:rsidP="007847BF">
            <w:pPr>
              <w:spacing w:line="240" w:lineRule="auto"/>
              <w:jc w:val="center"/>
            </w:pPr>
            <w:r>
              <w:t>&lt; 25.1</w:t>
            </w:r>
          </w:p>
        </w:tc>
        <w:tc>
          <w:tcPr>
            <w:tcW w:w="2551" w:type="dxa"/>
            <w:tcBorders>
              <w:top w:val="nil"/>
              <w:left w:val="nil"/>
              <w:bottom w:val="single" w:sz="6" w:space="0" w:color="auto"/>
              <w:right w:val="nil"/>
            </w:tcBorders>
            <w:vAlign w:val="center"/>
          </w:tcPr>
          <w:p w:rsidR="00B77279" w:rsidRDefault="00B77279" w:rsidP="007847BF">
            <w:pPr>
              <w:spacing w:line="240" w:lineRule="auto"/>
              <w:jc w:val="center"/>
            </w:pPr>
            <w:r>
              <w:t>Macrometastasis</w:t>
            </w:r>
          </w:p>
        </w:tc>
      </w:tr>
    </w:tbl>
    <w:p w:rsidR="00B77279" w:rsidRDefault="00B77279" w:rsidP="007847BF">
      <w:pPr>
        <w:rPr>
          <w:sz w:val="20"/>
          <w:szCs w:val="20"/>
        </w:rPr>
      </w:pPr>
    </w:p>
    <w:p w:rsidR="00B77279" w:rsidRDefault="00357469" w:rsidP="007847BF">
      <w:pPr>
        <w:rPr>
          <w:sz w:val="20"/>
          <w:szCs w:val="20"/>
        </w:rPr>
      </w:pPr>
      <w:r w:rsidRPr="00B77279">
        <w:rPr>
          <w:sz w:val="20"/>
          <w:szCs w:val="20"/>
        </w:rPr>
        <w:t>R</w:t>
      </w:r>
      <w:r w:rsidR="00610420" w:rsidRPr="00B77279">
        <w:rPr>
          <w:sz w:val="20"/>
          <w:szCs w:val="20"/>
        </w:rPr>
        <w:t xml:space="preserve">eference ranges supplied by the </w:t>
      </w:r>
      <w:r w:rsidR="00104F9F" w:rsidRPr="00B77279">
        <w:rPr>
          <w:sz w:val="20"/>
          <w:szCs w:val="20"/>
        </w:rPr>
        <w:t xml:space="preserve">Cellular Pathology Department, </w:t>
      </w:r>
    </w:p>
    <w:p w:rsidR="006F1E62" w:rsidRPr="00B77279" w:rsidRDefault="00104F9F" w:rsidP="007847BF">
      <w:pPr>
        <w:rPr>
          <w:sz w:val="20"/>
          <w:szCs w:val="20"/>
        </w:rPr>
      </w:pPr>
      <w:r w:rsidRPr="00B77279">
        <w:rPr>
          <w:sz w:val="20"/>
          <w:szCs w:val="20"/>
        </w:rPr>
        <w:t xml:space="preserve">Queen Alexandra Hospital, Portsmouth. </w:t>
      </w:r>
    </w:p>
    <w:p w:rsidR="00432910" w:rsidRDefault="00432910" w:rsidP="00B4244D"/>
    <w:p w:rsidR="00450B9E" w:rsidRDefault="0006610C" w:rsidP="00B4244D">
      <w:r>
        <w:t>T</w:t>
      </w:r>
      <w:r w:rsidR="00610420">
        <w:t>o</w:t>
      </w:r>
      <w:r>
        <w:t xml:space="preserve"> enable a turnaround time </w:t>
      </w:r>
      <w:r w:rsidR="00450B9E">
        <w:t>audit, we recorded the time of sample receipt and the time the result was telephoned to the surgeon</w:t>
      </w:r>
      <w:r>
        <w:t xml:space="preserve"> (N=250)</w:t>
      </w:r>
      <w:r w:rsidR="00450B9E">
        <w:t>.</w:t>
      </w:r>
    </w:p>
    <w:p w:rsidR="00695491" w:rsidRDefault="00695491" w:rsidP="00DB0B86">
      <w:pPr>
        <w:rPr>
          <w:b/>
        </w:rPr>
      </w:pPr>
    </w:p>
    <w:p w:rsidR="00DB0B86" w:rsidRPr="00CC3ABA" w:rsidRDefault="00056AA9" w:rsidP="00DB0B86">
      <w:pPr>
        <w:rPr>
          <w:b/>
        </w:rPr>
      </w:pPr>
      <w:r>
        <w:rPr>
          <w:b/>
        </w:rPr>
        <w:t>Histology</w:t>
      </w:r>
    </w:p>
    <w:p w:rsidR="00217127" w:rsidRDefault="00357469" w:rsidP="00DB0B86">
      <w:r>
        <w:t>F</w:t>
      </w:r>
      <w:r w:rsidR="00A24904">
        <w:t xml:space="preserve">ormalin fixed paraffin section </w:t>
      </w:r>
      <w:r w:rsidR="00450B9E" w:rsidRPr="00450B9E">
        <w:t>histo</w:t>
      </w:r>
      <w:r w:rsidR="00A24904">
        <w:t xml:space="preserve">pathology </w:t>
      </w:r>
      <w:r w:rsidR="00450B9E">
        <w:t xml:space="preserve">was </w:t>
      </w:r>
      <w:r>
        <w:t>the</w:t>
      </w:r>
      <w:r w:rsidR="00450B9E">
        <w:t xml:space="preserve"> “gold standard” against which the Metasin assay was assessed. </w:t>
      </w:r>
      <w:r w:rsidR="00DC587A" w:rsidRPr="00217127">
        <w:t>S</w:t>
      </w:r>
      <w:r>
        <w:t xml:space="preserve">LN </w:t>
      </w:r>
      <w:r w:rsidR="00DC587A" w:rsidRPr="00217127">
        <w:t xml:space="preserve">slices were fixed </w:t>
      </w:r>
      <w:r w:rsidR="00AF5E14">
        <w:t xml:space="preserve">and </w:t>
      </w:r>
      <w:r w:rsidR="00DC587A" w:rsidRPr="00217127">
        <w:t xml:space="preserve">embedded in accordance with standard laboratory procedures. </w:t>
      </w:r>
      <w:r w:rsidR="007A40A5" w:rsidRPr="00217127">
        <w:t xml:space="preserve">After initial trimming, </w:t>
      </w:r>
      <w:r w:rsidR="00217127" w:rsidRPr="00217127">
        <w:t>2</w:t>
      </w:r>
      <w:r w:rsidR="002660F5" w:rsidRPr="00217127">
        <w:sym w:font="Symbol" w:char="F06D"/>
      </w:r>
      <w:r w:rsidR="00217127" w:rsidRPr="00217127">
        <w:t xml:space="preserve">m sections were cut </w:t>
      </w:r>
      <w:r w:rsidR="00217127">
        <w:t xml:space="preserve">at </w:t>
      </w:r>
      <w:r w:rsidR="00217127" w:rsidRPr="00217127">
        <w:t>6 levels, with 100</w:t>
      </w:r>
      <w:r w:rsidR="00217127" w:rsidRPr="00217127">
        <w:sym w:font="Symbol" w:char="F06D"/>
      </w:r>
      <w:r w:rsidR="00217127" w:rsidRPr="00217127">
        <w:t>m</w:t>
      </w:r>
      <w:r w:rsidR="002660F5">
        <w:t xml:space="preserve"> between each level. </w:t>
      </w:r>
      <w:r w:rsidR="00AF5E14">
        <w:t>S</w:t>
      </w:r>
      <w:r w:rsidR="002660F5">
        <w:t xml:space="preserve">ections were stained with H&amp;E and examined by a </w:t>
      </w:r>
      <w:r w:rsidR="00FD4A36">
        <w:t>c</w:t>
      </w:r>
      <w:r w:rsidR="002660F5">
        <w:t xml:space="preserve">onsultant </w:t>
      </w:r>
      <w:r w:rsidR="00FD4A36">
        <w:t>b</w:t>
      </w:r>
      <w:r w:rsidR="002660F5">
        <w:t xml:space="preserve">reast </w:t>
      </w:r>
      <w:r w:rsidR="00FD4A36">
        <w:t>p</w:t>
      </w:r>
      <w:r w:rsidR="00C34C0D">
        <w:t xml:space="preserve">athologist. </w:t>
      </w:r>
      <w:r w:rsidR="002660F5">
        <w:t>Whe</w:t>
      </w:r>
      <w:r w:rsidR="008F59F9">
        <w:t xml:space="preserve">re </w:t>
      </w:r>
      <w:r w:rsidR="002660F5">
        <w:t xml:space="preserve">there was discordance between the </w:t>
      </w:r>
      <w:r w:rsidR="00056AA9">
        <w:t>Histology</w:t>
      </w:r>
      <w:r w:rsidR="002660F5">
        <w:t xml:space="preserve"> and </w:t>
      </w:r>
      <w:r w:rsidR="00AF5E14">
        <w:t>M</w:t>
      </w:r>
      <w:r w:rsidR="002660F5">
        <w:t>etasin (</w:t>
      </w:r>
      <w:r w:rsidR="00056AA9">
        <w:t>Histology</w:t>
      </w:r>
      <w:r w:rsidR="002660F5">
        <w:t xml:space="preserve"> -ve, Metasin +ve)</w:t>
      </w:r>
      <w:r w:rsidR="001B0681">
        <w:t xml:space="preserve"> further histological examination of the </w:t>
      </w:r>
      <w:r w:rsidR="00AF5E14">
        <w:t xml:space="preserve">SLNs </w:t>
      </w:r>
      <w:r w:rsidR="001B0681">
        <w:t xml:space="preserve">was performed </w:t>
      </w:r>
      <w:r w:rsidR="00650AB2">
        <w:t>to minimise</w:t>
      </w:r>
      <w:r w:rsidR="001B0681">
        <w:t xml:space="preserve"> tissue allocation bias</w:t>
      </w:r>
      <w:r w:rsidR="008120E7">
        <w:t xml:space="preserve"> (TAB)</w:t>
      </w:r>
      <w:r w:rsidR="009613C1">
        <w:t>.[</w:t>
      </w:r>
      <w:r w:rsidR="001B0681">
        <w:t>18</w:t>
      </w:r>
      <w:r w:rsidR="009613C1">
        <w:t>]</w:t>
      </w:r>
      <w:r w:rsidR="001B0681">
        <w:t xml:space="preserve"> </w:t>
      </w:r>
      <w:r w:rsidR="002660F5">
        <w:t xml:space="preserve"> </w:t>
      </w:r>
      <w:r w:rsidR="001B0681">
        <w:t>A</w:t>
      </w:r>
      <w:r w:rsidR="00B00911">
        <w:t xml:space="preserve"> </w:t>
      </w:r>
      <w:r w:rsidR="002660F5">
        <w:t>further</w:t>
      </w:r>
      <w:r w:rsidR="00B00911">
        <w:t xml:space="preserve"> 6 sections at 100</w:t>
      </w:r>
      <w:r w:rsidR="00B00911" w:rsidRPr="00217127">
        <w:sym w:font="Symbol" w:char="F06D"/>
      </w:r>
      <w:r w:rsidR="00B00911">
        <w:t>m intervals were examined.</w:t>
      </w:r>
      <w:r w:rsidR="002660F5">
        <w:t xml:space="preserve"> </w:t>
      </w:r>
      <w:r w:rsidR="001B0681">
        <w:t xml:space="preserve">This process was repeated until a metastasis was identified and size classified or until exhaustion of the </w:t>
      </w:r>
      <w:r w:rsidR="001B0681">
        <w:lastRenderedPageBreak/>
        <w:t xml:space="preserve">tissue block. </w:t>
      </w:r>
      <w:r w:rsidR="0035530A">
        <w:t>The histological criteria for macrometastasis are tumour deposits of greater than 2mm and for micrometastasis between 0.2 and 2mm</w:t>
      </w:r>
      <w:r w:rsidR="009613C1">
        <w:t>.[</w:t>
      </w:r>
      <w:r w:rsidR="001B0681">
        <w:t>19</w:t>
      </w:r>
      <w:r w:rsidR="009613C1">
        <w:t xml:space="preserve">, </w:t>
      </w:r>
      <w:r w:rsidR="001B0681">
        <w:t>20</w:t>
      </w:r>
      <w:r w:rsidR="009613C1">
        <w:t>]</w:t>
      </w:r>
    </w:p>
    <w:p w:rsidR="00B00911" w:rsidRPr="00B00911" w:rsidRDefault="00EA01C1" w:rsidP="002660F5">
      <w:pPr>
        <w:spacing w:before="240"/>
        <w:rPr>
          <w:b/>
        </w:rPr>
      </w:pPr>
      <w:r>
        <w:rPr>
          <w:b/>
        </w:rPr>
        <w:t>RESULTS</w:t>
      </w:r>
    </w:p>
    <w:p w:rsidR="00EA01C1" w:rsidRPr="00CC3ABA" w:rsidRDefault="00EA01C1" w:rsidP="002660F5">
      <w:pPr>
        <w:spacing w:before="240"/>
        <w:rPr>
          <w:b/>
        </w:rPr>
      </w:pPr>
      <w:r w:rsidRPr="00CC3ABA">
        <w:rPr>
          <w:b/>
        </w:rPr>
        <w:t>Patient demographics</w:t>
      </w:r>
    </w:p>
    <w:p w:rsidR="00B77279" w:rsidRDefault="003B0E47" w:rsidP="00024655">
      <w:pPr>
        <w:spacing w:before="240"/>
      </w:pPr>
      <w:r>
        <w:t>250 consecutive SL</w:t>
      </w:r>
      <w:r w:rsidR="001F0AAA">
        <w:t>N</w:t>
      </w:r>
      <w:r>
        <w:t>B operations are detailed</w:t>
      </w:r>
      <w:r w:rsidR="007447F3">
        <w:t>.</w:t>
      </w:r>
      <w:r w:rsidR="00EE4973">
        <w:t xml:space="preserve"> 162 patients had a wide local excision, 83 a mastectomy of which 7 where bilateral and 2 patients had </w:t>
      </w:r>
      <w:r w:rsidR="00D44528">
        <w:t>re-excisions.</w:t>
      </w:r>
      <w:r w:rsidR="00EE4973">
        <w:t xml:space="preserve"> </w:t>
      </w:r>
      <w:r>
        <w:t>The median age was 60 years (range 33 - 86 years)</w:t>
      </w:r>
      <w:r w:rsidR="00EE4973">
        <w:t>.</w:t>
      </w:r>
      <w:r>
        <w:t xml:space="preserve"> The </w:t>
      </w:r>
      <w:r w:rsidR="00C50C33">
        <w:t>patients’</w:t>
      </w:r>
      <w:r>
        <w:t xml:space="preserve"> tumour characteristics are illustrated in table </w:t>
      </w:r>
      <w:r w:rsidR="00FD4A36">
        <w:t>2</w:t>
      </w:r>
      <w:r>
        <w:t>.</w:t>
      </w:r>
      <w:r w:rsidR="00EE4973">
        <w:t xml:space="preserve"> </w:t>
      </w:r>
    </w:p>
    <w:p w:rsidR="00B77279" w:rsidRDefault="00B77279">
      <w:pPr>
        <w:spacing w:line="240" w:lineRule="auto"/>
        <w:jc w:val="left"/>
      </w:pPr>
      <w:r>
        <w:br w:type="page"/>
      </w:r>
    </w:p>
    <w:p w:rsidR="00B77279" w:rsidRDefault="00B77279" w:rsidP="00B77279">
      <w:pPr>
        <w:spacing w:before="240" w:line="240" w:lineRule="auto"/>
      </w:pPr>
      <w:r w:rsidRPr="00C824D0">
        <w:rPr>
          <w:b/>
        </w:rPr>
        <w:lastRenderedPageBreak/>
        <w:t xml:space="preserve">Table </w:t>
      </w:r>
      <w:r>
        <w:rPr>
          <w:b/>
        </w:rPr>
        <w:t>2</w:t>
      </w:r>
      <w:r>
        <w:t>. Patient demographics and histology tumour characteristics for 250 patients undergoing Metasin intra-operative analysis of sentinel lymph nodes.</w:t>
      </w:r>
    </w:p>
    <w:p w:rsidR="00B77279" w:rsidRPr="006D034D" w:rsidRDefault="00B94431" w:rsidP="00B77279">
      <w:pPr>
        <w:spacing w:before="240" w:line="240" w:lineRule="auto"/>
        <w:rPr>
          <w:sz w:val="22"/>
          <w:szCs w:val="22"/>
        </w:rPr>
      </w:pPr>
      <w:r>
        <w:rPr>
          <w:noProof/>
          <w:sz w:val="22"/>
          <w:szCs w:val="22"/>
          <w:lang w:eastAsia="zh-CN"/>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85725</wp:posOffset>
                </wp:positionV>
                <wp:extent cx="5105400" cy="9525"/>
                <wp:effectExtent l="9525" t="9525" r="9525" b="952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0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5pt;margin-top:6.75pt;width:4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"/>
            </w:pict>
          </mc:Fallback>
        </mc:AlternateContent>
      </w:r>
      <w:r w:rsidR="00B77279" w:rsidRPr="006D034D">
        <w:rPr>
          <w:sz w:val="22"/>
          <w:szCs w:val="22"/>
        </w:rPr>
        <w:t>Patient characteristic</w:t>
      </w:r>
      <w:r w:rsidR="00B77279" w:rsidRPr="006D034D">
        <w:rPr>
          <w:sz w:val="22"/>
          <w:szCs w:val="22"/>
        </w:rPr>
        <w:tab/>
      </w:r>
      <w:r w:rsidR="00B77279" w:rsidRPr="006D034D">
        <w:rPr>
          <w:sz w:val="22"/>
          <w:szCs w:val="22"/>
        </w:rPr>
        <w:tab/>
      </w:r>
      <w:r w:rsidR="00B77279" w:rsidRPr="006D034D">
        <w:rPr>
          <w:sz w:val="22"/>
          <w:szCs w:val="22"/>
        </w:rPr>
        <w:tab/>
      </w:r>
      <w:r w:rsidR="00B77279" w:rsidRPr="006D034D">
        <w:rPr>
          <w:sz w:val="22"/>
          <w:szCs w:val="22"/>
        </w:rPr>
        <w:tab/>
      </w:r>
      <w:r w:rsidR="00B77279" w:rsidRPr="006D034D">
        <w:rPr>
          <w:sz w:val="22"/>
          <w:szCs w:val="22"/>
        </w:rPr>
        <w:tab/>
      </w:r>
      <w:r w:rsidR="00B77279">
        <w:rPr>
          <w:sz w:val="22"/>
          <w:szCs w:val="22"/>
        </w:rPr>
        <w:t xml:space="preserve">  </w:t>
      </w:r>
      <w:r w:rsidR="00D7302F">
        <w:rPr>
          <w:sz w:val="22"/>
          <w:szCs w:val="22"/>
        </w:rPr>
        <w:tab/>
        <w:t xml:space="preserve"> </w:t>
      </w:r>
      <w:r w:rsidR="00927E73">
        <w:rPr>
          <w:sz w:val="22"/>
          <w:szCs w:val="22"/>
        </w:rPr>
        <w:t xml:space="preserve"> </w:t>
      </w:r>
      <w:r w:rsidR="00B77279" w:rsidRPr="006D034D">
        <w:rPr>
          <w:sz w:val="22"/>
          <w:szCs w:val="22"/>
        </w:rPr>
        <w:t>N</w:t>
      </w:r>
      <w:r w:rsidR="00B77279" w:rsidRPr="006D034D">
        <w:rPr>
          <w:sz w:val="22"/>
          <w:szCs w:val="22"/>
        </w:rPr>
        <w:tab/>
      </w:r>
      <w:r w:rsidR="00B77279">
        <w:rPr>
          <w:sz w:val="22"/>
          <w:szCs w:val="22"/>
        </w:rPr>
        <w:t xml:space="preserve">  </w:t>
      </w:r>
      <w:r w:rsidR="00B77279" w:rsidRPr="006D034D">
        <w:rPr>
          <w:sz w:val="22"/>
          <w:szCs w:val="22"/>
        </w:rPr>
        <w:t>%</w:t>
      </w:r>
      <w:r w:rsidR="00B77279" w:rsidRPr="006D034D">
        <w:rPr>
          <w:sz w:val="22"/>
          <w:szCs w:val="22"/>
        </w:rPr>
        <w:tab/>
        <w:t>Total</w:t>
      </w:r>
    </w:p>
    <w:p w:rsidR="00B77279" w:rsidRDefault="00B94431" w:rsidP="00B77279">
      <w:pPr>
        <w:spacing w:line="240" w:lineRule="auto"/>
        <w:rPr>
          <w:sz w:val="22"/>
          <w:szCs w:val="22"/>
        </w:rPr>
      </w:pPr>
      <w:r>
        <w:rPr>
          <w:noProof/>
          <w:sz w:val="22"/>
          <w:szCs w:val="22"/>
          <w:lang w:eastAsia="zh-CN"/>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60325</wp:posOffset>
                </wp:positionV>
                <wp:extent cx="5105400" cy="0"/>
                <wp:effectExtent l="9525" t="12700" r="9525" b="635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pt;margin-top:4.75pt;width:40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zT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4dZ2M9gXAFhldraMCE9qlfzrOl3h5SuOqJaHqPfTgaSs5CRvEsJF2egym74ohnEECgQ&#10;l3VsbB8gYQ3oGDk53TjhR48ofJxm6TRP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"/>
            </w:pict>
          </mc:Fallback>
        </mc:AlternateContent>
      </w:r>
    </w:p>
    <w:p w:rsidR="00B77279" w:rsidRPr="006D034D" w:rsidRDefault="00B77279" w:rsidP="00B77279">
      <w:pPr>
        <w:spacing w:line="240" w:lineRule="auto"/>
        <w:rPr>
          <w:sz w:val="22"/>
          <w:szCs w:val="22"/>
        </w:rPr>
      </w:pPr>
      <w:r>
        <w:rPr>
          <w:sz w:val="22"/>
          <w:szCs w:val="22"/>
        </w:rPr>
        <w:t>Histopathological</w:t>
      </w:r>
      <w:r w:rsidRPr="006D034D">
        <w:rPr>
          <w:sz w:val="22"/>
          <w:szCs w:val="22"/>
        </w:rPr>
        <w:tab/>
      </w:r>
      <w:r w:rsidRPr="006D034D">
        <w:rPr>
          <w:sz w:val="22"/>
          <w:szCs w:val="22"/>
        </w:rPr>
        <w:tab/>
        <w:t>D</w:t>
      </w:r>
      <w:r w:rsidR="00205207">
        <w:rPr>
          <w:sz w:val="22"/>
          <w:szCs w:val="22"/>
        </w:rPr>
        <w:t>CIS</w:t>
      </w:r>
      <w:r w:rsidR="00205207">
        <w:rPr>
          <w:sz w:val="22"/>
          <w:szCs w:val="22"/>
        </w:rPr>
        <w:tab/>
      </w:r>
      <w:r w:rsidR="00205207">
        <w:rPr>
          <w:sz w:val="22"/>
          <w:szCs w:val="22"/>
        </w:rPr>
        <w:tab/>
      </w:r>
      <w:r w:rsidR="00205207">
        <w:rPr>
          <w:sz w:val="22"/>
          <w:szCs w:val="22"/>
        </w:rPr>
        <w:tab/>
      </w:r>
      <w:r w:rsidR="00D7302F">
        <w:rPr>
          <w:sz w:val="22"/>
          <w:szCs w:val="22"/>
        </w:rPr>
        <w:tab/>
      </w:r>
      <w:r>
        <w:rPr>
          <w:sz w:val="22"/>
          <w:szCs w:val="22"/>
        </w:rPr>
        <w:t xml:space="preserve"> </w:t>
      </w:r>
      <w:r w:rsidR="00927E73">
        <w:rPr>
          <w:sz w:val="22"/>
          <w:szCs w:val="22"/>
        </w:rPr>
        <w:t xml:space="preserve"> </w:t>
      </w:r>
      <w:r>
        <w:rPr>
          <w:sz w:val="22"/>
          <w:szCs w:val="22"/>
        </w:rPr>
        <w:t>15</w:t>
      </w:r>
      <w:r w:rsidRPr="006D034D">
        <w:rPr>
          <w:sz w:val="22"/>
          <w:szCs w:val="22"/>
        </w:rPr>
        <w:tab/>
      </w:r>
      <w:r>
        <w:rPr>
          <w:sz w:val="22"/>
          <w:szCs w:val="22"/>
        </w:rPr>
        <w:t xml:space="preserve">  6.0</w:t>
      </w:r>
      <w:r w:rsidRPr="006D034D">
        <w:rPr>
          <w:sz w:val="22"/>
          <w:szCs w:val="22"/>
        </w:rPr>
        <w:tab/>
      </w:r>
      <w:r>
        <w:rPr>
          <w:sz w:val="22"/>
          <w:szCs w:val="22"/>
        </w:rPr>
        <w:t xml:space="preserve"> </w:t>
      </w:r>
      <w:r w:rsidRPr="006D034D">
        <w:rPr>
          <w:sz w:val="22"/>
          <w:szCs w:val="22"/>
        </w:rPr>
        <w:t>250</w:t>
      </w:r>
    </w:p>
    <w:p w:rsidR="00B77279" w:rsidRPr="006D034D" w:rsidRDefault="00B77279" w:rsidP="00B77279">
      <w:pPr>
        <w:spacing w:line="240" w:lineRule="auto"/>
        <w:rPr>
          <w:sz w:val="22"/>
          <w:szCs w:val="22"/>
        </w:rPr>
      </w:pPr>
      <w:r>
        <w:rPr>
          <w:sz w:val="22"/>
          <w:szCs w:val="22"/>
        </w:rPr>
        <w:t>tumour type</w:t>
      </w:r>
      <w:r w:rsidRPr="006D034D">
        <w:rPr>
          <w:sz w:val="22"/>
          <w:szCs w:val="22"/>
        </w:rPr>
        <w:tab/>
      </w:r>
      <w:r w:rsidRPr="006D034D">
        <w:rPr>
          <w:sz w:val="22"/>
          <w:szCs w:val="22"/>
        </w:rPr>
        <w:tab/>
      </w:r>
      <w:r w:rsidRPr="006D034D">
        <w:rPr>
          <w:sz w:val="22"/>
          <w:szCs w:val="22"/>
        </w:rPr>
        <w:tab/>
        <w:t>IDC</w:t>
      </w:r>
      <w:r>
        <w:rPr>
          <w:sz w:val="22"/>
          <w:szCs w:val="22"/>
        </w:rPr>
        <w:tab/>
      </w:r>
      <w:r>
        <w:rPr>
          <w:sz w:val="22"/>
          <w:szCs w:val="22"/>
        </w:rPr>
        <w:tab/>
      </w:r>
      <w:r>
        <w:rPr>
          <w:sz w:val="22"/>
          <w:szCs w:val="22"/>
        </w:rPr>
        <w:tab/>
      </w:r>
      <w:r w:rsidR="00D7302F">
        <w:rPr>
          <w:sz w:val="22"/>
          <w:szCs w:val="22"/>
        </w:rPr>
        <w:tab/>
      </w:r>
      <w:r>
        <w:rPr>
          <w:sz w:val="22"/>
          <w:szCs w:val="22"/>
        </w:rPr>
        <w:t>174</w:t>
      </w:r>
      <w:r>
        <w:rPr>
          <w:sz w:val="22"/>
          <w:szCs w:val="22"/>
        </w:rPr>
        <w:tab/>
        <w:t>69.6</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t>Invasive lobular</w:t>
      </w:r>
      <w:r>
        <w:rPr>
          <w:sz w:val="22"/>
          <w:szCs w:val="22"/>
        </w:rPr>
        <w:tab/>
      </w:r>
      <w:r>
        <w:rPr>
          <w:sz w:val="22"/>
          <w:szCs w:val="22"/>
        </w:rPr>
        <w:tab/>
        <w:t xml:space="preserve">  </w:t>
      </w:r>
      <w:r w:rsidR="00D7302F">
        <w:rPr>
          <w:sz w:val="22"/>
          <w:szCs w:val="22"/>
        </w:rPr>
        <w:tab/>
      </w:r>
      <w:r w:rsidR="00927E73">
        <w:rPr>
          <w:sz w:val="22"/>
          <w:szCs w:val="22"/>
        </w:rPr>
        <w:t xml:space="preserve">  </w:t>
      </w:r>
      <w:r>
        <w:rPr>
          <w:sz w:val="22"/>
          <w:szCs w:val="22"/>
        </w:rPr>
        <w:t>16</w:t>
      </w:r>
      <w:r>
        <w:rPr>
          <w:sz w:val="22"/>
          <w:szCs w:val="22"/>
        </w:rPr>
        <w:tab/>
        <w:t xml:space="preserve">  6.4</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t>Invasive mucinous</w:t>
      </w:r>
      <w:r>
        <w:rPr>
          <w:sz w:val="22"/>
          <w:szCs w:val="22"/>
        </w:rPr>
        <w:tab/>
        <w:t xml:space="preserve">   </w:t>
      </w:r>
      <w:r w:rsidR="00D7302F">
        <w:rPr>
          <w:sz w:val="22"/>
          <w:szCs w:val="22"/>
        </w:rPr>
        <w:tab/>
      </w:r>
      <w:r>
        <w:rPr>
          <w:sz w:val="22"/>
          <w:szCs w:val="22"/>
        </w:rPr>
        <w:t xml:space="preserve"> </w:t>
      </w:r>
      <w:r w:rsidR="00927E73">
        <w:rPr>
          <w:sz w:val="22"/>
          <w:szCs w:val="22"/>
        </w:rPr>
        <w:t xml:space="preserve">   </w:t>
      </w:r>
      <w:r>
        <w:rPr>
          <w:sz w:val="22"/>
          <w:szCs w:val="22"/>
        </w:rPr>
        <w:t>6</w:t>
      </w:r>
      <w:r>
        <w:rPr>
          <w:sz w:val="22"/>
          <w:szCs w:val="22"/>
        </w:rPr>
        <w:tab/>
        <w:t xml:space="preserve">  2.4</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t>Invasive papillary</w:t>
      </w:r>
      <w:r>
        <w:rPr>
          <w:sz w:val="22"/>
          <w:szCs w:val="22"/>
        </w:rPr>
        <w:tab/>
        <w:t xml:space="preserve">    </w:t>
      </w:r>
      <w:r w:rsidR="00D7302F">
        <w:rPr>
          <w:sz w:val="22"/>
          <w:szCs w:val="22"/>
        </w:rPr>
        <w:tab/>
      </w:r>
      <w:r w:rsidR="00927E73">
        <w:rPr>
          <w:sz w:val="22"/>
          <w:szCs w:val="22"/>
        </w:rPr>
        <w:t xml:space="preserve">    </w:t>
      </w:r>
      <w:r>
        <w:rPr>
          <w:sz w:val="22"/>
          <w:szCs w:val="22"/>
        </w:rPr>
        <w:t>1</w:t>
      </w:r>
      <w:r>
        <w:rPr>
          <w:sz w:val="22"/>
          <w:szCs w:val="22"/>
        </w:rPr>
        <w:tab/>
        <w:t xml:space="preserve">  0.4</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t>Invasive tubular</w:t>
      </w:r>
      <w:r>
        <w:rPr>
          <w:sz w:val="22"/>
          <w:szCs w:val="22"/>
        </w:rPr>
        <w:tab/>
      </w:r>
      <w:r>
        <w:rPr>
          <w:sz w:val="22"/>
          <w:szCs w:val="22"/>
        </w:rPr>
        <w:tab/>
        <w:t xml:space="preserve">   </w:t>
      </w:r>
      <w:r w:rsidR="00D7302F">
        <w:rPr>
          <w:sz w:val="22"/>
          <w:szCs w:val="22"/>
        </w:rPr>
        <w:tab/>
      </w:r>
      <w:r w:rsidR="00927E73">
        <w:rPr>
          <w:sz w:val="22"/>
          <w:szCs w:val="22"/>
        </w:rPr>
        <w:t xml:space="preserve">   </w:t>
      </w:r>
      <w:r>
        <w:rPr>
          <w:sz w:val="22"/>
          <w:szCs w:val="22"/>
        </w:rPr>
        <w:t xml:space="preserve"> 4</w:t>
      </w:r>
      <w:r>
        <w:rPr>
          <w:sz w:val="22"/>
          <w:szCs w:val="22"/>
        </w:rPr>
        <w:tab/>
        <w:t xml:space="preserve">  1.6</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t>Mixed</w:t>
      </w:r>
      <w:r>
        <w:rPr>
          <w:sz w:val="22"/>
          <w:szCs w:val="22"/>
        </w:rPr>
        <w:tab/>
      </w:r>
      <w:r>
        <w:rPr>
          <w:sz w:val="22"/>
          <w:szCs w:val="22"/>
        </w:rPr>
        <w:tab/>
      </w:r>
      <w:r>
        <w:rPr>
          <w:sz w:val="22"/>
          <w:szCs w:val="22"/>
        </w:rPr>
        <w:tab/>
        <w:t xml:space="preserve"> </w:t>
      </w:r>
      <w:r w:rsidR="00D7302F">
        <w:rPr>
          <w:sz w:val="22"/>
          <w:szCs w:val="22"/>
        </w:rPr>
        <w:tab/>
      </w:r>
      <w:r w:rsidR="00927E73">
        <w:rPr>
          <w:sz w:val="22"/>
          <w:szCs w:val="22"/>
        </w:rPr>
        <w:t xml:space="preserve"> </w:t>
      </w:r>
      <w:r>
        <w:rPr>
          <w:sz w:val="22"/>
          <w:szCs w:val="22"/>
        </w:rPr>
        <w:t xml:space="preserve"> 34</w:t>
      </w:r>
      <w:r>
        <w:rPr>
          <w:sz w:val="22"/>
          <w:szCs w:val="22"/>
        </w:rPr>
        <w:tab/>
        <w:t>13.6</w:t>
      </w:r>
    </w:p>
    <w:p w:rsidR="00B77279" w:rsidRPr="006D034D" w:rsidRDefault="00B77279" w:rsidP="00B77279">
      <w:pPr>
        <w:spacing w:line="240" w:lineRule="auto"/>
        <w:rPr>
          <w:sz w:val="22"/>
          <w:szCs w:val="22"/>
        </w:rPr>
      </w:pPr>
    </w:p>
    <w:p w:rsidR="00B77279" w:rsidRPr="006D034D" w:rsidRDefault="00B77279" w:rsidP="00B77279">
      <w:pPr>
        <w:spacing w:line="240" w:lineRule="auto"/>
        <w:rPr>
          <w:sz w:val="22"/>
          <w:szCs w:val="22"/>
        </w:rPr>
      </w:pPr>
      <w:r>
        <w:rPr>
          <w:sz w:val="22"/>
          <w:szCs w:val="22"/>
        </w:rPr>
        <w:t>Histopathological</w:t>
      </w:r>
      <w:r w:rsidRPr="006D034D">
        <w:rPr>
          <w:sz w:val="22"/>
          <w:szCs w:val="22"/>
        </w:rPr>
        <w:t xml:space="preserve">  </w:t>
      </w:r>
      <w:r w:rsidRPr="006D034D">
        <w:rPr>
          <w:sz w:val="22"/>
          <w:szCs w:val="22"/>
        </w:rPr>
        <w:tab/>
      </w:r>
      <w:r w:rsidRPr="006D034D">
        <w:rPr>
          <w:sz w:val="22"/>
          <w:szCs w:val="22"/>
        </w:rPr>
        <w:tab/>
        <w:t>Positive</w:t>
      </w:r>
      <w:r w:rsidRPr="006D034D">
        <w:rPr>
          <w:sz w:val="22"/>
          <w:szCs w:val="22"/>
        </w:rPr>
        <w:tab/>
      </w:r>
      <w:r w:rsidR="00D7302F">
        <w:rPr>
          <w:sz w:val="22"/>
          <w:szCs w:val="22"/>
        </w:rPr>
        <w:t xml:space="preserve"> - macrometastasis</w:t>
      </w:r>
      <w:r w:rsidRPr="006D034D">
        <w:rPr>
          <w:sz w:val="22"/>
          <w:szCs w:val="22"/>
        </w:rPr>
        <w:tab/>
      </w:r>
      <w:r w:rsidR="00927E73">
        <w:rPr>
          <w:sz w:val="22"/>
          <w:szCs w:val="22"/>
        </w:rPr>
        <w:t xml:space="preserve"> </w:t>
      </w:r>
      <w:r>
        <w:rPr>
          <w:sz w:val="22"/>
          <w:szCs w:val="22"/>
        </w:rPr>
        <w:t xml:space="preserve"> </w:t>
      </w:r>
      <w:r w:rsidR="00D7302F">
        <w:rPr>
          <w:sz w:val="22"/>
          <w:szCs w:val="22"/>
        </w:rPr>
        <w:t>39</w:t>
      </w:r>
      <w:r w:rsidRPr="006D034D">
        <w:rPr>
          <w:sz w:val="22"/>
          <w:szCs w:val="22"/>
        </w:rPr>
        <w:tab/>
      </w:r>
      <w:r w:rsidR="00BE4845">
        <w:rPr>
          <w:sz w:val="22"/>
          <w:szCs w:val="22"/>
        </w:rPr>
        <w:t>15.6</w:t>
      </w:r>
      <w:r w:rsidRPr="006D034D">
        <w:rPr>
          <w:sz w:val="22"/>
          <w:szCs w:val="22"/>
        </w:rPr>
        <w:tab/>
      </w:r>
      <w:r>
        <w:rPr>
          <w:sz w:val="22"/>
          <w:szCs w:val="22"/>
        </w:rPr>
        <w:t xml:space="preserve"> </w:t>
      </w:r>
      <w:r w:rsidRPr="006D034D">
        <w:rPr>
          <w:sz w:val="22"/>
          <w:szCs w:val="22"/>
        </w:rPr>
        <w:t>250</w:t>
      </w:r>
    </w:p>
    <w:p w:rsidR="00D7302F" w:rsidRDefault="00B77279" w:rsidP="00B77279">
      <w:pPr>
        <w:spacing w:line="240" w:lineRule="auto"/>
        <w:rPr>
          <w:sz w:val="22"/>
          <w:szCs w:val="22"/>
        </w:rPr>
      </w:pPr>
      <w:r>
        <w:rPr>
          <w:sz w:val="22"/>
          <w:szCs w:val="22"/>
        </w:rPr>
        <w:t>lymph node status</w:t>
      </w:r>
      <w:r w:rsidRPr="006D034D">
        <w:rPr>
          <w:sz w:val="22"/>
          <w:szCs w:val="22"/>
        </w:rPr>
        <w:tab/>
      </w:r>
      <w:r w:rsidRPr="006D034D">
        <w:rPr>
          <w:sz w:val="22"/>
          <w:szCs w:val="22"/>
        </w:rPr>
        <w:tab/>
      </w:r>
      <w:r w:rsidR="00D7302F">
        <w:rPr>
          <w:sz w:val="22"/>
          <w:szCs w:val="22"/>
        </w:rPr>
        <w:t>Positive – micrometastasis</w:t>
      </w:r>
      <w:r w:rsidR="00D7302F">
        <w:rPr>
          <w:sz w:val="22"/>
          <w:szCs w:val="22"/>
        </w:rPr>
        <w:tab/>
      </w:r>
      <w:r w:rsidR="00927E73">
        <w:rPr>
          <w:sz w:val="22"/>
          <w:szCs w:val="22"/>
        </w:rPr>
        <w:t xml:space="preserve"> </w:t>
      </w:r>
      <w:r w:rsidR="00D7302F">
        <w:rPr>
          <w:sz w:val="22"/>
          <w:szCs w:val="22"/>
        </w:rPr>
        <w:t xml:space="preserve"> 19</w:t>
      </w:r>
      <w:r w:rsidR="00BE4845">
        <w:rPr>
          <w:sz w:val="22"/>
          <w:szCs w:val="22"/>
        </w:rPr>
        <w:tab/>
        <w:t xml:space="preserve">  7.6</w:t>
      </w:r>
    </w:p>
    <w:p w:rsidR="00B77279" w:rsidRPr="006D034D" w:rsidRDefault="00D7302F" w:rsidP="00B77279">
      <w:pPr>
        <w:spacing w:line="240" w:lineRule="auto"/>
        <w:rPr>
          <w:sz w:val="22"/>
          <w:szCs w:val="22"/>
        </w:rPr>
      </w:pPr>
      <w:r>
        <w:rPr>
          <w:sz w:val="22"/>
          <w:szCs w:val="22"/>
        </w:rPr>
        <w:tab/>
      </w:r>
      <w:r>
        <w:rPr>
          <w:sz w:val="22"/>
          <w:szCs w:val="22"/>
        </w:rPr>
        <w:tab/>
      </w:r>
      <w:r>
        <w:rPr>
          <w:sz w:val="22"/>
          <w:szCs w:val="22"/>
        </w:rPr>
        <w:tab/>
      </w:r>
      <w:r>
        <w:rPr>
          <w:sz w:val="22"/>
          <w:szCs w:val="22"/>
        </w:rPr>
        <w:tab/>
        <w:t>Negative</w:t>
      </w:r>
      <w:r>
        <w:rPr>
          <w:sz w:val="22"/>
          <w:szCs w:val="22"/>
        </w:rPr>
        <w:tab/>
      </w:r>
      <w:r w:rsidR="00B77279">
        <w:rPr>
          <w:sz w:val="22"/>
          <w:szCs w:val="22"/>
        </w:rPr>
        <w:tab/>
      </w:r>
      <w:r w:rsidR="00B77279">
        <w:rPr>
          <w:sz w:val="22"/>
          <w:szCs w:val="22"/>
        </w:rPr>
        <w:tab/>
        <w:t>192</w:t>
      </w:r>
      <w:r w:rsidR="00B77279">
        <w:rPr>
          <w:sz w:val="22"/>
          <w:szCs w:val="22"/>
        </w:rPr>
        <w:tab/>
        <w:t>76.8</w:t>
      </w:r>
    </w:p>
    <w:p w:rsidR="00B77279" w:rsidRPr="006D034D" w:rsidRDefault="00B77279" w:rsidP="00B77279">
      <w:pPr>
        <w:spacing w:line="240" w:lineRule="auto"/>
        <w:rPr>
          <w:sz w:val="22"/>
          <w:szCs w:val="22"/>
        </w:rPr>
      </w:pPr>
    </w:p>
    <w:p w:rsidR="00B77279" w:rsidRPr="006D034D" w:rsidRDefault="00B77279" w:rsidP="00B77279">
      <w:pPr>
        <w:spacing w:line="240" w:lineRule="auto"/>
        <w:rPr>
          <w:sz w:val="22"/>
          <w:szCs w:val="22"/>
        </w:rPr>
      </w:pPr>
      <w:r w:rsidRPr="006D034D">
        <w:rPr>
          <w:sz w:val="22"/>
          <w:szCs w:val="22"/>
        </w:rPr>
        <w:t xml:space="preserve">Tumour </w:t>
      </w:r>
      <w:r>
        <w:rPr>
          <w:sz w:val="22"/>
          <w:szCs w:val="22"/>
        </w:rPr>
        <w:t>TNM stage</w:t>
      </w:r>
      <w:r w:rsidRPr="006D034D">
        <w:rPr>
          <w:sz w:val="22"/>
          <w:szCs w:val="22"/>
        </w:rPr>
        <w:tab/>
      </w:r>
      <w:r w:rsidRPr="006D034D">
        <w:rPr>
          <w:sz w:val="22"/>
          <w:szCs w:val="22"/>
        </w:rPr>
        <w:tab/>
        <w:t>Tis</w:t>
      </w:r>
      <w:r>
        <w:rPr>
          <w:sz w:val="22"/>
          <w:szCs w:val="22"/>
        </w:rPr>
        <w:t xml:space="preserve"> (DCIS)</w:t>
      </w:r>
      <w:r>
        <w:rPr>
          <w:sz w:val="22"/>
          <w:szCs w:val="22"/>
        </w:rPr>
        <w:tab/>
      </w:r>
      <w:r>
        <w:rPr>
          <w:sz w:val="22"/>
          <w:szCs w:val="22"/>
        </w:rPr>
        <w:tab/>
        <w:t xml:space="preserve"> </w:t>
      </w:r>
      <w:r w:rsidR="00D5354E">
        <w:rPr>
          <w:sz w:val="22"/>
          <w:szCs w:val="22"/>
        </w:rPr>
        <w:tab/>
        <w:t xml:space="preserve"> </w:t>
      </w:r>
      <w:r>
        <w:rPr>
          <w:sz w:val="22"/>
          <w:szCs w:val="22"/>
        </w:rPr>
        <w:t xml:space="preserve"> 15</w:t>
      </w:r>
      <w:r>
        <w:rPr>
          <w:sz w:val="22"/>
          <w:szCs w:val="22"/>
        </w:rPr>
        <w:tab/>
        <w:t xml:space="preserve"> </w:t>
      </w:r>
      <w:r w:rsidR="00927E73">
        <w:rPr>
          <w:sz w:val="22"/>
          <w:szCs w:val="22"/>
        </w:rPr>
        <w:t xml:space="preserve"> </w:t>
      </w:r>
      <w:r>
        <w:rPr>
          <w:sz w:val="22"/>
          <w:szCs w:val="22"/>
        </w:rPr>
        <w:t>6.0</w:t>
      </w:r>
      <w:r>
        <w:rPr>
          <w:sz w:val="22"/>
          <w:szCs w:val="22"/>
        </w:rPr>
        <w:tab/>
        <w:t xml:space="preserve"> 250</w:t>
      </w:r>
    </w:p>
    <w:p w:rsidR="00B77279" w:rsidRPr="00627B14"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r>
      <w:r w:rsidRPr="00627B14">
        <w:rPr>
          <w:sz w:val="22"/>
          <w:szCs w:val="22"/>
        </w:rPr>
        <w:t>T1</w:t>
      </w:r>
      <w:r w:rsidRPr="00627B14">
        <w:rPr>
          <w:sz w:val="22"/>
          <w:szCs w:val="22"/>
        </w:rPr>
        <w:tab/>
      </w:r>
      <w:r w:rsidRPr="00627B14">
        <w:rPr>
          <w:sz w:val="22"/>
          <w:szCs w:val="22"/>
        </w:rPr>
        <w:tab/>
      </w:r>
      <w:r w:rsidRPr="00627B14">
        <w:rPr>
          <w:sz w:val="22"/>
          <w:szCs w:val="22"/>
        </w:rPr>
        <w:tab/>
      </w:r>
      <w:r w:rsidR="00D5354E">
        <w:rPr>
          <w:sz w:val="22"/>
          <w:szCs w:val="22"/>
        </w:rPr>
        <w:tab/>
      </w:r>
      <w:r w:rsidRPr="00627B14">
        <w:rPr>
          <w:sz w:val="22"/>
          <w:szCs w:val="22"/>
        </w:rPr>
        <w:t>154</w:t>
      </w:r>
      <w:r w:rsidRPr="00627B14">
        <w:rPr>
          <w:sz w:val="22"/>
          <w:szCs w:val="22"/>
        </w:rPr>
        <w:tab/>
        <w:t>61.6</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t>T2</w:t>
      </w:r>
      <w:r>
        <w:rPr>
          <w:sz w:val="22"/>
          <w:szCs w:val="22"/>
        </w:rPr>
        <w:tab/>
      </w:r>
      <w:r>
        <w:rPr>
          <w:sz w:val="22"/>
          <w:szCs w:val="22"/>
        </w:rPr>
        <w:tab/>
      </w:r>
      <w:r>
        <w:rPr>
          <w:sz w:val="22"/>
          <w:szCs w:val="22"/>
        </w:rPr>
        <w:tab/>
      </w:r>
      <w:r w:rsidR="00D5354E">
        <w:rPr>
          <w:sz w:val="22"/>
          <w:szCs w:val="22"/>
        </w:rPr>
        <w:tab/>
      </w:r>
      <w:r>
        <w:rPr>
          <w:sz w:val="22"/>
          <w:szCs w:val="22"/>
        </w:rPr>
        <w:t xml:space="preserve">  73</w:t>
      </w:r>
      <w:r>
        <w:rPr>
          <w:sz w:val="22"/>
          <w:szCs w:val="22"/>
        </w:rPr>
        <w:tab/>
        <w:t>29.2</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t>T3</w:t>
      </w:r>
      <w:r>
        <w:rPr>
          <w:sz w:val="22"/>
          <w:szCs w:val="22"/>
        </w:rPr>
        <w:tab/>
      </w:r>
      <w:r>
        <w:rPr>
          <w:sz w:val="22"/>
          <w:szCs w:val="22"/>
        </w:rPr>
        <w:tab/>
      </w:r>
      <w:r>
        <w:rPr>
          <w:sz w:val="22"/>
          <w:szCs w:val="22"/>
        </w:rPr>
        <w:tab/>
      </w:r>
      <w:r w:rsidR="00D5354E">
        <w:rPr>
          <w:sz w:val="22"/>
          <w:szCs w:val="22"/>
        </w:rPr>
        <w:tab/>
      </w:r>
      <w:r>
        <w:rPr>
          <w:sz w:val="22"/>
          <w:szCs w:val="22"/>
        </w:rPr>
        <w:t xml:space="preserve">    8</w:t>
      </w:r>
      <w:r>
        <w:rPr>
          <w:sz w:val="22"/>
          <w:szCs w:val="22"/>
        </w:rPr>
        <w:tab/>
        <w:t xml:space="preserve">  3.2</w:t>
      </w:r>
    </w:p>
    <w:p w:rsidR="00B77279" w:rsidRPr="006D034D" w:rsidRDefault="00B77279" w:rsidP="00B77279">
      <w:pPr>
        <w:spacing w:line="240" w:lineRule="auto"/>
        <w:rPr>
          <w:sz w:val="22"/>
          <w:szCs w:val="22"/>
        </w:rPr>
      </w:pPr>
      <w:r>
        <w:rPr>
          <w:sz w:val="22"/>
          <w:szCs w:val="22"/>
        </w:rPr>
        <w:tab/>
      </w:r>
      <w:r>
        <w:rPr>
          <w:sz w:val="22"/>
          <w:szCs w:val="22"/>
        </w:rPr>
        <w:tab/>
      </w:r>
      <w:r>
        <w:rPr>
          <w:sz w:val="22"/>
          <w:szCs w:val="22"/>
        </w:rPr>
        <w:tab/>
      </w:r>
      <w:r>
        <w:rPr>
          <w:sz w:val="22"/>
          <w:szCs w:val="22"/>
        </w:rPr>
        <w:tab/>
      </w:r>
      <w:r w:rsidR="00D5354E">
        <w:rPr>
          <w:sz w:val="22"/>
          <w:szCs w:val="22"/>
        </w:rPr>
        <w:tab/>
      </w:r>
    </w:p>
    <w:p w:rsidR="00B77279" w:rsidRPr="006D034D" w:rsidRDefault="00B77279" w:rsidP="00B77279">
      <w:pPr>
        <w:spacing w:line="240" w:lineRule="auto"/>
        <w:rPr>
          <w:sz w:val="22"/>
          <w:szCs w:val="22"/>
        </w:rPr>
      </w:pPr>
      <w:r w:rsidRPr="006D034D">
        <w:rPr>
          <w:sz w:val="22"/>
          <w:szCs w:val="22"/>
        </w:rPr>
        <w:t>Tumour grade</w:t>
      </w:r>
      <w:r w:rsidRPr="006D034D">
        <w:rPr>
          <w:sz w:val="22"/>
          <w:szCs w:val="22"/>
        </w:rPr>
        <w:tab/>
      </w:r>
      <w:r w:rsidRPr="006D034D">
        <w:rPr>
          <w:sz w:val="22"/>
          <w:szCs w:val="22"/>
        </w:rPr>
        <w:tab/>
      </w:r>
      <w:r w:rsidRPr="006D034D">
        <w:rPr>
          <w:sz w:val="22"/>
          <w:szCs w:val="22"/>
        </w:rPr>
        <w:tab/>
      </w:r>
      <w:r>
        <w:rPr>
          <w:sz w:val="22"/>
          <w:szCs w:val="22"/>
        </w:rPr>
        <w:t>NA (DCIS)</w:t>
      </w:r>
      <w:r>
        <w:rPr>
          <w:sz w:val="22"/>
          <w:szCs w:val="22"/>
        </w:rPr>
        <w:tab/>
      </w:r>
      <w:r>
        <w:rPr>
          <w:sz w:val="22"/>
          <w:szCs w:val="22"/>
        </w:rPr>
        <w:tab/>
        <w:t xml:space="preserve"> </w:t>
      </w:r>
      <w:r w:rsidR="00D5354E">
        <w:rPr>
          <w:sz w:val="22"/>
          <w:szCs w:val="22"/>
        </w:rPr>
        <w:tab/>
        <w:t xml:space="preserve"> </w:t>
      </w:r>
      <w:r>
        <w:rPr>
          <w:sz w:val="22"/>
          <w:szCs w:val="22"/>
        </w:rPr>
        <w:t xml:space="preserve"> 15</w:t>
      </w:r>
      <w:r>
        <w:rPr>
          <w:sz w:val="22"/>
          <w:szCs w:val="22"/>
        </w:rPr>
        <w:tab/>
        <w:t xml:space="preserve">  6.0</w:t>
      </w:r>
      <w:r>
        <w:rPr>
          <w:sz w:val="22"/>
          <w:szCs w:val="22"/>
        </w:rPr>
        <w:tab/>
        <w:t xml:space="preserve"> 250</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r>
      <w:r>
        <w:rPr>
          <w:sz w:val="22"/>
          <w:szCs w:val="22"/>
        </w:rPr>
        <w:t>G</w:t>
      </w:r>
      <w:r w:rsidRPr="006D034D">
        <w:rPr>
          <w:sz w:val="22"/>
          <w:szCs w:val="22"/>
        </w:rPr>
        <w:t>1</w:t>
      </w:r>
      <w:r>
        <w:rPr>
          <w:sz w:val="22"/>
          <w:szCs w:val="22"/>
        </w:rPr>
        <w:tab/>
      </w:r>
      <w:r>
        <w:rPr>
          <w:sz w:val="22"/>
          <w:szCs w:val="22"/>
        </w:rPr>
        <w:tab/>
      </w:r>
      <w:r>
        <w:rPr>
          <w:sz w:val="22"/>
          <w:szCs w:val="22"/>
        </w:rPr>
        <w:tab/>
      </w:r>
      <w:r w:rsidR="00D5354E">
        <w:rPr>
          <w:sz w:val="22"/>
          <w:szCs w:val="22"/>
        </w:rPr>
        <w:tab/>
      </w:r>
      <w:r>
        <w:rPr>
          <w:sz w:val="22"/>
          <w:szCs w:val="22"/>
        </w:rPr>
        <w:t xml:space="preserve">  49</w:t>
      </w:r>
      <w:r>
        <w:rPr>
          <w:sz w:val="22"/>
          <w:szCs w:val="22"/>
        </w:rPr>
        <w:tab/>
        <w:t>19.6</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r>
      <w:r>
        <w:rPr>
          <w:sz w:val="22"/>
          <w:szCs w:val="22"/>
        </w:rPr>
        <w:t>G</w:t>
      </w:r>
      <w:r w:rsidRPr="006D034D">
        <w:rPr>
          <w:sz w:val="22"/>
          <w:szCs w:val="22"/>
        </w:rPr>
        <w:t>2</w:t>
      </w:r>
      <w:r>
        <w:rPr>
          <w:sz w:val="22"/>
          <w:szCs w:val="22"/>
        </w:rPr>
        <w:tab/>
      </w:r>
      <w:r>
        <w:rPr>
          <w:sz w:val="22"/>
          <w:szCs w:val="22"/>
        </w:rPr>
        <w:tab/>
      </w:r>
      <w:r>
        <w:rPr>
          <w:sz w:val="22"/>
          <w:szCs w:val="22"/>
        </w:rPr>
        <w:tab/>
      </w:r>
      <w:r w:rsidR="00D5354E">
        <w:rPr>
          <w:sz w:val="22"/>
          <w:szCs w:val="22"/>
        </w:rPr>
        <w:tab/>
      </w:r>
      <w:r>
        <w:rPr>
          <w:sz w:val="22"/>
          <w:szCs w:val="22"/>
        </w:rPr>
        <w:t>121</w:t>
      </w:r>
      <w:r>
        <w:rPr>
          <w:sz w:val="22"/>
          <w:szCs w:val="22"/>
        </w:rPr>
        <w:tab/>
        <w:t>48.4</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r>
      <w:r>
        <w:rPr>
          <w:sz w:val="22"/>
          <w:szCs w:val="22"/>
        </w:rPr>
        <w:t>G</w:t>
      </w:r>
      <w:r w:rsidRPr="006D034D">
        <w:rPr>
          <w:sz w:val="22"/>
          <w:szCs w:val="22"/>
        </w:rPr>
        <w:t>3</w:t>
      </w:r>
      <w:r>
        <w:rPr>
          <w:sz w:val="22"/>
          <w:szCs w:val="22"/>
        </w:rPr>
        <w:tab/>
      </w:r>
      <w:r>
        <w:rPr>
          <w:sz w:val="22"/>
          <w:szCs w:val="22"/>
        </w:rPr>
        <w:tab/>
      </w:r>
      <w:r>
        <w:rPr>
          <w:sz w:val="22"/>
          <w:szCs w:val="22"/>
        </w:rPr>
        <w:tab/>
        <w:t xml:space="preserve"> </w:t>
      </w:r>
      <w:r w:rsidR="00D5354E">
        <w:rPr>
          <w:sz w:val="22"/>
          <w:szCs w:val="22"/>
        </w:rPr>
        <w:tab/>
        <w:t xml:space="preserve"> </w:t>
      </w:r>
      <w:r>
        <w:rPr>
          <w:sz w:val="22"/>
          <w:szCs w:val="22"/>
        </w:rPr>
        <w:t xml:space="preserve"> 65</w:t>
      </w:r>
      <w:r>
        <w:rPr>
          <w:sz w:val="22"/>
          <w:szCs w:val="22"/>
        </w:rPr>
        <w:tab/>
        <w:t>26.0</w:t>
      </w:r>
    </w:p>
    <w:p w:rsidR="00B77279" w:rsidRPr="006D034D" w:rsidRDefault="00B77279" w:rsidP="00B77279">
      <w:pPr>
        <w:spacing w:line="240" w:lineRule="auto"/>
        <w:rPr>
          <w:sz w:val="22"/>
          <w:szCs w:val="22"/>
        </w:rPr>
      </w:pPr>
    </w:p>
    <w:p w:rsidR="00B77279" w:rsidRPr="006D034D" w:rsidRDefault="00B77279" w:rsidP="00B77279">
      <w:pPr>
        <w:spacing w:line="240" w:lineRule="auto"/>
        <w:rPr>
          <w:sz w:val="22"/>
          <w:szCs w:val="22"/>
        </w:rPr>
      </w:pPr>
      <w:r w:rsidRPr="006D034D">
        <w:rPr>
          <w:sz w:val="22"/>
          <w:szCs w:val="22"/>
        </w:rPr>
        <w:t>Oestrogen receptor status</w:t>
      </w:r>
      <w:r w:rsidRPr="006D034D">
        <w:rPr>
          <w:sz w:val="22"/>
          <w:szCs w:val="22"/>
        </w:rPr>
        <w:tab/>
        <w:t>Positive</w:t>
      </w:r>
      <w:r>
        <w:rPr>
          <w:sz w:val="22"/>
          <w:szCs w:val="22"/>
        </w:rPr>
        <w:tab/>
      </w:r>
      <w:r>
        <w:rPr>
          <w:sz w:val="22"/>
          <w:szCs w:val="22"/>
        </w:rPr>
        <w:tab/>
      </w:r>
      <w:r>
        <w:rPr>
          <w:sz w:val="22"/>
          <w:szCs w:val="22"/>
        </w:rPr>
        <w:tab/>
      </w:r>
      <w:r w:rsidR="000B1B16">
        <w:rPr>
          <w:sz w:val="22"/>
          <w:szCs w:val="22"/>
        </w:rPr>
        <w:tab/>
      </w:r>
      <w:r>
        <w:rPr>
          <w:sz w:val="22"/>
          <w:szCs w:val="22"/>
        </w:rPr>
        <w:t>209</w:t>
      </w:r>
      <w:r>
        <w:rPr>
          <w:sz w:val="22"/>
          <w:szCs w:val="22"/>
        </w:rPr>
        <w:tab/>
        <w:t>83.6</w:t>
      </w:r>
      <w:r>
        <w:rPr>
          <w:sz w:val="22"/>
          <w:szCs w:val="22"/>
        </w:rPr>
        <w:tab/>
        <w:t xml:space="preserve"> 250</w:t>
      </w:r>
      <w:r>
        <w:rPr>
          <w:sz w:val="22"/>
          <w:szCs w:val="22"/>
        </w:rPr>
        <w:tab/>
      </w:r>
      <w:r>
        <w:rPr>
          <w:sz w:val="22"/>
          <w:szCs w:val="22"/>
        </w:rPr>
        <w:tab/>
      </w:r>
      <w:r>
        <w:rPr>
          <w:sz w:val="22"/>
          <w:szCs w:val="22"/>
        </w:rPr>
        <w:tab/>
      </w:r>
      <w:r w:rsidRPr="006D034D">
        <w:rPr>
          <w:sz w:val="22"/>
          <w:szCs w:val="22"/>
        </w:rPr>
        <w:tab/>
      </w:r>
      <w:r w:rsidRPr="006D034D">
        <w:rPr>
          <w:sz w:val="22"/>
          <w:szCs w:val="22"/>
        </w:rPr>
        <w:tab/>
        <w:t>Negative</w:t>
      </w:r>
      <w:r>
        <w:rPr>
          <w:sz w:val="22"/>
          <w:szCs w:val="22"/>
        </w:rPr>
        <w:tab/>
      </w:r>
      <w:r>
        <w:rPr>
          <w:sz w:val="22"/>
          <w:szCs w:val="22"/>
        </w:rPr>
        <w:tab/>
      </w:r>
      <w:r w:rsidR="000B1B16">
        <w:rPr>
          <w:sz w:val="22"/>
          <w:szCs w:val="22"/>
        </w:rPr>
        <w:tab/>
      </w:r>
      <w:r>
        <w:rPr>
          <w:sz w:val="22"/>
          <w:szCs w:val="22"/>
        </w:rPr>
        <w:t xml:space="preserve">  41</w:t>
      </w:r>
      <w:r>
        <w:rPr>
          <w:sz w:val="22"/>
          <w:szCs w:val="22"/>
        </w:rPr>
        <w:tab/>
        <w:t>16.4</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r>
    </w:p>
    <w:p w:rsidR="00B77279" w:rsidRPr="006D034D" w:rsidRDefault="00B77279" w:rsidP="00B77279">
      <w:pPr>
        <w:spacing w:line="240" w:lineRule="auto"/>
        <w:rPr>
          <w:sz w:val="22"/>
          <w:szCs w:val="22"/>
        </w:rPr>
      </w:pPr>
      <w:r w:rsidRPr="006D034D">
        <w:rPr>
          <w:sz w:val="22"/>
          <w:szCs w:val="22"/>
        </w:rPr>
        <w:t>Progesterone receptor status</w:t>
      </w:r>
      <w:r w:rsidRPr="006D034D">
        <w:rPr>
          <w:sz w:val="22"/>
          <w:szCs w:val="22"/>
        </w:rPr>
        <w:tab/>
        <w:t>Positive</w:t>
      </w:r>
      <w:r>
        <w:rPr>
          <w:sz w:val="22"/>
          <w:szCs w:val="22"/>
        </w:rPr>
        <w:tab/>
      </w:r>
      <w:r>
        <w:rPr>
          <w:sz w:val="22"/>
          <w:szCs w:val="22"/>
        </w:rPr>
        <w:tab/>
      </w:r>
      <w:r>
        <w:rPr>
          <w:sz w:val="22"/>
          <w:szCs w:val="22"/>
        </w:rPr>
        <w:tab/>
        <w:t xml:space="preserve"> </w:t>
      </w:r>
      <w:r w:rsidR="000B1B16">
        <w:rPr>
          <w:sz w:val="22"/>
          <w:szCs w:val="22"/>
        </w:rPr>
        <w:tab/>
        <w:t xml:space="preserve"> </w:t>
      </w:r>
      <w:r>
        <w:rPr>
          <w:sz w:val="22"/>
          <w:szCs w:val="22"/>
        </w:rPr>
        <w:t xml:space="preserve"> 67</w:t>
      </w:r>
      <w:r>
        <w:rPr>
          <w:sz w:val="22"/>
          <w:szCs w:val="22"/>
        </w:rPr>
        <w:tab/>
        <w:t>26.8</w:t>
      </w:r>
      <w:r>
        <w:rPr>
          <w:sz w:val="22"/>
          <w:szCs w:val="22"/>
        </w:rPr>
        <w:tab/>
        <w:t xml:space="preserve"> 250</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t>Negative</w:t>
      </w:r>
      <w:r>
        <w:rPr>
          <w:sz w:val="22"/>
          <w:szCs w:val="22"/>
        </w:rPr>
        <w:tab/>
      </w:r>
      <w:r>
        <w:rPr>
          <w:sz w:val="22"/>
          <w:szCs w:val="22"/>
        </w:rPr>
        <w:tab/>
      </w:r>
      <w:r w:rsidR="000B1B16">
        <w:rPr>
          <w:sz w:val="22"/>
          <w:szCs w:val="22"/>
        </w:rPr>
        <w:tab/>
      </w:r>
      <w:r>
        <w:rPr>
          <w:sz w:val="22"/>
          <w:szCs w:val="22"/>
        </w:rPr>
        <w:t xml:space="preserve">  41</w:t>
      </w:r>
      <w:r>
        <w:rPr>
          <w:sz w:val="22"/>
          <w:szCs w:val="22"/>
        </w:rPr>
        <w:tab/>
        <w:t>16.4</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t>NA/NT</w:t>
      </w:r>
      <w:r>
        <w:rPr>
          <w:sz w:val="22"/>
          <w:szCs w:val="22"/>
        </w:rPr>
        <w:tab/>
      </w:r>
      <w:r>
        <w:rPr>
          <w:sz w:val="22"/>
          <w:szCs w:val="22"/>
        </w:rPr>
        <w:tab/>
      </w:r>
      <w:r>
        <w:rPr>
          <w:sz w:val="22"/>
          <w:szCs w:val="22"/>
        </w:rPr>
        <w:tab/>
      </w:r>
      <w:r w:rsidR="000B1B16">
        <w:rPr>
          <w:sz w:val="22"/>
          <w:szCs w:val="22"/>
        </w:rPr>
        <w:t xml:space="preserve"> </w:t>
      </w:r>
      <w:r w:rsidR="000B1B16">
        <w:rPr>
          <w:sz w:val="22"/>
          <w:szCs w:val="22"/>
        </w:rPr>
        <w:tab/>
      </w:r>
      <w:r>
        <w:rPr>
          <w:sz w:val="22"/>
          <w:szCs w:val="22"/>
        </w:rPr>
        <w:t>142</w:t>
      </w:r>
      <w:r>
        <w:rPr>
          <w:sz w:val="22"/>
          <w:szCs w:val="22"/>
        </w:rPr>
        <w:tab/>
        <w:t xml:space="preserve">56.8 </w:t>
      </w:r>
    </w:p>
    <w:p w:rsidR="00B77279" w:rsidRPr="006D034D" w:rsidRDefault="00B77279" w:rsidP="00B77279">
      <w:pPr>
        <w:spacing w:line="240" w:lineRule="auto"/>
        <w:rPr>
          <w:sz w:val="22"/>
          <w:szCs w:val="22"/>
        </w:rPr>
      </w:pPr>
    </w:p>
    <w:p w:rsidR="00B77279" w:rsidRPr="006D034D" w:rsidRDefault="00B77279" w:rsidP="00B77279">
      <w:pPr>
        <w:spacing w:line="240" w:lineRule="auto"/>
        <w:rPr>
          <w:sz w:val="22"/>
          <w:szCs w:val="22"/>
        </w:rPr>
      </w:pPr>
      <w:r w:rsidRPr="006D034D">
        <w:rPr>
          <w:sz w:val="22"/>
          <w:szCs w:val="22"/>
        </w:rPr>
        <w:t>HER-2 status</w:t>
      </w:r>
      <w:r w:rsidR="00A348B6" w:rsidRPr="00A348B6">
        <w:rPr>
          <w:szCs w:val="22"/>
        </w:rPr>
        <w:t>*</w:t>
      </w:r>
      <w:r w:rsidRPr="006D034D">
        <w:rPr>
          <w:sz w:val="22"/>
          <w:szCs w:val="22"/>
        </w:rPr>
        <w:tab/>
      </w:r>
      <w:r w:rsidRPr="006D034D">
        <w:rPr>
          <w:sz w:val="22"/>
          <w:szCs w:val="22"/>
        </w:rPr>
        <w:tab/>
      </w:r>
      <w:r w:rsidRPr="006D034D">
        <w:rPr>
          <w:sz w:val="22"/>
          <w:szCs w:val="22"/>
        </w:rPr>
        <w:tab/>
        <w:t>Positive</w:t>
      </w:r>
      <w:r w:rsidRPr="006D034D">
        <w:rPr>
          <w:sz w:val="22"/>
          <w:szCs w:val="22"/>
        </w:rPr>
        <w:tab/>
      </w:r>
      <w:r w:rsidRPr="006D034D">
        <w:rPr>
          <w:sz w:val="22"/>
          <w:szCs w:val="22"/>
        </w:rPr>
        <w:tab/>
      </w:r>
      <w:r>
        <w:rPr>
          <w:sz w:val="22"/>
          <w:szCs w:val="22"/>
        </w:rPr>
        <w:tab/>
      </w:r>
      <w:r w:rsidR="000B1B16">
        <w:rPr>
          <w:sz w:val="22"/>
          <w:szCs w:val="22"/>
        </w:rPr>
        <w:tab/>
      </w:r>
      <w:r>
        <w:rPr>
          <w:sz w:val="22"/>
          <w:szCs w:val="22"/>
        </w:rPr>
        <w:t xml:space="preserve">  33</w:t>
      </w:r>
      <w:r>
        <w:rPr>
          <w:sz w:val="22"/>
          <w:szCs w:val="22"/>
        </w:rPr>
        <w:tab/>
        <w:t>13.2</w:t>
      </w:r>
      <w:r>
        <w:rPr>
          <w:sz w:val="22"/>
          <w:szCs w:val="22"/>
        </w:rPr>
        <w:tab/>
        <w:t xml:space="preserve"> 250</w:t>
      </w:r>
      <w:r>
        <w:rPr>
          <w:sz w:val="22"/>
          <w:szCs w:val="22"/>
        </w:rPr>
        <w:tab/>
      </w:r>
      <w:r>
        <w:rPr>
          <w:sz w:val="22"/>
          <w:szCs w:val="22"/>
        </w:rPr>
        <w:tab/>
      </w:r>
      <w:r w:rsidRPr="006D034D">
        <w:rPr>
          <w:sz w:val="22"/>
          <w:szCs w:val="22"/>
        </w:rPr>
        <w:tab/>
      </w:r>
      <w:r w:rsidRPr="006D034D">
        <w:rPr>
          <w:sz w:val="22"/>
          <w:szCs w:val="22"/>
        </w:rPr>
        <w:tab/>
      </w:r>
      <w:r w:rsidRPr="006D034D">
        <w:rPr>
          <w:sz w:val="22"/>
          <w:szCs w:val="22"/>
        </w:rPr>
        <w:tab/>
        <w:t>Negative</w:t>
      </w:r>
      <w:r>
        <w:rPr>
          <w:sz w:val="22"/>
          <w:szCs w:val="22"/>
        </w:rPr>
        <w:tab/>
      </w:r>
      <w:r w:rsidR="000B1B16">
        <w:rPr>
          <w:sz w:val="22"/>
          <w:szCs w:val="22"/>
        </w:rPr>
        <w:tab/>
      </w:r>
      <w:r>
        <w:rPr>
          <w:sz w:val="22"/>
          <w:szCs w:val="22"/>
        </w:rPr>
        <w:tab/>
        <w:t>194</w:t>
      </w:r>
      <w:r>
        <w:rPr>
          <w:sz w:val="22"/>
          <w:szCs w:val="22"/>
        </w:rPr>
        <w:tab/>
        <w:t>77.6</w:t>
      </w:r>
    </w:p>
    <w:p w:rsidR="00B77279" w:rsidRPr="006D034D" w:rsidRDefault="00B77279" w:rsidP="00B77279">
      <w:pPr>
        <w:spacing w:line="240" w:lineRule="auto"/>
        <w:rPr>
          <w:sz w:val="22"/>
          <w:szCs w:val="22"/>
        </w:rPr>
      </w:pPr>
      <w:r w:rsidRPr="006D034D">
        <w:rPr>
          <w:sz w:val="22"/>
          <w:szCs w:val="22"/>
        </w:rPr>
        <w:tab/>
      </w:r>
      <w:r w:rsidRPr="006D034D">
        <w:rPr>
          <w:sz w:val="22"/>
          <w:szCs w:val="22"/>
        </w:rPr>
        <w:tab/>
      </w:r>
      <w:r w:rsidRPr="006D034D">
        <w:rPr>
          <w:sz w:val="22"/>
          <w:szCs w:val="22"/>
        </w:rPr>
        <w:tab/>
      </w:r>
      <w:r w:rsidRPr="006D034D">
        <w:rPr>
          <w:sz w:val="22"/>
          <w:szCs w:val="22"/>
        </w:rPr>
        <w:tab/>
        <w:t>NA/NT</w:t>
      </w:r>
      <w:r>
        <w:rPr>
          <w:sz w:val="22"/>
          <w:szCs w:val="22"/>
        </w:rPr>
        <w:tab/>
      </w:r>
      <w:r>
        <w:rPr>
          <w:sz w:val="22"/>
          <w:szCs w:val="22"/>
        </w:rPr>
        <w:tab/>
      </w:r>
      <w:r>
        <w:rPr>
          <w:sz w:val="22"/>
          <w:szCs w:val="22"/>
        </w:rPr>
        <w:tab/>
        <w:t xml:space="preserve"> </w:t>
      </w:r>
      <w:r w:rsidR="000B1B16">
        <w:rPr>
          <w:sz w:val="22"/>
          <w:szCs w:val="22"/>
        </w:rPr>
        <w:tab/>
        <w:t xml:space="preserve"> </w:t>
      </w:r>
      <w:r>
        <w:rPr>
          <w:sz w:val="22"/>
          <w:szCs w:val="22"/>
        </w:rPr>
        <w:t xml:space="preserve"> 23</w:t>
      </w:r>
      <w:r>
        <w:rPr>
          <w:sz w:val="22"/>
          <w:szCs w:val="22"/>
        </w:rPr>
        <w:tab/>
        <w:t xml:space="preserve">  9.2</w:t>
      </w:r>
    </w:p>
    <w:p w:rsidR="00B77279" w:rsidRPr="006D034D" w:rsidRDefault="00B77279" w:rsidP="00B77279">
      <w:pPr>
        <w:spacing w:line="240" w:lineRule="auto"/>
        <w:rPr>
          <w:sz w:val="22"/>
          <w:szCs w:val="22"/>
        </w:rPr>
      </w:pPr>
    </w:p>
    <w:p w:rsidR="00B77279" w:rsidRPr="00D44528" w:rsidRDefault="00B77279" w:rsidP="00B77279">
      <w:pPr>
        <w:spacing w:line="240" w:lineRule="auto"/>
        <w:rPr>
          <w:sz w:val="22"/>
          <w:szCs w:val="22"/>
        </w:rPr>
      </w:pPr>
      <w:r w:rsidRPr="006D034D">
        <w:rPr>
          <w:sz w:val="22"/>
          <w:szCs w:val="22"/>
        </w:rPr>
        <w:t xml:space="preserve">DCIS, ductal carcinoma in situ; IDC, invasive ductal carcinoma (no specific type); NA/NT, Not applicable/Not ascertained; HER-2 status assessed by immunohistochemistry and </w:t>
      </w:r>
      <w:r>
        <w:rPr>
          <w:sz w:val="22"/>
          <w:szCs w:val="22"/>
        </w:rPr>
        <w:t xml:space="preserve">where appropriate </w:t>
      </w:r>
      <w:r w:rsidRPr="006D034D">
        <w:rPr>
          <w:sz w:val="22"/>
          <w:szCs w:val="22"/>
        </w:rPr>
        <w:t>silv</w:t>
      </w:r>
      <w:r>
        <w:rPr>
          <w:sz w:val="22"/>
          <w:szCs w:val="22"/>
        </w:rPr>
        <w:t>er in</w:t>
      </w:r>
      <w:r w:rsidR="00D7302F">
        <w:rPr>
          <w:sz w:val="22"/>
          <w:szCs w:val="22"/>
        </w:rPr>
        <w:t>-</w:t>
      </w:r>
      <w:r>
        <w:rPr>
          <w:sz w:val="22"/>
          <w:szCs w:val="22"/>
        </w:rPr>
        <w:t>situ hybridisation (SISH); TNM, classification of malignant tumours, UICC, 7</w:t>
      </w:r>
      <w:r w:rsidRPr="0063561F">
        <w:rPr>
          <w:sz w:val="22"/>
          <w:szCs w:val="22"/>
          <w:vertAlign w:val="superscript"/>
        </w:rPr>
        <w:t>th</w:t>
      </w:r>
      <w:r>
        <w:rPr>
          <w:sz w:val="22"/>
          <w:szCs w:val="22"/>
        </w:rPr>
        <w:t xml:space="preserve"> Edition, 2009. </w:t>
      </w:r>
      <w:r w:rsidRPr="00D44528">
        <w:rPr>
          <w:sz w:val="22"/>
          <w:szCs w:val="22"/>
          <w:vertAlign w:val="superscript"/>
        </w:rPr>
        <w:t>*</w:t>
      </w:r>
      <w:r>
        <w:rPr>
          <w:sz w:val="22"/>
          <w:szCs w:val="22"/>
        </w:rPr>
        <w:t xml:space="preserve"> Not routinely performed in patients &gt; 80 years old.</w:t>
      </w:r>
    </w:p>
    <w:p w:rsidR="00D7302F" w:rsidRDefault="00D7302F" w:rsidP="002660F5">
      <w:pPr>
        <w:spacing w:before="240"/>
        <w:rPr>
          <w:b/>
        </w:rPr>
      </w:pPr>
    </w:p>
    <w:p w:rsidR="002B3948" w:rsidRPr="00CC3ABA" w:rsidRDefault="00EA01C1" w:rsidP="002660F5">
      <w:pPr>
        <w:spacing w:before="240"/>
        <w:rPr>
          <w:b/>
        </w:rPr>
      </w:pPr>
      <w:r w:rsidRPr="00CC3ABA">
        <w:rPr>
          <w:b/>
        </w:rPr>
        <w:t xml:space="preserve">Technical performance </w:t>
      </w:r>
    </w:p>
    <w:p w:rsidR="00A10EBF" w:rsidRPr="00A10EBF" w:rsidRDefault="0035530A" w:rsidP="00D54C92">
      <w:pPr>
        <w:spacing w:before="240"/>
        <w:rPr>
          <w:color w:val="FF0000"/>
        </w:rPr>
      </w:pPr>
      <w:r w:rsidRPr="0035530A">
        <w:t xml:space="preserve">In </w:t>
      </w:r>
      <w:r>
        <w:t xml:space="preserve">performing </w:t>
      </w:r>
      <w:r w:rsidRPr="0035530A">
        <w:t>250 Metasin</w:t>
      </w:r>
      <w:r>
        <w:t xml:space="preserve"> assays </w:t>
      </w:r>
      <w:r w:rsidR="00650AB2">
        <w:t>(</w:t>
      </w:r>
      <w:r w:rsidR="00BE3379">
        <w:t>539 nodes</w:t>
      </w:r>
      <w:r w:rsidR="00650AB2">
        <w:t>)</w:t>
      </w:r>
      <w:r w:rsidR="00BE3379">
        <w:t xml:space="preserve"> </w:t>
      </w:r>
      <w:r>
        <w:t xml:space="preserve">we had </w:t>
      </w:r>
      <w:r w:rsidR="00BD3BDA">
        <w:t xml:space="preserve">two </w:t>
      </w:r>
      <w:r>
        <w:t xml:space="preserve">technical failures, a rate of </w:t>
      </w:r>
      <w:r w:rsidR="00BD3BDA">
        <w:t>0.8</w:t>
      </w:r>
      <w:r>
        <w:t>%.</w:t>
      </w:r>
      <w:r w:rsidR="00650AB2">
        <w:t xml:space="preserve"> One </w:t>
      </w:r>
      <w:r w:rsidR="00BE3379">
        <w:t>was a failure in RNA extraction</w:t>
      </w:r>
      <w:r w:rsidR="00650AB2">
        <w:t xml:space="preserve"> (</w:t>
      </w:r>
      <w:r w:rsidR="00BD3BDA">
        <w:t>P</w:t>
      </w:r>
      <w:r w:rsidR="00BB4E1E">
        <w:t>BGD</w:t>
      </w:r>
      <w:r w:rsidR="00BD3BDA">
        <w:t xml:space="preserve"> </w:t>
      </w:r>
      <w:r w:rsidR="00650AB2">
        <w:t>C</w:t>
      </w:r>
      <w:r w:rsidR="0014192B">
        <w:t>q</w:t>
      </w:r>
      <w:r w:rsidR="00650AB2">
        <w:t xml:space="preserve"> </w:t>
      </w:r>
      <w:r w:rsidR="00BD3BDA">
        <w:t>&gt;36</w:t>
      </w:r>
      <w:r w:rsidR="00650AB2">
        <w:t xml:space="preserve">) and </w:t>
      </w:r>
      <w:r w:rsidR="00BE3379">
        <w:t xml:space="preserve">the second </w:t>
      </w:r>
      <w:r w:rsidR="00650AB2">
        <w:t xml:space="preserve">was </w:t>
      </w:r>
      <w:r w:rsidR="00357824">
        <w:t>a fa</w:t>
      </w:r>
      <w:r w:rsidR="00BD3BDA">
        <w:t>ult</w:t>
      </w:r>
      <w:r w:rsidR="00357824">
        <w:t xml:space="preserve"> on the Cepheid </w:t>
      </w:r>
      <w:r w:rsidR="002365AC">
        <w:t>SmartCycler</w:t>
      </w:r>
      <w:r w:rsidR="00357824">
        <w:t xml:space="preserve">. </w:t>
      </w:r>
      <w:r w:rsidR="002365AC">
        <w:t>In the</w:t>
      </w:r>
      <w:r w:rsidR="00BD3BDA">
        <w:t>se</w:t>
      </w:r>
      <w:r w:rsidR="002365AC">
        <w:t xml:space="preserve"> </w:t>
      </w:r>
      <w:r w:rsidR="00BD3BDA">
        <w:t xml:space="preserve">cases </w:t>
      </w:r>
      <w:r w:rsidR="002365AC">
        <w:t xml:space="preserve">the patient’s treatment was based on </w:t>
      </w:r>
      <w:r w:rsidR="002365AC">
        <w:lastRenderedPageBreak/>
        <w:t xml:space="preserve">the </w:t>
      </w:r>
      <w:r w:rsidR="00056AA9">
        <w:t>Histology</w:t>
      </w:r>
      <w:r w:rsidR="002365AC">
        <w:t xml:space="preserve"> results. On repetition </w:t>
      </w:r>
      <w:r w:rsidR="00650AB2">
        <w:t>Metasin</w:t>
      </w:r>
      <w:r w:rsidR="002365AC">
        <w:t xml:space="preserve"> gave results concordant with </w:t>
      </w:r>
      <w:r w:rsidR="00056AA9">
        <w:t>Histology</w:t>
      </w:r>
      <w:r w:rsidR="002365AC">
        <w:t>.</w:t>
      </w:r>
      <w:r w:rsidR="00D54C92">
        <w:t xml:space="preserve"> </w:t>
      </w:r>
      <w:r w:rsidR="00650AB2">
        <w:t>A</w:t>
      </w:r>
      <w:r w:rsidR="009062F4">
        <w:t xml:space="preserve">cross a broad range of tests performed in the Molecular Pathology Laboratory </w:t>
      </w:r>
      <w:r w:rsidR="00D54C92">
        <w:t>our in-</w:t>
      </w:r>
      <w:r w:rsidR="006C1FE7">
        <w:t xml:space="preserve">house failure rates </w:t>
      </w:r>
      <w:r w:rsidR="00D44528">
        <w:t xml:space="preserve">for </w:t>
      </w:r>
      <w:r w:rsidR="006C1FE7">
        <w:t>PCR</w:t>
      </w:r>
      <w:r w:rsidR="00594291">
        <w:t xml:space="preserve">, </w:t>
      </w:r>
      <w:r w:rsidR="006C1FE7">
        <w:t>R</w:t>
      </w:r>
      <w:r w:rsidR="00D54C92">
        <w:t>T-</w:t>
      </w:r>
      <w:r w:rsidR="006C1FE7">
        <w:t>q</w:t>
      </w:r>
      <w:r w:rsidR="00D54C92">
        <w:t>PCR</w:t>
      </w:r>
      <w:r w:rsidR="00594291">
        <w:t xml:space="preserve"> and RNA extraction</w:t>
      </w:r>
      <w:r w:rsidR="00E63ED8">
        <w:t xml:space="preserve"> </w:t>
      </w:r>
      <w:r w:rsidR="009062F4">
        <w:t>are</w:t>
      </w:r>
      <w:r w:rsidR="00D54C92">
        <w:t xml:space="preserve"> 2.7%</w:t>
      </w:r>
      <w:r w:rsidR="00594291">
        <w:t>,</w:t>
      </w:r>
      <w:r w:rsidR="00D54C92">
        <w:t xml:space="preserve"> 4.9% </w:t>
      </w:r>
      <w:r w:rsidR="00594291">
        <w:t xml:space="preserve">and 0.65% </w:t>
      </w:r>
      <w:r w:rsidR="00D54C92">
        <w:t>respect</w:t>
      </w:r>
      <w:r w:rsidR="00E71EFF">
        <w:t xml:space="preserve">ively </w:t>
      </w:r>
      <w:r w:rsidR="00D54C92">
        <w:t>(unpublished data).</w:t>
      </w:r>
    </w:p>
    <w:p w:rsidR="0073328B" w:rsidRDefault="00741583" w:rsidP="002660F5">
      <w:pPr>
        <w:spacing w:before="240"/>
        <w:rPr>
          <w:b/>
        </w:rPr>
      </w:pPr>
      <w:r>
        <w:rPr>
          <w:b/>
        </w:rPr>
        <w:t xml:space="preserve">RNA extraction and </w:t>
      </w:r>
      <w:r w:rsidR="007623B6">
        <w:rPr>
          <w:b/>
        </w:rPr>
        <w:t>c</w:t>
      </w:r>
      <w:r>
        <w:rPr>
          <w:b/>
        </w:rPr>
        <w:t>DNA esti</w:t>
      </w:r>
      <w:r w:rsidR="00B9077E">
        <w:rPr>
          <w:b/>
        </w:rPr>
        <w:t>m</w:t>
      </w:r>
      <w:r>
        <w:rPr>
          <w:b/>
        </w:rPr>
        <w:t>a</w:t>
      </w:r>
      <w:r w:rsidR="00B9077E">
        <w:rPr>
          <w:b/>
        </w:rPr>
        <w:t>tion</w:t>
      </w:r>
    </w:p>
    <w:p w:rsidR="008B73E7" w:rsidRDefault="00A07AAF" w:rsidP="002660F5">
      <w:pPr>
        <w:spacing w:before="240"/>
      </w:pPr>
      <w:r>
        <w:t xml:space="preserve">The 539 lymph nodes assayed by Metasin weighed on average 632mg (range 10mg – 9.4g). </w:t>
      </w:r>
      <w:r w:rsidR="00A25440">
        <w:t>T</w:t>
      </w:r>
      <w:r w:rsidR="00C71774">
        <w:t>he average yield of RNA was 7.5ug</w:t>
      </w:r>
      <w:r w:rsidR="00763BE3">
        <w:t xml:space="preserve"> ± 6.8 (1SD)</w:t>
      </w:r>
      <w:r w:rsidR="00C71774">
        <w:t xml:space="preserve"> (range 0.75 – 32.2ug) as measured @ 260nm (Nano</w:t>
      </w:r>
      <w:r w:rsidR="005421A2">
        <w:t>D</w:t>
      </w:r>
      <w:r w:rsidR="00C71774">
        <w:t>rop®).</w:t>
      </w:r>
      <w:r w:rsidR="005421A2">
        <w:t xml:space="preserve"> This </w:t>
      </w:r>
      <w:r w:rsidR="00763BE3">
        <w:t>broad range of RNA concentrations gave an average PBGD C</w:t>
      </w:r>
      <w:r w:rsidR="0014192B">
        <w:t>q</w:t>
      </w:r>
      <w:r w:rsidR="00763BE3">
        <w:t xml:space="preserve"> of 25.1 ± 1.6 (1SD) (range 20 – 32.4) in the Metasin assay. </w:t>
      </w:r>
      <w:r w:rsidR="008B73E7">
        <w:t xml:space="preserve">These figures suggest that the </w:t>
      </w:r>
      <w:r w:rsidR="00F33B3D">
        <w:t>PBGB e</w:t>
      </w:r>
      <w:r w:rsidR="008B73E7">
        <w:t>lement of the Metasin reaction</w:t>
      </w:r>
      <w:r w:rsidR="00A25440">
        <w:t xml:space="preserve"> </w:t>
      </w:r>
      <w:r w:rsidR="00F33B3D">
        <w:t xml:space="preserve">is </w:t>
      </w:r>
      <w:r w:rsidR="008B73E7">
        <w:t xml:space="preserve">limited by the PCR conditions and/or the reagents available </w:t>
      </w:r>
      <w:r w:rsidR="00F33B3D">
        <w:t>in the multiplex reaction.</w:t>
      </w:r>
    </w:p>
    <w:p w:rsidR="00EA01C1" w:rsidRDefault="00450B9E" w:rsidP="002660F5">
      <w:pPr>
        <w:spacing w:before="240"/>
        <w:rPr>
          <w:b/>
        </w:rPr>
      </w:pPr>
      <w:r>
        <w:rPr>
          <w:b/>
        </w:rPr>
        <w:t xml:space="preserve">Metasin assay </w:t>
      </w:r>
      <w:r w:rsidR="00A32A93">
        <w:rPr>
          <w:b/>
        </w:rPr>
        <w:t xml:space="preserve">- </w:t>
      </w:r>
      <w:r w:rsidR="00EA01C1" w:rsidRPr="00EA01C1">
        <w:rPr>
          <w:b/>
        </w:rPr>
        <w:t>Intra</w:t>
      </w:r>
      <w:r>
        <w:rPr>
          <w:b/>
        </w:rPr>
        <w:t>/Inter</w:t>
      </w:r>
      <w:r w:rsidR="00EA01C1" w:rsidRPr="00EA01C1">
        <w:rPr>
          <w:b/>
        </w:rPr>
        <w:t>-batch variation</w:t>
      </w:r>
    </w:p>
    <w:p w:rsidR="00F837CF" w:rsidRDefault="00C865A9" w:rsidP="002660F5">
      <w:pPr>
        <w:spacing w:before="240"/>
      </w:pPr>
      <w:r>
        <w:t xml:space="preserve">To assess </w:t>
      </w:r>
      <w:r w:rsidR="00C7195F">
        <w:t>I</w:t>
      </w:r>
      <w:r>
        <w:t>ntra</w:t>
      </w:r>
      <w:r w:rsidR="00CA0B3F">
        <w:t>-</w:t>
      </w:r>
      <w:r>
        <w:t xml:space="preserve">batch variation a single positive patient sample was analysed 32 times using </w:t>
      </w:r>
      <w:r w:rsidR="00F837CF">
        <w:t>a single</w:t>
      </w:r>
      <w:r>
        <w:t xml:space="preserve"> batch of Metasin master mix. The results for the PBGD, MGB and CK19 markers are shown in Table </w:t>
      </w:r>
      <w:r w:rsidR="00FD4A36">
        <w:t>3</w:t>
      </w:r>
      <w:r>
        <w:t>.</w:t>
      </w:r>
    </w:p>
    <w:p w:rsidR="00B77279" w:rsidRDefault="00B77279" w:rsidP="00B77279">
      <w:pPr>
        <w:spacing w:before="240"/>
      </w:pPr>
      <w:r>
        <w:rPr>
          <w:b/>
        </w:rPr>
        <w:t>T</w:t>
      </w:r>
      <w:r w:rsidRPr="00974CCC">
        <w:rPr>
          <w:b/>
        </w:rPr>
        <w:t xml:space="preserve">able </w:t>
      </w:r>
      <w:r>
        <w:rPr>
          <w:b/>
        </w:rPr>
        <w:t>3</w:t>
      </w:r>
      <w:r w:rsidRPr="00974CCC">
        <w:rPr>
          <w:b/>
        </w:rPr>
        <w:t>.</w:t>
      </w:r>
      <w:r>
        <w:t xml:space="preserve"> Metasin assay Intra-batch variation (N=32)</w:t>
      </w:r>
    </w:p>
    <w:tbl>
      <w:tblPr>
        <w:tblStyle w:val="TableClassic1"/>
        <w:tblW w:w="0" w:type="auto"/>
        <w:tblLayout w:type="fixed"/>
        <w:tblLook w:val="04A0" w:firstRow="1" w:lastRow="0" w:firstColumn="1" w:lastColumn="0" w:noHBand="0" w:noVBand="1"/>
      </w:tblPr>
      <w:tblGrid>
        <w:gridCol w:w="1101"/>
        <w:gridCol w:w="1134"/>
        <w:gridCol w:w="1559"/>
        <w:gridCol w:w="1701"/>
      </w:tblGrid>
      <w:tr w:rsidR="00B77279" w:rsidTr="00D3204E">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101" w:type="dxa"/>
          </w:tcPr>
          <w:p w:rsidR="00B77279" w:rsidRPr="00CA0B3F" w:rsidRDefault="00B77279" w:rsidP="00D3204E">
            <w:pPr>
              <w:spacing w:before="240" w:line="240" w:lineRule="auto"/>
              <w:rPr>
                <w:b/>
                <w:i w:val="0"/>
              </w:rPr>
            </w:pPr>
            <w:r w:rsidRPr="00CA0B3F">
              <w:rPr>
                <w:b/>
                <w:i w:val="0"/>
              </w:rPr>
              <w:t>Marker</w:t>
            </w:r>
          </w:p>
        </w:tc>
        <w:tc>
          <w:tcPr>
            <w:tcW w:w="1134" w:type="dxa"/>
          </w:tcPr>
          <w:p w:rsidR="00B77279" w:rsidRPr="00CA0B3F" w:rsidRDefault="00B77279" w:rsidP="0014192B">
            <w:pPr>
              <w:spacing w:before="240" w:line="240" w:lineRule="auto"/>
              <w:jc w:val="center"/>
              <w:cnfStyle w:val="100000000000" w:firstRow="1" w:lastRow="0" w:firstColumn="0" w:lastColumn="0" w:oddVBand="0" w:evenVBand="0" w:oddHBand="0" w:evenHBand="0" w:firstRowFirstColumn="0" w:firstRowLastColumn="0" w:lastRowFirstColumn="0" w:lastRowLastColumn="0"/>
              <w:rPr>
                <w:b/>
                <w:i w:val="0"/>
              </w:rPr>
            </w:pPr>
            <w:r w:rsidRPr="00CA0B3F">
              <w:rPr>
                <w:b/>
                <w:i w:val="0"/>
              </w:rPr>
              <w:t>Average C</w:t>
            </w:r>
            <w:r w:rsidR="0014192B">
              <w:rPr>
                <w:b/>
                <w:i w:val="0"/>
              </w:rPr>
              <w:t>q</w:t>
            </w:r>
          </w:p>
        </w:tc>
        <w:tc>
          <w:tcPr>
            <w:tcW w:w="1559" w:type="dxa"/>
          </w:tcPr>
          <w:p w:rsidR="00B77279" w:rsidRPr="00CA0B3F" w:rsidRDefault="00B77279" w:rsidP="00D3204E">
            <w:pPr>
              <w:spacing w:before="240" w:line="240" w:lineRule="auto"/>
              <w:jc w:val="center"/>
              <w:cnfStyle w:val="100000000000" w:firstRow="1" w:lastRow="0" w:firstColumn="0" w:lastColumn="0" w:oddVBand="0" w:evenVBand="0" w:oddHBand="0" w:evenHBand="0" w:firstRowFirstColumn="0" w:firstRowLastColumn="0" w:lastRowFirstColumn="0" w:lastRowLastColumn="0"/>
              <w:rPr>
                <w:b/>
                <w:i w:val="0"/>
              </w:rPr>
            </w:pPr>
            <w:r w:rsidRPr="00CA0B3F">
              <w:rPr>
                <w:rFonts w:ascii="Calibri" w:hAnsi="Calibri"/>
                <w:b/>
                <w:i w:val="0"/>
              </w:rPr>
              <w:t>±</w:t>
            </w:r>
            <w:r w:rsidRPr="00CA0B3F">
              <w:rPr>
                <w:b/>
                <w:i w:val="0"/>
              </w:rPr>
              <w:t>1 SD</w:t>
            </w:r>
          </w:p>
        </w:tc>
        <w:tc>
          <w:tcPr>
            <w:tcW w:w="1701" w:type="dxa"/>
          </w:tcPr>
          <w:p w:rsidR="00B77279" w:rsidRPr="00CA0B3F" w:rsidRDefault="00B77279" w:rsidP="00D3204E">
            <w:pPr>
              <w:spacing w:before="240" w:line="240" w:lineRule="auto"/>
              <w:jc w:val="center"/>
              <w:cnfStyle w:val="100000000000" w:firstRow="1" w:lastRow="0" w:firstColumn="0" w:lastColumn="0" w:oddVBand="0" w:evenVBand="0" w:oddHBand="0" w:evenHBand="0" w:firstRowFirstColumn="0" w:firstRowLastColumn="0" w:lastRowFirstColumn="0" w:lastRowLastColumn="0"/>
              <w:rPr>
                <w:b/>
                <w:i w:val="0"/>
              </w:rPr>
            </w:pPr>
            <w:r w:rsidRPr="00CA0B3F">
              <w:rPr>
                <w:b/>
                <w:i w:val="0"/>
              </w:rPr>
              <w:t>Range</w:t>
            </w:r>
          </w:p>
        </w:tc>
      </w:tr>
      <w:tr w:rsidR="00B77279" w:rsidTr="00D3204E">
        <w:tc>
          <w:tcPr>
            <w:cnfStyle w:val="001000000000" w:firstRow="0" w:lastRow="0" w:firstColumn="1" w:lastColumn="0" w:oddVBand="0" w:evenVBand="0" w:oddHBand="0" w:evenHBand="0" w:firstRowFirstColumn="0" w:firstRowLastColumn="0" w:lastRowFirstColumn="0" w:lastRowLastColumn="0"/>
            <w:tcW w:w="1101" w:type="dxa"/>
          </w:tcPr>
          <w:p w:rsidR="00B77279" w:rsidRPr="00CA0B3F" w:rsidRDefault="00B77279" w:rsidP="00D3204E">
            <w:pPr>
              <w:spacing w:before="240" w:line="240" w:lineRule="auto"/>
              <w:rPr>
                <w:b/>
              </w:rPr>
            </w:pPr>
            <w:r w:rsidRPr="00CA0B3F">
              <w:rPr>
                <w:b/>
              </w:rPr>
              <w:t>PBGD</w:t>
            </w:r>
          </w:p>
        </w:tc>
        <w:tc>
          <w:tcPr>
            <w:tcW w:w="1134"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26.34</w:t>
            </w:r>
          </w:p>
        </w:tc>
        <w:tc>
          <w:tcPr>
            <w:tcW w:w="1559"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1.02</w:t>
            </w:r>
          </w:p>
        </w:tc>
        <w:tc>
          <w:tcPr>
            <w:tcW w:w="1701"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24.4 – 29.6</w:t>
            </w:r>
          </w:p>
        </w:tc>
      </w:tr>
      <w:tr w:rsidR="00B77279" w:rsidTr="00D3204E">
        <w:trPr>
          <w:trHeight w:val="206"/>
        </w:trPr>
        <w:tc>
          <w:tcPr>
            <w:cnfStyle w:val="001000000000" w:firstRow="0" w:lastRow="0" w:firstColumn="1" w:lastColumn="0" w:oddVBand="0" w:evenVBand="0" w:oddHBand="0" w:evenHBand="0" w:firstRowFirstColumn="0" w:firstRowLastColumn="0" w:lastRowFirstColumn="0" w:lastRowLastColumn="0"/>
            <w:tcW w:w="1101" w:type="dxa"/>
          </w:tcPr>
          <w:p w:rsidR="00B77279" w:rsidRPr="00CA0B3F" w:rsidRDefault="00B77279" w:rsidP="00D3204E">
            <w:pPr>
              <w:spacing w:before="240" w:line="240" w:lineRule="auto"/>
              <w:rPr>
                <w:b/>
              </w:rPr>
            </w:pPr>
            <w:r w:rsidRPr="00CA0B3F">
              <w:rPr>
                <w:b/>
              </w:rPr>
              <w:t>MGB</w:t>
            </w:r>
          </w:p>
        </w:tc>
        <w:tc>
          <w:tcPr>
            <w:tcW w:w="1134"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19.90</w:t>
            </w:r>
          </w:p>
        </w:tc>
        <w:tc>
          <w:tcPr>
            <w:tcW w:w="1559"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0.48</w:t>
            </w:r>
          </w:p>
        </w:tc>
        <w:tc>
          <w:tcPr>
            <w:tcW w:w="1701"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19.2 – 21.2</w:t>
            </w:r>
          </w:p>
        </w:tc>
      </w:tr>
      <w:tr w:rsidR="00B77279" w:rsidTr="00D3204E">
        <w:tc>
          <w:tcPr>
            <w:cnfStyle w:val="001000000000" w:firstRow="0" w:lastRow="0" w:firstColumn="1" w:lastColumn="0" w:oddVBand="0" w:evenVBand="0" w:oddHBand="0" w:evenHBand="0" w:firstRowFirstColumn="0" w:firstRowLastColumn="0" w:lastRowFirstColumn="0" w:lastRowLastColumn="0"/>
            <w:tcW w:w="1101" w:type="dxa"/>
          </w:tcPr>
          <w:p w:rsidR="00B77279" w:rsidRPr="00CA0B3F" w:rsidRDefault="00B77279" w:rsidP="00D3204E">
            <w:pPr>
              <w:spacing w:before="240" w:line="240" w:lineRule="auto"/>
              <w:rPr>
                <w:b/>
              </w:rPr>
            </w:pPr>
            <w:r w:rsidRPr="00CA0B3F">
              <w:rPr>
                <w:b/>
              </w:rPr>
              <w:t>CK19</w:t>
            </w:r>
          </w:p>
        </w:tc>
        <w:tc>
          <w:tcPr>
            <w:tcW w:w="1134"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19.36</w:t>
            </w:r>
          </w:p>
        </w:tc>
        <w:tc>
          <w:tcPr>
            <w:tcW w:w="1559"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0.27</w:t>
            </w:r>
          </w:p>
        </w:tc>
        <w:tc>
          <w:tcPr>
            <w:tcW w:w="1701"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18.8 – 19.9</w:t>
            </w:r>
          </w:p>
        </w:tc>
      </w:tr>
    </w:tbl>
    <w:p w:rsidR="00B77279" w:rsidRDefault="00B77279" w:rsidP="00CA0B3F">
      <w:pPr>
        <w:spacing w:before="240"/>
      </w:pPr>
    </w:p>
    <w:p w:rsidR="00B77279" w:rsidRDefault="00B77279" w:rsidP="00B77279">
      <w:pPr>
        <w:spacing w:before="240"/>
      </w:pPr>
      <w:r>
        <w:lastRenderedPageBreak/>
        <w:t>T</w:t>
      </w:r>
      <w:r w:rsidR="00C3210C">
        <w:t xml:space="preserve">o assess </w:t>
      </w:r>
      <w:r w:rsidR="00C7195F">
        <w:t>I</w:t>
      </w:r>
      <w:r w:rsidR="00CA0B3F">
        <w:t xml:space="preserve">nter-batch </w:t>
      </w:r>
      <w:r w:rsidR="00C3210C">
        <w:t xml:space="preserve">variation </w:t>
      </w:r>
      <w:r w:rsidR="00CA0B3F">
        <w:t>a single positive patient sample</w:t>
      </w:r>
      <w:r w:rsidR="00A25440">
        <w:t>,</w:t>
      </w:r>
      <w:r w:rsidR="00CA0B3F">
        <w:t xml:space="preserve"> aliquoted and stored at -80</w:t>
      </w:r>
      <w:r w:rsidR="00CA0B3F" w:rsidRPr="00CA0B3F">
        <w:rPr>
          <w:vertAlign w:val="superscript"/>
        </w:rPr>
        <w:t>o</w:t>
      </w:r>
      <w:r w:rsidR="00CA0B3F">
        <w:t>C</w:t>
      </w:r>
      <w:r w:rsidR="00A25440">
        <w:t>, was</w:t>
      </w:r>
      <w:r w:rsidR="00CA0B3F">
        <w:t xml:space="preserve"> analysed in 73 consecutive Metasin assays using different batches of Metasin master mix. The results for the PBGD, </w:t>
      </w:r>
      <w:r w:rsidR="00E55A29">
        <w:t>M</w:t>
      </w:r>
      <w:r w:rsidR="00CA0B3F">
        <w:t xml:space="preserve">GB and CK19 markers are shown in </w:t>
      </w:r>
      <w:r>
        <w:t>Table 4.</w:t>
      </w:r>
    </w:p>
    <w:p w:rsidR="00B77279" w:rsidRDefault="00B77279" w:rsidP="00B77279">
      <w:pPr>
        <w:spacing w:before="240"/>
      </w:pPr>
      <w:r>
        <w:rPr>
          <w:b/>
        </w:rPr>
        <w:t>Table 4</w:t>
      </w:r>
      <w:r w:rsidRPr="00974CCC">
        <w:rPr>
          <w:b/>
        </w:rPr>
        <w:t>.</w:t>
      </w:r>
      <w:r>
        <w:t xml:space="preserve"> Metasin assay Inter-batch variation (N=73)</w:t>
      </w:r>
    </w:p>
    <w:tbl>
      <w:tblPr>
        <w:tblStyle w:val="TableClassic1"/>
        <w:tblW w:w="0" w:type="auto"/>
        <w:tblLayout w:type="fixed"/>
        <w:tblLook w:val="04A0" w:firstRow="1" w:lastRow="0" w:firstColumn="1" w:lastColumn="0" w:noHBand="0" w:noVBand="1"/>
      </w:tblPr>
      <w:tblGrid>
        <w:gridCol w:w="1101"/>
        <w:gridCol w:w="1134"/>
        <w:gridCol w:w="1559"/>
        <w:gridCol w:w="1701"/>
      </w:tblGrid>
      <w:tr w:rsidR="00B77279" w:rsidTr="00D3204E">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101" w:type="dxa"/>
          </w:tcPr>
          <w:p w:rsidR="00B77279" w:rsidRPr="00CA0B3F" w:rsidRDefault="00B77279" w:rsidP="00D3204E">
            <w:pPr>
              <w:spacing w:before="240" w:line="240" w:lineRule="auto"/>
              <w:rPr>
                <w:b/>
                <w:i w:val="0"/>
              </w:rPr>
            </w:pPr>
            <w:r w:rsidRPr="00CA0B3F">
              <w:rPr>
                <w:b/>
                <w:i w:val="0"/>
              </w:rPr>
              <w:t>Marker</w:t>
            </w:r>
          </w:p>
        </w:tc>
        <w:tc>
          <w:tcPr>
            <w:tcW w:w="1134" w:type="dxa"/>
          </w:tcPr>
          <w:p w:rsidR="00B77279" w:rsidRPr="00CA0B3F" w:rsidRDefault="00B77279" w:rsidP="0014192B">
            <w:pPr>
              <w:spacing w:before="240" w:line="240" w:lineRule="auto"/>
              <w:jc w:val="center"/>
              <w:cnfStyle w:val="100000000000" w:firstRow="1" w:lastRow="0" w:firstColumn="0" w:lastColumn="0" w:oddVBand="0" w:evenVBand="0" w:oddHBand="0" w:evenHBand="0" w:firstRowFirstColumn="0" w:firstRowLastColumn="0" w:lastRowFirstColumn="0" w:lastRowLastColumn="0"/>
              <w:rPr>
                <w:b/>
                <w:i w:val="0"/>
              </w:rPr>
            </w:pPr>
            <w:r w:rsidRPr="00CA0B3F">
              <w:rPr>
                <w:b/>
                <w:i w:val="0"/>
              </w:rPr>
              <w:t>Average C</w:t>
            </w:r>
            <w:r w:rsidR="0014192B">
              <w:rPr>
                <w:b/>
                <w:i w:val="0"/>
              </w:rPr>
              <w:t>q</w:t>
            </w:r>
          </w:p>
        </w:tc>
        <w:tc>
          <w:tcPr>
            <w:tcW w:w="1559" w:type="dxa"/>
          </w:tcPr>
          <w:p w:rsidR="00B77279" w:rsidRPr="00CA0B3F" w:rsidRDefault="00B77279" w:rsidP="00D3204E">
            <w:pPr>
              <w:spacing w:before="240" w:line="240" w:lineRule="auto"/>
              <w:jc w:val="center"/>
              <w:cnfStyle w:val="100000000000" w:firstRow="1" w:lastRow="0" w:firstColumn="0" w:lastColumn="0" w:oddVBand="0" w:evenVBand="0" w:oddHBand="0" w:evenHBand="0" w:firstRowFirstColumn="0" w:firstRowLastColumn="0" w:lastRowFirstColumn="0" w:lastRowLastColumn="0"/>
              <w:rPr>
                <w:b/>
                <w:i w:val="0"/>
              </w:rPr>
            </w:pPr>
            <w:r w:rsidRPr="00CA0B3F">
              <w:rPr>
                <w:rFonts w:ascii="Calibri" w:hAnsi="Calibri"/>
                <w:b/>
                <w:i w:val="0"/>
              </w:rPr>
              <w:t>±</w:t>
            </w:r>
            <w:r w:rsidRPr="00CA0B3F">
              <w:rPr>
                <w:b/>
                <w:i w:val="0"/>
              </w:rPr>
              <w:t>1 SD</w:t>
            </w:r>
          </w:p>
        </w:tc>
        <w:tc>
          <w:tcPr>
            <w:tcW w:w="1701" w:type="dxa"/>
          </w:tcPr>
          <w:p w:rsidR="00B77279" w:rsidRPr="00CA0B3F" w:rsidRDefault="00B77279" w:rsidP="00D3204E">
            <w:pPr>
              <w:spacing w:before="240" w:line="240" w:lineRule="auto"/>
              <w:jc w:val="center"/>
              <w:cnfStyle w:val="100000000000" w:firstRow="1" w:lastRow="0" w:firstColumn="0" w:lastColumn="0" w:oddVBand="0" w:evenVBand="0" w:oddHBand="0" w:evenHBand="0" w:firstRowFirstColumn="0" w:firstRowLastColumn="0" w:lastRowFirstColumn="0" w:lastRowLastColumn="0"/>
              <w:rPr>
                <w:b/>
                <w:i w:val="0"/>
              </w:rPr>
            </w:pPr>
            <w:r w:rsidRPr="00CA0B3F">
              <w:rPr>
                <w:b/>
                <w:i w:val="0"/>
              </w:rPr>
              <w:t>Range</w:t>
            </w:r>
          </w:p>
        </w:tc>
      </w:tr>
      <w:tr w:rsidR="00B77279" w:rsidTr="00D3204E">
        <w:tc>
          <w:tcPr>
            <w:cnfStyle w:val="001000000000" w:firstRow="0" w:lastRow="0" w:firstColumn="1" w:lastColumn="0" w:oddVBand="0" w:evenVBand="0" w:oddHBand="0" w:evenHBand="0" w:firstRowFirstColumn="0" w:firstRowLastColumn="0" w:lastRowFirstColumn="0" w:lastRowLastColumn="0"/>
            <w:tcW w:w="1101" w:type="dxa"/>
          </w:tcPr>
          <w:p w:rsidR="00B77279" w:rsidRPr="00CA0B3F" w:rsidRDefault="00B77279" w:rsidP="00D3204E">
            <w:pPr>
              <w:spacing w:before="240" w:line="240" w:lineRule="auto"/>
              <w:rPr>
                <w:b/>
              </w:rPr>
            </w:pPr>
            <w:r w:rsidRPr="00CA0B3F">
              <w:rPr>
                <w:b/>
              </w:rPr>
              <w:t>PBGD</w:t>
            </w:r>
          </w:p>
        </w:tc>
        <w:tc>
          <w:tcPr>
            <w:tcW w:w="1134"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23.76</w:t>
            </w:r>
          </w:p>
        </w:tc>
        <w:tc>
          <w:tcPr>
            <w:tcW w:w="1559"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0.68</w:t>
            </w:r>
          </w:p>
        </w:tc>
        <w:tc>
          <w:tcPr>
            <w:tcW w:w="1701"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22.7 – 25.7</w:t>
            </w:r>
          </w:p>
        </w:tc>
      </w:tr>
      <w:tr w:rsidR="00B77279" w:rsidTr="00D3204E">
        <w:trPr>
          <w:trHeight w:val="206"/>
        </w:trPr>
        <w:tc>
          <w:tcPr>
            <w:cnfStyle w:val="001000000000" w:firstRow="0" w:lastRow="0" w:firstColumn="1" w:lastColumn="0" w:oddVBand="0" w:evenVBand="0" w:oddHBand="0" w:evenHBand="0" w:firstRowFirstColumn="0" w:firstRowLastColumn="0" w:lastRowFirstColumn="0" w:lastRowLastColumn="0"/>
            <w:tcW w:w="1101" w:type="dxa"/>
          </w:tcPr>
          <w:p w:rsidR="00B77279" w:rsidRPr="00CA0B3F" w:rsidRDefault="00B77279" w:rsidP="00D3204E">
            <w:pPr>
              <w:spacing w:before="240" w:line="240" w:lineRule="auto"/>
              <w:rPr>
                <w:b/>
              </w:rPr>
            </w:pPr>
            <w:r w:rsidRPr="00CA0B3F">
              <w:rPr>
                <w:b/>
              </w:rPr>
              <w:t>MGB</w:t>
            </w:r>
          </w:p>
        </w:tc>
        <w:tc>
          <w:tcPr>
            <w:tcW w:w="1134"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23.85</w:t>
            </w:r>
          </w:p>
        </w:tc>
        <w:tc>
          <w:tcPr>
            <w:tcW w:w="1559"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0.45</w:t>
            </w:r>
          </w:p>
        </w:tc>
        <w:tc>
          <w:tcPr>
            <w:tcW w:w="1701"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23.0 -24.9</w:t>
            </w:r>
          </w:p>
        </w:tc>
      </w:tr>
      <w:tr w:rsidR="00B77279" w:rsidTr="00D3204E">
        <w:tc>
          <w:tcPr>
            <w:cnfStyle w:val="001000000000" w:firstRow="0" w:lastRow="0" w:firstColumn="1" w:lastColumn="0" w:oddVBand="0" w:evenVBand="0" w:oddHBand="0" w:evenHBand="0" w:firstRowFirstColumn="0" w:firstRowLastColumn="0" w:lastRowFirstColumn="0" w:lastRowLastColumn="0"/>
            <w:tcW w:w="1101" w:type="dxa"/>
          </w:tcPr>
          <w:p w:rsidR="00B77279" w:rsidRPr="00CA0B3F" w:rsidRDefault="00B77279" w:rsidP="00D3204E">
            <w:pPr>
              <w:spacing w:before="240" w:line="240" w:lineRule="auto"/>
              <w:rPr>
                <w:b/>
              </w:rPr>
            </w:pPr>
            <w:r w:rsidRPr="00CA0B3F">
              <w:rPr>
                <w:b/>
              </w:rPr>
              <w:t>CK19</w:t>
            </w:r>
          </w:p>
        </w:tc>
        <w:tc>
          <w:tcPr>
            <w:tcW w:w="1134"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18.87</w:t>
            </w:r>
          </w:p>
        </w:tc>
        <w:tc>
          <w:tcPr>
            <w:tcW w:w="1559"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0.31</w:t>
            </w:r>
          </w:p>
        </w:tc>
        <w:tc>
          <w:tcPr>
            <w:tcW w:w="1701" w:type="dxa"/>
          </w:tcPr>
          <w:p w:rsidR="00B77279" w:rsidRDefault="00B77279" w:rsidP="00D3204E">
            <w:pPr>
              <w:spacing w:before="240" w:line="240" w:lineRule="auto"/>
              <w:jc w:val="center"/>
              <w:cnfStyle w:val="000000000000" w:firstRow="0" w:lastRow="0" w:firstColumn="0" w:lastColumn="0" w:oddVBand="0" w:evenVBand="0" w:oddHBand="0" w:evenHBand="0" w:firstRowFirstColumn="0" w:firstRowLastColumn="0" w:lastRowFirstColumn="0" w:lastRowLastColumn="0"/>
            </w:pPr>
            <w:r>
              <w:t>18.3 – 19.8</w:t>
            </w:r>
          </w:p>
        </w:tc>
      </w:tr>
    </w:tbl>
    <w:p w:rsidR="00B77279" w:rsidRDefault="00B77279" w:rsidP="002660F5">
      <w:pPr>
        <w:spacing w:before="240"/>
        <w:rPr>
          <w:b/>
        </w:rPr>
      </w:pPr>
    </w:p>
    <w:p w:rsidR="00EA01C1" w:rsidRPr="00CC3ABA" w:rsidRDefault="00EA01C1" w:rsidP="002660F5">
      <w:pPr>
        <w:spacing w:before="240"/>
        <w:rPr>
          <w:b/>
        </w:rPr>
      </w:pPr>
      <w:r w:rsidRPr="00CC3ABA">
        <w:rPr>
          <w:b/>
        </w:rPr>
        <w:t>T</w:t>
      </w:r>
      <w:r w:rsidR="00CA0B3F" w:rsidRPr="00CC3ABA">
        <w:rPr>
          <w:b/>
        </w:rPr>
        <w:t>urnaround time audit</w:t>
      </w:r>
      <w:r w:rsidR="001D0F90" w:rsidRPr="00CC3ABA">
        <w:rPr>
          <w:b/>
        </w:rPr>
        <w:t xml:space="preserve"> </w:t>
      </w:r>
    </w:p>
    <w:p w:rsidR="00236954" w:rsidRDefault="0006610C" w:rsidP="00236954">
      <w:pPr>
        <w:spacing w:before="240"/>
      </w:pPr>
      <w:r>
        <w:t>We received 1 – 6 nodes per patient with a m</w:t>
      </w:r>
      <w:r w:rsidR="00FC5D5D">
        <w:t>ean</w:t>
      </w:r>
      <w:r>
        <w:t xml:space="preserve"> value of 2.</w:t>
      </w:r>
      <w:r w:rsidR="00FC5D5D">
        <w:t>17 nodes per patient.</w:t>
      </w:r>
      <w:r>
        <w:t xml:space="preserve"> </w:t>
      </w:r>
      <w:r w:rsidR="00E14A5A">
        <w:t>The a</w:t>
      </w:r>
      <w:r w:rsidR="00A025F0">
        <w:t xml:space="preserve">verage </w:t>
      </w:r>
      <w:r w:rsidR="00E14A5A">
        <w:t xml:space="preserve">turnaround time </w:t>
      </w:r>
      <w:r w:rsidR="00807003">
        <w:t xml:space="preserve">(TAT) </w:t>
      </w:r>
      <w:r w:rsidR="00E14A5A">
        <w:t xml:space="preserve">was 41.93 minutes </w:t>
      </w:r>
      <w:r w:rsidR="00E14A5A">
        <w:rPr>
          <w:rFonts w:ascii="Calibri" w:hAnsi="Calibri"/>
        </w:rPr>
        <w:t>±</w:t>
      </w:r>
      <w:r w:rsidR="00E14A5A">
        <w:t xml:space="preserve"> 6.91 (1SD)</w:t>
      </w:r>
      <w:r w:rsidR="001F0AAA">
        <w:t xml:space="preserve"> </w:t>
      </w:r>
      <w:r w:rsidR="0024712F">
        <w:t>(</w:t>
      </w:r>
      <w:r w:rsidR="00E14A5A">
        <w:t>range 27 – 72 minutes</w:t>
      </w:r>
      <w:r w:rsidR="0024712F">
        <w:t>)</w:t>
      </w:r>
      <w:r w:rsidR="00E14A5A">
        <w:t>.</w:t>
      </w:r>
      <w:r w:rsidR="00A025F0">
        <w:t xml:space="preserve"> </w:t>
      </w:r>
      <w:r w:rsidR="00E14A5A">
        <w:t>E</w:t>
      </w:r>
      <w:r w:rsidR="00A025F0">
        <w:t xml:space="preserve">ach additional node tested added </w:t>
      </w:r>
      <w:r w:rsidR="001D0F90">
        <w:t>an</w:t>
      </w:r>
      <w:r w:rsidR="00A025F0">
        <w:t xml:space="preserve"> average 5 minutes to the </w:t>
      </w:r>
      <w:r w:rsidR="00807003">
        <w:t>TAT</w:t>
      </w:r>
      <w:r w:rsidR="0024712F">
        <w:t xml:space="preserve"> and</w:t>
      </w:r>
      <w:r w:rsidR="001D0F90">
        <w:t xml:space="preserve"> Metasin negative patients took an av</w:t>
      </w:r>
      <w:r w:rsidR="00D934DC">
        <w:t>erage 2</w:t>
      </w:r>
      <w:r w:rsidR="001D0F90">
        <w:t xml:space="preserve"> minutes longer to process</w:t>
      </w:r>
      <w:r w:rsidR="0024712F">
        <w:t>.</w:t>
      </w:r>
      <w:r w:rsidR="001D0F90">
        <w:t xml:space="preserve"> </w:t>
      </w:r>
      <w:r w:rsidR="00236954">
        <w:t xml:space="preserve">Results are detailed in Table </w:t>
      </w:r>
      <w:r w:rsidR="00FD4A36">
        <w:t>5</w:t>
      </w:r>
      <w:r w:rsidR="00236954">
        <w:t>.</w:t>
      </w:r>
    </w:p>
    <w:p w:rsidR="003E5CB0" w:rsidRDefault="003E5CB0" w:rsidP="00B77279">
      <w:pPr>
        <w:spacing w:before="240"/>
        <w:rPr>
          <w:b/>
        </w:rPr>
      </w:pPr>
    </w:p>
    <w:p w:rsidR="003E5CB0" w:rsidRDefault="003E5CB0" w:rsidP="00B77279">
      <w:pPr>
        <w:spacing w:before="240"/>
        <w:rPr>
          <w:b/>
        </w:rPr>
      </w:pPr>
    </w:p>
    <w:p w:rsidR="003E5CB0" w:rsidRDefault="003E5CB0" w:rsidP="00B77279">
      <w:pPr>
        <w:spacing w:before="240"/>
        <w:rPr>
          <w:b/>
        </w:rPr>
      </w:pPr>
    </w:p>
    <w:p w:rsidR="003E5CB0" w:rsidRDefault="003E5CB0" w:rsidP="00B77279">
      <w:pPr>
        <w:spacing w:before="240"/>
        <w:rPr>
          <w:b/>
        </w:rPr>
      </w:pPr>
    </w:p>
    <w:p w:rsidR="003E5CB0" w:rsidRDefault="003E5CB0" w:rsidP="00B77279">
      <w:pPr>
        <w:spacing w:before="240"/>
        <w:rPr>
          <w:b/>
        </w:rPr>
      </w:pPr>
    </w:p>
    <w:p w:rsidR="00B77279" w:rsidRDefault="00B77279" w:rsidP="00573739">
      <w:pPr>
        <w:spacing w:before="240" w:line="240" w:lineRule="auto"/>
      </w:pPr>
      <w:r w:rsidRPr="001D0F90">
        <w:rPr>
          <w:b/>
        </w:rPr>
        <w:lastRenderedPageBreak/>
        <w:t xml:space="preserve">Table </w:t>
      </w:r>
      <w:r>
        <w:rPr>
          <w:b/>
        </w:rPr>
        <w:t>5</w:t>
      </w:r>
      <w:r w:rsidRPr="001D0F90">
        <w:rPr>
          <w:b/>
        </w:rPr>
        <w:t>.</w:t>
      </w:r>
      <w:r>
        <w:t xml:space="preserve"> Metasin assay turnaround times (N=250).</w:t>
      </w:r>
      <w:r w:rsidR="001A45D6">
        <w:t xml:space="preserve"> Error bars are used to illustrate the range of turnaround times.</w:t>
      </w:r>
    </w:p>
    <w:p w:rsidR="001A45D6" w:rsidRDefault="001A45D6" w:rsidP="00573739">
      <w:pPr>
        <w:spacing w:before="240" w:line="240" w:lineRule="auto"/>
      </w:pPr>
    </w:p>
    <w:p w:rsidR="00EA01C1" w:rsidRPr="00CC3ABA" w:rsidRDefault="00B94431" w:rsidP="002660F5">
      <w:pPr>
        <w:spacing w:before="240"/>
        <w:rPr>
          <w:b/>
        </w:rPr>
      </w:pPr>
      <w:r>
        <w:rPr>
          <w:noProof/>
          <w:lang w:eastAsia="zh-CN"/>
        </w:rPr>
        <mc:AlternateContent>
          <mc:Choice Requires="wpg">
            <w:drawing>
              <wp:anchor distT="0" distB="0" distL="114300" distR="114300" simplePos="0" relativeHeight="251667456" behindDoc="0" locked="0" layoutInCell="1" allowOverlap="1">
                <wp:simplePos x="0" y="0"/>
                <wp:positionH relativeFrom="column">
                  <wp:posOffset>939800</wp:posOffset>
                </wp:positionH>
                <wp:positionV relativeFrom="paragraph">
                  <wp:posOffset>266700</wp:posOffset>
                </wp:positionV>
                <wp:extent cx="4559300" cy="240665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59300" cy="2406650"/>
                          <a:chOff x="-50800" y="0"/>
                          <a:chExt cx="4597400" cy="2406650"/>
                        </a:xfrm>
                      </wpg:grpSpPr>
                      <wps:wsp>
                        <wps:cNvPr id="217" name="Text Box 2"/>
                        <wps:cNvSpPr txBox="1">
                          <a:spLocks noChangeArrowheads="1"/>
                        </wps:cNvSpPr>
                        <wps:spPr bwMode="auto">
                          <a:xfrm>
                            <a:off x="-50800" y="2159000"/>
                            <a:ext cx="4597400" cy="247650"/>
                          </a:xfrm>
                          <a:prstGeom prst="rect">
                            <a:avLst/>
                          </a:prstGeom>
                          <a:noFill/>
                          <a:ln w="9525">
                            <a:noFill/>
                            <a:miter lim="800000"/>
                            <a:headEnd/>
                            <a:tailEnd/>
                          </a:ln>
                        </wps:spPr>
                        <wps:txbx>
                          <w:txbxContent>
                            <w:p w:rsidR="00C32E63" w:rsidRDefault="00C32E63" w:rsidP="00C32E63">
                              <w:pPr>
                                <w:rPr>
                                  <w:sz w:val="20"/>
                                  <w:szCs w:val="20"/>
                                </w:rPr>
                              </w:pPr>
                              <w:r w:rsidRPr="00254306">
                                <w:rPr>
                                  <w:sz w:val="20"/>
                                  <w:szCs w:val="20"/>
                                </w:rPr>
                                <w:t xml:space="preserve">1 node   </w:t>
                              </w:r>
                              <w:r>
                                <w:rPr>
                                  <w:sz w:val="20"/>
                                  <w:szCs w:val="20"/>
                                </w:rPr>
                                <w:t xml:space="preserve">  </w:t>
                              </w:r>
                              <w:r w:rsidRPr="00254306">
                                <w:rPr>
                                  <w:sz w:val="20"/>
                                  <w:szCs w:val="20"/>
                                </w:rPr>
                                <w:t xml:space="preserve">   2 nodes   </w:t>
                              </w:r>
                              <w:r>
                                <w:rPr>
                                  <w:sz w:val="20"/>
                                  <w:szCs w:val="20"/>
                                </w:rPr>
                                <w:t xml:space="preserve"> </w:t>
                              </w:r>
                              <w:r w:rsidRPr="00254306">
                                <w:rPr>
                                  <w:sz w:val="20"/>
                                  <w:szCs w:val="20"/>
                                </w:rPr>
                                <w:t xml:space="preserve">  3 nodes</w:t>
                              </w:r>
                              <w:r>
                                <w:rPr>
                                  <w:sz w:val="20"/>
                                  <w:szCs w:val="20"/>
                                </w:rPr>
                                <w:t xml:space="preserve">  </w:t>
                              </w:r>
                              <w:r w:rsidRPr="00254306">
                                <w:rPr>
                                  <w:sz w:val="20"/>
                                  <w:szCs w:val="20"/>
                                </w:rPr>
                                <w:t xml:space="preserve">    4 nodes  </w:t>
                              </w:r>
                              <w:r>
                                <w:rPr>
                                  <w:sz w:val="20"/>
                                  <w:szCs w:val="20"/>
                                </w:rPr>
                                <w:t xml:space="preserve"> </w:t>
                              </w:r>
                              <w:r w:rsidRPr="00254306">
                                <w:rPr>
                                  <w:sz w:val="20"/>
                                  <w:szCs w:val="20"/>
                                </w:rPr>
                                <w:t xml:space="preserve">   5 nodes   </w:t>
                              </w:r>
                              <w:r>
                                <w:rPr>
                                  <w:sz w:val="20"/>
                                  <w:szCs w:val="20"/>
                                </w:rPr>
                                <w:t xml:space="preserve">   </w:t>
                              </w:r>
                              <w:r w:rsidRPr="00254306">
                                <w:rPr>
                                  <w:sz w:val="20"/>
                                  <w:szCs w:val="20"/>
                                </w:rPr>
                                <w:t xml:space="preserve"> 6 nodes  </w:t>
                              </w:r>
                              <w:r>
                                <w:rPr>
                                  <w:sz w:val="20"/>
                                  <w:szCs w:val="20"/>
                                </w:rPr>
                                <w:t xml:space="preserve"> </w:t>
                              </w:r>
                              <w:r w:rsidRPr="00254306">
                                <w:rPr>
                                  <w:sz w:val="20"/>
                                  <w:szCs w:val="20"/>
                                </w:rPr>
                                <w:t xml:space="preserve"> All nodes</w:t>
                              </w:r>
                            </w:p>
                          </w:txbxContent>
                        </wps:txbx>
                        <wps:bodyPr rot="0" vert="horz" wrap="square" lIns="91440" tIns="45720" rIns="91440" bIns="45720" anchor="t" anchorCtr="0">
                          <a:noAutofit/>
                        </wps:bodyPr>
                      </wps:wsp>
                      <wps:wsp>
                        <wps:cNvPr id="13" name="Rectangle 13"/>
                        <wps:cNvSpPr/>
                        <wps:spPr>
                          <a:xfrm>
                            <a:off x="1390650" y="0"/>
                            <a:ext cx="101600" cy="88900"/>
                          </a:xfrm>
                          <a:prstGeom prst="rect">
                            <a:avLst/>
                          </a:prstGeom>
                          <a:solidFill>
                            <a:schemeClr val="bg1">
                              <a:lumMod val="7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left:0;text-align:left;margin-left:74pt;margin-top:21pt;width:359pt;height:189.5pt;z-index:251667456;mso-width-relative:margin;mso-height-relative:margin" coordorigin="-508" coordsize="45974,2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">
                <v:shapetype id="_x0000_t202" coordsize="21600,21600" o:spt="202" path="m,l,21600r21600,l21600,xe">
                  <v:stroke joinstyle="miter"/>
                  <v:path gradientshapeok="t" o:connecttype="rect"/>
                </v:shapetype>
                <v:shape id="_x0000_s1027" type="#_x0000_t202" style="position:absolute;left:-508;top:21590;width:4597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C32E63" w:rsidRDefault="00C32E63" w:rsidP="00C32E63">
                        <w:pPr>
                          <w:rPr>
                            <w:sz w:val="20"/>
                            <w:szCs w:val="20"/>
                          </w:rPr>
                        </w:pPr>
                        <w:r w:rsidRPr="00254306">
                          <w:rPr>
                            <w:sz w:val="20"/>
                            <w:szCs w:val="20"/>
                          </w:rPr>
                          <w:t xml:space="preserve">1 node   </w:t>
                        </w:r>
                        <w:r>
                          <w:rPr>
                            <w:sz w:val="20"/>
                            <w:szCs w:val="20"/>
                          </w:rPr>
                          <w:t xml:space="preserve">  </w:t>
                        </w:r>
                        <w:r w:rsidRPr="00254306">
                          <w:rPr>
                            <w:sz w:val="20"/>
                            <w:szCs w:val="20"/>
                          </w:rPr>
                          <w:t xml:space="preserve">   2 nodes   </w:t>
                        </w:r>
                        <w:r>
                          <w:rPr>
                            <w:sz w:val="20"/>
                            <w:szCs w:val="20"/>
                          </w:rPr>
                          <w:t xml:space="preserve"> </w:t>
                        </w:r>
                        <w:r w:rsidRPr="00254306">
                          <w:rPr>
                            <w:sz w:val="20"/>
                            <w:szCs w:val="20"/>
                          </w:rPr>
                          <w:t xml:space="preserve">  3 nodes</w:t>
                        </w:r>
                        <w:r>
                          <w:rPr>
                            <w:sz w:val="20"/>
                            <w:szCs w:val="20"/>
                          </w:rPr>
                          <w:t xml:space="preserve">  </w:t>
                        </w:r>
                        <w:r w:rsidRPr="00254306">
                          <w:rPr>
                            <w:sz w:val="20"/>
                            <w:szCs w:val="20"/>
                          </w:rPr>
                          <w:t xml:space="preserve">    4 nodes  </w:t>
                        </w:r>
                        <w:r>
                          <w:rPr>
                            <w:sz w:val="20"/>
                            <w:szCs w:val="20"/>
                          </w:rPr>
                          <w:t xml:space="preserve"> </w:t>
                        </w:r>
                        <w:r w:rsidRPr="00254306">
                          <w:rPr>
                            <w:sz w:val="20"/>
                            <w:szCs w:val="20"/>
                          </w:rPr>
                          <w:t xml:space="preserve">   5 nodes   </w:t>
                        </w:r>
                        <w:r>
                          <w:rPr>
                            <w:sz w:val="20"/>
                            <w:szCs w:val="20"/>
                          </w:rPr>
                          <w:t xml:space="preserve">   </w:t>
                        </w:r>
                        <w:r w:rsidRPr="00254306">
                          <w:rPr>
                            <w:sz w:val="20"/>
                            <w:szCs w:val="20"/>
                          </w:rPr>
                          <w:t xml:space="preserve"> 6 nodes  </w:t>
                        </w:r>
                        <w:r>
                          <w:rPr>
                            <w:sz w:val="20"/>
                            <w:szCs w:val="20"/>
                          </w:rPr>
                          <w:t xml:space="preserve"> </w:t>
                        </w:r>
                        <w:r w:rsidRPr="00254306">
                          <w:rPr>
                            <w:sz w:val="20"/>
                            <w:szCs w:val="20"/>
                          </w:rPr>
                          <w:t xml:space="preserve"> All nodes</w:t>
                        </w:r>
                      </w:p>
                    </w:txbxContent>
                  </v:textbox>
                </v:shape>
                <v:rect id="Rectangle 13" o:spid="_x0000_s1028" style="position:absolute;left:13906;width:1016;height: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678A&#10;AADbAAAADwAAAGRycy9kb3ducmV2LnhtbERP24rCMBB9F/yHMIJvmqqLlGoU8bL6IqxdP2BoxrbY&#10;TEoTbffvzYLg2xzOdZbrzlTiSY0rLSuYjCMQxJnVJecKrr+HUQzCeWSNlWVS8EcO1qt+b4mJti1f&#10;6Jn6XIQQdgkqKLyvEyldVpBBN7Y1ceButjHoA2xyqRtsQ7ip5DSK5tJgyaGhwJq2BWX39GEUcDzT&#10;sfxqf9LD7vuYz/dnfTFeqeGg2yxAeOr8R/x2n3SYP4P/X8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4q7rvwAAANsAAAAPAAAAAAAAAAAAAAAAAJgCAABkcnMvZG93bnJl&#10;di54bWxQSwUGAAAAAAQABAD1AAAAhAMAAAAA&#10;" fillcolor="#bfbfbf [2412]" strokecolor="windowText" strokeweight="1pt"/>
              </v:group>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2546350</wp:posOffset>
                </wp:positionV>
                <wp:extent cx="4152900" cy="2222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222250"/>
                        </a:xfrm>
                        <a:prstGeom prst="rect">
                          <a:avLst/>
                        </a:prstGeom>
                        <a:noFill/>
                        <a:ln w="6350">
                          <a:noFill/>
                        </a:ln>
                        <a:effectLst/>
                      </wps:spPr>
                      <wps:txbx>
                        <w:txbxContent>
                          <w:p w:rsidR="00C32E63" w:rsidRPr="00254306" w:rsidRDefault="00C32E63" w:rsidP="00C32E63">
                            <w:pPr>
                              <w:rPr>
                                <w:sz w:val="18"/>
                                <w:szCs w:val="20"/>
                              </w:rPr>
                            </w:pPr>
                            <w:r>
                              <w:rPr>
                                <w:sz w:val="18"/>
                                <w:szCs w:val="20"/>
                              </w:rPr>
                              <w:t xml:space="preserve">(N=76)     </w:t>
                            </w:r>
                            <w:r w:rsidR="001A45D6">
                              <w:rPr>
                                <w:sz w:val="18"/>
                                <w:szCs w:val="20"/>
                              </w:rPr>
                              <w:t xml:space="preserve"> </w:t>
                            </w:r>
                            <w:r>
                              <w:rPr>
                                <w:sz w:val="18"/>
                                <w:szCs w:val="20"/>
                              </w:rPr>
                              <w:t xml:space="preserve"> (N=96)          (N=51)         (N=22)          (N=3)          (N=2)        (N=250)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81pt;margin-top:200.5pt;width:327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" filled="f" stroked="f" strokeweight=".5pt">
                <v:path arrowok="t"/>
                <v:textbox>
                  <w:txbxContent>
                    <w:p w:rsidR="00C32E63" w:rsidRPr="00254306" w:rsidRDefault="00C32E63" w:rsidP="00C32E63">
                      <w:pPr>
                        <w:rPr>
                          <w:sz w:val="18"/>
                          <w:szCs w:val="20"/>
                        </w:rPr>
                      </w:pPr>
                      <w:r>
                        <w:rPr>
                          <w:sz w:val="18"/>
                          <w:szCs w:val="20"/>
                        </w:rPr>
                        <w:t xml:space="preserve">(N=76)     </w:t>
                      </w:r>
                      <w:r w:rsidR="001A45D6">
                        <w:rPr>
                          <w:sz w:val="18"/>
                          <w:szCs w:val="20"/>
                        </w:rPr>
                        <w:t xml:space="preserve"> </w:t>
                      </w:r>
                      <w:r>
                        <w:rPr>
                          <w:sz w:val="18"/>
                          <w:szCs w:val="20"/>
                        </w:rPr>
                        <w:t xml:space="preserve"> (N=96)          (N=51)         (N=22)          (N=3)          (N=2)        (N=250)</w:t>
                      </w:r>
                    </w:p>
                  </w:txbxContent>
                </v:textbox>
              </v:shape>
            </w:pict>
          </mc:Fallback>
        </mc:AlternateContent>
      </w:r>
      <w:r>
        <w:rPr>
          <w:noProof/>
          <w:lang w:eastAsia="zh-CN"/>
        </w:rPr>
        <mc:AlternateContent>
          <mc:Choice Requires="wps">
            <w:drawing>
              <wp:anchor distT="45720" distB="45720" distL="114300" distR="114300" simplePos="0" relativeHeight="251665408" behindDoc="0" locked="0" layoutInCell="1" allowOverlap="1">
                <wp:simplePos x="0" y="0"/>
                <wp:positionH relativeFrom="column">
                  <wp:posOffset>1587500</wp:posOffset>
                </wp:positionH>
                <wp:positionV relativeFrom="paragraph">
                  <wp:posOffset>190500</wp:posOffset>
                </wp:positionV>
                <wp:extent cx="819150" cy="3625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2585"/>
                        </a:xfrm>
                        <a:prstGeom prst="rect">
                          <a:avLst/>
                        </a:prstGeom>
                        <a:noFill/>
                        <a:ln w="9525">
                          <a:noFill/>
                          <a:miter lim="800000"/>
                          <a:headEnd/>
                          <a:tailEnd/>
                        </a:ln>
                      </wps:spPr>
                      <wps:txbx>
                        <w:txbxContent>
                          <w:p w:rsidR="00C32E63" w:rsidRPr="00C07C1C" w:rsidRDefault="00C32E63" w:rsidP="00C32E63">
                            <w:pPr>
                              <w:rPr>
                                <w:sz w:val="20"/>
                                <w:szCs w:val="20"/>
                              </w:rPr>
                            </w:pPr>
                            <w:r w:rsidRPr="00C07C1C">
                              <w:rPr>
                                <w:sz w:val="20"/>
                                <w:szCs w:val="20"/>
                              </w:rPr>
                              <w:t>Metasin -ve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25pt;margin-top:15pt;width:64.5pt;height:2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" filled="f" stroked="f">
                <v:textbox>
                  <w:txbxContent>
                    <w:p w:rsidR="00C32E63" w:rsidRPr="00C07C1C" w:rsidRDefault="00C32E63" w:rsidP="00C32E63">
                      <w:pPr>
                        <w:rPr>
                          <w:sz w:val="20"/>
                          <w:szCs w:val="20"/>
                        </w:rPr>
                      </w:pPr>
                      <w:r w:rsidRPr="00C07C1C">
                        <w:rPr>
                          <w:sz w:val="20"/>
                          <w:szCs w:val="20"/>
                        </w:rPr>
                        <w:t>Metasin -ve</w:t>
                      </w:r>
                    </w:p>
                  </w:txbxContent>
                </v:textbox>
                <w10:wrap type="square"/>
              </v:shape>
            </w:pict>
          </mc:Fallback>
        </mc:AlternateContent>
      </w:r>
      <w:r>
        <w:rPr>
          <w:noProof/>
          <w:lang w:eastAsia="zh-CN"/>
        </w:rPr>
        <mc:AlternateContent>
          <mc:Choice Requires="wps">
            <w:drawing>
              <wp:anchor distT="45720" distB="45720" distL="114300" distR="114300" simplePos="0" relativeHeight="251664384" behindDoc="0" locked="0" layoutInCell="1" allowOverlap="1">
                <wp:simplePos x="0" y="0"/>
                <wp:positionH relativeFrom="column">
                  <wp:posOffset>666750</wp:posOffset>
                </wp:positionH>
                <wp:positionV relativeFrom="paragraph">
                  <wp:posOffset>196850</wp:posOffset>
                </wp:positionV>
                <wp:extent cx="825500" cy="3835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83540"/>
                        </a:xfrm>
                        <a:prstGeom prst="rect">
                          <a:avLst/>
                        </a:prstGeom>
                        <a:noFill/>
                        <a:ln w="9525">
                          <a:noFill/>
                          <a:miter lim="800000"/>
                          <a:headEnd/>
                          <a:tailEnd/>
                        </a:ln>
                      </wps:spPr>
                      <wps:txbx>
                        <w:txbxContent>
                          <w:p w:rsidR="00C32E63" w:rsidRPr="00C07C1C" w:rsidRDefault="00C32E63" w:rsidP="00C32E63">
                            <w:pPr>
                              <w:rPr>
                                <w:sz w:val="20"/>
                                <w:szCs w:val="20"/>
                              </w:rPr>
                            </w:pPr>
                            <w:r w:rsidRPr="00C07C1C">
                              <w:rPr>
                                <w:sz w:val="20"/>
                                <w:szCs w:val="20"/>
                              </w:rPr>
                              <w:t>Metasin +ve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2.5pt;margin-top:15.5pt;width:65pt;height:30.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" filled="f" stroked="f">
                <v:textbox style="mso-fit-shape-to-text:t">
                  <w:txbxContent>
                    <w:p w:rsidR="00C32E63" w:rsidRPr="00C07C1C" w:rsidRDefault="00C32E63" w:rsidP="00C32E63">
                      <w:pPr>
                        <w:rPr>
                          <w:sz w:val="20"/>
                          <w:szCs w:val="20"/>
                        </w:rPr>
                      </w:pPr>
                      <w:r w:rsidRPr="00C07C1C">
                        <w:rPr>
                          <w:sz w:val="20"/>
                          <w:szCs w:val="20"/>
                        </w:rPr>
                        <w:t>Metasin +ve</w:t>
                      </w:r>
                    </w:p>
                  </w:txbxContent>
                </v:textbox>
                <w10:wrap type="square"/>
              </v:shape>
            </w:pict>
          </mc:Fallback>
        </mc:AlternateContent>
      </w:r>
      <w:r>
        <w:rPr>
          <w:noProof/>
          <w:lang w:eastAsia="zh-CN"/>
        </w:rPr>
        <mc:AlternateContent>
          <mc:Choice Requires="wps">
            <w:drawing>
              <wp:anchor distT="0" distB="0" distL="114300" distR="114300" simplePos="0" relativeHeight="251666432" behindDoc="0" locked="0" layoutInCell="1" allowOverlap="1">
                <wp:simplePos x="0" y="0"/>
                <wp:positionH relativeFrom="column">
                  <wp:posOffset>1492250</wp:posOffset>
                </wp:positionH>
                <wp:positionV relativeFrom="paragraph">
                  <wp:posOffset>273050</wp:posOffset>
                </wp:positionV>
                <wp:extent cx="101600" cy="88900"/>
                <wp:effectExtent l="0" t="0" r="127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17.5pt;margin-top:21.5pt;width:8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" filled="f" strokecolor="black [3213]" strokeweight="2pt">
                <v:path arrowok="t"/>
              </v:rect>
            </w:pict>
          </mc:Fallback>
        </mc:AlternateContent>
      </w:r>
      <w:r w:rsidR="00C32E63" w:rsidRPr="00967DB9">
        <w:rPr>
          <w:b/>
          <w:noProof/>
          <w:lang w:eastAsia="zh-CN"/>
        </w:rPr>
        <w:drawing>
          <wp:anchor distT="0" distB="0" distL="114300" distR="114300" simplePos="0" relativeHeight="251657216" behindDoc="0" locked="0" layoutInCell="1" allowOverlap="1" wp14:anchorId="76BD8E43" wp14:editId="610790BB">
            <wp:simplePos x="0" y="0"/>
            <wp:positionH relativeFrom="margin">
              <wp:posOffset>146050</wp:posOffset>
            </wp:positionH>
            <wp:positionV relativeFrom="paragraph">
              <wp:posOffset>88900</wp:posOffset>
            </wp:positionV>
            <wp:extent cx="5143500" cy="27622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C32E63" w:rsidRPr="00967DB9">
        <w:rPr>
          <w:b/>
        </w:rPr>
        <w:br w:type="textWrapping" w:clear="all"/>
      </w:r>
      <w:r w:rsidR="001A45D6">
        <w:rPr>
          <w:b/>
        </w:rPr>
        <w:t>C</w:t>
      </w:r>
      <w:r w:rsidR="001B2157" w:rsidRPr="00CC3ABA">
        <w:rPr>
          <w:b/>
        </w:rPr>
        <w:t xml:space="preserve">omparison of </w:t>
      </w:r>
      <w:r w:rsidR="00056AA9">
        <w:rPr>
          <w:b/>
        </w:rPr>
        <w:t>Histology</w:t>
      </w:r>
      <w:r w:rsidR="00EA01C1" w:rsidRPr="00CC3ABA">
        <w:rPr>
          <w:b/>
        </w:rPr>
        <w:t xml:space="preserve"> </w:t>
      </w:r>
      <w:r w:rsidR="001B2157" w:rsidRPr="00CC3ABA">
        <w:rPr>
          <w:b/>
        </w:rPr>
        <w:t>and</w:t>
      </w:r>
      <w:r w:rsidR="00EA01C1" w:rsidRPr="00CC3ABA">
        <w:rPr>
          <w:b/>
        </w:rPr>
        <w:t xml:space="preserve"> Metasin</w:t>
      </w:r>
    </w:p>
    <w:p w:rsidR="00A43470" w:rsidRDefault="00B13829" w:rsidP="000A3543">
      <w:pPr>
        <w:spacing w:before="100" w:beforeAutospacing="1"/>
      </w:pPr>
      <w:r>
        <w:t>For this analysis p</w:t>
      </w:r>
      <w:r w:rsidR="00397E4F">
        <w:t xml:space="preserve">atients were </w:t>
      </w:r>
      <w:r w:rsidR="00F5014E">
        <w:t xml:space="preserve">defined as </w:t>
      </w:r>
      <w:r w:rsidR="00397E4F">
        <w:t xml:space="preserve">Metasin </w:t>
      </w:r>
      <w:r w:rsidR="00F5014E">
        <w:t xml:space="preserve">positive </w:t>
      </w:r>
      <w:r w:rsidR="00397E4F">
        <w:t xml:space="preserve">(macrometastasis or micrometastasis) </w:t>
      </w:r>
      <w:r w:rsidR="00F5014E">
        <w:t>if they are MGB and/or CK19 positive according to the values in Table 1.</w:t>
      </w:r>
      <w:r w:rsidR="00A61389">
        <w:t xml:space="preserve"> </w:t>
      </w:r>
      <w:r w:rsidR="00E55A29">
        <w:t xml:space="preserve">75 </w:t>
      </w:r>
      <w:r w:rsidR="0024712F">
        <w:t xml:space="preserve">patients </w:t>
      </w:r>
      <w:r w:rsidR="00E55A29">
        <w:t xml:space="preserve">were </w:t>
      </w:r>
      <w:r w:rsidR="0024712F">
        <w:t xml:space="preserve">Metasin </w:t>
      </w:r>
      <w:r w:rsidR="00E55A29">
        <w:t xml:space="preserve">positive (30%). </w:t>
      </w:r>
      <w:r w:rsidR="00397E4F">
        <w:t>Of these</w:t>
      </w:r>
      <w:r w:rsidR="00E55A29">
        <w:t xml:space="preserve"> 6 were positive for MGB (</w:t>
      </w:r>
      <w:r w:rsidR="00FC5D5D">
        <w:t>2.4%</w:t>
      </w:r>
      <w:r w:rsidR="00E55A29">
        <w:t>), 26 were positive for CK19 (</w:t>
      </w:r>
      <w:r w:rsidR="00FC5D5D">
        <w:t>10.4</w:t>
      </w:r>
      <w:r w:rsidR="006D1641">
        <w:t>%</w:t>
      </w:r>
      <w:r w:rsidR="00E55A29">
        <w:t>) and 43 were positive for both markers (</w:t>
      </w:r>
      <w:r w:rsidR="00FC5D5D">
        <w:t>17.2</w:t>
      </w:r>
      <w:r w:rsidR="006D1641">
        <w:t>%</w:t>
      </w:r>
      <w:r w:rsidR="00E55A29">
        <w:t>).</w:t>
      </w:r>
    </w:p>
    <w:p w:rsidR="00D36693" w:rsidRPr="00D36693" w:rsidRDefault="00D36693" w:rsidP="0006008C">
      <w:pPr>
        <w:spacing w:line="240" w:lineRule="auto"/>
      </w:pPr>
      <w:r w:rsidRPr="00D36693">
        <w:t>The</w:t>
      </w:r>
      <w:r>
        <w:t xml:space="preserve"> results comparing the patients Metasin assay results to routine </w:t>
      </w:r>
      <w:r w:rsidR="00056AA9">
        <w:t>Histology</w:t>
      </w:r>
      <w:r>
        <w:t xml:space="preserve"> are shown in Table 6.</w:t>
      </w:r>
    </w:p>
    <w:p w:rsidR="00D36693" w:rsidRDefault="00D36693" w:rsidP="0006008C">
      <w:pPr>
        <w:spacing w:line="240" w:lineRule="auto"/>
        <w:rPr>
          <w:b/>
        </w:rPr>
      </w:pPr>
    </w:p>
    <w:p w:rsidR="003E5CB0" w:rsidRDefault="003E5CB0" w:rsidP="003E5CB0">
      <w:pPr>
        <w:spacing w:line="240" w:lineRule="auto"/>
      </w:pPr>
      <w:r w:rsidRPr="00657A57">
        <w:rPr>
          <w:b/>
        </w:rPr>
        <w:t xml:space="preserve">Table </w:t>
      </w:r>
      <w:r>
        <w:rPr>
          <w:b/>
        </w:rPr>
        <w:t>6</w:t>
      </w:r>
      <w:r w:rsidRPr="00657A57">
        <w:rPr>
          <w:b/>
        </w:rPr>
        <w:t>:</w:t>
      </w:r>
      <w:r>
        <w:t xml:space="preserve"> Comparison of Histology and Metasin results. Positive v Negative. </w:t>
      </w:r>
    </w:p>
    <w:p w:rsidR="003E5CB0" w:rsidRDefault="003E5CB0" w:rsidP="003E5CB0">
      <w:pPr>
        <w:spacing w:line="240" w:lineRule="auto"/>
      </w:pPr>
      <w:r>
        <w:t xml:space="preserve">               (N = 250)</w:t>
      </w:r>
    </w:p>
    <w:tbl>
      <w:tblPr>
        <w:tblpPr w:leftFromText="180" w:rightFromText="180" w:vertAnchor="text" w:horzAnchor="page" w:tblpX="2593"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140"/>
        <w:gridCol w:w="1142"/>
        <w:gridCol w:w="1134"/>
      </w:tblGrid>
      <w:tr w:rsidR="003E5CB0" w:rsidTr="00D3204E">
        <w:tc>
          <w:tcPr>
            <w:tcW w:w="520" w:type="dxa"/>
            <w:tcBorders>
              <w:top w:val="nil"/>
              <w:left w:val="nil"/>
              <w:bottom w:val="nil"/>
              <w:right w:val="nil"/>
            </w:tcBorders>
            <w:shd w:val="clear" w:color="auto" w:fill="auto"/>
          </w:tcPr>
          <w:p w:rsidR="003E5CB0" w:rsidRDefault="003E5CB0" w:rsidP="00D3204E"/>
        </w:tc>
        <w:tc>
          <w:tcPr>
            <w:tcW w:w="1140" w:type="dxa"/>
            <w:tcBorders>
              <w:top w:val="nil"/>
              <w:left w:val="nil"/>
              <w:bottom w:val="nil"/>
              <w:right w:val="single" w:sz="4" w:space="0" w:color="auto"/>
            </w:tcBorders>
          </w:tcPr>
          <w:p w:rsidR="003E5CB0" w:rsidRDefault="003E5CB0" w:rsidP="00D3204E"/>
        </w:tc>
        <w:tc>
          <w:tcPr>
            <w:tcW w:w="2276" w:type="dxa"/>
            <w:gridSpan w:val="2"/>
            <w:tcBorders>
              <w:left w:val="single" w:sz="4" w:space="0" w:color="auto"/>
            </w:tcBorders>
          </w:tcPr>
          <w:p w:rsidR="003E5CB0" w:rsidRPr="00637C82" w:rsidRDefault="003E5CB0" w:rsidP="00D3204E">
            <w:pPr>
              <w:jc w:val="center"/>
              <w:rPr>
                <w:b/>
              </w:rPr>
            </w:pPr>
            <w:r w:rsidRPr="00637C82">
              <w:rPr>
                <w:b/>
              </w:rPr>
              <w:t>Histology</w:t>
            </w:r>
          </w:p>
        </w:tc>
      </w:tr>
      <w:tr w:rsidR="003E5CB0" w:rsidTr="00D3204E">
        <w:tc>
          <w:tcPr>
            <w:tcW w:w="520" w:type="dxa"/>
            <w:tcBorders>
              <w:top w:val="nil"/>
              <w:left w:val="nil"/>
              <w:right w:val="nil"/>
            </w:tcBorders>
            <w:shd w:val="clear" w:color="auto" w:fill="auto"/>
          </w:tcPr>
          <w:p w:rsidR="003E5CB0" w:rsidRDefault="003E5CB0" w:rsidP="00D3204E"/>
        </w:tc>
        <w:tc>
          <w:tcPr>
            <w:tcW w:w="1140" w:type="dxa"/>
            <w:tcBorders>
              <w:top w:val="nil"/>
              <w:left w:val="nil"/>
            </w:tcBorders>
          </w:tcPr>
          <w:p w:rsidR="003E5CB0" w:rsidRDefault="003E5CB0" w:rsidP="00D3204E"/>
        </w:tc>
        <w:tc>
          <w:tcPr>
            <w:tcW w:w="1142" w:type="dxa"/>
          </w:tcPr>
          <w:p w:rsidR="003E5CB0" w:rsidRDefault="003E5CB0" w:rsidP="00D3204E">
            <w:pPr>
              <w:jc w:val="center"/>
            </w:pPr>
            <w:r>
              <w:t>Positive</w:t>
            </w:r>
          </w:p>
        </w:tc>
        <w:tc>
          <w:tcPr>
            <w:tcW w:w="1134" w:type="dxa"/>
          </w:tcPr>
          <w:p w:rsidR="003E5CB0" w:rsidRDefault="003E5CB0" w:rsidP="00D3204E">
            <w:pPr>
              <w:jc w:val="center"/>
            </w:pPr>
            <w:r>
              <w:t>Negative</w:t>
            </w:r>
          </w:p>
        </w:tc>
      </w:tr>
      <w:tr w:rsidR="003E5CB0" w:rsidTr="00D3204E">
        <w:trPr>
          <w:trHeight w:val="314"/>
        </w:trPr>
        <w:tc>
          <w:tcPr>
            <w:tcW w:w="520" w:type="dxa"/>
            <w:vMerge w:val="restart"/>
            <w:shd w:val="clear" w:color="auto" w:fill="auto"/>
            <w:textDirection w:val="btLr"/>
          </w:tcPr>
          <w:p w:rsidR="003E5CB0" w:rsidRPr="00F073BE" w:rsidRDefault="003E5CB0" w:rsidP="00D3204E">
            <w:pPr>
              <w:ind w:left="113" w:right="113"/>
              <w:jc w:val="center"/>
              <w:rPr>
                <w:b/>
              </w:rPr>
            </w:pPr>
            <w:r w:rsidRPr="00F073BE">
              <w:rPr>
                <w:b/>
              </w:rPr>
              <w:t>Metasin</w:t>
            </w:r>
          </w:p>
        </w:tc>
        <w:tc>
          <w:tcPr>
            <w:tcW w:w="1140" w:type="dxa"/>
            <w:vAlign w:val="bottom"/>
          </w:tcPr>
          <w:p w:rsidR="003E5CB0" w:rsidRDefault="003E5CB0" w:rsidP="00D3204E">
            <w:pPr>
              <w:jc w:val="center"/>
            </w:pPr>
            <w:r>
              <w:t>Positive</w:t>
            </w:r>
          </w:p>
        </w:tc>
        <w:tc>
          <w:tcPr>
            <w:tcW w:w="1142" w:type="dxa"/>
            <w:vAlign w:val="bottom"/>
          </w:tcPr>
          <w:p w:rsidR="003E5CB0" w:rsidRDefault="003E5CB0" w:rsidP="00D3204E">
            <w:pPr>
              <w:jc w:val="center"/>
            </w:pPr>
            <w:r>
              <w:t>53</w:t>
            </w:r>
          </w:p>
        </w:tc>
        <w:tc>
          <w:tcPr>
            <w:tcW w:w="1134" w:type="dxa"/>
            <w:vAlign w:val="bottom"/>
          </w:tcPr>
          <w:p w:rsidR="003E5CB0" w:rsidRDefault="003E5CB0" w:rsidP="00D3204E">
            <w:pPr>
              <w:jc w:val="center"/>
            </w:pPr>
            <w:r>
              <w:t>22</w:t>
            </w:r>
          </w:p>
        </w:tc>
      </w:tr>
      <w:tr w:rsidR="003E5CB0" w:rsidTr="00D3204E">
        <w:trPr>
          <w:trHeight w:val="307"/>
        </w:trPr>
        <w:tc>
          <w:tcPr>
            <w:tcW w:w="520" w:type="dxa"/>
            <w:vMerge/>
            <w:shd w:val="clear" w:color="auto" w:fill="auto"/>
          </w:tcPr>
          <w:p w:rsidR="003E5CB0" w:rsidRDefault="003E5CB0" w:rsidP="00D3204E"/>
        </w:tc>
        <w:tc>
          <w:tcPr>
            <w:tcW w:w="1140" w:type="dxa"/>
            <w:vAlign w:val="bottom"/>
          </w:tcPr>
          <w:p w:rsidR="003E5CB0" w:rsidRDefault="003E5CB0" w:rsidP="00D3204E">
            <w:pPr>
              <w:jc w:val="center"/>
            </w:pPr>
            <w:r>
              <w:t>Negative</w:t>
            </w:r>
          </w:p>
        </w:tc>
        <w:tc>
          <w:tcPr>
            <w:tcW w:w="1142" w:type="dxa"/>
            <w:vAlign w:val="bottom"/>
          </w:tcPr>
          <w:p w:rsidR="003E5CB0" w:rsidRDefault="003E5CB0" w:rsidP="00D3204E">
            <w:pPr>
              <w:jc w:val="center"/>
            </w:pPr>
            <w:r>
              <w:t>5</w:t>
            </w:r>
          </w:p>
        </w:tc>
        <w:tc>
          <w:tcPr>
            <w:tcW w:w="1134" w:type="dxa"/>
            <w:vAlign w:val="bottom"/>
          </w:tcPr>
          <w:p w:rsidR="003E5CB0" w:rsidRDefault="003E5CB0" w:rsidP="00D3204E">
            <w:pPr>
              <w:jc w:val="center"/>
            </w:pPr>
            <w:r>
              <w:t>170</w:t>
            </w:r>
          </w:p>
        </w:tc>
      </w:tr>
    </w:tbl>
    <w:p w:rsidR="003E5CB0" w:rsidRDefault="003E5CB0" w:rsidP="003E5CB0"/>
    <w:p w:rsidR="003E5CB0" w:rsidRDefault="003E5CB0" w:rsidP="003E5CB0"/>
    <w:p w:rsidR="003E5CB0" w:rsidRPr="002B3948" w:rsidRDefault="003E5CB0" w:rsidP="003E5CB0">
      <w:pPr>
        <w:spacing w:before="240"/>
      </w:pPr>
    </w:p>
    <w:p w:rsidR="00BB4E1E" w:rsidRDefault="00BB4E1E" w:rsidP="00A43470"/>
    <w:p w:rsidR="00A43470" w:rsidRDefault="00DC5D70" w:rsidP="00A43470">
      <w:r>
        <w:lastRenderedPageBreak/>
        <w:t xml:space="preserve">Comparing the </w:t>
      </w:r>
      <w:r w:rsidR="00056AA9">
        <w:t>Histology</w:t>
      </w:r>
      <w:r>
        <w:t xml:space="preserve"> results to the Metasin assay</w:t>
      </w:r>
      <w:r w:rsidR="0006008C">
        <w:t xml:space="preserve"> (N=223)</w:t>
      </w:r>
      <w:r w:rsidR="000A796E">
        <w:t>,</w:t>
      </w:r>
      <w:r>
        <w:t xml:space="preserve"> </w:t>
      </w:r>
      <w:r w:rsidR="001E7E91">
        <w:t>89.2</w:t>
      </w:r>
      <w:r w:rsidR="005E1A10">
        <w:t xml:space="preserve">% of </w:t>
      </w:r>
      <w:r w:rsidR="000A796E">
        <w:t xml:space="preserve">patients </w:t>
      </w:r>
      <w:r w:rsidR="00F95D8E">
        <w:t>gave</w:t>
      </w:r>
      <w:r w:rsidR="000A796E">
        <w:t xml:space="preserve"> concordant results</w:t>
      </w:r>
      <w:r w:rsidR="0006008C">
        <w:t>,</w:t>
      </w:r>
      <w:r w:rsidR="007611CE">
        <w:t xml:space="preserve"> </w:t>
      </w:r>
      <w:r w:rsidR="000A796E">
        <w:t xml:space="preserve">53 </w:t>
      </w:r>
      <w:r w:rsidR="00F95D8E">
        <w:t xml:space="preserve">patients </w:t>
      </w:r>
      <w:r w:rsidR="000A796E">
        <w:t>(21</w:t>
      </w:r>
      <w:r w:rsidR="00DD7F56">
        <w:t>.2</w:t>
      </w:r>
      <w:r w:rsidR="000A796E">
        <w:t xml:space="preserve">%) were </w:t>
      </w:r>
      <w:r w:rsidR="00056AA9">
        <w:t>Histology</w:t>
      </w:r>
      <w:r w:rsidR="000A796E">
        <w:t xml:space="preserve"> positive and Metasin positive (Hist +ve</w:t>
      </w:r>
      <w:r w:rsidR="00F95D8E">
        <w:t>/</w:t>
      </w:r>
      <w:r w:rsidR="000A796E">
        <w:t xml:space="preserve"> </w:t>
      </w:r>
      <w:r w:rsidR="00F95D8E">
        <w:t>M</w:t>
      </w:r>
      <w:r w:rsidR="000A796E">
        <w:t xml:space="preserve">et +ve) and 170 </w:t>
      </w:r>
      <w:r w:rsidR="00F95D8E">
        <w:t>(68</w:t>
      </w:r>
      <w:r w:rsidR="000A796E">
        <w:t xml:space="preserve"> %) were </w:t>
      </w:r>
      <w:r w:rsidR="00056AA9">
        <w:t>Histology</w:t>
      </w:r>
      <w:r w:rsidR="000A796E">
        <w:t xml:space="preserve"> negative and Metasin negative (Hist –ve</w:t>
      </w:r>
      <w:r w:rsidR="00F95D8E">
        <w:t>/</w:t>
      </w:r>
      <w:r w:rsidR="000A796E">
        <w:t xml:space="preserve"> Met –ve).</w:t>
      </w:r>
      <w:r w:rsidR="00F95D8E">
        <w:t xml:space="preserve"> </w:t>
      </w:r>
      <w:r w:rsidR="009A3449">
        <w:t xml:space="preserve">27 </w:t>
      </w:r>
      <w:r w:rsidR="00F95D8E">
        <w:t>results</w:t>
      </w:r>
      <w:r w:rsidR="009A3449">
        <w:t xml:space="preserve"> were discordant. 2</w:t>
      </w:r>
      <w:r w:rsidR="00F95D8E">
        <w:t>2 (</w:t>
      </w:r>
      <w:r w:rsidR="00DD7F56">
        <w:t>8.8</w:t>
      </w:r>
      <w:r w:rsidR="00F95D8E">
        <w:t xml:space="preserve">%) </w:t>
      </w:r>
      <w:r w:rsidR="009A3449">
        <w:t xml:space="preserve">were </w:t>
      </w:r>
      <w:r w:rsidR="00056AA9">
        <w:t>Histology</w:t>
      </w:r>
      <w:r w:rsidR="009A3449">
        <w:t xml:space="preserve"> negative but Metasin positive (</w:t>
      </w:r>
      <w:r w:rsidR="00F95D8E" w:rsidRPr="00F95D8E">
        <w:t>false positive</w:t>
      </w:r>
      <w:r w:rsidR="009A3449">
        <w:t xml:space="preserve">) and </w:t>
      </w:r>
      <w:r w:rsidR="00F95D8E">
        <w:t xml:space="preserve">5 results </w:t>
      </w:r>
      <w:r w:rsidR="00A43470">
        <w:t xml:space="preserve">(2%) </w:t>
      </w:r>
      <w:r w:rsidR="00F95D8E">
        <w:t xml:space="preserve">were </w:t>
      </w:r>
      <w:r w:rsidR="00056AA9">
        <w:t>Histology</w:t>
      </w:r>
      <w:r w:rsidR="009A3449">
        <w:t xml:space="preserve"> positive but Metasin negative (false</w:t>
      </w:r>
      <w:r w:rsidR="00F95D8E">
        <w:t xml:space="preserve"> negative</w:t>
      </w:r>
      <w:r w:rsidR="009A3449">
        <w:t>).</w:t>
      </w:r>
      <w:r w:rsidR="00F95D8E">
        <w:t xml:space="preserve"> </w:t>
      </w:r>
    </w:p>
    <w:p w:rsidR="004F1C57" w:rsidRDefault="004F1C57" w:rsidP="00A43470"/>
    <w:p w:rsidR="00FC6FC8" w:rsidRPr="00CC3ABA" w:rsidRDefault="004F1C57" w:rsidP="00A43470">
      <w:pPr>
        <w:rPr>
          <w:b/>
        </w:rPr>
      </w:pPr>
      <w:r w:rsidRPr="00CC3ABA">
        <w:rPr>
          <w:b/>
        </w:rPr>
        <w:t>Node by node analysis</w:t>
      </w:r>
    </w:p>
    <w:p w:rsidR="00A43470" w:rsidRDefault="00A43470" w:rsidP="00A43470">
      <w:r>
        <w:t xml:space="preserve">A </w:t>
      </w:r>
      <w:r w:rsidR="002B3948" w:rsidRPr="002B3948">
        <w:t>to</w:t>
      </w:r>
      <w:r w:rsidR="002B3948">
        <w:t>t</w:t>
      </w:r>
      <w:r w:rsidR="002B3948" w:rsidRPr="002B3948">
        <w:t xml:space="preserve">al of 539 nodes were analysed by </w:t>
      </w:r>
      <w:r w:rsidR="00397E4F">
        <w:t>M</w:t>
      </w:r>
      <w:r w:rsidR="002B3948">
        <w:t xml:space="preserve">etasin. On subsequent </w:t>
      </w:r>
      <w:r w:rsidR="00056AA9">
        <w:t>Histology</w:t>
      </w:r>
      <w:r w:rsidR="002B3948">
        <w:t xml:space="preserve"> examination 6 of these contained no nodal tissue, leaving 533 nodes with both </w:t>
      </w:r>
      <w:r w:rsidR="00056AA9">
        <w:t>Histology</w:t>
      </w:r>
      <w:r w:rsidR="002B3948">
        <w:t xml:space="preserve"> and Metasin data.</w:t>
      </w:r>
      <w:r w:rsidR="00B13829">
        <w:t xml:space="preserve"> Concordant results were produced in </w:t>
      </w:r>
      <w:r w:rsidR="005E1A10">
        <w:t>92</w:t>
      </w:r>
      <w:r w:rsidR="00DD7F56">
        <w:t>.3</w:t>
      </w:r>
      <w:r w:rsidR="005E1A10">
        <w:t>% of the nodes (N=</w:t>
      </w:r>
      <w:r w:rsidR="00A579AD">
        <w:t>492</w:t>
      </w:r>
      <w:r w:rsidR="005E1A10">
        <w:t>)</w:t>
      </w:r>
      <w:r w:rsidR="00A579AD">
        <w:t xml:space="preserve"> (71 Hist +ve/Met +ve and 421 Hist –ve</w:t>
      </w:r>
      <w:r w:rsidR="00FC6FC8">
        <w:t>/</w:t>
      </w:r>
      <w:r w:rsidR="00A579AD">
        <w:t xml:space="preserve">Met –ve). Of the </w:t>
      </w:r>
      <w:r w:rsidR="00FC6FC8">
        <w:t>41 discordant nodes, 32 (6%) were false positive (Hist –ve/Met +ve) and 9 (</w:t>
      </w:r>
      <w:r w:rsidR="00DD7F56">
        <w:t>1.7</w:t>
      </w:r>
      <w:r w:rsidR="00FC6FC8">
        <w:t xml:space="preserve">%) were false negatives (Hist +ve/Met –ve). </w:t>
      </w:r>
    </w:p>
    <w:p w:rsidR="0074398A" w:rsidRDefault="0074398A" w:rsidP="005E1A10"/>
    <w:p w:rsidR="005E1A10" w:rsidRDefault="005E1A10" w:rsidP="005E1A10">
      <w:r>
        <w:t>In the false positive cases (N=32) further deeper se</w:t>
      </w:r>
      <w:r w:rsidR="00397E4F">
        <w:t xml:space="preserve">ctions </w:t>
      </w:r>
      <w:r>
        <w:t xml:space="preserve">were examined histologically to minimise </w:t>
      </w:r>
      <w:r w:rsidR="008120E7">
        <w:t>TAB</w:t>
      </w:r>
      <w:r>
        <w:t>. 8 lymph nodes were reclassified as positive. Two were reclassified as macrometastases, four as micrometastases and two as positive containing isolated tumour cells (ITC). The false negative cases (N=9) were retested in the Metasin assay and gave repeatable results.</w:t>
      </w:r>
    </w:p>
    <w:p w:rsidR="001E7E91" w:rsidRDefault="001E7E91" w:rsidP="005E1A10"/>
    <w:p w:rsidR="005E1A10" w:rsidRDefault="005E1A10" w:rsidP="005E1A10">
      <w:r>
        <w:t xml:space="preserve">Based on </w:t>
      </w:r>
      <w:r w:rsidR="001E7E91">
        <w:t>patient results</w:t>
      </w:r>
      <w:r w:rsidR="00DD7F56">
        <w:t>,</w:t>
      </w:r>
      <w:r w:rsidR="001E7E91">
        <w:t xml:space="preserve"> with adjustment for </w:t>
      </w:r>
      <w:r w:rsidR="008120E7">
        <w:t>TAB</w:t>
      </w:r>
      <w:r w:rsidR="00DD7F56">
        <w:t>,</w:t>
      </w:r>
      <w:r w:rsidR="001E7E91">
        <w:t xml:space="preserve"> the concordance of </w:t>
      </w:r>
      <w:r w:rsidR="00056AA9">
        <w:t>Histology</w:t>
      </w:r>
      <w:r w:rsidR="001E7E91">
        <w:t xml:space="preserve"> with Metasin is</w:t>
      </w:r>
      <w:r w:rsidR="00DD7F56">
        <w:t xml:space="preserve"> 92.4</w:t>
      </w:r>
      <w:r w:rsidR="001E7E91">
        <w:t>%</w:t>
      </w:r>
      <w:r w:rsidR="00DD7F56">
        <w:t>. Based on analysing individual nodes, with tissue bias adjustment, the concordance is 93.8%.</w:t>
      </w:r>
    </w:p>
    <w:p w:rsidR="005E1A10" w:rsidRDefault="005E1A10" w:rsidP="00A43470"/>
    <w:p w:rsidR="00FC6FC8" w:rsidRDefault="00FC6FC8" w:rsidP="00FC6FC8">
      <w:r>
        <w:lastRenderedPageBreak/>
        <w:t xml:space="preserve">Based on </w:t>
      </w:r>
      <w:r w:rsidR="001B2157">
        <w:t>patient results, the</w:t>
      </w:r>
      <w:r>
        <w:t xml:space="preserve"> sensitivity of the Metasin assay compared to </w:t>
      </w:r>
      <w:r w:rsidR="00056AA9">
        <w:t>Histology</w:t>
      </w:r>
      <w:r>
        <w:t xml:space="preserve"> is </w:t>
      </w:r>
      <w:r w:rsidR="00805E20">
        <w:t>91.4</w:t>
      </w:r>
      <w:r>
        <w:t xml:space="preserve">% </w:t>
      </w:r>
      <w:r w:rsidR="001B2157">
        <w:t xml:space="preserve">(95% confidence intervals (CI) </w:t>
      </w:r>
      <w:r w:rsidR="00805E20">
        <w:t>80.3</w:t>
      </w:r>
      <w:r w:rsidR="001B2157">
        <w:t xml:space="preserve"> – </w:t>
      </w:r>
      <w:r w:rsidR="00805E20">
        <w:t>96.8</w:t>
      </w:r>
      <w:r w:rsidR="001B2157">
        <w:t xml:space="preserve">%) </w:t>
      </w:r>
      <w:r>
        <w:t xml:space="preserve">and the specificity is </w:t>
      </w:r>
      <w:r w:rsidR="00805E20">
        <w:t>88.5</w:t>
      </w:r>
      <w:r>
        <w:t xml:space="preserve">%. </w:t>
      </w:r>
      <w:r w:rsidR="001E1EE4">
        <w:t xml:space="preserve">(95% CI </w:t>
      </w:r>
      <w:r w:rsidR="00805E20">
        <w:t>83</w:t>
      </w:r>
      <w:r w:rsidR="001E1EE4">
        <w:t xml:space="preserve"> – 9</w:t>
      </w:r>
      <w:r w:rsidR="00805E20">
        <w:t>2.5</w:t>
      </w:r>
      <w:r w:rsidR="001E1EE4">
        <w:t xml:space="preserve">%). </w:t>
      </w:r>
      <w:r>
        <w:t>Metasin has a P</w:t>
      </w:r>
      <w:r w:rsidR="001E1EE4">
        <w:t xml:space="preserve">ositive Predictive Value (PPV) </w:t>
      </w:r>
      <w:r>
        <w:t xml:space="preserve">of </w:t>
      </w:r>
      <w:r w:rsidR="003411AD">
        <w:t>70.7</w:t>
      </w:r>
      <w:r>
        <w:t>% and a N</w:t>
      </w:r>
      <w:r w:rsidR="001E1EE4">
        <w:t xml:space="preserve">egative </w:t>
      </w:r>
      <w:r>
        <w:t>P</w:t>
      </w:r>
      <w:r w:rsidR="001E1EE4">
        <w:t xml:space="preserve">redictive </w:t>
      </w:r>
      <w:r>
        <w:t>V</w:t>
      </w:r>
      <w:r w:rsidR="001E1EE4">
        <w:t>alue (NPV)</w:t>
      </w:r>
      <w:r>
        <w:t xml:space="preserve"> of 97.</w:t>
      </w:r>
      <w:r w:rsidR="003411AD">
        <w:t>1</w:t>
      </w:r>
      <w:r>
        <w:t xml:space="preserve">%. </w:t>
      </w:r>
      <w:r w:rsidR="001E1EE4">
        <w:t xml:space="preserve">When the patient results are adjusted for </w:t>
      </w:r>
      <w:r w:rsidR="008120E7">
        <w:t>TAB</w:t>
      </w:r>
      <w:r w:rsidR="001E1EE4">
        <w:t xml:space="preserve">, the sensitivity is </w:t>
      </w:r>
      <w:r w:rsidR="003411AD">
        <w:t>92.2</w:t>
      </w:r>
      <w:r w:rsidR="001E1EE4">
        <w:t xml:space="preserve">% (95% CI </w:t>
      </w:r>
      <w:r w:rsidR="003411AD">
        <w:t>82</w:t>
      </w:r>
      <w:r w:rsidR="001E1EE4">
        <w:t xml:space="preserve"> – 9</w:t>
      </w:r>
      <w:r w:rsidR="003411AD">
        <w:t>7.1</w:t>
      </w:r>
      <w:r w:rsidR="001E1EE4">
        <w:t xml:space="preserve">%) and the specificity is </w:t>
      </w:r>
      <w:r w:rsidR="003411AD">
        <w:t>91.4</w:t>
      </w:r>
      <w:r w:rsidR="001E1EE4">
        <w:t xml:space="preserve">% (95% CI </w:t>
      </w:r>
      <w:r w:rsidR="003411AD">
        <w:t>86.2</w:t>
      </w:r>
      <w:r w:rsidR="001E1EE4">
        <w:t xml:space="preserve"> – 9</w:t>
      </w:r>
      <w:r w:rsidR="003411AD">
        <w:t>4.8</w:t>
      </w:r>
      <w:r w:rsidR="001E1EE4">
        <w:t>%). The PPV is 78.7% and the NPV is 97.1%.</w:t>
      </w:r>
    </w:p>
    <w:p w:rsidR="00113C0C" w:rsidRDefault="00113C0C" w:rsidP="00FC6FC8"/>
    <w:p w:rsidR="00113C0C" w:rsidRDefault="00113C0C" w:rsidP="00FC6FC8">
      <w:r>
        <w:t xml:space="preserve">Based on the results for individual nodes, the sensitivity of the Metasin assay compared to </w:t>
      </w:r>
      <w:r w:rsidR="00056AA9">
        <w:t>Histology</w:t>
      </w:r>
      <w:r>
        <w:t xml:space="preserve"> is 88.7</w:t>
      </w:r>
      <w:r w:rsidR="00805E20">
        <w:t>%</w:t>
      </w:r>
      <w:r>
        <w:t xml:space="preserve"> (95% CI 79.2 – 94.1%) and the specificity is 92.9% (95% CI 90.1 – 95%). Metasin has a PPV of 68.9% and a NPV of 97.9%. When the node results are adjusted for </w:t>
      </w:r>
      <w:r w:rsidR="008120E7">
        <w:t>TAB</w:t>
      </w:r>
      <w:r>
        <w:t>, the sensitivity is 89.8% (95% CI 81 – 94.9%) and the specificity is 94.6% (95% CI 91.9 – 96.4%). The PPV is 7</w:t>
      </w:r>
      <w:r w:rsidR="003411AD">
        <w:t>6.7</w:t>
      </w:r>
      <w:r>
        <w:t>% and the NPV is 97.</w:t>
      </w:r>
      <w:r w:rsidR="003411AD">
        <w:t>9</w:t>
      </w:r>
      <w:r>
        <w:t>%.</w:t>
      </w:r>
    </w:p>
    <w:p w:rsidR="003E5CB0" w:rsidRDefault="00657A57" w:rsidP="000A3543">
      <w:pPr>
        <w:spacing w:before="360"/>
      </w:pPr>
      <w:r>
        <w:t>Th</w:t>
      </w:r>
      <w:r w:rsidR="00535741">
        <w:t xml:space="preserve">e Metasin </w:t>
      </w:r>
      <w:r>
        <w:t>assay can be used to classify results into three groups, macrometastasis, micrometastasis and negative based on the C</w:t>
      </w:r>
      <w:r w:rsidR="0014192B">
        <w:t>q</w:t>
      </w:r>
      <w:r>
        <w:t xml:space="preserve"> values for the MGB and </w:t>
      </w:r>
      <w:r w:rsidR="00C42B66">
        <w:t>CK19 markers</w:t>
      </w:r>
      <w:r>
        <w:t>.</w:t>
      </w:r>
      <w:r w:rsidR="00810D68">
        <w:t xml:space="preserve"> </w:t>
      </w:r>
      <w:r w:rsidR="00610420">
        <w:t xml:space="preserve"> </w:t>
      </w:r>
      <w:r w:rsidR="00810D68">
        <w:t xml:space="preserve">The Metasin </w:t>
      </w:r>
      <w:r w:rsidR="00E65BAA">
        <w:t xml:space="preserve">classifications </w:t>
      </w:r>
      <w:r w:rsidR="00810D68">
        <w:t xml:space="preserve">for all 533 nodes were compared to </w:t>
      </w:r>
      <w:r w:rsidR="00056AA9">
        <w:t>Histology</w:t>
      </w:r>
      <w:r w:rsidR="00810D68">
        <w:t xml:space="preserve"> and </w:t>
      </w:r>
      <w:r w:rsidR="00610420">
        <w:t xml:space="preserve">the </w:t>
      </w:r>
      <w:r w:rsidR="00810D68">
        <w:t xml:space="preserve">results shown in Table </w:t>
      </w:r>
      <w:r w:rsidR="009D1120">
        <w:t>7.</w:t>
      </w:r>
    </w:p>
    <w:p w:rsidR="003E5CB0" w:rsidRPr="00B94431" w:rsidRDefault="003E5CB0" w:rsidP="003E5CB0">
      <w:pPr>
        <w:spacing w:line="240" w:lineRule="auto"/>
        <w:rPr>
          <w:lang w:val="pt-PT"/>
        </w:rPr>
      </w:pPr>
      <w:r>
        <w:rPr>
          <w:b/>
        </w:rPr>
        <w:t>Table 7</w:t>
      </w:r>
      <w:r w:rsidRPr="00657A57">
        <w:rPr>
          <w:b/>
        </w:rPr>
        <w:t>:</w:t>
      </w:r>
      <w:r>
        <w:t xml:space="preserve"> Comparison of Histology and Metasin results. </w:t>
      </w:r>
      <w:r w:rsidRPr="00B94431">
        <w:rPr>
          <w:lang w:val="pt-PT"/>
        </w:rPr>
        <w:t>Macrometastasis v micrometastasis v negative. (N = 533)</w:t>
      </w:r>
    </w:p>
    <w:p w:rsidR="003E5CB0" w:rsidRPr="00B94431" w:rsidRDefault="003E5CB0" w:rsidP="003E5CB0">
      <w:pPr>
        <w:rPr>
          <w:lang w:val="pt-PT"/>
        </w:rPr>
      </w:pPr>
    </w:p>
    <w:tbl>
      <w:tblPr>
        <w:tblpPr w:leftFromText="180" w:rightFromText="180" w:vertAnchor="text" w:horzAnchor="page" w:tblpX="2593"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140"/>
        <w:gridCol w:w="963"/>
        <w:gridCol w:w="1041"/>
        <w:gridCol w:w="1083"/>
      </w:tblGrid>
      <w:tr w:rsidR="003E5CB0" w:rsidTr="00D3204E">
        <w:tc>
          <w:tcPr>
            <w:tcW w:w="520" w:type="dxa"/>
            <w:tcBorders>
              <w:top w:val="nil"/>
              <w:left w:val="nil"/>
              <w:bottom w:val="nil"/>
              <w:right w:val="nil"/>
            </w:tcBorders>
          </w:tcPr>
          <w:p w:rsidR="003E5CB0" w:rsidRPr="00B94431" w:rsidRDefault="003E5CB0" w:rsidP="00D3204E">
            <w:pPr>
              <w:rPr>
                <w:lang w:val="pt-PT"/>
              </w:rPr>
            </w:pPr>
          </w:p>
        </w:tc>
        <w:tc>
          <w:tcPr>
            <w:tcW w:w="1140" w:type="dxa"/>
            <w:tcBorders>
              <w:top w:val="nil"/>
              <w:left w:val="nil"/>
              <w:bottom w:val="nil"/>
            </w:tcBorders>
          </w:tcPr>
          <w:p w:rsidR="003E5CB0" w:rsidRPr="00B94431" w:rsidRDefault="003E5CB0" w:rsidP="00D3204E">
            <w:pPr>
              <w:jc w:val="center"/>
              <w:rPr>
                <w:lang w:val="pt-PT"/>
              </w:rPr>
            </w:pPr>
          </w:p>
        </w:tc>
        <w:tc>
          <w:tcPr>
            <w:tcW w:w="3087" w:type="dxa"/>
            <w:gridSpan w:val="3"/>
          </w:tcPr>
          <w:p w:rsidR="003E5CB0" w:rsidRPr="00F073BE" w:rsidRDefault="003E5CB0" w:rsidP="00D3204E">
            <w:pPr>
              <w:jc w:val="center"/>
              <w:rPr>
                <w:b/>
              </w:rPr>
            </w:pPr>
            <w:r w:rsidRPr="00F073BE">
              <w:rPr>
                <w:b/>
              </w:rPr>
              <w:t>Histology</w:t>
            </w:r>
          </w:p>
        </w:tc>
      </w:tr>
      <w:tr w:rsidR="003E5CB0" w:rsidTr="00D3204E">
        <w:tc>
          <w:tcPr>
            <w:tcW w:w="520" w:type="dxa"/>
            <w:tcBorders>
              <w:top w:val="nil"/>
              <w:left w:val="nil"/>
              <w:right w:val="nil"/>
            </w:tcBorders>
            <w:shd w:val="clear" w:color="auto" w:fill="auto"/>
          </w:tcPr>
          <w:p w:rsidR="003E5CB0" w:rsidRDefault="003E5CB0" w:rsidP="00D3204E"/>
        </w:tc>
        <w:tc>
          <w:tcPr>
            <w:tcW w:w="1140" w:type="dxa"/>
            <w:tcBorders>
              <w:top w:val="nil"/>
              <w:left w:val="nil"/>
            </w:tcBorders>
          </w:tcPr>
          <w:p w:rsidR="003E5CB0" w:rsidRDefault="003E5CB0" w:rsidP="00D3204E"/>
        </w:tc>
        <w:tc>
          <w:tcPr>
            <w:tcW w:w="963" w:type="dxa"/>
          </w:tcPr>
          <w:p w:rsidR="003E5CB0" w:rsidRDefault="003E5CB0" w:rsidP="00D3204E">
            <w:pPr>
              <w:jc w:val="center"/>
            </w:pPr>
            <w:r>
              <w:t>Macro</w:t>
            </w:r>
          </w:p>
        </w:tc>
        <w:tc>
          <w:tcPr>
            <w:tcW w:w="1041" w:type="dxa"/>
          </w:tcPr>
          <w:p w:rsidR="003E5CB0" w:rsidRDefault="003E5CB0" w:rsidP="00D3204E">
            <w:pPr>
              <w:jc w:val="center"/>
            </w:pPr>
            <w:r>
              <w:t>Micro</w:t>
            </w:r>
          </w:p>
        </w:tc>
        <w:tc>
          <w:tcPr>
            <w:tcW w:w="1083" w:type="dxa"/>
          </w:tcPr>
          <w:p w:rsidR="003E5CB0" w:rsidRDefault="003E5CB0" w:rsidP="00D3204E">
            <w:pPr>
              <w:jc w:val="center"/>
            </w:pPr>
            <w:r>
              <w:t>Negative</w:t>
            </w:r>
          </w:p>
        </w:tc>
      </w:tr>
      <w:tr w:rsidR="003E5CB0" w:rsidTr="00D3204E">
        <w:trPr>
          <w:trHeight w:val="314"/>
        </w:trPr>
        <w:tc>
          <w:tcPr>
            <w:tcW w:w="520" w:type="dxa"/>
            <w:vMerge w:val="restart"/>
            <w:shd w:val="clear" w:color="auto" w:fill="auto"/>
            <w:textDirection w:val="btLr"/>
          </w:tcPr>
          <w:p w:rsidR="003E5CB0" w:rsidRPr="00F073BE" w:rsidRDefault="003E5CB0" w:rsidP="00D3204E">
            <w:pPr>
              <w:ind w:left="113" w:right="113"/>
              <w:jc w:val="center"/>
              <w:rPr>
                <w:b/>
              </w:rPr>
            </w:pPr>
            <w:r w:rsidRPr="00F073BE">
              <w:rPr>
                <w:b/>
              </w:rPr>
              <w:t>Metasin</w:t>
            </w:r>
          </w:p>
        </w:tc>
        <w:tc>
          <w:tcPr>
            <w:tcW w:w="1140" w:type="dxa"/>
            <w:vAlign w:val="bottom"/>
          </w:tcPr>
          <w:p w:rsidR="003E5CB0" w:rsidRDefault="003E5CB0" w:rsidP="00D3204E">
            <w:pPr>
              <w:jc w:val="center"/>
            </w:pPr>
            <w:r>
              <w:t>Macro</w:t>
            </w:r>
          </w:p>
        </w:tc>
        <w:tc>
          <w:tcPr>
            <w:tcW w:w="963" w:type="dxa"/>
            <w:vAlign w:val="bottom"/>
          </w:tcPr>
          <w:p w:rsidR="003E5CB0" w:rsidRDefault="003E5CB0" w:rsidP="00D3204E">
            <w:pPr>
              <w:jc w:val="center"/>
            </w:pPr>
            <w:r>
              <w:t>48</w:t>
            </w:r>
          </w:p>
        </w:tc>
        <w:tc>
          <w:tcPr>
            <w:tcW w:w="1041" w:type="dxa"/>
            <w:vAlign w:val="bottom"/>
          </w:tcPr>
          <w:p w:rsidR="003E5CB0" w:rsidRDefault="003E5CB0" w:rsidP="00D3204E">
            <w:pPr>
              <w:jc w:val="center"/>
            </w:pPr>
            <w:r>
              <w:t>6</w:t>
            </w:r>
          </w:p>
        </w:tc>
        <w:tc>
          <w:tcPr>
            <w:tcW w:w="1083" w:type="dxa"/>
            <w:vAlign w:val="bottom"/>
          </w:tcPr>
          <w:p w:rsidR="003E5CB0" w:rsidRDefault="003E5CB0" w:rsidP="00D3204E">
            <w:pPr>
              <w:jc w:val="center"/>
            </w:pPr>
            <w:r>
              <w:t>6</w:t>
            </w:r>
          </w:p>
        </w:tc>
      </w:tr>
      <w:tr w:rsidR="003E5CB0" w:rsidTr="00D3204E">
        <w:trPr>
          <w:trHeight w:val="307"/>
        </w:trPr>
        <w:tc>
          <w:tcPr>
            <w:tcW w:w="520" w:type="dxa"/>
            <w:vMerge/>
            <w:shd w:val="clear" w:color="auto" w:fill="auto"/>
          </w:tcPr>
          <w:p w:rsidR="003E5CB0" w:rsidRDefault="003E5CB0" w:rsidP="00D3204E"/>
        </w:tc>
        <w:tc>
          <w:tcPr>
            <w:tcW w:w="1140" w:type="dxa"/>
            <w:vAlign w:val="bottom"/>
          </w:tcPr>
          <w:p w:rsidR="003E5CB0" w:rsidRDefault="003E5CB0" w:rsidP="00D3204E">
            <w:pPr>
              <w:jc w:val="center"/>
            </w:pPr>
            <w:r>
              <w:t>Micro</w:t>
            </w:r>
          </w:p>
        </w:tc>
        <w:tc>
          <w:tcPr>
            <w:tcW w:w="963" w:type="dxa"/>
            <w:vAlign w:val="bottom"/>
          </w:tcPr>
          <w:p w:rsidR="003E5CB0" w:rsidRDefault="003E5CB0" w:rsidP="00D3204E">
            <w:pPr>
              <w:jc w:val="center"/>
            </w:pPr>
            <w:r>
              <w:t>6</w:t>
            </w:r>
          </w:p>
        </w:tc>
        <w:tc>
          <w:tcPr>
            <w:tcW w:w="1041" w:type="dxa"/>
            <w:vAlign w:val="bottom"/>
          </w:tcPr>
          <w:p w:rsidR="003E5CB0" w:rsidRDefault="003E5CB0" w:rsidP="00D3204E">
            <w:pPr>
              <w:jc w:val="center"/>
            </w:pPr>
            <w:r>
              <w:t>11</w:t>
            </w:r>
          </w:p>
        </w:tc>
        <w:tc>
          <w:tcPr>
            <w:tcW w:w="1083" w:type="dxa"/>
            <w:vAlign w:val="bottom"/>
          </w:tcPr>
          <w:p w:rsidR="003E5CB0" w:rsidRDefault="003E5CB0" w:rsidP="00D3204E">
            <w:pPr>
              <w:jc w:val="center"/>
            </w:pPr>
            <w:r>
              <w:t>26</w:t>
            </w:r>
          </w:p>
        </w:tc>
      </w:tr>
      <w:tr w:rsidR="003E5CB0" w:rsidTr="00D3204E">
        <w:trPr>
          <w:trHeight w:val="454"/>
        </w:trPr>
        <w:tc>
          <w:tcPr>
            <w:tcW w:w="520" w:type="dxa"/>
            <w:vMerge/>
            <w:tcBorders>
              <w:bottom w:val="single" w:sz="4" w:space="0" w:color="auto"/>
            </w:tcBorders>
            <w:shd w:val="clear" w:color="auto" w:fill="auto"/>
          </w:tcPr>
          <w:p w:rsidR="003E5CB0" w:rsidRDefault="003E5CB0" w:rsidP="00D3204E"/>
        </w:tc>
        <w:tc>
          <w:tcPr>
            <w:tcW w:w="1140" w:type="dxa"/>
            <w:vAlign w:val="bottom"/>
          </w:tcPr>
          <w:p w:rsidR="003E5CB0" w:rsidRDefault="003E5CB0" w:rsidP="00D3204E">
            <w:pPr>
              <w:jc w:val="center"/>
            </w:pPr>
            <w:r>
              <w:t>Negative</w:t>
            </w:r>
          </w:p>
        </w:tc>
        <w:tc>
          <w:tcPr>
            <w:tcW w:w="963" w:type="dxa"/>
            <w:vAlign w:val="bottom"/>
          </w:tcPr>
          <w:p w:rsidR="003E5CB0" w:rsidRDefault="003E5CB0" w:rsidP="00D3204E">
            <w:pPr>
              <w:jc w:val="center"/>
            </w:pPr>
            <w:r>
              <w:t>2</w:t>
            </w:r>
          </w:p>
        </w:tc>
        <w:tc>
          <w:tcPr>
            <w:tcW w:w="1041" w:type="dxa"/>
            <w:vAlign w:val="bottom"/>
          </w:tcPr>
          <w:p w:rsidR="003E5CB0" w:rsidRDefault="003E5CB0" w:rsidP="00D3204E">
            <w:pPr>
              <w:jc w:val="center"/>
            </w:pPr>
            <w:r>
              <w:t>7</w:t>
            </w:r>
          </w:p>
        </w:tc>
        <w:tc>
          <w:tcPr>
            <w:tcW w:w="1083" w:type="dxa"/>
            <w:vAlign w:val="bottom"/>
          </w:tcPr>
          <w:p w:rsidR="003E5CB0" w:rsidRDefault="003E5CB0" w:rsidP="00D3204E">
            <w:pPr>
              <w:jc w:val="center"/>
            </w:pPr>
            <w:r>
              <w:t>421</w:t>
            </w:r>
          </w:p>
        </w:tc>
      </w:tr>
    </w:tbl>
    <w:p w:rsidR="003E5CB0" w:rsidRDefault="003E5CB0" w:rsidP="003E5CB0"/>
    <w:p w:rsidR="003E5CB0" w:rsidRDefault="003E5CB0" w:rsidP="003E5CB0"/>
    <w:p w:rsidR="003E5CB0" w:rsidRPr="002B3948" w:rsidRDefault="003E5CB0" w:rsidP="003E5CB0">
      <w:pPr>
        <w:spacing w:before="240"/>
      </w:pPr>
    </w:p>
    <w:p w:rsidR="003E5CB0" w:rsidRDefault="003E5CB0" w:rsidP="003E5CB0">
      <w:pPr>
        <w:spacing w:before="240"/>
        <w:rPr>
          <w:b/>
        </w:rPr>
      </w:pPr>
    </w:p>
    <w:p w:rsidR="00D40AC7" w:rsidRDefault="001B2157" w:rsidP="001B2157">
      <w:pPr>
        <w:spacing w:before="360"/>
      </w:pPr>
      <w:r>
        <w:lastRenderedPageBreak/>
        <w:t xml:space="preserve">The Metasin assay was 90% concordant when compared to the </w:t>
      </w:r>
      <w:r w:rsidR="00056AA9">
        <w:t>Histology</w:t>
      </w:r>
      <w:r>
        <w:t xml:space="preserve"> (N=480). A significant set </w:t>
      </w:r>
      <w:r w:rsidR="00773A31">
        <w:t>of</w:t>
      </w:r>
      <w:r>
        <w:t xml:space="preserve"> </w:t>
      </w:r>
      <w:r w:rsidR="00773A31">
        <w:t>32</w:t>
      </w:r>
      <w:r>
        <w:t xml:space="preserve"> nodes, negative by </w:t>
      </w:r>
      <w:r w:rsidR="00056AA9">
        <w:t>Histology</w:t>
      </w:r>
      <w:r>
        <w:t xml:space="preserve">, were classified as </w:t>
      </w:r>
      <w:r w:rsidR="00773A31">
        <w:t xml:space="preserve">positive by </w:t>
      </w:r>
      <w:r>
        <w:t>Metasin (</w:t>
      </w:r>
      <w:r w:rsidR="00773A31">
        <w:t>6</w:t>
      </w:r>
      <w:r>
        <w:t xml:space="preserve">%). </w:t>
      </w:r>
      <w:r w:rsidR="00773A31">
        <w:t xml:space="preserve"> 6 nodes were macro</w:t>
      </w:r>
      <w:r w:rsidR="00D40AC7">
        <w:t>m</w:t>
      </w:r>
      <w:r w:rsidR="00773A31">
        <w:t>etast</w:t>
      </w:r>
      <w:r w:rsidR="00277FB0">
        <w:t>a</w:t>
      </w:r>
      <w:r w:rsidR="00773A31">
        <w:t>ses</w:t>
      </w:r>
      <w:r w:rsidR="00D40AC7">
        <w:t xml:space="preserve"> (1.1%) </w:t>
      </w:r>
      <w:r w:rsidR="00773A31">
        <w:t xml:space="preserve">and 26 </w:t>
      </w:r>
      <w:r w:rsidR="00D40AC7">
        <w:t>micrometast</w:t>
      </w:r>
      <w:r w:rsidR="00277FB0">
        <w:t>a</w:t>
      </w:r>
      <w:r w:rsidR="00D40AC7">
        <w:t xml:space="preserve">ses (4.9%) by Metasin. </w:t>
      </w:r>
      <w:r w:rsidR="00773A31">
        <w:t xml:space="preserve"> </w:t>
      </w:r>
      <w:r w:rsidR="00D40AC7">
        <w:t xml:space="preserve">This set of 32 nodes comprised of 22 patients samples. </w:t>
      </w:r>
    </w:p>
    <w:p w:rsidR="001B2157" w:rsidRDefault="00773A31" w:rsidP="001B2157">
      <w:pPr>
        <w:spacing w:before="360"/>
      </w:pPr>
      <w:r>
        <w:t>A smaller, but equally significant</w:t>
      </w:r>
      <w:r w:rsidR="00277FB0">
        <w:t>,</w:t>
      </w:r>
      <w:r>
        <w:t xml:space="preserve"> set of </w:t>
      </w:r>
      <w:r w:rsidR="00D40AC7">
        <w:t xml:space="preserve">9 </w:t>
      </w:r>
      <w:r>
        <w:t>nodes were positive</w:t>
      </w:r>
      <w:r w:rsidR="00D40AC7">
        <w:t xml:space="preserve"> by </w:t>
      </w:r>
      <w:r w:rsidR="00056AA9">
        <w:t>Histology</w:t>
      </w:r>
      <w:r w:rsidR="00D40AC7">
        <w:t xml:space="preserve"> and negative by Metasin (1.7 %). 2 nodes where macrometastase</w:t>
      </w:r>
      <w:r w:rsidR="00277FB0">
        <w:t>s (0.4</w:t>
      </w:r>
      <w:r w:rsidR="00D40AC7">
        <w:t>%) and 7 micrometastases (</w:t>
      </w:r>
      <w:r w:rsidR="00277FB0">
        <w:t>1.3</w:t>
      </w:r>
      <w:r w:rsidR="00D40AC7">
        <w:t xml:space="preserve">%) by </w:t>
      </w:r>
      <w:r w:rsidR="00056AA9">
        <w:t>Histology</w:t>
      </w:r>
      <w:r w:rsidR="00D40AC7">
        <w:t>. This set of 9 nodes comprised of 5 patients samples.</w:t>
      </w:r>
    </w:p>
    <w:p w:rsidR="00A10EBF" w:rsidRPr="00CC3ABA" w:rsidRDefault="001E0640" w:rsidP="002660F5">
      <w:pPr>
        <w:spacing w:before="240"/>
        <w:rPr>
          <w:b/>
        </w:rPr>
      </w:pPr>
      <w:r w:rsidRPr="00CC3ABA">
        <w:rPr>
          <w:b/>
        </w:rPr>
        <w:t>Axillary c</w:t>
      </w:r>
      <w:r w:rsidR="00E03E45" w:rsidRPr="00CC3ABA">
        <w:rPr>
          <w:b/>
        </w:rPr>
        <w:t>learances</w:t>
      </w:r>
    </w:p>
    <w:p w:rsidR="00E63ED8" w:rsidRDefault="007C40C2" w:rsidP="002B6D91">
      <w:pPr>
        <w:spacing w:before="240"/>
      </w:pPr>
      <w:r>
        <w:t xml:space="preserve">In this </w:t>
      </w:r>
      <w:r w:rsidR="00695491">
        <w:t xml:space="preserve">evaluation </w:t>
      </w:r>
      <w:r w:rsidR="00F01DC9">
        <w:t>57</w:t>
      </w:r>
      <w:r w:rsidR="0016453C">
        <w:t>/250</w:t>
      </w:r>
      <w:r w:rsidR="00F01DC9">
        <w:t xml:space="preserve"> patients (23%) proceeded to axillary clearance</w:t>
      </w:r>
      <w:r w:rsidR="00155BA0">
        <w:t xml:space="preserve"> and were spared a second operative procedure</w:t>
      </w:r>
      <w:r w:rsidR="00F01DC9">
        <w:t>. 4</w:t>
      </w:r>
      <w:r w:rsidR="0019104F">
        <w:t>0</w:t>
      </w:r>
      <w:r w:rsidR="00F01DC9">
        <w:t xml:space="preserve"> </w:t>
      </w:r>
      <w:r w:rsidR="00155BA0">
        <w:t xml:space="preserve">patients (70%) </w:t>
      </w:r>
      <w:r w:rsidR="00F01DC9">
        <w:t xml:space="preserve">had been classified </w:t>
      </w:r>
      <w:r w:rsidR="0016453C">
        <w:t xml:space="preserve">as a </w:t>
      </w:r>
      <w:r w:rsidR="00F01DC9">
        <w:t>macrometastasis by Metasin and 1</w:t>
      </w:r>
      <w:r w:rsidR="0019104F">
        <w:t>7</w:t>
      </w:r>
      <w:r w:rsidR="00F01DC9">
        <w:t xml:space="preserve"> </w:t>
      </w:r>
      <w:r w:rsidR="00155BA0">
        <w:t xml:space="preserve">(30%) </w:t>
      </w:r>
      <w:r w:rsidR="00F01DC9">
        <w:t xml:space="preserve">as </w:t>
      </w:r>
      <w:r w:rsidR="0016453C">
        <w:t xml:space="preserve">a </w:t>
      </w:r>
      <w:r w:rsidR="00F01DC9">
        <w:t xml:space="preserve">micrometastasis. </w:t>
      </w:r>
    </w:p>
    <w:p w:rsidR="00FE6F38" w:rsidRDefault="00572C04" w:rsidP="00FE6F38">
      <w:pPr>
        <w:spacing w:before="240"/>
      </w:pPr>
      <w:r>
        <w:t>H</w:t>
      </w:r>
      <w:r w:rsidR="00155BA0">
        <w:t xml:space="preserve">istological examination of the axillary clearance lymph nodes </w:t>
      </w:r>
      <w:r>
        <w:t xml:space="preserve">(N=57) </w:t>
      </w:r>
      <w:r w:rsidR="00155BA0">
        <w:t xml:space="preserve">showed 29 patients </w:t>
      </w:r>
      <w:r>
        <w:t xml:space="preserve">(50.9%) </w:t>
      </w:r>
      <w:r w:rsidR="00155BA0">
        <w:t xml:space="preserve">positive by Metasin (24 macro and </w:t>
      </w:r>
      <w:r w:rsidR="00D052E0">
        <w:t>5</w:t>
      </w:r>
      <w:r w:rsidR="00155BA0">
        <w:t xml:space="preserve"> micro) had positive clearance </w:t>
      </w:r>
      <w:r w:rsidR="00CD740C">
        <w:t xml:space="preserve">lymph </w:t>
      </w:r>
      <w:r w:rsidR="00155BA0">
        <w:t xml:space="preserve">nodes. </w:t>
      </w:r>
      <w:r w:rsidR="00CD740C">
        <w:t xml:space="preserve">28 patients </w:t>
      </w:r>
      <w:r>
        <w:t xml:space="preserve">(49.1%) </w:t>
      </w:r>
      <w:r w:rsidR="00CD740C">
        <w:t xml:space="preserve">positive by Metasin (16 macro and 12 micro) had negative clearance lymph nodes. </w:t>
      </w:r>
      <w:r w:rsidR="00FE6F38">
        <w:t>A further 18 patients were classified as having a micrometastasis by Metasin but did not proceed to axillary clearance.</w:t>
      </w:r>
    </w:p>
    <w:p w:rsidR="00572C04" w:rsidRDefault="00572C04" w:rsidP="002B6D91">
      <w:pPr>
        <w:spacing w:before="240"/>
      </w:pPr>
      <w:r>
        <w:t>Patients having a Metasin defined macrometastasis in their SLN</w:t>
      </w:r>
      <w:r w:rsidR="00AF0047">
        <w:t>B</w:t>
      </w:r>
      <w:r>
        <w:t xml:space="preserve"> had a 60% incidence of metastasis in their</w:t>
      </w:r>
      <w:r w:rsidR="00FE6F38">
        <w:t xml:space="preserve"> axillary clearance nodes compared to those with micrometastasis</w:t>
      </w:r>
      <w:r w:rsidR="0098335A">
        <w:t>,</w:t>
      </w:r>
      <w:r w:rsidR="00FE6F38">
        <w:t xml:space="preserve"> who had a 29.4% incidence.</w:t>
      </w:r>
    </w:p>
    <w:p w:rsidR="002B6D91" w:rsidRDefault="002B6D91" w:rsidP="002B6D91">
      <w:pPr>
        <w:rPr>
          <w:b/>
        </w:rPr>
      </w:pPr>
    </w:p>
    <w:p w:rsidR="0074398A" w:rsidRDefault="0074398A" w:rsidP="002B6D91">
      <w:pPr>
        <w:rPr>
          <w:b/>
        </w:rPr>
      </w:pPr>
    </w:p>
    <w:p w:rsidR="0074398A" w:rsidRDefault="0074398A" w:rsidP="002B6D91">
      <w:pPr>
        <w:rPr>
          <w:b/>
        </w:rPr>
      </w:pPr>
    </w:p>
    <w:p w:rsidR="00C15284" w:rsidRDefault="00C15284" w:rsidP="00C15284">
      <w:pPr>
        <w:rPr>
          <w:b/>
        </w:rPr>
      </w:pPr>
      <w:r w:rsidRPr="00DD5400">
        <w:rPr>
          <w:b/>
        </w:rPr>
        <w:lastRenderedPageBreak/>
        <w:t>DISCUSSION</w:t>
      </w:r>
    </w:p>
    <w:p w:rsidR="00EE2A0F" w:rsidRDefault="00C15284" w:rsidP="00C15284">
      <w:r>
        <w:t xml:space="preserve">Accurate intraoperative staging of the axilla during breast surgery allows for the immediate performance of an axillary clearance in node-positive patients and avoids </w:t>
      </w:r>
      <w:r w:rsidR="005E4DBE">
        <w:t xml:space="preserve">a second operation in </w:t>
      </w:r>
      <w:r>
        <w:t>these patients</w:t>
      </w:r>
      <w:r w:rsidR="005E4DBE">
        <w:t xml:space="preserve">. </w:t>
      </w:r>
      <w:r>
        <w:t>Node-negative patients avoid the morbidity associated with axillary clearance. In the routine clinical environment of a large UK breast unit</w:t>
      </w:r>
      <w:r w:rsidR="005E4DBE">
        <w:t xml:space="preserve">, </w:t>
      </w:r>
      <w:r>
        <w:t>we describe the intraoperative analysis of SLN</w:t>
      </w:r>
      <w:r w:rsidR="00EE2A0F">
        <w:t>B</w:t>
      </w:r>
      <w:r>
        <w:t xml:space="preserve"> using Metasin</w:t>
      </w:r>
      <w:r w:rsidR="00EE2A0F">
        <w:t xml:space="preserve"> </w:t>
      </w:r>
      <w:r>
        <w:t xml:space="preserve">and compare the results to routine </w:t>
      </w:r>
      <w:r w:rsidR="00056AA9">
        <w:t>Histology</w:t>
      </w:r>
      <w:r>
        <w:t xml:space="preserve">. </w:t>
      </w:r>
    </w:p>
    <w:p w:rsidR="00AF0047" w:rsidRDefault="00AF0047" w:rsidP="00C15284"/>
    <w:p w:rsidR="00C15284" w:rsidRDefault="00C15284" w:rsidP="00C15284">
      <w:r w:rsidRPr="00376992">
        <w:t xml:space="preserve">Metasin </w:t>
      </w:r>
      <w:r w:rsidR="00EE2A0F">
        <w:t xml:space="preserve">is </w:t>
      </w:r>
      <w:r w:rsidRPr="00376992">
        <w:t>reliable with a failure rate of just 0.8%</w:t>
      </w:r>
      <w:r w:rsidR="00EE2A0F">
        <w:t>,</w:t>
      </w:r>
      <w:r w:rsidRPr="00376992">
        <w:t xml:space="preserve"> </w:t>
      </w:r>
      <w:r w:rsidR="00EE2A0F">
        <w:t>c</w:t>
      </w:r>
      <w:r w:rsidRPr="00376992">
        <w:t>ompar</w:t>
      </w:r>
      <w:r w:rsidR="00EE2A0F">
        <w:t>ing</w:t>
      </w:r>
      <w:r w:rsidRPr="00376992">
        <w:t xml:space="preserve"> favourably with </w:t>
      </w:r>
      <w:r w:rsidR="005D719C" w:rsidRPr="00376992">
        <w:t>o</w:t>
      </w:r>
      <w:r w:rsidRPr="00376992">
        <w:t>ur routine RT-qPCR techniques</w:t>
      </w:r>
      <w:r w:rsidR="005D719C" w:rsidRPr="00376992">
        <w:t xml:space="preserve"> (4.9%), a further study of Metasin (1.5%) [21]</w:t>
      </w:r>
      <w:r w:rsidRPr="00376992">
        <w:t xml:space="preserve"> and the OSNA system (1.4%)</w:t>
      </w:r>
      <w:r w:rsidR="00C07362" w:rsidRPr="00376992">
        <w:t>.</w:t>
      </w:r>
      <w:r w:rsidRPr="00376992">
        <w:t>[2</w:t>
      </w:r>
      <w:r w:rsidR="005D719C" w:rsidRPr="00376992">
        <w:t>2</w:t>
      </w:r>
      <w:r w:rsidRPr="00376992">
        <w:t>]</w:t>
      </w:r>
      <w:r w:rsidRPr="0085143A">
        <w:t xml:space="preserve"> </w:t>
      </w:r>
      <w:r w:rsidRPr="00A640E0">
        <w:t xml:space="preserve">The reproducibility </w:t>
      </w:r>
      <w:r w:rsidR="00EE2A0F">
        <w:t>of</w:t>
      </w:r>
      <w:r>
        <w:t xml:space="preserve"> Metasin</w:t>
      </w:r>
      <w:r w:rsidR="00EE2A0F">
        <w:t xml:space="preserve"> for</w:t>
      </w:r>
      <w:r>
        <w:t xml:space="preserve"> CK19, MGB and P</w:t>
      </w:r>
      <w:r w:rsidR="00BB4E1E">
        <w:t>BGD</w:t>
      </w:r>
      <w:r>
        <w:t xml:space="preserve"> is excellent for a RT-qPCR assay, where variation in C</w:t>
      </w:r>
      <w:r w:rsidR="0014192B">
        <w:t>q</w:t>
      </w:r>
      <w:r>
        <w:t xml:space="preserve"> values should generally be &lt;1.5</w:t>
      </w:r>
      <w:r w:rsidR="00C07362">
        <w:t>.</w:t>
      </w:r>
      <w:r w:rsidRPr="0085143A">
        <w:t>[2</w:t>
      </w:r>
      <w:r w:rsidR="005D719C">
        <w:t>3</w:t>
      </w:r>
      <w:r w:rsidRPr="0085143A">
        <w:t xml:space="preserve">] </w:t>
      </w:r>
    </w:p>
    <w:p w:rsidR="00AF0047" w:rsidRDefault="00AF0047" w:rsidP="00C15284"/>
    <w:p w:rsidR="00C15284" w:rsidRDefault="00C15284" w:rsidP="00C15284">
      <w:r>
        <w:t>In the operating theatre the SLN</w:t>
      </w:r>
      <w:r w:rsidR="00AF0047">
        <w:t>B</w:t>
      </w:r>
      <w:r>
        <w:t xml:space="preserve"> is performed first and the breast cancer resection is performed while the node is being analysed. </w:t>
      </w:r>
      <w:r w:rsidR="0024712F">
        <w:t xml:space="preserve">The number of nodes received is the biggest single factor influencing </w:t>
      </w:r>
      <w:r w:rsidR="00807003">
        <w:t>TATs</w:t>
      </w:r>
      <w:r w:rsidR="0024712F">
        <w:t xml:space="preserve"> for the Metasin assay. </w:t>
      </w:r>
      <w:r>
        <w:t xml:space="preserve">TATs improved as we gained more experience with the method and </w:t>
      </w:r>
      <w:r w:rsidR="00807003">
        <w:t xml:space="preserve">could be improved further by </w:t>
      </w:r>
      <w:r>
        <w:t>t</w:t>
      </w:r>
      <w:r w:rsidR="00807003">
        <w:t>he</w:t>
      </w:r>
      <w:r w:rsidR="00807003" w:rsidRPr="00807003">
        <w:t xml:space="preserve"> </w:t>
      </w:r>
      <w:r w:rsidR="00807003">
        <w:t>adoption of whole node analysis as recommended for the OSNA system [18]</w:t>
      </w:r>
      <w:r>
        <w:t xml:space="preserve">. Overall </w:t>
      </w:r>
      <w:r w:rsidR="00807003">
        <w:t xml:space="preserve">Metasin </w:t>
      </w:r>
      <w:r>
        <w:t xml:space="preserve">intraoperative analysis does not </w:t>
      </w:r>
      <w:r w:rsidR="005E4DBE">
        <w:t xml:space="preserve">greatly </w:t>
      </w:r>
      <w:r>
        <w:t>alter the time to perform a wide local excision and SLN biopsy</w:t>
      </w:r>
      <w:r w:rsidR="00C07362">
        <w:t>.[7]</w:t>
      </w:r>
      <w:r>
        <w:t xml:space="preserve"> In comparison the OSNA system takes &lt;30 – 39.6 minutes to process 1 node and this time is increased by 5 - 10 minutes for each additional node analysed.</w:t>
      </w:r>
      <w:r w:rsidR="00C07362">
        <w:t>[18]</w:t>
      </w:r>
      <w:r>
        <w:t xml:space="preserve"> </w:t>
      </w:r>
    </w:p>
    <w:p w:rsidR="00BC6F86" w:rsidRDefault="00BC6F86" w:rsidP="00C15284"/>
    <w:p w:rsidR="0074398A" w:rsidRDefault="00C02C5C" w:rsidP="00C15284">
      <w:r>
        <w:lastRenderedPageBreak/>
        <w:t>T</w:t>
      </w:r>
      <w:r w:rsidR="00C15284">
        <w:t xml:space="preserve">he sensitivity of routine </w:t>
      </w:r>
      <w:r w:rsidR="007B292C">
        <w:t xml:space="preserve">paraffin block </w:t>
      </w:r>
      <w:r w:rsidR="00056AA9">
        <w:t>Histology</w:t>
      </w:r>
      <w:r w:rsidR="00C15284">
        <w:t xml:space="preserve"> is less tha</w:t>
      </w:r>
      <w:r>
        <w:t xml:space="preserve">n 100%. With additional testing the sensitivity can be raised [24] but these methods still fall short of sensitivity offered by molecular techniques.[23] </w:t>
      </w:r>
      <w:r w:rsidR="00056AA9">
        <w:t>Our</w:t>
      </w:r>
      <w:r w:rsidR="00C15284">
        <w:t xml:space="preserve"> 250 patients </w:t>
      </w:r>
      <w:r w:rsidR="00056AA9">
        <w:t xml:space="preserve">had a </w:t>
      </w:r>
      <w:r w:rsidR="00C15284">
        <w:t xml:space="preserve">node positive rate </w:t>
      </w:r>
      <w:r w:rsidR="00056AA9">
        <w:t xml:space="preserve">of 30%, compared to rates of  </w:t>
      </w:r>
      <w:r w:rsidR="00C15284">
        <w:t xml:space="preserve">33%, 26% and 28% </w:t>
      </w:r>
      <w:r w:rsidR="00056AA9">
        <w:t xml:space="preserve">reported </w:t>
      </w:r>
      <w:r w:rsidR="00C15284">
        <w:t>in previous studies</w:t>
      </w:r>
      <w:r w:rsidR="00C07362">
        <w:t xml:space="preserve">. </w:t>
      </w:r>
      <w:r w:rsidR="00F5163C">
        <w:t>[2,5,7]</w:t>
      </w:r>
      <w:r w:rsidR="00C07362">
        <w:t xml:space="preserve"> </w:t>
      </w:r>
      <w:r w:rsidR="0058222E">
        <w:t>In this analysis micrometastases were considered positive as at the time axillary clearance was performed for micrometastases in a proportion of cases.</w:t>
      </w:r>
    </w:p>
    <w:p w:rsidR="0074398A" w:rsidRDefault="0074398A" w:rsidP="00C15284"/>
    <w:p w:rsidR="00056AA9" w:rsidRDefault="00056AA9" w:rsidP="00C15284">
      <w:r>
        <w:t xml:space="preserve">6 patients </w:t>
      </w:r>
      <w:r w:rsidR="00420A16">
        <w:t>(</w:t>
      </w:r>
      <w:r>
        <w:t>2.4%</w:t>
      </w:r>
      <w:r w:rsidR="00420A16">
        <w:t>) w</w:t>
      </w:r>
      <w:r w:rsidR="00C15284">
        <w:t>ere singularly positive for MGB</w:t>
      </w:r>
      <w:r w:rsidR="00420A16">
        <w:t xml:space="preserve"> </w:t>
      </w:r>
      <w:r w:rsidR="00420A16" w:rsidRPr="00376992">
        <w:t>compare</w:t>
      </w:r>
      <w:r>
        <w:t>d</w:t>
      </w:r>
      <w:r w:rsidR="00420A16" w:rsidRPr="00376992">
        <w:t xml:space="preserve"> to </w:t>
      </w:r>
      <w:r w:rsidR="007860E3" w:rsidRPr="00376992">
        <w:t xml:space="preserve">1.63% in a </w:t>
      </w:r>
      <w:r w:rsidR="00420A16" w:rsidRPr="00376992">
        <w:t>previous study</w:t>
      </w:r>
      <w:r w:rsidR="007860E3" w:rsidRPr="00376992">
        <w:t>.</w:t>
      </w:r>
      <w:r w:rsidR="00420A16" w:rsidRPr="00376992">
        <w:t>[21]</w:t>
      </w:r>
      <w:r w:rsidR="00C15284">
        <w:t xml:space="preserve"> These patients are significant because their metastases would not be detected by the OSNA system</w:t>
      </w:r>
      <w:r>
        <w:t xml:space="preserve"> </w:t>
      </w:r>
      <w:r w:rsidR="00C15284">
        <w:t>which only detects CK19</w:t>
      </w:r>
      <w:r>
        <w:t>.</w:t>
      </w:r>
    </w:p>
    <w:p w:rsidR="00056AA9" w:rsidRDefault="00056AA9" w:rsidP="00C15284"/>
    <w:p w:rsidR="00C15284" w:rsidRDefault="00C15284" w:rsidP="00C15284">
      <w:r>
        <w:t xml:space="preserve">In our </w:t>
      </w:r>
      <w:r w:rsidR="00056AA9">
        <w:t>evaluation,</w:t>
      </w:r>
      <w:r>
        <w:t xml:space="preserve"> Metasin</w:t>
      </w:r>
      <w:r w:rsidR="00056AA9">
        <w:t xml:space="preserve">, </w:t>
      </w:r>
      <w:r>
        <w:t xml:space="preserve">based on patient results, was 89.2% concordant with </w:t>
      </w:r>
      <w:r w:rsidR="00056AA9">
        <w:t>Histology. B</w:t>
      </w:r>
      <w:r>
        <w:t xml:space="preserve">ased on individual lymph nodes, the concordance was 92.8%. These figures improved to 92.4 % and 93.8% respectively after further microscopical examination of deeper sections. </w:t>
      </w:r>
      <w:r w:rsidR="007A7597">
        <w:t xml:space="preserve">A further </w:t>
      </w:r>
      <w:r>
        <w:t>stud</w:t>
      </w:r>
      <w:r w:rsidR="007A7597">
        <w:t xml:space="preserve">y has </w:t>
      </w:r>
      <w:r>
        <w:t xml:space="preserve">reported a 93.5% concordance, based on a case </w:t>
      </w:r>
      <w:r w:rsidR="007A7597">
        <w:t>a</w:t>
      </w:r>
      <w:r>
        <w:t xml:space="preserve">nalysis. The concordance improved to 96.5% after examination of deeper sections, </w:t>
      </w:r>
      <w:r w:rsidR="007A7597">
        <w:t>immuno</w:t>
      </w:r>
      <w:r>
        <w:t xml:space="preserve">staining with MNF116, a </w:t>
      </w:r>
      <w:r w:rsidR="007A7597">
        <w:t xml:space="preserve">pancytokeratin marker and using </w:t>
      </w:r>
      <w:r>
        <w:t>Genesearch</w:t>
      </w:r>
      <w:r w:rsidR="00C07362">
        <w:t>.[11]</w:t>
      </w:r>
      <w:r w:rsidR="00FA76AF">
        <w:t xml:space="preserve">. </w:t>
      </w:r>
      <w:r w:rsidR="00FA76AF" w:rsidRPr="00376992">
        <w:t>A multicentre study reported a 9</w:t>
      </w:r>
      <w:r w:rsidR="007A7597" w:rsidRPr="00376992">
        <w:t>5</w:t>
      </w:r>
      <w:r w:rsidR="00FA76AF" w:rsidRPr="00376992">
        <w:t xml:space="preserve">.6% concordance with </w:t>
      </w:r>
      <w:r w:rsidR="00056AA9">
        <w:t>Histology</w:t>
      </w:r>
      <w:r w:rsidR="007A7597" w:rsidRPr="00376992">
        <w:t>, based on a case analysis and examination of deeper sections and immunostaining with MNF116</w:t>
      </w:r>
      <w:r w:rsidR="008B3117" w:rsidRPr="00376992">
        <w:t>.</w:t>
      </w:r>
      <w:r w:rsidR="007A7597" w:rsidRPr="00376992">
        <w:t>[21]</w:t>
      </w:r>
      <w:r w:rsidR="00376992">
        <w:t xml:space="preserve"> </w:t>
      </w:r>
      <w:r>
        <w:t>Snoo</w:t>
      </w:r>
      <w:r w:rsidR="00D46380">
        <w:t>k</w:t>
      </w:r>
      <w:r>
        <w:t xml:space="preserve"> </w:t>
      </w:r>
      <w:r w:rsidRPr="00D16AA2">
        <w:rPr>
          <w:i/>
        </w:rPr>
        <w:t>et al</w:t>
      </w:r>
      <w:r>
        <w:t xml:space="preserve"> </w:t>
      </w:r>
      <w:r w:rsidRPr="0085143A">
        <w:t>[2</w:t>
      </w:r>
      <w:r w:rsidR="00D46380">
        <w:t>2</w:t>
      </w:r>
      <w:r>
        <w:t>]</w:t>
      </w:r>
      <w:r w:rsidRPr="0085143A">
        <w:t xml:space="preserve"> </w:t>
      </w:r>
      <w:r>
        <w:t xml:space="preserve">gave the overall concordance between OSNA and </w:t>
      </w:r>
      <w:r w:rsidR="00056AA9">
        <w:t>Histology</w:t>
      </w:r>
      <w:r>
        <w:t xml:space="preserve"> as 96%.  The NICE Guidelines do not give concordance figures for the OSNA system and </w:t>
      </w:r>
      <w:r w:rsidR="00056AA9">
        <w:t>Histology</w:t>
      </w:r>
      <w:r w:rsidR="0058222E">
        <w:t>. In their opinion the assessment</w:t>
      </w:r>
      <w:r>
        <w:t xml:space="preserve"> was hindered by </w:t>
      </w:r>
      <w:r w:rsidR="008120E7">
        <w:t xml:space="preserve">TAB </w:t>
      </w:r>
      <w:r>
        <w:t xml:space="preserve">and the inconsistent </w:t>
      </w:r>
      <w:r w:rsidR="00056AA9">
        <w:t>Histology</w:t>
      </w:r>
      <w:r>
        <w:t xml:space="preserve"> reference standards</w:t>
      </w:r>
      <w:r w:rsidR="00C07362">
        <w:t xml:space="preserve">.[18] </w:t>
      </w:r>
    </w:p>
    <w:p w:rsidR="00C15284" w:rsidRDefault="00C15284" w:rsidP="00C15284"/>
    <w:p w:rsidR="002E6B83" w:rsidRDefault="008B3117" w:rsidP="00C15284">
      <w:pPr>
        <w:rPr>
          <w:color w:val="FF0000"/>
        </w:rPr>
      </w:pPr>
      <w:r>
        <w:lastRenderedPageBreak/>
        <w:t xml:space="preserve">Before adjustment for </w:t>
      </w:r>
      <w:r w:rsidR="008120E7">
        <w:t xml:space="preserve">TAB </w:t>
      </w:r>
      <w:r>
        <w:t xml:space="preserve">our </w:t>
      </w:r>
      <w:r w:rsidRPr="004075A5">
        <w:t xml:space="preserve">sensitivity compared to </w:t>
      </w:r>
      <w:r>
        <w:t xml:space="preserve">routine </w:t>
      </w:r>
      <w:r w:rsidR="00056AA9">
        <w:t>Histology</w:t>
      </w:r>
      <w:r w:rsidRPr="004075A5">
        <w:t xml:space="preserve"> is 91.4% and the specificity is 88.5%. </w:t>
      </w:r>
      <w:r>
        <w:t xml:space="preserve">After adjustment for </w:t>
      </w:r>
      <w:r w:rsidR="00BC6F86">
        <w:t xml:space="preserve">TAB </w:t>
      </w:r>
      <w:r>
        <w:t xml:space="preserve">the figures are </w:t>
      </w:r>
      <w:r w:rsidRPr="004075A5">
        <w:t xml:space="preserve">92.2% and </w:t>
      </w:r>
      <w:r>
        <w:t>91.4% respectively.</w:t>
      </w:r>
      <w:r w:rsidR="00420A16">
        <w:t xml:space="preserve"> </w:t>
      </w:r>
      <w:r w:rsidRPr="00376992">
        <w:t>Two previous Metasin studies</w:t>
      </w:r>
      <w:r w:rsidR="00DA1264" w:rsidRPr="00376992">
        <w:t>,</w:t>
      </w:r>
      <w:r w:rsidRPr="00376992">
        <w:t xml:space="preserve"> </w:t>
      </w:r>
      <w:r w:rsidR="00DA1264" w:rsidRPr="00376992">
        <w:t xml:space="preserve">after adjustment for </w:t>
      </w:r>
      <w:r w:rsidR="008120E7">
        <w:t>TAB</w:t>
      </w:r>
      <w:r w:rsidR="00DA1264" w:rsidRPr="00376992">
        <w:t xml:space="preserve">, </w:t>
      </w:r>
      <w:r w:rsidR="007B3805" w:rsidRPr="00376992">
        <w:t xml:space="preserve">have reported the sensitivity of Metasin </w:t>
      </w:r>
      <w:r w:rsidR="00C15284" w:rsidRPr="00376992">
        <w:t xml:space="preserve">compared to </w:t>
      </w:r>
      <w:r w:rsidR="00056AA9">
        <w:t>Histology</w:t>
      </w:r>
      <w:r w:rsidR="00C15284" w:rsidRPr="00376992">
        <w:t xml:space="preserve">, as </w:t>
      </w:r>
      <w:r w:rsidR="000F522A" w:rsidRPr="00376992">
        <w:t>92-</w:t>
      </w:r>
      <w:r w:rsidR="00C15284" w:rsidRPr="00376992">
        <w:t xml:space="preserve">95% and the specificity </w:t>
      </w:r>
      <w:r w:rsidR="000F522A" w:rsidRPr="00376992">
        <w:t xml:space="preserve">as </w:t>
      </w:r>
      <w:r w:rsidR="00C15284" w:rsidRPr="00376992">
        <w:t>97%</w:t>
      </w:r>
      <w:r w:rsidR="00C07362" w:rsidRPr="00376992">
        <w:t>.[11</w:t>
      </w:r>
      <w:r w:rsidR="000F522A" w:rsidRPr="00376992">
        <w:t>,21</w:t>
      </w:r>
      <w:r w:rsidR="00C07362" w:rsidRPr="00376992">
        <w:t>]</w:t>
      </w:r>
      <w:r w:rsidR="00C07362" w:rsidRPr="00DA1264">
        <w:rPr>
          <w:color w:val="FF0000"/>
        </w:rPr>
        <w:t xml:space="preserve"> </w:t>
      </w:r>
    </w:p>
    <w:p w:rsidR="00BC77BF" w:rsidRPr="00DA1264" w:rsidRDefault="00BC77BF" w:rsidP="00C15284">
      <w:pPr>
        <w:rPr>
          <w:color w:val="FF0000"/>
        </w:rPr>
      </w:pPr>
    </w:p>
    <w:p w:rsidR="00C15284" w:rsidRDefault="00C15284" w:rsidP="00C15284">
      <w:r>
        <w:t xml:space="preserve">When comparing the OSNA system to </w:t>
      </w:r>
      <w:r w:rsidR="00056AA9">
        <w:t>Histology</w:t>
      </w:r>
      <w:r>
        <w:t xml:space="preserve">, before tissue adjustment for </w:t>
      </w:r>
      <w:r w:rsidR="008120E7">
        <w:t>TAB,</w:t>
      </w:r>
      <w:r>
        <w:t xml:space="preserve"> the sensitivity is 84.5% </w:t>
      </w:r>
      <w:r w:rsidR="00BC77BF">
        <w:t>and the specificity 91.8%</w:t>
      </w:r>
      <w:r>
        <w:t xml:space="preserve">. After adjust for </w:t>
      </w:r>
      <w:r w:rsidR="008120E7">
        <w:t xml:space="preserve">TAB </w:t>
      </w:r>
      <w:r>
        <w:t>the figures are 91.3% and 94.2% respectively</w:t>
      </w:r>
      <w:r w:rsidR="00C07362">
        <w:t>.[18]</w:t>
      </w:r>
    </w:p>
    <w:p w:rsidR="002E6B83" w:rsidRDefault="002E6B83" w:rsidP="00C15284"/>
    <w:p w:rsidR="00C15284" w:rsidRDefault="00C15284" w:rsidP="00C15284">
      <w:r>
        <w:t xml:space="preserve">It is difficult to give an accurate and meaningful comparisons between individual studies or between methods in the presence of the variable </w:t>
      </w:r>
      <w:r w:rsidR="008120E7">
        <w:t xml:space="preserve">TAB </w:t>
      </w:r>
      <w:r>
        <w:t xml:space="preserve">and differing confirmatory methodologies. </w:t>
      </w:r>
      <w:r w:rsidR="00BC77BF">
        <w:t>C</w:t>
      </w:r>
      <w:r>
        <w:t>oncordance, sensitivity and specificity can only be considered to be indicative of a tests overall performance and on that basis we believe Metasin compares well to previous data and to the OSNA system.</w:t>
      </w:r>
    </w:p>
    <w:p w:rsidR="00C15284" w:rsidRDefault="00C15284" w:rsidP="00C15284"/>
    <w:p w:rsidR="006E2423" w:rsidRDefault="00C15284" w:rsidP="00C15284">
      <w:r w:rsidRPr="00025180">
        <w:t xml:space="preserve">Metasin </w:t>
      </w:r>
      <w:r>
        <w:t>has been used study to classify metastases in macro and mi</w:t>
      </w:r>
      <w:r w:rsidRPr="00025180">
        <w:t>c</w:t>
      </w:r>
      <w:r>
        <w:t xml:space="preserve">ro groups and our results are 90% concordant with routine </w:t>
      </w:r>
      <w:r w:rsidR="00056AA9">
        <w:t>Histology</w:t>
      </w:r>
      <w:r>
        <w:t xml:space="preserve">, when compared on the basis of individual nodes. Whilst most of the discordant results can be explained by </w:t>
      </w:r>
      <w:r w:rsidR="008120E7">
        <w:t>TAB</w:t>
      </w:r>
      <w:r>
        <w:t xml:space="preserve">, we have a significant group of 26 nodes (4.9%) which were classified as having a micrometastases by Metasin which were negative by </w:t>
      </w:r>
      <w:r w:rsidR="00056AA9">
        <w:t>Histology</w:t>
      </w:r>
      <w:r>
        <w:t xml:space="preserve">. Only 4 of these discrepancies were resolved by </w:t>
      </w:r>
      <w:r w:rsidR="006E2423">
        <w:t xml:space="preserve">further </w:t>
      </w:r>
      <w:r>
        <w:t>histologically examin</w:t>
      </w:r>
      <w:r w:rsidR="006E2423">
        <w:t>ation,</w:t>
      </w:r>
      <w:r>
        <w:t xml:space="preserve"> leading to the conclusion that Metasin is more sensitive than routine</w:t>
      </w:r>
      <w:r w:rsidR="006E2423">
        <w:t xml:space="preserve"> </w:t>
      </w:r>
      <w:r w:rsidR="00056AA9">
        <w:t>Histology</w:t>
      </w:r>
      <w:r w:rsidR="006E2423">
        <w:t xml:space="preserve">. This </w:t>
      </w:r>
      <w:r>
        <w:t xml:space="preserve">factor should be taken into consideration when making clinical decisions based on </w:t>
      </w:r>
      <w:r w:rsidR="006E2423">
        <w:t>Metasin</w:t>
      </w:r>
      <w:r>
        <w:t xml:space="preserve">. Despite the high sensitivity of the Metasin assay, we found 9 nodes (1.7%) to be positive by </w:t>
      </w:r>
      <w:r w:rsidR="00056AA9">
        <w:lastRenderedPageBreak/>
        <w:t>Histology</w:t>
      </w:r>
      <w:r>
        <w:t xml:space="preserve"> (2 macro and 7 micro) but negative by Metasin. This is not an unexpected result given the potential level of </w:t>
      </w:r>
      <w:r w:rsidR="008120E7">
        <w:t xml:space="preserve">TAB </w:t>
      </w:r>
      <w:r>
        <w:t>in this evaluation</w:t>
      </w:r>
      <w:r w:rsidR="006E2423">
        <w:t>.</w:t>
      </w:r>
      <w:r>
        <w:t xml:space="preserve"> It is important tha</w:t>
      </w:r>
      <w:r w:rsidR="00572C04">
        <w:t>t</w:t>
      </w:r>
      <w:r>
        <w:t xml:space="preserve"> the possibility of such discordant results is discussed with patients prior to their consenting to surgery</w:t>
      </w:r>
      <w:r w:rsidR="00C07362">
        <w:t xml:space="preserve">.[7] </w:t>
      </w:r>
    </w:p>
    <w:p w:rsidR="006E2423" w:rsidRDefault="006E2423" w:rsidP="00C15284"/>
    <w:p w:rsidR="00C15284" w:rsidRDefault="00C15284" w:rsidP="00C15284">
      <w:r>
        <w:t xml:space="preserve">We </w:t>
      </w:r>
      <w:r w:rsidR="006E2423">
        <w:t xml:space="preserve">chose </w:t>
      </w:r>
      <w:r>
        <w:t xml:space="preserve">not to use whole node analysis because </w:t>
      </w:r>
      <w:r w:rsidR="00056AA9">
        <w:t>Histology</w:t>
      </w:r>
      <w:r>
        <w:t xml:space="preserve"> gives us a backup in case of Metasin failure, the ability to size the metastasis and a visual evaluation of any extracapsular</w:t>
      </w:r>
      <w:r w:rsidR="006E2423">
        <w:t xml:space="preserve"> spread of the metastasis. When </w:t>
      </w:r>
      <w:r>
        <w:t>implement</w:t>
      </w:r>
      <w:r w:rsidR="006E2423">
        <w:t>ing</w:t>
      </w:r>
      <w:r>
        <w:t xml:space="preserve"> the Metasin assay a</w:t>
      </w:r>
      <w:r w:rsidR="006E2423">
        <w:t>n</w:t>
      </w:r>
      <w:r>
        <w:t xml:space="preserve"> informed judgement has to be made as to which tissue allocation protocol to follow. </w:t>
      </w:r>
    </w:p>
    <w:p w:rsidR="00C15284" w:rsidRDefault="00C15284" w:rsidP="00C15284"/>
    <w:p w:rsidR="008D68FF" w:rsidRDefault="00874CD8" w:rsidP="00C15284">
      <w:r>
        <w:t>There is an on-going debate as to the efficacy of axillary clearance after a positive SLN</w:t>
      </w:r>
      <w:r w:rsidR="00AF0047">
        <w:t>B</w:t>
      </w:r>
      <w:r>
        <w:t xml:space="preserve"> [</w:t>
      </w:r>
      <w:r w:rsidR="00404AD4">
        <w:t>2</w:t>
      </w:r>
      <w:r w:rsidR="00D46380">
        <w:t>5</w:t>
      </w:r>
      <w:r>
        <w:t xml:space="preserve">] and the finding that only 32.8 – 44.1% of </w:t>
      </w:r>
      <w:r w:rsidR="00843B35">
        <w:t xml:space="preserve">histologically </w:t>
      </w:r>
      <w:r>
        <w:t xml:space="preserve">positive </w:t>
      </w:r>
      <w:r w:rsidR="00843B35">
        <w:t>SLN</w:t>
      </w:r>
      <w:r w:rsidR="00AF0047">
        <w:t>Bs</w:t>
      </w:r>
      <w:r w:rsidR="00843B35">
        <w:t xml:space="preserve"> </w:t>
      </w:r>
      <w:r>
        <w:t xml:space="preserve"> had positive axi</w:t>
      </w:r>
      <w:r w:rsidR="00843B35">
        <w:t>l</w:t>
      </w:r>
      <w:r>
        <w:t>lary clearance lymph node</w:t>
      </w:r>
      <w:r w:rsidR="00843B35">
        <w:t>s</w:t>
      </w:r>
      <w:r w:rsidR="00AB5AA9">
        <w:t xml:space="preserve"> (ACLN)</w:t>
      </w:r>
      <w:r w:rsidR="00843B35">
        <w:t>,</w:t>
      </w:r>
      <w:r>
        <w:t xml:space="preserve"> only adds to th</w:t>
      </w:r>
      <w:r w:rsidR="006C1822">
        <w:t>is</w:t>
      </w:r>
      <w:r>
        <w:t xml:space="preserve"> debate</w:t>
      </w:r>
      <w:r w:rsidR="00C07362">
        <w:t>.</w:t>
      </w:r>
      <w:r w:rsidR="00EB17A8">
        <w:t>[</w:t>
      </w:r>
      <w:r w:rsidR="00404AD4">
        <w:t>2</w:t>
      </w:r>
      <w:r w:rsidR="00D46380">
        <w:t>6</w:t>
      </w:r>
      <w:r w:rsidR="00EB17A8">
        <w:t>,</w:t>
      </w:r>
      <w:r w:rsidR="00404AD4">
        <w:t>2</w:t>
      </w:r>
      <w:r w:rsidR="00D46380">
        <w:t>7</w:t>
      </w:r>
      <w:r w:rsidR="00404AD4">
        <w:t>,2</w:t>
      </w:r>
      <w:r w:rsidR="00D46380">
        <w:t>8</w:t>
      </w:r>
      <w:r w:rsidR="00C07362">
        <w:t>]</w:t>
      </w:r>
      <w:r>
        <w:t xml:space="preserve"> </w:t>
      </w:r>
      <w:r w:rsidR="00843B35">
        <w:t>Patients with macrometastasis in the</w:t>
      </w:r>
      <w:r w:rsidR="002F63E9">
        <w:t xml:space="preserve">ir </w:t>
      </w:r>
      <w:r w:rsidR="00843B35">
        <w:t xml:space="preserve">SLN </w:t>
      </w:r>
      <w:r w:rsidR="002F63E9">
        <w:t xml:space="preserve">biopsies (41.5-50.3%) </w:t>
      </w:r>
      <w:r w:rsidR="00843B35">
        <w:t>had a greater incidence of a</w:t>
      </w:r>
      <w:r w:rsidR="002F63E9">
        <w:t>xillary node positivity than those with a micrometastasis (</w:t>
      </w:r>
      <w:r w:rsidR="00404AD4">
        <w:t>17.9-26.8%)</w:t>
      </w:r>
      <w:r w:rsidR="00C07362">
        <w:t>.</w:t>
      </w:r>
      <w:r w:rsidR="00404AD4">
        <w:t>[2</w:t>
      </w:r>
      <w:r w:rsidR="00D46380">
        <w:t>6</w:t>
      </w:r>
      <w:r w:rsidR="002F63E9">
        <w:t>,</w:t>
      </w:r>
      <w:r w:rsidR="00404AD4">
        <w:t>2</w:t>
      </w:r>
      <w:r w:rsidR="00D46380">
        <w:t>7</w:t>
      </w:r>
      <w:r w:rsidR="002F63E9">
        <w:t>,</w:t>
      </w:r>
      <w:r w:rsidR="00404AD4">
        <w:t>2</w:t>
      </w:r>
      <w:r w:rsidR="00D46380">
        <w:t>8</w:t>
      </w:r>
      <w:r w:rsidR="00C07362">
        <w:t>]</w:t>
      </w:r>
      <w:r w:rsidR="002F63E9">
        <w:t xml:space="preserve"> </w:t>
      </w:r>
      <w:r w:rsidR="008D68FF">
        <w:t xml:space="preserve">Using </w:t>
      </w:r>
      <w:r w:rsidR="002155A5">
        <w:t>the OSNA system, Barber et al [2</w:t>
      </w:r>
      <w:r w:rsidR="00D46380">
        <w:t>9</w:t>
      </w:r>
      <w:r w:rsidR="008D68FF">
        <w:t xml:space="preserve">] reported that </w:t>
      </w:r>
      <w:r w:rsidR="00AB5AA9">
        <w:t>26.7% of OSNA positive SLN</w:t>
      </w:r>
      <w:r w:rsidR="00AF0047">
        <w:t>B</w:t>
      </w:r>
      <w:r w:rsidR="00AB5AA9">
        <w:t xml:space="preserve"> had positive ACLNs</w:t>
      </w:r>
      <w:r w:rsidR="0043316E">
        <w:t>. 38% of patients with macrometastasis and 15% with micrometastasis had positive ACLNs.</w:t>
      </w:r>
    </w:p>
    <w:p w:rsidR="008D68FF" w:rsidRDefault="008D68FF" w:rsidP="00C15284"/>
    <w:p w:rsidR="00693479" w:rsidRDefault="00843B35" w:rsidP="00C15284">
      <w:r>
        <w:t>Our limited Metasin</w:t>
      </w:r>
      <w:r w:rsidR="006E2423">
        <w:t xml:space="preserve"> data</w:t>
      </w:r>
      <w:r w:rsidR="00DC0C12">
        <w:t>,</w:t>
      </w:r>
      <w:r>
        <w:t xml:space="preserve"> </w:t>
      </w:r>
      <w:r w:rsidR="002F63E9">
        <w:t>sh</w:t>
      </w:r>
      <w:r>
        <w:t xml:space="preserve">ows that </w:t>
      </w:r>
      <w:r w:rsidR="0034023B">
        <w:t>50.9</w:t>
      </w:r>
      <w:r>
        <w:t xml:space="preserve">% of patients </w:t>
      </w:r>
      <w:r w:rsidR="002F63E9">
        <w:t>with positive SLN</w:t>
      </w:r>
      <w:r w:rsidR="006E2423">
        <w:t>Bs</w:t>
      </w:r>
      <w:r w:rsidR="002F63E9">
        <w:t xml:space="preserve"> </w:t>
      </w:r>
      <w:r>
        <w:t xml:space="preserve">had positive </w:t>
      </w:r>
      <w:r w:rsidR="00AB5AA9">
        <w:t xml:space="preserve">ACLNs </w:t>
      </w:r>
      <w:r w:rsidR="002F63E9">
        <w:t xml:space="preserve">and </w:t>
      </w:r>
      <w:r w:rsidR="00693479">
        <w:t xml:space="preserve">that </w:t>
      </w:r>
      <w:r w:rsidR="002F63E9">
        <w:t xml:space="preserve">those with macrometastasis (60%) </w:t>
      </w:r>
      <w:r w:rsidR="00EB17A8">
        <w:t xml:space="preserve">had a greater incidence of </w:t>
      </w:r>
      <w:r w:rsidR="00693479">
        <w:t>ACLN</w:t>
      </w:r>
      <w:r w:rsidR="00EB17A8">
        <w:t xml:space="preserve"> positivity than those with micrometastasis (29.4%). </w:t>
      </w:r>
      <w:r w:rsidR="00693479">
        <w:t xml:space="preserve">These figures </w:t>
      </w:r>
      <w:r w:rsidR="002155A5">
        <w:t>need substantiating o</w:t>
      </w:r>
      <w:r w:rsidR="00693479">
        <w:t>ver a larger series of patients</w:t>
      </w:r>
      <w:r w:rsidR="006E2423">
        <w:t>.</w:t>
      </w:r>
      <w:r w:rsidR="00693479">
        <w:t xml:space="preserve"> </w:t>
      </w:r>
    </w:p>
    <w:p w:rsidR="006E2423" w:rsidRDefault="006E2423" w:rsidP="00C15284"/>
    <w:p w:rsidR="00C15284" w:rsidRDefault="00473866" w:rsidP="00C15284">
      <w:r>
        <w:lastRenderedPageBreak/>
        <w:t xml:space="preserve">Metasin </w:t>
      </w:r>
      <w:r w:rsidR="000F10EB">
        <w:t xml:space="preserve">has proven to be an accurate, reproducible and reliable </w:t>
      </w:r>
      <w:r w:rsidR="007447F3">
        <w:t>assay, comparing</w:t>
      </w:r>
      <w:r w:rsidR="000F10EB">
        <w:t xml:space="preserve"> well to paraffin block </w:t>
      </w:r>
      <w:r w:rsidR="00056AA9">
        <w:t>Histology</w:t>
      </w:r>
      <w:r w:rsidR="000F10EB">
        <w:t xml:space="preserve"> in terms of concordance, sensitivity and specificity</w:t>
      </w:r>
      <w:r w:rsidR="00601D54">
        <w:t xml:space="preserve">. </w:t>
      </w:r>
      <w:r w:rsidR="007447F3">
        <w:t>Metasin</w:t>
      </w:r>
      <w:r w:rsidR="00601D54">
        <w:t xml:space="preserve"> delivers timely results allowing clinical decisions to be made intraoperatively and delivers tangible benefits to patients.</w:t>
      </w:r>
    </w:p>
    <w:p w:rsidR="00AC1235" w:rsidRDefault="00AC1235" w:rsidP="00C15284"/>
    <w:p w:rsidR="0014192B" w:rsidRPr="00A059DF" w:rsidRDefault="0014192B" w:rsidP="0014192B">
      <w:pPr>
        <w:rPr>
          <w:rStyle w:val="apple-converted-space"/>
          <w:b/>
          <w:color w:val="000000"/>
          <w:shd w:val="clear" w:color="auto" w:fill="FFFFFF"/>
        </w:rPr>
      </w:pPr>
      <w:r w:rsidRPr="00A059DF">
        <w:rPr>
          <w:b/>
          <w:color w:val="000000"/>
          <w:shd w:val="clear" w:color="auto" w:fill="FFFFFF"/>
        </w:rPr>
        <w:t>Licence for Publication</w:t>
      </w:r>
      <w:r w:rsidRPr="00A059DF">
        <w:rPr>
          <w:rStyle w:val="apple-converted-space"/>
          <w:b/>
          <w:color w:val="000000"/>
          <w:shd w:val="clear" w:color="auto" w:fill="FFFFFF"/>
        </w:rPr>
        <w:t> </w:t>
      </w:r>
    </w:p>
    <w:p w:rsidR="0014192B" w:rsidRPr="00A059DF" w:rsidRDefault="0014192B" w:rsidP="0014192B">
      <w:pPr>
        <w:rPr>
          <w:color w:val="000000"/>
          <w:shd w:val="clear" w:color="auto" w:fill="FFFFFF"/>
        </w:rPr>
      </w:pPr>
      <w:r w:rsidRPr="00A059DF">
        <w:rPr>
          <w:color w:val="000000"/>
          <w:shd w:val="clear" w:color="auto" w:fill="FFFFFF"/>
        </w:rPr>
        <w:t xml:space="preserve">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JCP and any other BMJPGL products and sublicences such use and exploit all subsidiary rights, as set out in our licence </w:t>
      </w:r>
    </w:p>
    <w:p w:rsidR="0014192B" w:rsidRPr="00A059DF" w:rsidRDefault="0014192B" w:rsidP="0014192B">
      <w:pPr>
        <w:rPr>
          <w:rStyle w:val="apple-converted-space"/>
          <w:color w:val="000000"/>
          <w:shd w:val="clear" w:color="auto" w:fill="FFFFFF"/>
        </w:rPr>
      </w:pPr>
      <w:r w:rsidRPr="00A059DF">
        <w:rPr>
          <w:color w:val="000000"/>
          <w:shd w:val="clear" w:color="auto" w:fill="FFFFFF"/>
        </w:rPr>
        <w:t>(</w:t>
      </w:r>
      <w:hyperlink r:id="rId10" w:history="1">
        <w:r w:rsidRPr="00A059DF">
          <w:rPr>
            <w:rStyle w:val="Hyperlink"/>
          </w:rPr>
          <w:t>http://group.bmj.com/products/journals</w:t>
        </w:r>
      </w:hyperlink>
      <w:r w:rsidRPr="00A059DF">
        <w:rPr>
          <w:color w:val="000000"/>
          <w:shd w:val="clear" w:color="auto" w:fill="FFFFFF"/>
        </w:rPr>
        <w:t>/instructions-for-authors/licence-forms).</w:t>
      </w:r>
      <w:r w:rsidRPr="00A059DF">
        <w:rPr>
          <w:rStyle w:val="apple-converted-space"/>
          <w:color w:val="000000"/>
          <w:shd w:val="clear" w:color="auto" w:fill="FFFFFF"/>
        </w:rPr>
        <w:t> </w:t>
      </w:r>
    </w:p>
    <w:p w:rsidR="0014192B" w:rsidRPr="00A059DF" w:rsidRDefault="0014192B" w:rsidP="0014192B">
      <w:pPr>
        <w:rPr>
          <w:sz w:val="22"/>
          <w:szCs w:val="22"/>
        </w:rPr>
      </w:pPr>
    </w:p>
    <w:p w:rsidR="0014192B" w:rsidRPr="002D4FE4" w:rsidRDefault="0014192B" w:rsidP="0014192B">
      <w:pPr>
        <w:rPr>
          <w:b/>
        </w:rPr>
      </w:pPr>
      <w:r w:rsidRPr="002D4FE4">
        <w:rPr>
          <w:b/>
        </w:rPr>
        <w:t>Competing Interest</w:t>
      </w:r>
    </w:p>
    <w:p w:rsidR="0014192B" w:rsidRDefault="0014192B" w:rsidP="0014192B">
      <w:r>
        <w:t>None declared</w:t>
      </w:r>
    </w:p>
    <w:p w:rsidR="0014192B" w:rsidRDefault="0014192B" w:rsidP="00AC1235">
      <w:pPr>
        <w:rPr>
          <w:b/>
        </w:rPr>
      </w:pPr>
    </w:p>
    <w:p w:rsidR="00AC1235" w:rsidRDefault="00AC1235" w:rsidP="00AC1235">
      <w:pPr>
        <w:rPr>
          <w:b/>
        </w:rPr>
      </w:pPr>
      <w:r>
        <w:rPr>
          <w:b/>
        </w:rPr>
        <w:t>Conflicts of interest</w:t>
      </w:r>
    </w:p>
    <w:p w:rsidR="00AC1235" w:rsidRDefault="00AC1235" w:rsidP="00AC1235">
      <w:r>
        <w:t>The intellectual property rights for the Metasin assay rest with the Princess Alexandra Hospital, NHS Trust, Harlow, Essex. The authors do not have any conflicts of interest.</w:t>
      </w:r>
    </w:p>
    <w:p w:rsidR="00AC1235" w:rsidRDefault="00AC1235" w:rsidP="00AC1235"/>
    <w:p w:rsidR="00AC1235" w:rsidRDefault="00AC1235" w:rsidP="00AC1235">
      <w:pPr>
        <w:rPr>
          <w:b/>
        </w:rPr>
      </w:pPr>
      <w:r w:rsidRPr="000E55ED">
        <w:rPr>
          <w:b/>
        </w:rPr>
        <w:t>Author contributions</w:t>
      </w:r>
    </w:p>
    <w:p w:rsidR="00AC1235" w:rsidRDefault="00AC1235" w:rsidP="00AC1235">
      <w:r>
        <w:t>G Smith, R Cutress</w:t>
      </w:r>
      <w:r w:rsidR="00290075">
        <w:t xml:space="preserve">, H Markham, S Zhang and </w:t>
      </w:r>
      <w:r w:rsidR="00EE77DC">
        <w:t>E</w:t>
      </w:r>
      <w:r w:rsidR="00290075">
        <w:t xml:space="preserve"> Hodges</w:t>
      </w:r>
      <w:r>
        <w:t xml:space="preserve"> all contributed to the writing</w:t>
      </w:r>
      <w:r w:rsidR="007F7E11">
        <w:t>, editing and proof reading</w:t>
      </w:r>
      <w:r>
        <w:t xml:space="preserve"> of this manuscript. </w:t>
      </w:r>
      <w:r w:rsidR="00290075">
        <w:t xml:space="preserve">G Smith and S Zhang validated and implemented the Metasin assay. </w:t>
      </w:r>
      <w:r>
        <w:t xml:space="preserve">H Markham was the lead pathologist and </w:t>
      </w:r>
      <w:r>
        <w:lastRenderedPageBreak/>
        <w:t>performed extended analysis of the lymph nodes.</w:t>
      </w:r>
      <w:r w:rsidR="00290075">
        <w:t xml:space="preserve"> E Hodges and R Cutress led respectively</w:t>
      </w:r>
      <w:r w:rsidR="00473866">
        <w:t>,</w:t>
      </w:r>
      <w:r w:rsidR="00290075">
        <w:t xml:space="preserve"> the service and surgical implementation</w:t>
      </w:r>
      <w:r w:rsidR="00473866">
        <w:t>,</w:t>
      </w:r>
      <w:r w:rsidR="00290075">
        <w:t xml:space="preserve"> of the intraoperative </w:t>
      </w:r>
      <w:r w:rsidR="007F7E11">
        <w:t>assay</w:t>
      </w:r>
      <w:r w:rsidR="00290075">
        <w:t>.</w:t>
      </w:r>
      <w:r>
        <w:t xml:space="preserve"> </w:t>
      </w:r>
    </w:p>
    <w:p w:rsidR="00AC1235" w:rsidRPr="000E55ED" w:rsidRDefault="00AC1235" w:rsidP="00AC1235"/>
    <w:p w:rsidR="00AC1235" w:rsidRDefault="00AC1235" w:rsidP="00AC1235">
      <w:pPr>
        <w:rPr>
          <w:b/>
        </w:rPr>
      </w:pPr>
      <w:r>
        <w:rPr>
          <w:b/>
        </w:rPr>
        <w:t>Collaborators</w:t>
      </w:r>
    </w:p>
    <w:p w:rsidR="00273676" w:rsidRPr="00273676" w:rsidRDefault="00AC1235" w:rsidP="00273676">
      <w:pPr>
        <w:shd w:val="clear" w:color="auto" w:fill="FFFFFF"/>
        <w:rPr>
          <w:rFonts w:ascii="Calibri" w:hAnsi="Calibri"/>
          <w:color w:val="222222"/>
          <w:sz w:val="22"/>
          <w:szCs w:val="22"/>
          <w:lang w:eastAsia="en-GB"/>
        </w:rPr>
      </w:pPr>
      <w:r>
        <w:t xml:space="preserve">The Molecular Pathology staff who performed the Metasin analysis:- A Afonso, </w:t>
      </w:r>
      <w:r w:rsidR="00EE77DC">
        <w:t xml:space="preserve">     </w:t>
      </w:r>
      <w:r>
        <w:t>Dr S J Doherty, Dr R H Ganderton, C V Lee,</w:t>
      </w:r>
      <w:r w:rsidRPr="009A30E9">
        <w:t xml:space="preserve"> </w:t>
      </w:r>
      <w:r>
        <w:t>N Meakin</w:t>
      </w:r>
      <w:r w:rsidR="005348C4">
        <w:t>.</w:t>
      </w:r>
      <w:r>
        <w:t xml:space="preserve"> The breast surgeons:- Mr D A Rew, Mr G T Royle, Miss T G Simoes, Miss C M Summerhayes.</w:t>
      </w:r>
      <w:r w:rsidR="00290075">
        <w:t xml:space="preserve"> The breast pathologists: - </w:t>
      </w:r>
      <w:r w:rsidR="005348C4">
        <w:t xml:space="preserve">Dr V Bhargava, </w:t>
      </w:r>
      <w:r w:rsidR="00290075">
        <w:t xml:space="preserve">Dr A. C Bateman, </w:t>
      </w:r>
      <w:r w:rsidR="00273676">
        <w:t xml:space="preserve">Dr H Roche, </w:t>
      </w:r>
      <w:r w:rsidR="005348C4">
        <w:t xml:space="preserve">Dr </w:t>
      </w:r>
      <w:r w:rsidR="00CB5780">
        <w:t>J</w:t>
      </w:r>
      <w:r w:rsidR="005348C4">
        <w:t>, M Theaker,</w:t>
      </w:r>
      <w:r w:rsidR="005348C4" w:rsidRPr="005348C4">
        <w:t xml:space="preserve"> </w:t>
      </w:r>
      <w:r w:rsidR="005348C4">
        <w:t>Dr C Tilley.</w:t>
      </w:r>
    </w:p>
    <w:p w:rsidR="0014192B" w:rsidRDefault="0014192B" w:rsidP="00AC1235">
      <w:pPr>
        <w:rPr>
          <w:b/>
        </w:rPr>
      </w:pPr>
    </w:p>
    <w:p w:rsidR="00AC1235" w:rsidRDefault="00AC1235" w:rsidP="00AC1235">
      <w:r>
        <w:rPr>
          <w:b/>
        </w:rPr>
        <w:t>ACKNOWLEDGEMENTS</w:t>
      </w:r>
    </w:p>
    <w:p w:rsidR="00AC1235" w:rsidRDefault="00AC1235" w:rsidP="00AC1235">
      <w:r>
        <w:t>Mrs Ja</w:t>
      </w:r>
      <w:r w:rsidR="00EE77DC">
        <w:t>y</w:t>
      </w:r>
      <w:r>
        <w:t xml:space="preserve">ne Derham and colleagues, Breast Imaging Unit, Princess Anne Hospital, Southampton. </w:t>
      </w:r>
      <w:r w:rsidR="007F7E11">
        <w:t xml:space="preserve">Mr Mark Fine and all theatre staff, Princess Anne Hospital, Southampton. </w:t>
      </w:r>
      <w:r>
        <w:t xml:space="preserve">Mrs Julie Wright and colleagues, Cellular Pathology Department, Queen Alexandra Hospital, Portsmouth. </w:t>
      </w:r>
    </w:p>
    <w:p w:rsidR="00AC1235" w:rsidRDefault="00AC1235" w:rsidP="00AC1235">
      <w:pPr>
        <w:rPr>
          <w:b/>
        </w:rPr>
      </w:pPr>
    </w:p>
    <w:p w:rsidR="00AC1235" w:rsidRPr="008515EB" w:rsidRDefault="00AC1235" w:rsidP="00AC1235">
      <w:pPr>
        <w:rPr>
          <w:b/>
        </w:rPr>
      </w:pPr>
      <w:r>
        <w:rPr>
          <w:b/>
        </w:rPr>
        <w:t>FUNDING AND SUPPORT</w:t>
      </w:r>
    </w:p>
    <w:p w:rsidR="00AC1235" w:rsidRDefault="00AC1235" w:rsidP="00AC1235">
      <w:r>
        <w:t xml:space="preserve">The League of Friends, University Hospital Southampton provided funding to purchase the thermal cycler and other equipment hardware costs to implement the </w:t>
      </w:r>
      <w:r w:rsidR="00C830B6">
        <w:t>Met</w:t>
      </w:r>
      <w:r>
        <w:t>a</w:t>
      </w:r>
      <w:r w:rsidR="00C830B6">
        <w:t>sin a</w:t>
      </w:r>
      <w:r>
        <w:t>ssay.</w:t>
      </w:r>
    </w:p>
    <w:p w:rsidR="00C830B6" w:rsidRDefault="00C830B6" w:rsidP="00AC1235"/>
    <w:p w:rsidR="00AC1235" w:rsidRPr="005348C4" w:rsidRDefault="00AC1235" w:rsidP="00AC1235">
      <w:r w:rsidRPr="00187451">
        <w:rPr>
          <w:b/>
        </w:rPr>
        <w:t>KEY MESSAGES</w:t>
      </w:r>
    </w:p>
    <w:p w:rsidR="005348C4" w:rsidRDefault="005348C4" w:rsidP="005348C4">
      <w:r>
        <w:t>When used to analyse intra operative sentinel lymph nod</w:t>
      </w:r>
      <w:r w:rsidR="007F7E11">
        <w:t>es during breast cancer surgery:</w:t>
      </w:r>
    </w:p>
    <w:p w:rsidR="00AC1235" w:rsidRDefault="00AC1235" w:rsidP="00AC1235">
      <w:r>
        <w:t>1.</w:t>
      </w:r>
      <w:r w:rsidR="007E5414">
        <w:t xml:space="preserve"> Metasin is a reliable, reproducible and sensitive laboratory test.</w:t>
      </w:r>
    </w:p>
    <w:p w:rsidR="00AC1235" w:rsidRDefault="00AC1235" w:rsidP="00AC1235">
      <w:r>
        <w:lastRenderedPageBreak/>
        <w:t>2.</w:t>
      </w:r>
      <w:r w:rsidR="007E5414">
        <w:t xml:space="preserve"> Metasin is comparable to routine paraffin block Histology.</w:t>
      </w:r>
    </w:p>
    <w:p w:rsidR="00AC1235" w:rsidRDefault="00AC1235" w:rsidP="00AC1235">
      <w:r>
        <w:t>3.</w:t>
      </w:r>
      <w:r w:rsidR="007E5414">
        <w:t xml:space="preserve"> Metasin can be used to make timely and informed decisions </w:t>
      </w:r>
    </w:p>
    <w:p w:rsidR="00AC1235" w:rsidRDefault="00AC1235" w:rsidP="00AC1235">
      <w:pPr>
        <w:spacing w:before="240"/>
        <w:rPr>
          <w:b/>
        </w:rPr>
      </w:pPr>
      <w:r w:rsidRPr="00BC22B4">
        <w:rPr>
          <w:b/>
        </w:rPr>
        <w:t>REFERENCES</w:t>
      </w:r>
    </w:p>
    <w:p w:rsidR="00AC1235" w:rsidRPr="006E002D" w:rsidRDefault="00AC1235" w:rsidP="00AC1235">
      <w:pPr>
        <w:spacing w:after="200" w:line="276" w:lineRule="auto"/>
        <w:jc w:val="left"/>
        <w:rPr>
          <w:rFonts w:eastAsiaTheme="minorHAnsi"/>
        </w:rPr>
      </w:pPr>
      <w:r w:rsidRPr="006E002D">
        <w:rPr>
          <w:rFonts w:eastAsiaTheme="minorHAnsi"/>
        </w:rPr>
        <w:t>1. Lyman G, Giuliano A</w:t>
      </w:r>
      <w:r>
        <w:rPr>
          <w:rFonts w:eastAsiaTheme="minorHAnsi"/>
        </w:rPr>
        <w:t>,</w:t>
      </w:r>
      <w:r w:rsidRPr="006E002D">
        <w:rPr>
          <w:rFonts w:eastAsiaTheme="minorHAnsi"/>
        </w:rPr>
        <w:t xml:space="preserve"> Somerfield</w:t>
      </w:r>
      <w:r>
        <w:rPr>
          <w:rFonts w:eastAsiaTheme="minorHAnsi"/>
        </w:rPr>
        <w:t xml:space="preserve"> M</w:t>
      </w:r>
      <w:r w:rsidRPr="006E002D">
        <w:rPr>
          <w:rFonts w:eastAsiaTheme="minorHAnsi"/>
        </w:rPr>
        <w:t xml:space="preserve">, </w:t>
      </w:r>
      <w:r>
        <w:rPr>
          <w:rFonts w:eastAsiaTheme="minorHAnsi"/>
        </w:rPr>
        <w:t>et al.</w:t>
      </w:r>
      <w:r w:rsidRPr="006E002D">
        <w:rPr>
          <w:rFonts w:eastAsiaTheme="minorHAnsi"/>
        </w:rPr>
        <w:t xml:space="preserve"> American Society of Clinical Oncology guideline recommendations for sentinel lymph node biopsy in early-stage breast cancer. </w:t>
      </w:r>
      <w:r>
        <w:rPr>
          <w:rFonts w:eastAsiaTheme="minorHAnsi"/>
          <w:i/>
        </w:rPr>
        <w:t>J Clin</w:t>
      </w:r>
      <w:r w:rsidRPr="006E002D">
        <w:rPr>
          <w:rFonts w:eastAsiaTheme="minorHAnsi"/>
          <w:i/>
        </w:rPr>
        <w:t xml:space="preserve"> Oncology. Off. J</w:t>
      </w:r>
      <w:r>
        <w:rPr>
          <w:rFonts w:eastAsiaTheme="minorHAnsi"/>
          <w:i/>
        </w:rPr>
        <w:t xml:space="preserve">  </w:t>
      </w:r>
      <w:r>
        <w:rPr>
          <w:rFonts w:eastAsiaTheme="minorHAnsi"/>
        </w:rPr>
        <w:t>2005;</w:t>
      </w:r>
      <w:r w:rsidRPr="00F7047F">
        <w:rPr>
          <w:rFonts w:eastAsiaTheme="minorHAnsi"/>
        </w:rPr>
        <w:t>23</w:t>
      </w:r>
      <w:r>
        <w:rPr>
          <w:rFonts w:eastAsiaTheme="minorHAnsi"/>
        </w:rPr>
        <w:t>:</w:t>
      </w:r>
      <w:r w:rsidRPr="006E002D">
        <w:rPr>
          <w:rFonts w:eastAsiaTheme="minorHAnsi"/>
        </w:rPr>
        <w:t>7703-7720.</w:t>
      </w:r>
    </w:p>
    <w:p w:rsidR="00AC1235" w:rsidRPr="006E002D" w:rsidRDefault="00AC1235" w:rsidP="00AC1235">
      <w:pPr>
        <w:spacing w:after="200" w:line="276" w:lineRule="auto"/>
        <w:jc w:val="left"/>
        <w:rPr>
          <w:rFonts w:eastAsiaTheme="minorHAnsi"/>
        </w:rPr>
      </w:pPr>
      <w:r w:rsidRPr="006E002D">
        <w:rPr>
          <w:rFonts w:eastAsiaTheme="minorHAnsi"/>
        </w:rPr>
        <w:t xml:space="preserve">2. MacNeill, F. New start: The UK SLNB training programme – A progress report. </w:t>
      </w:r>
      <w:r w:rsidRPr="006E002D">
        <w:rPr>
          <w:rFonts w:eastAsiaTheme="minorHAnsi"/>
          <w:i/>
        </w:rPr>
        <w:t>Ann. R. Coll Surg. Engl</w:t>
      </w:r>
      <w:r>
        <w:rPr>
          <w:rFonts w:eastAsiaTheme="minorHAnsi"/>
          <w:i/>
        </w:rPr>
        <w:t xml:space="preserve"> </w:t>
      </w:r>
      <w:r w:rsidRPr="00F7047F">
        <w:rPr>
          <w:rFonts w:eastAsiaTheme="minorHAnsi"/>
        </w:rPr>
        <w:t>2007</w:t>
      </w:r>
      <w:r>
        <w:rPr>
          <w:rFonts w:eastAsiaTheme="minorHAnsi"/>
        </w:rPr>
        <w:t>;</w:t>
      </w:r>
      <w:r w:rsidRPr="00F7047F">
        <w:rPr>
          <w:rFonts w:eastAsiaTheme="minorHAnsi"/>
        </w:rPr>
        <w:t>89</w:t>
      </w:r>
      <w:r>
        <w:rPr>
          <w:rFonts w:eastAsiaTheme="minorHAnsi"/>
        </w:rPr>
        <w:t>:</w:t>
      </w:r>
      <w:r w:rsidRPr="006E002D">
        <w:rPr>
          <w:rFonts w:eastAsiaTheme="minorHAnsi"/>
        </w:rPr>
        <w:t>60-61.</w:t>
      </w:r>
    </w:p>
    <w:p w:rsidR="00AC1235" w:rsidRPr="006E002D" w:rsidRDefault="00AC1235" w:rsidP="00AC1235">
      <w:pPr>
        <w:spacing w:after="200" w:line="276" w:lineRule="auto"/>
        <w:jc w:val="left"/>
        <w:rPr>
          <w:rFonts w:eastAsiaTheme="minorHAnsi"/>
        </w:rPr>
      </w:pPr>
      <w:r w:rsidRPr="006E002D">
        <w:rPr>
          <w:rFonts w:eastAsiaTheme="minorHAnsi"/>
        </w:rPr>
        <w:t>3. Early and locally advanced breast cancer. NICE clinical guideline 80 (2009).</w:t>
      </w:r>
    </w:p>
    <w:p w:rsidR="00AC1235" w:rsidRPr="006E002D" w:rsidRDefault="00AC1235" w:rsidP="00AC1235">
      <w:pPr>
        <w:spacing w:after="200" w:line="276" w:lineRule="auto"/>
        <w:jc w:val="left"/>
        <w:rPr>
          <w:rFonts w:eastAsiaTheme="minorHAnsi"/>
        </w:rPr>
      </w:pPr>
      <w:r>
        <w:rPr>
          <w:rFonts w:eastAsiaTheme="minorHAnsi"/>
        </w:rPr>
        <w:t>4. Krag</w:t>
      </w:r>
      <w:r w:rsidRPr="006E002D">
        <w:rPr>
          <w:rFonts w:eastAsiaTheme="minorHAnsi"/>
        </w:rPr>
        <w:t xml:space="preserve"> D</w:t>
      </w:r>
      <w:r>
        <w:rPr>
          <w:rFonts w:eastAsiaTheme="minorHAnsi"/>
        </w:rPr>
        <w:t>,</w:t>
      </w:r>
      <w:r w:rsidRPr="006E002D">
        <w:rPr>
          <w:rFonts w:eastAsiaTheme="minorHAnsi"/>
        </w:rPr>
        <w:t xml:space="preserve"> Anderson S</w:t>
      </w:r>
      <w:r>
        <w:rPr>
          <w:rFonts w:eastAsiaTheme="minorHAnsi"/>
        </w:rPr>
        <w:t>, Julian</w:t>
      </w:r>
      <w:r w:rsidRPr="006E002D">
        <w:rPr>
          <w:rFonts w:eastAsiaTheme="minorHAnsi"/>
        </w:rPr>
        <w:t xml:space="preserve"> T</w:t>
      </w:r>
      <w:r>
        <w:rPr>
          <w:rFonts w:eastAsiaTheme="minorHAnsi"/>
        </w:rPr>
        <w:t xml:space="preserve">, et al. </w:t>
      </w:r>
      <w:r w:rsidRPr="006E002D">
        <w:rPr>
          <w:rFonts w:eastAsiaTheme="minorHAnsi"/>
        </w:rPr>
        <w:t xml:space="preserve">Sentinel-lymph node-resection compared with conventional axillary-lymph-node dissection in clinically node-negative patients with breast cancer: overall survival findings from the NSABP B-32 randomised phase 3 trial. </w:t>
      </w:r>
      <w:r w:rsidRPr="006E002D">
        <w:rPr>
          <w:rFonts w:eastAsiaTheme="minorHAnsi"/>
          <w:i/>
        </w:rPr>
        <w:t>Lancet Oncol</w:t>
      </w:r>
      <w:r w:rsidRPr="006E002D">
        <w:rPr>
          <w:rFonts w:eastAsiaTheme="minorHAnsi"/>
        </w:rPr>
        <w:t xml:space="preserve"> </w:t>
      </w:r>
      <w:r w:rsidRPr="0010368D">
        <w:rPr>
          <w:rFonts w:eastAsiaTheme="minorHAnsi"/>
        </w:rPr>
        <w:t>2010</w:t>
      </w:r>
      <w:r>
        <w:rPr>
          <w:rFonts w:eastAsiaTheme="minorHAnsi"/>
        </w:rPr>
        <w:t>;</w:t>
      </w:r>
      <w:r w:rsidRPr="006E002D">
        <w:rPr>
          <w:rFonts w:eastAsiaTheme="minorHAnsi"/>
        </w:rPr>
        <w:t>10</w:t>
      </w:r>
      <w:r>
        <w:rPr>
          <w:rFonts w:eastAsiaTheme="minorHAnsi"/>
        </w:rPr>
        <w:t>:</w:t>
      </w:r>
      <w:r w:rsidRPr="006E002D">
        <w:rPr>
          <w:rFonts w:eastAsiaTheme="minorHAnsi"/>
        </w:rPr>
        <w:t>927-33.</w:t>
      </w:r>
    </w:p>
    <w:p w:rsidR="00AC1235" w:rsidRPr="006E002D" w:rsidRDefault="00AC1235" w:rsidP="00AC1235">
      <w:pPr>
        <w:spacing w:after="200" w:line="276" w:lineRule="auto"/>
        <w:jc w:val="left"/>
        <w:rPr>
          <w:rFonts w:eastAsiaTheme="minorHAnsi"/>
        </w:rPr>
      </w:pPr>
      <w:r w:rsidRPr="006E002D">
        <w:rPr>
          <w:rFonts w:eastAsiaTheme="minorHAnsi"/>
        </w:rPr>
        <w:t>5. Mansel R</w:t>
      </w:r>
      <w:r>
        <w:rPr>
          <w:rFonts w:eastAsiaTheme="minorHAnsi"/>
        </w:rPr>
        <w:t>,</w:t>
      </w:r>
      <w:r w:rsidRPr="006E002D">
        <w:rPr>
          <w:rFonts w:eastAsiaTheme="minorHAnsi"/>
        </w:rPr>
        <w:t xml:space="preserve"> Fallowfield L</w:t>
      </w:r>
      <w:r>
        <w:rPr>
          <w:rFonts w:eastAsiaTheme="minorHAnsi"/>
        </w:rPr>
        <w:t>, Kissin</w:t>
      </w:r>
      <w:r w:rsidRPr="006E002D">
        <w:rPr>
          <w:rFonts w:eastAsiaTheme="minorHAnsi"/>
        </w:rPr>
        <w:t xml:space="preserve"> M</w:t>
      </w:r>
      <w:r>
        <w:rPr>
          <w:rFonts w:eastAsiaTheme="minorHAnsi"/>
        </w:rPr>
        <w:t>, et al</w:t>
      </w:r>
      <w:r w:rsidRPr="006E002D">
        <w:rPr>
          <w:rFonts w:eastAsiaTheme="minorHAnsi"/>
        </w:rPr>
        <w:t xml:space="preserve">. Randomized multicentre trial of sentinel node biopsy versus axillary treatment in operable breast cancer: the ALMANAC Trial. </w:t>
      </w:r>
      <w:r>
        <w:rPr>
          <w:rFonts w:eastAsiaTheme="minorHAnsi"/>
          <w:i/>
        </w:rPr>
        <w:t>J Nat Cancer Inst</w:t>
      </w:r>
      <w:r w:rsidRPr="006E002D">
        <w:rPr>
          <w:rFonts w:eastAsiaTheme="minorHAnsi"/>
          <w:i/>
        </w:rPr>
        <w:t xml:space="preserve"> </w:t>
      </w:r>
      <w:r w:rsidRPr="0010368D">
        <w:rPr>
          <w:rFonts w:eastAsiaTheme="minorHAnsi"/>
        </w:rPr>
        <w:t>2006</w:t>
      </w:r>
      <w:r>
        <w:rPr>
          <w:rFonts w:eastAsiaTheme="minorHAnsi"/>
        </w:rPr>
        <w:t>;</w:t>
      </w:r>
      <w:r w:rsidRPr="0010368D">
        <w:rPr>
          <w:rFonts w:eastAsiaTheme="minorHAnsi"/>
        </w:rPr>
        <w:t>98</w:t>
      </w:r>
      <w:r>
        <w:rPr>
          <w:rFonts w:eastAsiaTheme="minorHAnsi"/>
        </w:rPr>
        <w:t>:</w:t>
      </w:r>
      <w:r w:rsidRPr="006E002D">
        <w:rPr>
          <w:rFonts w:eastAsiaTheme="minorHAnsi"/>
        </w:rPr>
        <w:t>599-609.</w:t>
      </w:r>
    </w:p>
    <w:p w:rsidR="00AC1235" w:rsidRPr="006E002D" w:rsidRDefault="00AC1235" w:rsidP="00AC1235">
      <w:pPr>
        <w:spacing w:after="200" w:line="276" w:lineRule="auto"/>
        <w:jc w:val="left"/>
        <w:rPr>
          <w:rFonts w:eastAsiaTheme="minorHAnsi"/>
        </w:rPr>
      </w:pPr>
      <w:r w:rsidRPr="006E002D">
        <w:rPr>
          <w:rFonts w:eastAsiaTheme="minorHAnsi"/>
        </w:rPr>
        <w:t>6. The Association of Breast Surgery at BASO RCoSoE. Guidelines for the management of systemic breast disease</w:t>
      </w:r>
      <w:r>
        <w:rPr>
          <w:rFonts w:eastAsiaTheme="minorHAnsi"/>
        </w:rPr>
        <w:t>.</w:t>
      </w:r>
      <w:r w:rsidRPr="006E002D">
        <w:rPr>
          <w:rFonts w:eastAsiaTheme="minorHAnsi"/>
        </w:rPr>
        <w:t xml:space="preserve"> </w:t>
      </w:r>
      <w:r>
        <w:rPr>
          <w:rFonts w:eastAsiaTheme="minorHAnsi"/>
          <w:i/>
        </w:rPr>
        <w:t>Eur J Surg</w:t>
      </w:r>
      <w:r w:rsidRPr="006E002D">
        <w:rPr>
          <w:rFonts w:eastAsiaTheme="minorHAnsi"/>
          <w:i/>
        </w:rPr>
        <w:t xml:space="preserve"> Oncl</w:t>
      </w:r>
      <w:r w:rsidRPr="006E002D">
        <w:rPr>
          <w:rFonts w:eastAsiaTheme="minorHAnsi"/>
        </w:rPr>
        <w:t xml:space="preserve"> </w:t>
      </w:r>
      <w:r w:rsidRPr="0010368D">
        <w:rPr>
          <w:rFonts w:eastAsiaTheme="minorHAnsi"/>
        </w:rPr>
        <w:t>2005</w:t>
      </w:r>
      <w:r>
        <w:rPr>
          <w:rFonts w:eastAsiaTheme="minorHAnsi"/>
        </w:rPr>
        <w:t>;</w:t>
      </w:r>
      <w:r w:rsidRPr="0010368D">
        <w:rPr>
          <w:rFonts w:eastAsiaTheme="minorHAnsi"/>
        </w:rPr>
        <w:t>31</w:t>
      </w:r>
      <w:r>
        <w:rPr>
          <w:rFonts w:eastAsiaTheme="minorHAnsi"/>
        </w:rPr>
        <w:t>:</w:t>
      </w:r>
      <w:r w:rsidRPr="006E002D">
        <w:rPr>
          <w:rFonts w:eastAsiaTheme="minorHAnsi"/>
        </w:rPr>
        <w:t>S1-21.</w:t>
      </w:r>
    </w:p>
    <w:p w:rsidR="00AC1235" w:rsidRPr="006E002D" w:rsidRDefault="00AC1235" w:rsidP="00AC1235">
      <w:pPr>
        <w:spacing w:after="200" w:line="276" w:lineRule="auto"/>
        <w:jc w:val="left"/>
        <w:rPr>
          <w:rFonts w:eastAsiaTheme="minorHAnsi"/>
        </w:rPr>
      </w:pPr>
      <w:r w:rsidRPr="006E002D">
        <w:rPr>
          <w:rFonts w:eastAsiaTheme="minorHAnsi"/>
        </w:rPr>
        <w:t>7. Cutress R</w:t>
      </w:r>
      <w:r>
        <w:rPr>
          <w:rFonts w:eastAsiaTheme="minorHAnsi"/>
        </w:rPr>
        <w:t xml:space="preserve">, </w:t>
      </w:r>
      <w:r w:rsidRPr="006E002D">
        <w:rPr>
          <w:rFonts w:eastAsiaTheme="minorHAnsi"/>
        </w:rPr>
        <w:t>McDowell A</w:t>
      </w:r>
      <w:r>
        <w:rPr>
          <w:rFonts w:eastAsiaTheme="minorHAnsi"/>
        </w:rPr>
        <w:t>,</w:t>
      </w:r>
      <w:r w:rsidRPr="006E002D">
        <w:rPr>
          <w:rFonts w:eastAsiaTheme="minorHAnsi"/>
        </w:rPr>
        <w:t xml:space="preserve"> Gabriel F</w:t>
      </w:r>
      <w:r>
        <w:rPr>
          <w:rFonts w:eastAsiaTheme="minorHAnsi"/>
        </w:rPr>
        <w:t xml:space="preserve">, et al. </w:t>
      </w:r>
      <w:r w:rsidRPr="006E002D">
        <w:rPr>
          <w:rFonts w:eastAsiaTheme="minorHAnsi"/>
        </w:rPr>
        <w:t xml:space="preserve">Observational and cost analysis of the implementation of breast cancer sentinel node intraoperative molecular diagnosis. </w:t>
      </w:r>
      <w:r w:rsidRPr="006E002D">
        <w:rPr>
          <w:rFonts w:eastAsiaTheme="minorHAnsi"/>
          <w:i/>
        </w:rPr>
        <w:t>J Clin Pathol</w:t>
      </w:r>
      <w:r w:rsidRPr="006E002D">
        <w:rPr>
          <w:rFonts w:eastAsiaTheme="minorHAnsi"/>
        </w:rPr>
        <w:t xml:space="preserve"> </w:t>
      </w:r>
      <w:r w:rsidRPr="004D3938">
        <w:rPr>
          <w:rFonts w:eastAsiaTheme="minorHAnsi"/>
        </w:rPr>
        <w:t>2010</w:t>
      </w:r>
      <w:r>
        <w:rPr>
          <w:rFonts w:eastAsiaTheme="minorHAnsi"/>
          <w:b/>
        </w:rPr>
        <w:t>;</w:t>
      </w:r>
      <w:r w:rsidRPr="004D3938">
        <w:rPr>
          <w:rFonts w:eastAsiaTheme="minorHAnsi"/>
        </w:rPr>
        <w:t>63</w:t>
      </w:r>
      <w:r>
        <w:rPr>
          <w:rFonts w:eastAsiaTheme="minorHAnsi"/>
        </w:rPr>
        <w:t>:</w:t>
      </w:r>
      <w:r w:rsidRPr="006E002D">
        <w:rPr>
          <w:rFonts w:eastAsiaTheme="minorHAnsi"/>
        </w:rPr>
        <w:t>522-9.</w:t>
      </w:r>
    </w:p>
    <w:p w:rsidR="00AC1235" w:rsidRPr="006E002D" w:rsidRDefault="00AC1235" w:rsidP="00AC1235">
      <w:pPr>
        <w:spacing w:after="200" w:line="276" w:lineRule="auto"/>
        <w:jc w:val="left"/>
        <w:rPr>
          <w:rFonts w:eastAsiaTheme="minorHAnsi"/>
        </w:rPr>
      </w:pPr>
      <w:r w:rsidRPr="006E002D">
        <w:rPr>
          <w:rFonts w:eastAsiaTheme="minorHAnsi"/>
        </w:rPr>
        <w:t>8. Tew K</w:t>
      </w:r>
      <w:r>
        <w:rPr>
          <w:rFonts w:eastAsiaTheme="minorHAnsi"/>
        </w:rPr>
        <w:t>,</w:t>
      </w:r>
      <w:r w:rsidRPr="006E002D">
        <w:rPr>
          <w:rFonts w:eastAsiaTheme="minorHAnsi"/>
        </w:rPr>
        <w:t xml:space="preserve"> Irwig L</w:t>
      </w:r>
      <w:r>
        <w:rPr>
          <w:rFonts w:eastAsiaTheme="minorHAnsi"/>
        </w:rPr>
        <w:t>,</w:t>
      </w:r>
      <w:r w:rsidRPr="006E002D">
        <w:rPr>
          <w:rFonts w:eastAsiaTheme="minorHAnsi"/>
        </w:rPr>
        <w:t xml:space="preserve"> Matthews A</w:t>
      </w:r>
      <w:r>
        <w:rPr>
          <w:rFonts w:eastAsiaTheme="minorHAnsi"/>
        </w:rPr>
        <w:t xml:space="preserve">, </w:t>
      </w:r>
      <w:r w:rsidRPr="004D3938">
        <w:rPr>
          <w:rFonts w:eastAsiaTheme="minorHAnsi"/>
        </w:rPr>
        <w:t>et al</w:t>
      </w:r>
      <w:r w:rsidRPr="006E002D">
        <w:rPr>
          <w:rFonts w:eastAsiaTheme="minorHAnsi"/>
        </w:rPr>
        <w:t xml:space="preserve">. Meta-analysis of sentinel node imprint cytology in breast cancer. </w:t>
      </w:r>
      <w:r w:rsidRPr="004D3938">
        <w:rPr>
          <w:rFonts w:eastAsiaTheme="minorHAnsi"/>
          <w:i/>
        </w:rPr>
        <w:t>Br</w:t>
      </w:r>
      <w:r>
        <w:rPr>
          <w:rFonts w:eastAsiaTheme="minorHAnsi"/>
          <w:i/>
        </w:rPr>
        <w:t xml:space="preserve"> J</w:t>
      </w:r>
      <w:r w:rsidRPr="004D3938">
        <w:rPr>
          <w:rFonts w:eastAsiaTheme="minorHAnsi"/>
          <w:i/>
        </w:rPr>
        <w:t xml:space="preserve"> Surg</w:t>
      </w:r>
      <w:r w:rsidRPr="006E002D">
        <w:rPr>
          <w:rFonts w:eastAsiaTheme="minorHAnsi"/>
        </w:rPr>
        <w:t xml:space="preserve"> </w:t>
      </w:r>
      <w:r w:rsidRPr="004D3938">
        <w:rPr>
          <w:rFonts w:eastAsiaTheme="minorHAnsi"/>
        </w:rPr>
        <w:t>2005</w:t>
      </w:r>
      <w:r>
        <w:rPr>
          <w:rFonts w:eastAsiaTheme="minorHAnsi"/>
        </w:rPr>
        <w:t>;</w:t>
      </w:r>
      <w:r w:rsidRPr="004D3938">
        <w:rPr>
          <w:rFonts w:eastAsiaTheme="minorHAnsi"/>
        </w:rPr>
        <w:t>92</w:t>
      </w:r>
      <w:r>
        <w:rPr>
          <w:rFonts w:eastAsiaTheme="minorHAnsi"/>
        </w:rPr>
        <w:t>:</w:t>
      </w:r>
      <w:r w:rsidRPr="006E002D">
        <w:rPr>
          <w:rFonts w:eastAsiaTheme="minorHAnsi"/>
        </w:rPr>
        <w:t>1068-80.</w:t>
      </w:r>
    </w:p>
    <w:p w:rsidR="00AC1235" w:rsidRPr="006E002D" w:rsidRDefault="00AC1235" w:rsidP="00AC1235">
      <w:pPr>
        <w:spacing w:after="200" w:line="276" w:lineRule="auto"/>
        <w:jc w:val="left"/>
        <w:rPr>
          <w:rFonts w:eastAsiaTheme="minorHAnsi"/>
        </w:rPr>
      </w:pPr>
      <w:r w:rsidRPr="006E002D">
        <w:rPr>
          <w:rFonts w:eastAsiaTheme="minorHAnsi"/>
        </w:rPr>
        <w:t>9. Creager</w:t>
      </w:r>
      <w:r>
        <w:rPr>
          <w:rFonts w:eastAsiaTheme="minorHAnsi"/>
        </w:rPr>
        <w:t xml:space="preserve"> A and </w:t>
      </w:r>
      <w:r w:rsidRPr="006E002D">
        <w:rPr>
          <w:rFonts w:eastAsiaTheme="minorHAnsi"/>
        </w:rPr>
        <w:t xml:space="preserve">Geisinger K. Intraoperative evaluation of sentinel lymph nodes for breast carcinoma: current methodologies. </w:t>
      </w:r>
      <w:r>
        <w:rPr>
          <w:rFonts w:eastAsiaTheme="minorHAnsi"/>
          <w:i/>
        </w:rPr>
        <w:t>Adv Anat</w:t>
      </w:r>
      <w:r w:rsidRPr="00880BCD">
        <w:rPr>
          <w:rFonts w:eastAsiaTheme="minorHAnsi"/>
          <w:i/>
        </w:rPr>
        <w:t xml:space="preserve"> Pathol</w:t>
      </w:r>
      <w:r>
        <w:rPr>
          <w:rFonts w:eastAsiaTheme="minorHAnsi"/>
          <w:i/>
        </w:rPr>
        <w:t xml:space="preserve"> </w:t>
      </w:r>
      <w:r w:rsidRPr="00880BCD">
        <w:rPr>
          <w:rFonts w:eastAsiaTheme="minorHAnsi"/>
        </w:rPr>
        <w:t>2002</w:t>
      </w:r>
      <w:r>
        <w:rPr>
          <w:rFonts w:eastAsiaTheme="minorHAnsi"/>
        </w:rPr>
        <w:t>;</w:t>
      </w:r>
      <w:r w:rsidRPr="00880BCD">
        <w:rPr>
          <w:rFonts w:eastAsiaTheme="minorHAnsi"/>
        </w:rPr>
        <w:t>9</w:t>
      </w:r>
      <w:r>
        <w:rPr>
          <w:rFonts w:eastAsiaTheme="minorHAnsi"/>
        </w:rPr>
        <w:t>:</w:t>
      </w:r>
      <w:r w:rsidRPr="006E002D">
        <w:rPr>
          <w:rFonts w:eastAsiaTheme="minorHAnsi"/>
        </w:rPr>
        <w:t>233-43.</w:t>
      </w:r>
    </w:p>
    <w:p w:rsidR="00AC1235" w:rsidRPr="006E002D" w:rsidRDefault="00AC1235" w:rsidP="00AC1235">
      <w:pPr>
        <w:spacing w:after="200" w:line="276" w:lineRule="auto"/>
        <w:jc w:val="left"/>
        <w:rPr>
          <w:rFonts w:eastAsiaTheme="minorHAnsi"/>
        </w:rPr>
      </w:pPr>
      <w:r w:rsidRPr="006E002D">
        <w:rPr>
          <w:rFonts w:eastAsiaTheme="minorHAnsi"/>
        </w:rPr>
        <w:t>10. Layfield D</w:t>
      </w:r>
      <w:r>
        <w:rPr>
          <w:rFonts w:eastAsiaTheme="minorHAnsi"/>
        </w:rPr>
        <w:t>,</w:t>
      </w:r>
      <w:r w:rsidRPr="006E002D">
        <w:rPr>
          <w:rFonts w:eastAsiaTheme="minorHAnsi"/>
        </w:rPr>
        <w:t xml:space="preserve"> Agrawal A</w:t>
      </w:r>
      <w:r>
        <w:rPr>
          <w:rFonts w:eastAsiaTheme="minorHAnsi"/>
        </w:rPr>
        <w:t>,</w:t>
      </w:r>
      <w:r w:rsidRPr="006E002D">
        <w:rPr>
          <w:rFonts w:eastAsiaTheme="minorHAnsi"/>
        </w:rPr>
        <w:t xml:space="preserve"> Roche</w:t>
      </w:r>
      <w:r>
        <w:rPr>
          <w:rFonts w:eastAsiaTheme="minorHAnsi"/>
        </w:rPr>
        <w:t xml:space="preserve"> A, et al.</w:t>
      </w:r>
      <w:r w:rsidRPr="006E002D">
        <w:rPr>
          <w:rFonts w:eastAsiaTheme="minorHAnsi"/>
        </w:rPr>
        <w:t xml:space="preserve"> Intraoperative assessment of sentinel lymph nodes in breast cancer. </w:t>
      </w:r>
      <w:r w:rsidRPr="00880BCD">
        <w:rPr>
          <w:rFonts w:eastAsiaTheme="minorHAnsi"/>
          <w:i/>
        </w:rPr>
        <w:t>Br J Surg</w:t>
      </w:r>
      <w:r>
        <w:rPr>
          <w:rFonts w:eastAsiaTheme="minorHAnsi"/>
          <w:i/>
        </w:rPr>
        <w:t xml:space="preserve"> </w:t>
      </w:r>
      <w:r w:rsidRPr="006E002D">
        <w:rPr>
          <w:rFonts w:eastAsiaTheme="minorHAnsi"/>
        </w:rPr>
        <w:t>2011</w:t>
      </w:r>
      <w:r>
        <w:rPr>
          <w:rFonts w:eastAsiaTheme="minorHAnsi"/>
        </w:rPr>
        <w:t>;</w:t>
      </w:r>
      <w:r w:rsidRPr="006E002D">
        <w:rPr>
          <w:rFonts w:eastAsiaTheme="minorHAnsi"/>
        </w:rPr>
        <w:t>98</w:t>
      </w:r>
      <w:r>
        <w:rPr>
          <w:rFonts w:eastAsiaTheme="minorHAnsi"/>
        </w:rPr>
        <w:t>:</w:t>
      </w:r>
      <w:r w:rsidRPr="006E002D">
        <w:rPr>
          <w:rFonts w:eastAsiaTheme="minorHAnsi"/>
        </w:rPr>
        <w:t>4-17.</w:t>
      </w:r>
    </w:p>
    <w:p w:rsidR="00AC1235" w:rsidRPr="006E002D" w:rsidRDefault="00AC1235" w:rsidP="00AC1235">
      <w:pPr>
        <w:spacing w:after="200" w:line="276" w:lineRule="auto"/>
        <w:jc w:val="left"/>
        <w:rPr>
          <w:rFonts w:eastAsiaTheme="minorHAnsi"/>
        </w:rPr>
      </w:pPr>
      <w:r w:rsidRPr="006E002D">
        <w:rPr>
          <w:rFonts w:eastAsiaTheme="minorHAnsi"/>
        </w:rPr>
        <w:t>11. Al-Ramadhani S</w:t>
      </w:r>
      <w:r>
        <w:rPr>
          <w:rFonts w:eastAsiaTheme="minorHAnsi"/>
        </w:rPr>
        <w:t>,</w:t>
      </w:r>
      <w:r w:rsidRPr="006E002D">
        <w:rPr>
          <w:rFonts w:eastAsiaTheme="minorHAnsi"/>
        </w:rPr>
        <w:t xml:space="preserve"> Sai-Giridhar, P</w:t>
      </w:r>
      <w:r>
        <w:rPr>
          <w:rFonts w:eastAsiaTheme="minorHAnsi"/>
        </w:rPr>
        <w:t>,</w:t>
      </w:r>
      <w:r w:rsidRPr="006E002D">
        <w:rPr>
          <w:rFonts w:eastAsiaTheme="minorHAnsi"/>
        </w:rPr>
        <w:t xml:space="preserve"> George D</w:t>
      </w:r>
      <w:r>
        <w:rPr>
          <w:rFonts w:eastAsiaTheme="minorHAnsi"/>
        </w:rPr>
        <w:t xml:space="preserve">, et al. </w:t>
      </w:r>
      <w:r w:rsidRPr="006E002D">
        <w:rPr>
          <w:rFonts w:eastAsiaTheme="minorHAnsi"/>
        </w:rPr>
        <w:t xml:space="preserve">Metasin – An intra-operative RT-qPCR assay to detect metastatic breast cancer in sentinel lymph nodes. </w:t>
      </w:r>
      <w:r>
        <w:rPr>
          <w:rFonts w:eastAsiaTheme="minorHAnsi"/>
          <w:i/>
        </w:rPr>
        <w:t>Int</w:t>
      </w:r>
      <w:r w:rsidRPr="00880BCD">
        <w:rPr>
          <w:rFonts w:eastAsiaTheme="minorHAnsi"/>
          <w:i/>
        </w:rPr>
        <w:t xml:space="preserve"> J</w:t>
      </w:r>
      <w:r>
        <w:rPr>
          <w:rFonts w:eastAsiaTheme="minorHAnsi"/>
          <w:i/>
        </w:rPr>
        <w:t xml:space="preserve"> Mol </w:t>
      </w:r>
      <w:r w:rsidRPr="00880BCD">
        <w:rPr>
          <w:rFonts w:eastAsiaTheme="minorHAnsi"/>
          <w:i/>
        </w:rPr>
        <w:t>Sci</w:t>
      </w:r>
      <w:r>
        <w:rPr>
          <w:rFonts w:eastAsiaTheme="minorHAnsi"/>
        </w:rPr>
        <w:t xml:space="preserve"> </w:t>
      </w:r>
      <w:r w:rsidRPr="00880BCD">
        <w:rPr>
          <w:rFonts w:eastAsiaTheme="minorHAnsi"/>
        </w:rPr>
        <w:t>2013</w:t>
      </w:r>
      <w:r>
        <w:rPr>
          <w:rFonts w:eastAsiaTheme="minorHAnsi"/>
        </w:rPr>
        <w:t>;</w:t>
      </w:r>
      <w:r w:rsidRPr="00880BCD">
        <w:rPr>
          <w:rFonts w:eastAsiaTheme="minorHAnsi"/>
        </w:rPr>
        <w:t>14</w:t>
      </w:r>
      <w:r>
        <w:rPr>
          <w:rFonts w:eastAsiaTheme="minorHAnsi"/>
        </w:rPr>
        <w:t>:</w:t>
      </w:r>
      <w:r w:rsidRPr="006E002D">
        <w:rPr>
          <w:rFonts w:eastAsiaTheme="minorHAnsi"/>
        </w:rPr>
        <w:t>12931-52.</w:t>
      </w:r>
    </w:p>
    <w:p w:rsidR="00AC1235" w:rsidRPr="006E002D" w:rsidRDefault="00AC1235" w:rsidP="00AC1235">
      <w:pPr>
        <w:spacing w:after="200" w:line="276" w:lineRule="auto"/>
        <w:jc w:val="left"/>
        <w:rPr>
          <w:rFonts w:eastAsiaTheme="minorHAnsi"/>
        </w:rPr>
      </w:pPr>
      <w:r w:rsidRPr="006E002D">
        <w:rPr>
          <w:rFonts w:eastAsiaTheme="minorHAnsi"/>
        </w:rPr>
        <w:t>12. Visser M</w:t>
      </w:r>
      <w:r>
        <w:rPr>
          <w:rFonts w:eastAsiaTheme="minorHAnsi"/>
        </w:rPr>
        <w:t>,</w:t>
      </w:r>
      <w:r w:rsidRPr="006E002D">
        <w:rPr>
          <w:rFonts w:eastAsiaTheme="minorHAnsi"/>
        </w:rPr>
        <w:t xml:space="preserve"> Jiwa M</w:t>
      </w:r>
      <w:r>
        <w:rPr>
          <w:rFonts w:eastAsiaTheme="minorHAnsi"/>
        </w:rPr>
        <w:t>,</w:t>
      </w:r>
      <w:r w:rsidRPr="006E002D">
        <w:rPr>
          <w:rFonts w:eastAsiaTheme="minorHAnsi"/>
        </w:rPr>
        <w:t xml:space="preserve"> Horstman A</w:t>
      </w:r>
      <w:r>
        <w:rPr>
          <w:rFonts w:eastAsiaTheme="minorHAnsi"/>
        </w:rPr>
        <w:t>, et al.</w:t>
      </w:r>
      <w:r w:rsidRPr="006E002D">
        <w:rPr>
          <w:rFonts w:eastAsiaTheme="minorHAnsi"/>
        </w:rPr>
        <w:t xml:space="preserve"> Intra-operative rapid diagnostic method based on CK19 mRNA expression for the detection of lymph nodes in breast cancer. </w:t>
      </w:r>
      <w:r>
        <w:rPr>
          <w:rFonts w:eastAsiaTheme="minorHAnsi"/>
          <w:i/>
        </w:rPr>
        <w:t>In. J</w:t>
      </w:r>
      <w:r w:rsidRPr="00F743A4">
        <w:rPr>
          <w:rFonts w:eastAsiaTheme="minorHAnsi"/>
          <w:i/>
        </w:rPr>
        <w:t xml:space="preserve"> Cancer</w:t>
      </w:r>
      <w:r w:rsidRPr="006E002D">
        <w:rPr>
          <w:rFonts w:eastAsiaTheme="minorHAnsi"/>
        </w:rPr>
        <w:t xml:space="preserve"> </w:t>
      </w:r>
      <w:r w:rsidRPr="00F743A4">
        <w:rPr>
          <w:rFonts w:eastAsiaTheme="minorHAnsi"/>
        </w:rPr>
        <w:t>2008</w:t>
      </w:r>
      <w:r>
        <w:rPr>
          <w:rFonts w:eastAsiaTheme="minorHAnsi"/>
        </w:rPr>
        <w:t>;</w:t>
      </w:r>
      <w:r w:rsidRPr="00F743A4">
        <w:rPr>
          <w:rFonts w:eastAsiaTheme="minorHAnsi"/>
        </w:rPr>
        <w:t>122:</w:t>
      </w:r>
      <w:r w:rsidRPr="006E002D">
        <w:rPr>
          <w:rFonts w:eastAsiaTheme="minorHAnsi"/>
        </w:rPr>
        <w:t>4807-16.</w:t>
      </w:r>
    </w:p>
    <w:p w:rsidR="00AC1235" w:rsidRPr="006E002D" w:rsidRDefault="00AC1235" w:rsidP="00AC1235">
      <w:pPr>
        <w:spacing w:after="200" w:line="276" w:lineRule="auto"/>
        <w:jc w:val="left"/>
        <w:rPr>
          <w:rFonts w:eastAsiaTheme="minorHAnsi"/>
        </w:rPr>
      </w:pPr>
      <w:r w:rsidRPr="006E002D">
        <w:rPr>
          <w:rFonts w:eastAsiaTheme="minorHAnsi"/>
        </w:rPr>
        <w:lastRenderedPageBreak/>
        <w:t>13. Tsujimoto M</w:t>
      </w:r>
      <w:r>
        <w:rPr>
          <w:rFonts w:eastAsiaTheme="minorHAnsi"/>
        </w:rPr>
        <w:t>,</w:t>
      </w:r>
      <w:r w:rsidRPr="006E002D">
        <w:rPr>
          <w:rFonts w:eastAsiaTheme="minorHAnsi"/>
        </w:rPr>
        <w:t xml:space="preserve"> Nakabayashi K</w:t>
      </w:r>
      <w:r>
        <w:rPr>
          <w:rFonts w:eastAsiaTheme="minorHAnsi"/>
        </w:rPr>
        <w:t>,</w:t>
      </w:r>
      <w:r w:rsidRPr="006E002D">
        <w:rPr>
          <w:rFonts w:eastAsiaTheme="minorHAnsi"/>
        </w:rPr>
        <w:t xml:space="preserve"> Yoshidome K</w:t>
      </w:r>
      <w:r>
        <w:rPr>
          <w:rFonts w:eastAsiaTheme="minorHAnsi"/>
        </w:rPr>
        <w:t>,</w:t>
      </w:r>
      <w:r w:rsidRPr="006E002D">
        <w:rPr>
          <w:rFonts w:eastAsiaTheme="minorHAnsi"/>
        </w:rPr>
        <w:t xml:space="preserve"> </w:t>
      </w:r>
      <w:r w:rsidRPr="00F743A4">
        <w:rPr>
          <w:rFonts w:eastAsiaTheme="minorHAnsi"/>
        </w:rPr>
        <w:t>et al</w:t>
      </w:r>
      <w:r w:rsidRPr="006E002D">
        <w:rPr>
          <w:rFonts w:eastAsiaTheme="minorHAnsi"/>
        </w:rPr>
        <w:t xml:space="preserve">. One-step nucleic acid amplification for intraoperative detection of lymph node metastasis in breast cancer. </w:t>
      </w:r>
      <w:r>
        <w:rPr>
          <w:rFonts w:eastAsiaTheme="minorHAnsi"/>
          <w:i/>
        </w:rPr>
        <w:t>Clin Cancer</w:t>
      </w:r>
      <w:r w:rsidRPr="00F743A4">
        <w:rPr>
          <w:rFonts w:eastAsiaTheme="minorHAnsi"/>
          <w:i/>
        </w:rPr>
        <w:t xml:space="preserve"> Res</w:t>
      </w:r>
      <w:r w:rsidRPr="006E002D">
        <w:rPr>
          <w:rFonts w:eastAsiaTheme="minorHAnsi"/>
        </w:rPr>
        <w:t xml:space="preserve"> </w:t>
      </w:r>
      <w:r w:rsidRPr="00F743A4">
        <w:rPr>
          <w:rFonts w:eastAsiaTheme="minorHAnsi"/>
        </w:rPr>
        <w:t>2007</w:t>
      </w:r>
      <w:r>
        <w:rPr>
          <w:rFonts w:eastAsiaTheme="minorHAnsi"/>
        </w:rPr>
        <w:t>;</w:t>
      </w:r>
      <w:r w:rsidRPr="00F743A4">
        <w:rPr>
          <w:rFonts w:eastAsiaTheme="minorHAnsi"/>
        </w:rPr>
        <w:t>13</w:t>
      </w:r>
      <w:r>
        <w:rPr>
          <w:rFonts w:eastAsiaTheme="minorHAnsi"/>
        </w:rPr>
        <w:t>:</w:t>
      </w:r>
      <w:r w:rsidRPr="006E002D">
        <w:rPr>
          <w:rFonts w:eastAsiaTheme="minorHAnsi"/>
        </w:rPr>
        <w:t>4807-16.</w:t>
      </w:r>
    </w:p>
    <w:p w:rsidR="00AC1235" w:rsidRPr="00B94431" w:rsidRDefault="00AC1235" w:rsidP="00AC1235">
      <w:pPr>
        <w:spacing w:after="200" w:line="276" w:lineRule="auto"/>
        <w:jc w:val="left"/>
        <w:rPr>
          <w:rFonts w:eastAsiaTheme="minorHAnsi"/>
          <w:lang w:val="it-IT"/>
        </w:rPr>
      </w:pPr>
      <w:r w:rsidRPr="006E002D">
        <w:rPr>
          <w:rFonts w:eastAsiaTheme="minorHAnsi"/>
        </w:rPr>
        <w:t>14. Blumencranz P</w:t>
      </w:r>
      <w:r>
        <w:rPr>
          <w:rFonts w:eastAsiaTheme="minorHAnsi"/>
        </w:rPr>
        <w:t>,</w:t>
      </w:r>
      <w:r w:rsidRPr="006E002D">
        <w:rPr>
          <w:rFonts w:eastAsiaTheme="minorHAnsi"/>
        </w:rPr>
        <w:t xml:space="preserve"> Whitworth P</w:t>
      </w:r>
      <w:r>
        <w:rPr>
          <w:rFonts w:eastAsiaTheme="minorHAnsi"/>
        </w:rPr>
        <w:t xml:space="preserve">, </w:t>
      </w:r>
      <w:r w:rsidRPr="006E002D">
        <w:rPr>
          <w:rFonts w:eastAsiaTheme="minorHAnsi"/>
        </w:rPr>
        <w:t>Deck K</w:t>
      </w:r>
      <w:r>
        <w:rPr>
          <w:rFonts w:eastAsiaTheme="minorHAnsi"/>
        </w:rPr>
        <w:t>, et al.</w:t>
      </w:r>
      <w:r w:rsidRPr="006E002D">
        <w:rPr>
          <w:rFonts w:eastAsiaTheme="minorHAnsi"/>
        </w:rPr>
        <w:t xml:space="preserve"> Scientific impact recognition award. Sentinel lymph node staging for breast cancer: Intraoperative molecular pathology overcomes conventional histologic sampling errors. </w:t>
      </w:r>
      <w:r w:rsidRPr="00B94431">
        <w:rPr>
          <w:rFonts w:eastAsiaTheme="minorHAnsi"/>
          <w:i/>
          <w:lang w:val="it-IT"/>
        </w:rPr>
        <w:t>Am J Surg</w:t>
      </w:r>
      <w:r w:rsidRPr="00B94431">
        <w:rPr>
          <w:rFonts w:eastAsiaTheme="minorHAnsi"/>
          <w:lang w:val="it-IT"/>
        </w:rPr>
        <w:t xml:space="preserve"> 2007;194:426-432.</w:t>
      </w:r>
    </w:p>
    <w:p w:rsidR="00AC1235" w:rsidRPr="00B94431" w:rsidRDefault="00AC1235" w:rsidP="00AC1235">
      <w:pPr>
        <w:spacing w:after="200" w:line="276" w:lineRule="auto"/>
        <w:jc w:val="left"/>
        <w:rPr>
          <w:rFonts w:eastAsiaTheme="minorHAnsi"/>
          <w:lang w:val="fr-FR"/>
        </w:rPr>
      </w:pPr>
      <w:r w:rsidRPr="00B94431">
        <w:rPr>
          <w:rFonts w:eastAsiaTheme="minorHAnsi"/>
          <w:lang w:val="it-IT"/>
        </w:rPr>
        <w:t xml:space="preserve">15. Viale G, Dell’Orto P, Biasi M, et al. </w:t>
      </w:r>
      <w:r w:rsidRPr="006E002D">
        <w:rPr>
          <w:rFonts w:eastAsiaTheme="minorHAnsi"/>
        </w:rPr>
        <w:t xml:space="preserve">Comparative evaluation of an extensive histopathologic examination and a real-time reverse-transcription-polymerase chain reaction assay for mammaglobin and cytokeratin 19 on axillary sentinel lymph nodes of breast carcinoma patients. </w:t>
      </w:r>
      <w:r w:rsidRPr="00B94431">
        <w:rPr>
          <w:rFonts w:eastAsiaTheme="minorHAnsi"/>
          <w:i/>
          <w:lang w:val="fr-FR"/>
        </w:rPr>
        <w:t>Ann Surg</w:t>
      </w:r>
      <w:r w:rsidRPr="00B94431">
        <w:rPr>
          <w:rFonts w:eastAsiaTheme="minorHAnsi"/>
          <w:lang w:val="fr-FR"/>
        </w:rPr>
        <w:t xml:space="preserve"> 2008;247:136-142.</w:t>
      </w:r>
    </w:p>
    <w:p w:rsidR="00AC1235" w:rsidRPr="006E002D" w:rsidRDefault="00AC1235" w:rsidP="00AC1235">
      <w:pPr>
        <w:spacing w:after="200" w:line="276" w:lineRule="auto"/>
        <w:jc w:val="left"/>
        <w:rPr>
          <w:rFonts w:eastAsiaTheme="minorHAnsi"/>
        </w:rPr>
      </w:pPr>
      <w:r w:rsidRPr="00B94431">
        <w:rPr>
          <w:rFonts w:eastAsiaTheme="minorHAnsi"/>
          <w:lang w:val="fr-FR"/>
        </w:rPr>
        <w:t xml:space="preserve">16. Martin Martinez M, Veys L, Majjaj S, et al. </w:t>
      </w:r>
      <w:r w:rsidRPr="006E002D">
        <w:rPr>
          <w:rFonts w:eastAsiaTheme="minorHAnsi"/>
        </w:rPr>
        <w:t xml:space="preserve">Clinical validation of a molecular assay for intra-operative detection of metastases in breast sentinel lymph nodes. </w:t>
      </w:r>
      <w:r>
        <w:rPr>
          <w:rFonts w:eastAsiaTheme="minorHAnsi"/>
          <w:i/>
        </w:rPr>
        <w:t>Eur J Surg</w:t>
      </w:r>
      <w:r w:rsidRPr="00AE2D9A">
        <w:rPr>
          <w:rFonts w:eastAsiaTheme="minorHAnsi"/>
          <w:i/>
        </w:rPr>
        <w:t xml:space="preserve"> Oncl</w:t>
      </w:r>
      <w:r>
        <w:rPr>
          <w:rFonts w:eastAsiaTheme="minorHAnsi"/>
        </w:rPr>
        <w:t xml:space="preserve"> </w:t>
      </w:r>
      <w:r w:rsidRPr="00AE2D9A">
        <w:rPr>
          <w:rFonts w:eastAsiaTheme="minorHAnsi"/>
        </w:rPr>
        <w:t>2009</w:t>
      </w:r>
      <w:r>
        <w:rPr>
          <w:rFonts w:eastAsiaTheme="minorHAnsi"/>
        </w:rPr>
        <w:t>;34:387-392.</w:t>
      </w:r>
    </w:p>
    <w:p w:rsidR="007F7E11" w:rsidRDefault="007F7E11" w:rsidP="00AC1235">
      <w:pPr>
        <w:spacing w:after="200" w:line="276" w:lineRule="auto"/>
        <w:jc w:val="left"/>
        <w:rPr>
          <w:rFonts w:eastAsiaTheme="minorHAnsi"/>
        </w:rPr>
      </w:pPr>
    </w:p>
    <w:p w:rsidR="00AC1235" w:rsidRPr="006E002D" w:rsidRDefault="00AC1235" w:rsidP="00AC1235">
      <w:pPr>
        <w:spacing w:after="200" w:line="276" w:lineRule="auto"/>
        <w:jc w:val="left"/>
        <w:rPr>
          <w:rFonts w:eastAsiaTheme="minorHAnsi"/>
        </w:rPr>
      </w:pPr>
      <w:r w:rsidRPr="006E002D">
        <w:rPr>
          <w:rFonts w:eastAsiaTheme="minorHAnsi"/>
        </w:rPr>
        <w:t>17. Mansel R</w:t>
      </w:r>
      <w:r>
        <w:rPr>
          <w:rFonts w:eastAsiaTheme="minorHAnsi"/>
        </w:rPr>
        <w:t>,</w:t>
      </w:r>
      <w:r w:rsidRPr="006E002D">
        <w:rPr>
          <w:rFonts w:eastAsiaTheme="minorHAnsi"/>
        </w:rPr>
        <w:t xml:space="preserve"> Goyal A</w:t>
      </w:r>
      <w:r>
        <w:rPr>
          <w:rFonts w:eastAsiaTheme="minorHAnsi"/>
        </w:rPr>
        <w:t>,</w:t>
      </w:r>
      <w:r w:rsidRPr="006E002D">
        <w:rPr>
          <w:rFonts w:eastAsiaTheme="minorHAnsi"/>
        </w:rPr>
        <w:t xml:space="preserve"> Douglas-Jones A</w:t>
      </w:r>
      <w:r>
        <w:rPr>
          <w:rFonts w:eastAsiaTheme="minorHAnsi"/>
        </w:rPr>
        <w:t xml:space="preserve">, et al. </w:t>
      </w:r>
      <w:r w:rsidRPr="006E002D">
        <w:rPr>
          <w:rFonts w:eastAsiaTheme="minorHAnsi"/>
        </w:rPr>
        <w:t xml:space="preserve">Detection of breast cancer metastasis in sentinel lymph nodes using intra-operative real time GeneSearch BLN Assay in the operating room: Results of the Cardiff study. </w:t>
      </w:r>
      <w:r>
        <w:rPr>
          <w:rFonts w:eastAsiaTheme="minorHAnsi"/>
          <w:i/>
        </w:rPr>
        <w:t>Breast Cancer Res</w:t>
      </w:r>
      <w:r w:rsidRPr="00ED65D6">
        <w:rPr>
          <w:rFonts w:eastAsiaTheme="minorHAnsi"/>
          <w:i/>
        </w:rPr>
        <w:t xml:space="preserve"> Treat</w:t>
      </w:r>
      <w:r>
        <w:rPr>
          <w:rFonts w:eastAsiaTheme="minorHAnsi"/>
          <w:i/>
        </w:rPr>
        <w:t xml:space="preserve"> </w:t>
      </w:r>
      <w:r w:rsidRPr="00ED65D6">
        <w:rPr>
          <w:rFonts w:eastAsiaTheme="minorHAnsi"/>
        </w:rPr>
        <w:t>2009</w:t>
      </w:r>
      <w:r>
        <w:rPr>
          <w:rFonts w:eastAsiaTheme="minorHAnsi"/>
        </w:rPr>
        <w:t>;</w:t>
      </w:r>
      <w:r w:rsidRPr="00ED65D6">
        <w:rPr>
          <w:rFonts w:eastAsiaTheme="minorHAnsi"/>
        </w:rPr>
        <w:t>115</w:t>
      </w:r>
      <w:r>
        <w:rPr>
          <w:rFonts w:eastAsiaTheme="minorHAnsi"/>
        </w:rPr>
        <w:t>:</w:t>
      </w:r>
      <w:r w:rsidRPr="006E002D">
        <w:rPr>
          <w:rFonts w:eastAsiaTheme="minorHAnsi"/>
        </w:rPr>
        <w:t xml:space="preserve"> 595-600.</w:t>
      </w:r>
    </w:p>
    <w:p w:rsidR="00AC1235" w:rsidRPr="006E002D" w:rsidRDefault="00AC1235" w:rsidP="00AC1235">
      <w:pPr>
        <w:spacing w:after="200" w:line="276" w:lineRule="auto"/>
        <w:jc w:val="left"/>
        <w:rPr>
          <w:rFonts w:eastAsiaTheme="minorHAnsi"/>
        </w:rPr>
      </w:pPr>
      <w:r w:rsidRPr="006E002D">
        <w:rPr>
          <w:rFonts w:eastAsiaTheme="minorHAnsi"/>
        </w:rPr>
        <w:t>18. Intraoperative tests (RD-100i OSNA system and Metasin test) for detecting sentinel lymph node metastasis in breast cancer. NICE diagnostics guidance 8 (</w:t>
      </w:r>
      <w:r w:rsidRPr="00216F3B">
        <w:rPr>
          <w:rFonts w:eastAsiaTheme="minorHAnsi"/>
        </w:rPr>
        <w:t>2013</w:t>
      </w:r>
      <w:r w:rsidRPr="006E002D">
        <w:rPr>
          <w:rFonts w:eastAsiaTheme="minorHAnsi"/>
        </w:rPr>
        <w:t>).</w:t>
      </w:r>
    </w:p>
    <w:p w:rsidR="00AC1235" w:rsidRDefault="00AC1235" w:rsidP="00AC1235">
      <w:pPr>
        <w:spacing w:before="240" w:line="276" w:lineRule="auto"/>
      </w:pPr>
      <w:r>
        <w:t xml:space="preserve">19. RCPath, Cancer Datasets and Tissue Pathways Guidance – Tissue pathways for breast pathology, G076, </w:t>
      </w:r>
      <w:r w:rsidRPr="00216F3B">
        <w:t>2010</w:t>
      </w:r>
      <w:r>
        <w:t>.</w:t>
      </w:r>
    </w:p>
    <w:p w:rsidR="00AC1235" w:rsidRDefault="00AC1235" w:rsidP="00AC1235">
      <w:pPr>
        <w:spacing w:before="240" w:line="276" w:lineRule="auto"/>
      </w:pPr>
      <w:r>
        <w:t>20. NHSBSP guidelines – Pathology reporting of breast disease, 3</w:t>
      </w:r>
      <w:r w:rsidRPr="005B3791">
        <w:rPr>
          <w:vertAlign w:val="superscript"/>
        </w:rPr>
        <w:t>rd</w:t>
      </w:r>
      <w:r>
        <w:t xml:space="preserve"> Ed, </w:t>
      </w:r>
      <w:r w:rsidRPr="00216F3B">
        <w:t>2005</w:t>
      </w:r>
      <w:r>
        <w:t>.</w:t>
      </w:r>
    </w:p>
    <w:p w:rsidR="00AC1235" w:rsidRPr="004367C7" w:rsidRDefault="00AC1235" w:rsidP="00AC1235">
      <w:pPr>
        <w:spacing w:before="240" w:line="276" w:lineRule="auto"/>
      </w:pPr>
      <w:r>
        <w:t xml:space="preserve">21. Sai-Giridhar P, Al-Ramadhani S, George D, et al. A multicentre validation of Metasin: a molecular assay for the intraoperative assessment of sentinel lymph nodes from breast cancer patients. </w:t>
      </w:r>
      <w:r w:rsidRPr="00753918">
        <w:rPr>
          <w:i/>
        </w:rPr>
        <w:t>Histopathology</w:t>
      </w:r>
      <w:r>
        <w:t xml:space="preserve"> 2015;</w:t>
      </w:r>
      <w:r>
        <w:rPr>
          <w:color w:val="000000"/>
          <w:shd w:val="clear" w:color="auto" w:fill="FFFFFF"/>
        </w:rPr>
        <w:t>DOI:</w:t>
      </w:r>
      <w:r w:rsidRPr="00753918">
        <w:rPr>
          <w:color w:val="000000"/>
          <w:shd w:val="clear" w:color="auto" w:fill="FFFFFF"/>
        </w:rPr>
        <w:t>10.1111/his.12863</w:t>
      </w:r>
    </w:p>
    <w:p w:rsidR="00AC1235" w:rsidRDefault="00AC1235" w:rsidP="00AC1235">
      <w:pPr>
        <w:spacing w:line="240" w:lineRule="auto"/>
      </w:pPr>
    </w:p>
    <w:p w:rsidR="00AC1235" w:rsidRDefault="00AC1235" w:rsidP="00AC1235">
      <w:pPr>
        <w:spacing w:line="240" w:lineRule="auto"/>
      </w:pPr>
      <w:r>
        <w:t xml:space="preserve">22. Snook K, Layer G, Jackson P, et al. Multicentre evaluation of intraoperative molecular analysis of sentinel lymph nodes in breast carcinoma. </w:t>
      </w:r>
      <w:r w:rsidRPr="00695491">
        <w:rPr>
          <w:i/>
        </w:rPr>
        <w:t>Br J Surg</w:t>
      </w:r>
      <w:r>
        <w:t xml:space="preserve"> </w:t>
      </w:r>
      <w:r w:rsidRPr="00216F3B">
        <w:t>2011</w:t>
      </w:r>
      <w:r>
        <w:t>;</w:t>
      </w:r>
      <w:r w:rsidRPr="001E3FFE">
        <w:rPr>
          <w:i/>
        </w:rPr>
        <w:t>98</w:t>
      </w:r>
      <w:r w:rsidRPr="00216F3B">
        <w:t>:</w:t>
      </w:r>
      <w:r>
        <w:t>527-35.</w:t>
      </w:r>
    </w:p>
    <w:p w:rsidR="00AC1235" w:rsidRDefault="00AC1235" w:rsidP="00AC1235">
      <w:pPr>
        <w:spacing w:line="240" w:lineRule="auto"/>
      </w:pPr>
    </w:p>
    <w:p w:rsidR="00AC1235" w:rsidRDefault="00AC1235" w:rsidP="00AC1235">
      <w:pPr>
        <w:spacing w:line="240" w:lineRule="auto"/>
      </w:pPr>
      <w:r>
        <w:t xml:space="preserve">23. Van der Velden V, Hochhaus A, Cazzaniga G, et al. Detection of minimal residual disease in hematologic malignancies by real-time quantitative PCR: principles, approaches, and laboratory aspects. </w:t>
      </w:r>
      <w:r w:rsidRPr="00216F3B">
        <w:rPr>
          <w:i/>
        </w:rPr>
        <w:t>Leukemia</w:t>
      </w:r>
      <w:r>
        <w:t xml:space="preserve"> </w:t>
      </w:r>
      <w:r w:rsidRPr="00216F3B">
        <w:t>2003</w:t>
      </w:r>
      <w:r>
        <w:t>;</w:t>
      </w:r>
      <w:r w:rsidRPr="00216F3B">
        <w:t>17</w:t>
      </w:r>
      <w:r>
        <w:t>:1013-1034.</w:t>
      </w:r>
    </w:p>
    <w:p w:rsidR="00AC1235" w:rsidRDefault="00AC1235" w:rsidP="00AC1235">
      <w:pPr>
        <w:spacing w:line="240" w:lineRule="auto"/>
      </w:pPr>
    </w:p>
    <w:p w:rsidR="00AC1235" w:rsidRDefault="00AC1235" w:rsidP="00AC1235">
      <w:pPr>
        <w:spacing w:line="240" w:lineRule="auto"/>
      </w:pPr>
      <w:r>
        <w:t xml:space="preserve">24. Krishnamurthy S, Meric-Bernstam F, Lucci A, </w:t>
      </w:r>
      <w:r w:rsidRPr="00216F3B">
        <w:t>et al</w:t>
      </w:r>
      <w:r>
        <w:t xml:space="preserve">. A prospective study comparing touch print cytology, frozen section analysis, and rapid cytokeratin immunostain for intraoperative evaluation of axillary sentinel lymph nodes in breast cancer. </w:t>
      </w:r>
      <w:r w:rsidRPr="00216F3B">
        <w:rPr>
          <w:i/>
        </w:rPr>
        <w:t>Cancer</w:t>
      </w:r>
      <w:r>
        <w:t xml:space="preserve"> </w:t>
      </w:r>
      <w:r w:rsidRPr="00216F3B">
        <w:t>2009</w:t>
      </w:r>
      <w:r>
        <w:t>;</w:t>
      </w:r>
      <w:r w:rsidRPr="00216F3B">
        <w:t>115</w:t>
      </w:r>
      <w:r>
        <w:t>:1555-62.</w:t>
      </w:r>
    </w:p>
    <w:p w:rsidR="00AC1235" w:rsidRDefault="00AC1235" w:rsidP="00AC1235">
      <w:pPr>
        <w:spacing w:line="240" w:lineRule="auto"/>
      </w:pPr>
    </w:p>
    <w:p w:rsidR="00AC1235" w:rsidRDefault="00AC1235" w:rsidP="00AC1235">
      <w:pPr>
        <w:spacing w:line="240" w:lineRule="auto"/>
      </w:pPr>
      <w:r>
        <w:t xml:space="preserve">25. Layfield, D and Cutress, R. Is axillary dissection mandatory following a positive sentinel node biopsy? </w:t>
      </w:r>
      <w:r w:rsidRPr="00A9348A">
        <w:rPr>
          <w:i/>
        </w:rPr>
        <w:t>Advances in Oncology</w:t>
      </w:r>
      <w:r>
        <w:t xml:space="preserve"> 2010;5:7-17.</w:t>
      </w:r>
    </w:p>
    <w:p w:rsidR="00AC1235" w:rsidRDefault="00AC1235" w:rsidP="00AC1235">
      <w:pPr>
        <w:spacing w:line="240" w:lineRule="auto"/>
      </w:pPr>
    </w:p>
    <w:p w:rsidR="00AC1235" w:rsidRDefault="00AC1235" w:rsidP="00AC1235">
      <w:pPr>
        <w:spacing w:line="240" w:lineRule="auto"/>
      </w:pPr>
      <w:r>
        <w:t xml:space="preserve">25. Viale G, Maiorano E, Pruneri G et al. Predicting the risk for additional axillary metastases in patients with breast carcinoma and positive sentinel lymph node biopsy. </w:t>
      </w:r>
      <w:r w:rsidRPr="00A9348A">
        <w:rPr>
          <w:i/>
        </w:rPr>
        <w:t>Ann Surg</w:t>
      </w:r>
      <w:r>
        <w:t xml:space="preserve"> 2005;241:319-325.</w:t>
      </w:r>
    </w:p>
    <w:p w:rsidR="00AC1235" w:rsidRDefault="00AC1235" w:rsidP="00AC1235">
      <w:pPr>
        <w:spacing w:line="240" w:lineRule="auto"/>
      </w:pPr>
    </w:p>
    <w:p w:rsidR="00AC1235" w:rsidRDefault="00AC1235" w:rsidP="00AC1235">
      <w:pPr>
        <w:spacing w:line="240" w:lineRule="auto"/>
      </w:pPr>
      <w:r>
        <w:t xml:space="preserve">27. Reed J, Rosman M, Verbanac K et al. Prognostic implications of isolated tumour cells and micrometastasis in sentinel nodes of patients with invasive breast cancer: 10-year analysis of patients enrolled in the prospective East Carolina University/Anne Arundel Medical Centre sentinel node multicentre study. </w:t>
      </w:r>
      <w:r w:rsidRPr="00A9348A">
        <w:rPr>
          <w:i/>
        </w:rPr>
        <w:t>J Am Coll Surg</w:t>
      </w:r>
      <w:r>
        <w:t xml:space="preserve"> 2009;208:333-340.</w:t>
      </w:r>
    </w:p>
    <w:p w:rsidR="00AC1235" w:rsidRDefault="00AC1235" w:rsidP="00AC1235">
      <w:pPr>
        <w:spacing w:line="240" w:lineRule="auto"/>
      </w:pPr>
    </w:p>
    <w:p w:rsidR="00AC1235" w:rsidRDefault="00AC1235" w:rsidP="00AC1235">
      <w:pPr>
        <w:spacing w:line="240" w:lineRule="auto"/>
      </w:pPr>
      <w:r>
        <w:t xml:space="preserve">28. Straver ME, Meijnen P, van Tienhoven G et al. Sentinel node identification rate and nodal involvement in the EORTC 10981-22023 AMAROS trial. </w:t>
      </w:r>
      <w:r w:rsidRPr="00A9348A">
        <w:rPr>
          <w:i/>
        </w:rPr>
        <w:t>Ann Surg Oncol</w:t>
      </w:r>
      <w:r>
        <w:t xml:space="preserve"> 2010;17:1854-1861.</w:t>
      </w:r>
    </w:p>
    <w:p w:rsidR="00AC1235" w:rsidRDefault="00AC1235" w:rsidP="00AC1235">
      <w:pPr>
        <w:spacing w:line="240" w:lineRule="auto"/>
      </w:pPr>
    </w:p>
    <w:p w:rsidR="000E55ED" w:rsidRDefault="00AC1235" w:rsidP="00AC1235">
      <w:pPr>
        <w:spacing w:line="240" w:lineRule="auto"/>
      </w:pPr>
      <w:r>
        <w:t xml:space="preserve">29. Baber M, Madani R, Jackson P et al. One Step Nucleic Amplification (OSNA) positive micrometastases and additional histopathological NSLN metastases: Results from a single institution over 53 months. </w:t>
      </w:r>
      <w:r w:rsidRPr="002155A5">
        <w:rPr>
          <w:i/>
        </w:rPr>
        <w:t>J Surge</w:t>
      </w:r>
      <w:r>
        <w:rPr>
          <w:i/>
        </w:rPr>
        <w:t xml:space="preserve"> </w:t>
      </w:r>
      <w:r>
        <w:t>2014;06:001</w:t>
      </w:r>
    </w:p>
    <w:p w:rsidR="00D3204E" w:rsidRDefault="00D3204E">
      <w:pPr>
        <w:spacing w:line="240" w:lineRule="auto"/>
        <w:jc w:val="left"/>
      </w:pPr>
      <w:r>
        <w:br w:type="page"/>
      </w:r>
    </w:p>
    <w:sectPr w:rsidR="00D3204E" w:rsidSect="005E1C6B">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DE" w:rsidRDefault="00F423DE" w:rsidP="00551AA4">
      <w:pPr>
        <w:spacing w:line="240" w:lineRule="auto"/>
      </w:pPr>
      <w:r>
        <w:separator/>
      </w:r>
    </w:p>
  </w:endnote>
  <w:endnote w:type="continuationSeparator" w:id="0">
    <w:p w:rsidR="00F423DE" w:rsidRDefault="00F423DE" w:rsidP="00551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E7" w:rsidRDefault="00812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DE" w:rsidRDefault="00F423DE" w:rsidP="00551AA4">
      <w:pPr>
        <w:spacing w:line="240" w:lineRule="auto"/>
      </w:pPr>
      <w:r>
        <w:separator/>
      </w:r>
    </w:p>
  </w:footnote>
  <w:footnote w:type="continuationSeparator" w:id="0">
    <w:p w:rsidR="00F423DE" w:rsidRDefault="00F423DE" w:rsidP="00551A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D1A7B"/>
    <w:multiLevelType w:val="hybridMultilevel"/>
    <w:tmpl w:val="D20A6272"/>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4D"/>
    <w:rsid w:val="00000F03"/>
    <w:rsid w:val="00012EAF"/>
    <w:rsid w:val="0001360E"/>
    <w:rsid w:val="000149BC"/>
    <w:rsid w:val="00014EDF"/>
    <w:rsid w:val="00024655"/>
    <w:rsid w:val="00026ED4"/>
    <w:rsid w:val="00034422"/>
    <w:rsid w:val="000364B9"/>
    <w:rsid w:val="00041948"/>
    <w:rsid w:val="00043CA5"/>
    <w:rsid w:val="0004407E"/>
    <w:rsid w:val="00046B51"/>
    <w:rsid w:val="00046B70"/>
    <w:rsid w:val="000503EA"/>
    <w:rsid w:val="00052268"/>
    <w:rsid w:val="000529FA"/>
    <w:rsid w:val="000560F7"/>
    <w:rsid w:val="00056AA9"/>
    <w:rsid w:val="0006008C"/>
    <w:rsid w:val="000604A9"/>
    <w:rsid w:val="00063D7F"/>
    <w:rsid w:val="0006610C"/>
    <w:rsid w:val="00086780"/>
    <w:rsid w:val="00090E9C"/>
    <w:rsid w:val="000931E7"/>
    <w:rsid w:val="00097651"/>
    <w:rsid w:val="000A3543"/>
    <w:rsid w:val="000A796E"/>
    <w:rsid w:val="000B1B16"/>
    <w:rsid w:val="000C3270"/>
    <w:rsid w:val="000D4CD4"/>
    <w:rsid w:val="000E55ED"/>
    <w:rsid w:val="000F10EB"/>
    <w:rsid w:val="000F508C"/>
    <w:rsid w:val="000F522A"/>
    <w:rsid w:val="0010368D"/>
    <w:rsid w:val="00104F9F"/>
    <w:rsid w:val="00110FB0"/>
    <w:rsid w:val="00113C0C"/>
    <w:rsid w:val="00122C1D"/>
    <w:rsid w:val="0012346C"/>
    <w:rsid w:val="0012773B"/>
    <w:rsid w:val="001310A5"/>
    <w:rsid w:val="0014192B"/>
    <w:rsid w:val="00155BA0"/>
    <w:rsid w:val="0016453C"/>
    <w:rsid w:val="00166001"/>
    <w:rsid w:val="001737EE"/>
    <w:rsid w:val="00175080"/>
    <w:rsid w:val="00187451"/>
    <w:rsid w:val="00190656"/>
    <w:rsid w:val="0019104F"/>
    <w:rsid w:val="001A1BEE"/>
    <w:rsid w:val="001A45D6"/>
    <w:rsid w:val="001A5BC6"/>
    <w:rsid w:val="001A6F60"/>
    <w:rsid w:val="001A792A"/>
    <w:rsid w:val="001B0681"/>
    <w:rsid w:val="001B2157"/>
    <w:rsid w:val="001B2A3F"/>
    <w:rsid w:val="001B56EF"/>
    <w:rsid w:val="001C1A9F"/>
    <w:rsid w:val="001C4068"/>
    <w:rsid w:val="001D0F90"/>
    <w:rsid w:val="001D736F"/>
    <w:rsid w:val="001E0640"/>
    <w:rsid w:val="001E1EE4"/>
    <w:rsid w:val="001E54D3"/>
    <w:rsid w:val="001E7E91"/>
    <w:rsid w:val="001F0AAA"/>
    <w:rsid w:val="001F0B1A"/>
    <w:rsid w:val="001F762A"/>
    <w:rsid w:val="00205207"/>
    <w:rsid w:val="0021205A"/>
    <w:rsid w:val="002155A5"/>
    <w:rsid w:val="00216F3B"/>
    <w:rsid w:val="00217127"/>
    <w:rsid w:val="00217CEF"/>
    <w:rsid w:val="00226F0D"/>
    <w:rsid w:val="00231C12"/>
    <w:rsid w:val="00235143"/>
    <w:rsid w:val="002361B6"/>
    <w:rsid w:val="002365AC"/>
    <w:rsid w:val="00236954"/>
    <w:rsid w:val="002422A0"/>
    <w:rsid w:val="00242528"/>
    <w:rsid w:val="00246EF3"/>
    <w:rsid w:val="0024712F"/>
    <w:rsid w:val="00250859"/>
    <w:rsid w:val="00263C59"/>
    <w:rsid w:val="002660F5"/>
    <w:rsid w:val="00273676"/>
    <w:rsid w:val="002768BC"/>
    <w:rsid w:val="00277FB0"/>
    <w:rsid w:val="00281E5C"/>
    <w:rsid w:val="002843FA"/>
    <w:rsid w:val="00290075"/>
    <w:rsid w:val="00295E81"/>
    <w:rsid w:val="002A6E89"/>
    <w:rsid w:val="002B27EB"/>
    <w:rsid w:val="002B3948"/>
    <w:rsid w:val="002B4C52"/>
    <w:rsid w:val="002B6D91"/>
    <w:rsid w:val="002B79F5"/>
    <w:rsid w:val="002D4279"/>
    <w:rsid w:val="002D5284"/>
    <w:rsid w:val="002E3FD6"/>
    <w:rsid w:val="002E6B83"/>
    <w:rsid w:val="002F63E9"/>
    <w:rsid w:val="00315843"/>
    <w:rsid w:val="00316EA3"/>
    <w:rsid w:val="00320295"/>
    <w:rsid w:val="0032211F"/>
    <w:rsid w:val="00326BCF"/>
    <w:rsid w:val="00334EC3"/>
    <w:rsid w:val="0034023B"/>
    <w:rsid w:val="003411AD"/>
    <w:rsid w:val="0034135D"/>
    <w:rsid w:val="00351F0F"/>
    <w:rsid w:val="00354871"/>
    <w:rsid w:val="0035530A"/>
    <w:rsid w:val="00357469"/>
    <w:rsid w:val="00357824"/>
    <w:rsid w:val="0036465B"/>
    <w:rsid w:val="003674ED"/>
    <w:rsid w:val="00376992"/>
    <w:rsid w:val="00381B0C"/>
    <w:rsid w:val="0038403C"/>
    <w:rsid w:val="003927CF"/>
    <w:rsid w:val="00396FF9"/>
    <w:rsid w:val="00397E4F"/>
    <w:rsid w:val="003B0E47"/>
    <w:rsid w:val="003B5C6A"/>
    <w:rsid w:val="003C75D7"/>
    <w:rsid w:val="003D16A5"/>
    <w:rsid w:val="003D26C3"/>
    <w:rsid w:val="003D63AF"/>
    <w:rsid w:val="003D6D8C"/>
    <w:rsid w:val="003D6F35"/>
    <w:rsid w:val="003E5CB0"/>
    <w:rsid w:val="0040327A"/>
    <w:rsid w:val="00404AD4"/>
    <w:rsid w:val="00405291"/>
    <w:rsid w:val="00413101"/>
    <w:rsid w:val="004201B6"/>
    <w:rsid w:val="00420A16"/>
    <w:rsid w:val="00421712"/>
    <w:rsid w:val="00426983"/>
    <w:rsid w:val="004273B2"/>
    <w:rsid w:val="00432910"/>
    <w:rsid w:val="004329A2"/>
    <w:rsid w:val="0043316E"/>
    <w:rsid w:val="004367C7"/>
    <w:rsid w:val="00447880"/>
    <w:rsid w:val="00450B9E"/>
    <w:rsid w:val="004545FC"/>
    <w:rsid w:val="004603D3"/>
    <w:rsid w:val="00473866"/>
    <w:rsid w:val="00474103"/>
    <w:rsid w:val="00474456"/>
    <w:rsid w:val="004914BB"/>
    <w:rsid w:val="00495D5B"/>
    <w:rsid w:val="00497217"/>
    <w:rsid w:val="004D23F2"/>
    <w:rsid w:val="004D2A3A"/>
    <w:rsid w:val="004D3938"/>
    <w:rsid w:val="004E73CF"/>
    <w:rsid w:val="004F1C57"/>
    <w:rsid w:val="004F2108"/>
    <w:rsid w:val="00500192"/>
    <w:rsid w:val="0050535A"/>
    <w:rsid w:val="005101B0"/>
    <w:rsid w:val="005106A9"/>
    <w:rsid w:val="00516162"/>
    <w:rsid w:val="00524B78"/>
    <w:rsid w:val="005304D3"/>
    <w:rsid w:val="005311B9"/>
    <w:rsid w:val="005313BB"/>
    <w:rsid w:val="0053158F"/>
    <w:rsid w:val="005348C4"/>
    <w:rsid w:val="00535741"/>
    <w:rsid w:val="00535F19"/>
    <w:rsid w:val="00537561"/>
    <w:rsid w:val="005421A2"/>
    <w:rsid w:val="00551AA4"/>
    <w:rsid w:val="00551B13"/>
    <w:rsid w:val="00552164"/>
    <w:rsid w:val="00561E5F"/>
    <w:rsid w:val="00572C04"/>
    <w:rsid w:val="00573739"/>
    <w:rsid w:val="00577A47"/>
    <w:rsid w:val="0058222E"/>
    <w:rsid w:val="00585234"/>
    <w:rsid w:val="005927CF"/>
    <w:rsid w:val="00594291"/>
    <w:rsid w:val="00597C93"/>
    <w:rsid w:val="005A0AF9"/>
    <w:rsid w:val="005A47AF"/>
    <w:rsid w:val="005B3791"/>
    <w:rsid w:val="005C582E"/>
    <w:rsid w:val="005D31E6"/>
    <w:rsid w:val="005D719C"/>
    <w:rsid w:val="005E0A56"/>
    <w:rsid w:val="005E1A10"/>
    <w:rsid w:val="005E1C6B"/>
    <w:rsid w:val="005E4540"/>
    <w:rsid w:val="005E4DBE"/>
    <w:rsid w:val="005E6E5E"/>
    <w:rsid w:val="00601D54"/>
    <w:rsid w:val="006036E9"/>
    <w:rsid w:val="006051D3"/>
    <w:rsid w:val="00610420"/>
    <w:rsid w:val="00614885"/>
    <w:rsid w:val="006161D9"/>
    <w:rsid w:val="00617305"/>
    <w:rsid w:val="00627B14"/>
    <w:rsid w:val="00631CF4"/>
    <w:rsid w:val="0063561F"/>
    <w:rsid w:val="00637C82"/>
    <w:rsid w:val="00640097"/>
    <w:rsid w:val="0065012D"/>
    <w:rsid w:val="00650AB2"/>
    <w:rsid w:val="00657A57"/>
    <w:rsid w:val="00666FEE"/>
    <w:rsid w:val="00677AAF"/>
    <w:rsid w:val="00680BD5"/>
    <w:rsid w:val="0068149A"/>
    <w:rsid w:val="00693479"/>
    <w:rsid w:val="00695491"/>
    <w:rsid w:val="006A0672"/>
    <w:rsid w:val="006A3AB9"/>
    <w:rsid w:val="006C1822"/>
    <w:rsid w:val="006C1FE7"/>
    <w:rsid w:val="006D034D"/>
    <w:rsid w:val="006D1641"/>
    <w:rsid w:val="006D431F"/>
    <w:rsid w:val="006E002D"/>
    <w:rsid w:val="006E2423"/>
    <w:rsid w:val="006F0660"/>
    <w:rsid w:val="006F1E62"/>
    <w:rsid w:val="006F3DDA"/>
    <w:rsid w:val="006F5A67"/>
    <w:rsid w:val="00706234"/>
    <w:rsid w:val="0070720B"/>
    <w:rsid w:val="007233EF"/>
    <w:rsid w:val="0073328B"/>
    <w:rsid w:val="00741583"/>
    <w:rsid w:val="0074398A"/>
    <w:rsid w:val="007447F3"/>
    <w:rsid w:val="007476D4"/>
    <w:rsid w:val="00751599"/>
    <w:rsid w:val="00753564"/>
    <w:rsid w:val="00753918"/>
    <w:rsid w:val="007611CE"/>
    <w:rsid w:val="007623B6"/>
    <w:rsid w:val="00763BE3"/>
    <w:rsid w:val="007649DA"/>
    <w:rsid w:val="00765E52"/>
    <w:rsid w:val="00772899"/>
    <w:rsid w:val="00773A31"/>
    <w:rsid w:val="007847BF"/>
    <w:rsid w:val="007860E3"/>
    <w:rsid w:val="00791AE0"/>
    <w:rsid w:val="007A40A5"/>
    <w:rsid w:val="007A7597"/>
    <w:rsid w:val="007B292C"/>
    <w:rsid w:val="007B3805"/>
    <w:rsid w:val="007C40C2"/>
    <w:rsid w:val="007C5EE4"/>
    <w:rsid w:val="007D712A"/>
    <w:rsid w:val="007E00F8"/>
    <w:rsid w:val="007E07D4"/>
    <w:rsid w:val="007E1015"/>
    <w:rsid w:val="007E5414"/>
    <w:rsid w:val="007E6D4F"/>
    <w:rsid w:val="007E7F8E"/>
    <w:rsid w:val="007F7E11"/>
    <w:rsid w:val="00801DF7"/>
    <w:rsid w:val="00802F3F"/>
    <w:rsid w:val="00805E20"/>
    <w:rsid w:val="00807003"/>
    <w:rsid w:val="00810D68"/>
    <w:rsid w:val="008120E7"/>
    <w:rsid w:val="0081485D"/>
    <w:rsid w:val="0082220A"/>
    <w:rsid w:val="008361FA"/>
    <w:rsid w:val="00843B35"/>
    <w:rsid w:val="00844F7A"/>
    <w:rsid w:val="008523D6"/>
    <w:rsid w:val="00853877"/>
    <w:rsid w:val="00857CA9"/>
    <w:rsid w:val="00865718"/>
    <w:rsid w:val="00874CD8"/>
    <w:rsid w:val="00877E00"/>
    <w:rsid w:val="008805E3"/>
    <w:rsid w:val="00880BCD"/>
    <w:rsid w:val="00882BC6"/>
    <w:rsid w:val="008B3117"/>
    <w:rsid w:val="008B73E7"/>
    <w:rsid w:val="008C120A"/>
    <w:rsid w:val="008C74C8"/>
    <w:rsid w:val="008D68FF"/>
    <w:rsid w:val="008D6FC8"/>
    <w:rsid w:val="008F59F9"/>
    <w:rsid w:val="008F7904"/>
    <w:rsid w:val="009062F4"/>
    <w:rsid w:val="00911471"/>
    <w:rsid w:val="00913F38"/>
    <w:rsid w:val="00926BF8"/>
    <w:rsid w:val="00927E73"/>
    <w:rsid w:val="00930801"/>
    <w:rsid w:val="009324E2"/>
    <w:rsid w:val="00933B5A"/>
    <w:rsid w:val="009342F5"/>
    <w:rsid w:val="00936E0C"/>
    <w:rsid w:val="00941465"/>
    <w:rsid w:val="009527CF"/>
    <w:rsid w:val="009545D4"/>
    <w:rsid w:val="0095714D"/>
    <w:rsid w:val="009571B7"/>
    <w:rsid w:val="009613C1"/>
    <w:rsid w:val="00974CCC"/>
    <w:rsid w:val="0098335A"/>
    <w:rsid w:val="0098751D"/>
    <w:rsid w:val="009A0881"/>
    <w:rsid w:val="009A30E9"/>
    <w:rsid w:val="009A3449"/>
    <w:rsid w:val="009B0D5D"/>
    <w:rsid w:val="009D1120"/>
    <w:rsid w:val="009D361B"/>
    <w:rsid w:val="009E1328"/>
    <w:rsid w:val="009E1A10"/>
    <w:rsid w:val="009F5D24"/>
    <w:rsid w:val="00A025F0"/>
    <w:rsid w:val="00A02783"/>
    <w:rsid w:val="00A07AAF"/>
    <w:rsid w:val="00A10E77"/>
    <w:rsid w:val="00A10EBF"/>
    <w:rsid w:val="00A1189F"/>
    <w:rsid w:val="00A1756A"/>
    <w:rsid w:val="00A2314D"/>
    <w:rsid w:val="00A24904"/>
    <w:rsid w:val="00A25440"/>
    <w:rsid w:val="00A32477"/>
    <w:rsid w:val="00A32A93"/>
    <w:rsid w:val="00A348B6"/>
    <w:rsid w:val="00A350AB"/>
    <w:rsid w:val="00A43470"/>
    <w:rsid w:val="00A46D85"/>
    <w:rsid w:val="00A54997"/>
    <w:rsid w:val="00A579AD"/>
    <w:rsid w:val="00A61389"/>
    <w:rsid w:val="00A66DF2"/>
    <w:rsid w:val="00A71584"/>
    <w:rsid w:val="00A80B3E"/>
    <w:rsid w:val="00A9348A"/>
    <w:rsid w:val="00AA2B52"/>
    <w:rsid w:val="00AA49BB"/>
    <w:rsid w:val="00AB22C8"/>
    <w:rsid w:val="00AB4EC5"/>
    <w:rsid w:val="00AB5AA9"/>
    <w:rsid w:val="00AC1235"/>
    <w:rsid w:val="00AE0597"/>
    <w:rsid w:val="00AE2D9A"/>
    <w:rsid w:val="00AE4801"/>
    <w:rsid w:val="00AF0047"/>
    <w:rsid w:val="00AF16CF"/>
    <w:rsid w:val="00AF4AA5"/>
    <w:rsid w:val="00AF5C5C"/>
    <w:rsid w:val="00AF5E14"/>
    <w:rsid w:val="00AF77D8"/>
    <w:rsid w:val="00B00911"/>
    <w:rsid w:val="00B13829"/>
    <w:rsid w:val="00B16A8F"/>
    <w:rsid w:val="00B22878"/>
    <w:rsid w:val="00B34325"/>
    <w:rsid w:val="00B4244D"/>
    <w:rsid w:val="00B43201"/>
    <w:rsid w:val="00B47C04"/>
    <w:rsid w:val="00B520A9"/>
    <w:rsid w:val="00B643C1"/>
    <w:rsid w:val="00B6775B"/>
    <w:rsid w:val="00B77279"/>
    <w:rsid w:val="00B80BD1"/>
    <w:rsid w:val="00B82570"/>
    <w:rsid w:val="00B87BFE"/>
    <w:rsid w:val="00B9077E"/>
    <w:rsid w:val="00B9168F"/>
    <w:rsid w:val="00B94431"/>
    <w:rsid w:val="00B95E55"/>
    <w:rsid w:val="00B967D7"/>
    <w:rsid w:val="00BA26DB"/>
    <w:rsid w:val="00BA4CF1"/>
    <w:rsid w:val="00BA6627"/>
    <w:rsid w:val="00BB18DD"/>
    <w:rsid w:val="00BB4E1E"/>
    <w:rsid w:val="00BC22B4"/>
    <w:rsid w:val="00BC287D"/>
    <w:rsid w:val="00BC5CD2"/>
    <w:rsid w:val="00BC6F86"/>
    <w:rsid w:val="00BC77BF"/>
    <w:rsid w:val="00BD1200"/>
    <w:rsid w:val="00BD26A2"/>
    <w:rsid w:val="00BD3BDA"/>
    <w:rsid w:val="00BD73D8"/>
    <w:rsid w:val="00BD7E78"/>
    <w:rsid w:val="00BE3379"/>
    <w:rsid w:val="00BE4845"/>
    <w:rsid w:val="00BF41B6"/>
    <w:rsid w:val="00C02C5C"/>
    <w:rsid w:val="00C07362"/>
    <w:rsid w:val="00C15284"/>
    <w:rsid w:val="00C25501"/>
    <w:rsid w:val="00C26D52"/>
    <w:rsid w:val="00C3210C"/>
    <w:rsid w:val="00C3256D"/>
    <w:rsid w:val="00C32E63"/>
    <w:rsid w:val="00C34C0D"/>
    <w:rsid w:val="00C42B66"/>
    <w:rsid w:val="00C43B15"/>
    <w:rsid w:val="00C47126"/>
    <w:rsid w:val="00C50C33"/>
    <w:rsid w:val="00C5388C"/>
    <w:rsid w:val="00C64F79"/>
    <w:rsid w:val="00C71774"/>
    <w:rsid w:val="00C7195F"/>
    <w:rsid w:val="00C740EB"/>
    <w:rsid w:val="00C74CE7"/>
    <w:rsid w:val="00C824D0"/>
    <w:rsid w:val="00C830B6"/>
    <w:rsid w:val="00C865A9"/>
    <w:rsid w:val="00C879A3"/>
    <w:rsid w:val="00CA0296"/>
    <w:rsid w:val="00CA0B3F"/>
    <w:rsid w:val="00CA1D5B"/>
    <w:rsid w:val="00CA284F"/>
    <w:rsid w:val="00CA421E"/>
    <w:rsid w:val="00CB5780"/>
    <w:rsid w:val="00CC12C5"/>
    <w:rsid w:val="00CC3ABA"/>
    <w:rsid w:val="00CC4D0F"/>
    <w:rsid w:val="00CC5D44"/>
    <w:rsid w:val="00CD3A50"/>
    <w:rsid w:val="00CD5E78"/>
    <w:rsid w:val="00CD740C"/>
    <w:rsid w:val="00CE6E09"/>
    <w:rsid w:val="00CF0E67"/>
    <w:rsid w:val="00D00535"/>
    <w:rsid w:val="00D03BD2"/>
    <w:rsid w:val="00D052E0"/>
    <w:rsid w:val="00D07D61"/>
    <w:rsid w:val="00D3204E"/>
    <w:rsid w:val="00D36693"/>
    <w:rsid w:val="00D40AC7"/>
    <w:rsid w:val="00D40BC1"/>
    <w:rsid w:val="00D44528"/>
    <w:rsid w:val="00D44E6C"/>
    <w:rsid w:val="00D46380"/>
    <w:rsid w:val="00D5354E"/>
    <w:rsid w:val="00D54A6C"/>
    <w:rsid w:val="00D54C92"/>
    <w:rsid w:val="00D56031"/>
    <w:rsid w:val="00D7302F"/>
    <w:rsid w:val="00D73171"/>
    <w:rsid w:val="00D90AD4"/>
    <w:rsid w:val="00D934DC"/>
    <w:rsid w:val="00DA1264"/>
    <w:rsid w:val="00DA335B"/>
    <w:rsid w:val="00DA3A35"/>
    <w:rsid w:val="00DA73D2"/>
    <w:rsid w:val="00DB00D0"/>
    <w:rsid w:val="00DB0B86"/>
    <w:rsid w:val="00DB5F72"/>
    <w:rsid w:val="00DB78DF"/>
    <w:rsid w:val="00DB7FB7"/>
    <w:rsid w:val="00DC0C12"/>
    <w:rsid w:val="00DC587A"/>
    <w:rsid w:val="00DC5D70"/>
    <w:rsid w:val="00DD61DB"/>
    <w:rsid w:val="00DD7F56"/>
    <w:rsid w:val="00DE54E9"/>
    <w:rsid w:val="00E03E45"/>
    <w:rsid w:val="00E05DF0"/>
    <w:rsid w:val="00E11215"/>
    <w:rsid w:val="00E14A5A"/>
    <w:rsid w:val="00E30970"/>
    <w:rsid w:val="00E37260"/>
    <w:rsid w:val="00E44D4E"/>
    <w:rsid w:val="00E52E7B"/>
    <w:rsid w:val="00E55A29"/>
    <w:rsid w:val="00E63ED8"/>
    <w:rsid w:val="00E65BAA"/>
    <w:rsid w:val="00E7061D"/>
    <w:rsid w:val="00E71EFF"/>
    <w:rsid w:val="00E72F5F"/>
    <w:rsid w:val="00E73094"/>
    <w:rsid w:val="00E8140E"/>
    <w:rsid w:val="00E91D89"/>
    <w:rsid w:val="00E960DA"/>
    <w:rsid w:val="00EA01C1"/>
    <w:rsid w:val="00EB17A8"/>
    <w:rsid w:val="00EB4283"/>
    <w:rsid w:val="00ED65D6"/>
    <w:rsid w:val="00EE01C7"/>
    <w:rsid w:val="00EE2A0F"/>
    <w:rsid w:val="00EE4973"/>
    <w:rsid w:val="00EE77DC"/>
    <w:rsid w:val="00EF117A"/>
    <w:rsid w:val="00F01DC9"/>
    <w:rsid w:val="00F1162D"/>
    <w:rsid w:val="00F1199E"/>
    <w:rsid w:val="00F142C1"/>
    <w:rsid w:val="00F16885"/>
    <w:rsid w:val="00F17760"/>
    <w:rsid w:val="00F20280"/>
    <w:rsid w:val="00F24DC7"/>
    <w:rsid w:val="00F2615A"/>
    <w:rsid w:val="00F33B3D"/>
    <w:rsid w:val="00F36D96"/>
    <w:rsid w:val="00F4123A"/>
    <w:rsid w:val="00F4135C"/>
    <w:rsid w:val="00F423DE"/>
    <w:rsid w:val="00F5014E"/>
    <w:rsid w:val="00F5163C"/>
    <w:rsid w:val="00F7047F"/>
    <w:rsid w:val="00F71915"/>
    <w:rsid w:val="00F743A4"/>
    <w:rsid w:val="00F80108"/>
    <w:rsid w:val="00F837CF"/>
    <w:rsid w:val="00F95D8E"/>
    <w:rsid w:val="00F96D19"/>
    <w:rsid w:val="00F973FA"/>
    <w:rsid w:val="00FA76AF"/>
    <w:rsid w:val="00FC15EA"/>
    <w:rsid w:val="00FC4954"/>
    <w:rsid w:val="00FC5D5D"/>
    <w:rsid w:val="00FC6FC8"/>
    <w:rsid w:val="00FD134C"/>
    <w:rsid w:val="00FD4A36"/>
    <w:rsid w:val="00FE1485"/>
    <w:rsid w:val="00FE6F38"/>
    <w:rsid w:val="00FF4C4F"/>
    <w:rsid w:val="00FF74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rules v:ext="edit">
        <o:r id="V:Rule3" type="connector" idref="#_x0000_s1059"/>
        <o:r id="V:Rule4"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4D"/>
    <w:pPr>
      <w:spacing w:line="480" w:lineRule="auto"/>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315843"/>
    <w:pPr>
      <w:spacing w:line="48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D26A2"/>
    <w:pPr>
      <w:ind w:left="720"/>
      <w:contextualSpacing/>
    </w:pPr>
  </w:style>
  <w:style w:type="table" w:styleId="TableClassic1">
    <w:name w:val="Table Classic 1"/>
    <w:basedOn w:val="TableNormal"/>
    <w:rsid w:val="00974CCC"/>
    <w:pPr>
      <w:spacing w:line="48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974CCC"/>
    <w:pPr>
      <w:spacing w:line="48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2">
    <w:name w:val="Table Simple 2"/>
    <w:basedOn w:val="TableNormal"/>
    <w:rsid w:val="00974CCC"/>
    <w:pPr>
      <w:spacing w:line="48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974CCC"/>
    <w:pPr>
      <w:spacing w:line="48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1">
    <w:name w:val="Table 3D effects 1"/>
    <w:basedOn w:val="TableNormal"/>
    <w:rsid w:val="00974CCC"/>
    <w:pPr>
      <w:spacing w:line="48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3">
    <w:name w:val="Table List 3"/>
    <w:basedOn w:val="TableNormal"/>
    <w:rsid w:val="00F837CF"/>
    <w:pPr>
      <w:spacing w:line="48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F837CF"/>
    <w:pPr>
      <w:spacing w:line="48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677A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AAF"/>
    <w:rPr>
      <w:rFonts w:ascii="Tahoma" w:hAnsi="Tahoma" w:cs="Tahoma"/>
      <w:sz w:val="16"/>
      <w:szCs w:val="16"/>
      <w:lang w:eastAsia="en-US"/>
    </w:rPr>
  </w:style>
  <w:style w:type="table" w:customStyle="1" w:styleId="TableGrid0">
    <w:name w:val="TableGrid"/>
    <w:rsid w:val="00AE480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link w:val="TitleChar"/>
    <w:qFormat/>
    <w:rsid w:val="00AE4801"/>
    <w:pPr>
      <w:spacing w:line="240" w:lineRule="auto"/>
      <w:jc w:val="center"/>
    </w:pPr>
    <w:rPr>
      <w:rFonts w:ascii="Verdana" w:hAnsi="Verdana"/>
      <w:b/>
      <w:bCs/>
      <w:sz w:val="16"/>
    </w:rPr>
  </w:style>
  <w:style w:type="character" w:customStyle="1" w:styleId="TitleChar">
    <w:name w:val="Title Char"/>
    <w:basedOn w:val="DefaultParagraphFont"/>
    <w:link w:val="Title"/>
    <w:rsid w:val="00AE4801"/>
    <w:rPr>
      <w:rFonts w:ascii="Verdana" w:hAnsi="Verdana"/>
      <w:b/>
      <w:bCs/>
      <w:sz w:val="16"/>
      <w:szCs w:val="24"/>
      <w:lang w:eastAsia="en-US"/>
    </w:rPr>
  </w:style>
  <w:style w:type="table" w:customStyle="1" w:styleId="Grilledutableau1">
    <w:name w:val="Grille du tableau1"/>
    <w:basedOn w:val="TableNormal"/>
    <w:next w:val="TableGrid"/>
    <w:uiPriority w:val="59"/>
    <w:rsid w:val="00765E5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51AA4"/>
    <w:pPr>
      <w:tabs>
        <w:tab w:val="center" w:pos="4513"/>
        <w:tab w:val="right" w:pos="9026"/>
      </w:tabs>
      <w:spacing w:line="240" w:lineRule="auto"/>
    </w:pPr>
  </w:style>
  <w:style w:type="character" w:customStyle="1" w:styleId="HeaderChar">
    <w:name w:val="Header Char"/>
    <w:basedOn w:val="DefaultParagraphFont"/>
    <w:link w:val="Header"/>
    <w:rsid w:val="00551AA4"/>
    <w:rPr>
      <w:sz w:val="24"/>
      <w:szCs w:val="24"/>
      <w:lang w:eastAsia="en-US"/>
    </w:rPr>
  </w:style>
  <w:style w:type="paragraph" w:styleId="Footer">
    <w:name w:val="footer"/>
    <w:basedOn w:val="Normal"/>
    <w:link w:val="FooterChar"/>
    <w:uiPriority w:val="99"/>
    <w:unhideWhenUsed/>
    <w:rsid w:val="00551AA4"/>
    <w:pPr>
      <w:tabs>
        <w:tab w:val="center" w:pos="4513"/>
        <w:tab w:val="right" w:pos="9026"/>
      </w:tabs>
      <w:spacing w:line="240" w:lineRule="auto"/>
    </w:pPr>
  </w:style>
  <w:style w:type="character" w:customStyle="1" w:styleId="FooterChar">
    <w:name w:val="Footer Char"/>
    <w:basedOn w:val="DefaultParagraphFont"/>
    <w:link w:val="Footer"/>
    <w:uiPriority w:val="99"/>
    <w:rsid w:val="00551AA4"/>
    <w:rPr>
      <w:sz w:val="24"/>
      <w:szCs w:val="24"/>
      <w:lang w:eastAsia="en-US"/>
    </w:rPr>
  </w:style>
  <w:style w:type="paragraph" w:styleId="Revision">
    <w:name w:val="Revision"/>
    <w:hidden/>
    <w:uiPriority w:val="99"/>
    <w:semiHidden/>
    <w:rsid w:val="0014192B"/>
    <w:rPr>
      <w:sz w:val="24"/>
      <w:szCs w:val="24"/>
      <w:lang w:eastAsia="en-US"/>
    </w:rPr>
  </w:style>
  <w:style w:type="character" w:customStyle="1" w:styleId="apple-converted-space">
    <w:name w:val="apple-converted-space"/>
    <w:basedOn w:val="DefaultParagraphFont"/>
    <w:rsid w:val="0014192B"/>
  </w:style>
  <w:style w:type="character" w:styleId="Hyperlink">
    <w:name w:val="Hyperlink"/>
    <w:basedOn w:val="DefaultParagraphFont"/>
    <w:unhideWhenUsed/>
    <w:rsid w:val="001419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4D"/>
    <w:pPr>
      <w:spacing w:line="480" w:lineRule="auto"/>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315843"/>
    <w:pPr>
      <w:spacing w:line="48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BD26A2"/>
    <w:pPr>
      <w:ind w:left="720"/>
      <w:contextualSpacing/>
    </w:pPr>
  </w:style>
  <w:style w:type="table" w:styleId="TableClassic1">
    <w:name w:val="Table Classic 1"/>
    <w:basedOn w:val="TableNormal"/>
    <w:rsid w:val="00974CCC"/>
    <w:pPr>
      <w:spacing w:line="48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974CCC"/>
    <w:pPr>
      <w:spacing w:line="48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2">
    <w:name w:val="Table Simple 2"/>
    <w:basedOn w:val="TableNormal"/>
    <w:rsid w:val="00974CCC"/>
    <w:pPr>
      <w:spacing w:line="48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974CCC"/>
    <w:pPr>
      <w:spacing w:line="48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1">
    <w:name w:val="Table 3D effects 1"/>
    <w:basedOn w:val="TableNormal"/>
    <w:rsid w:val="00974CCC"/>
    <w:pPr>
      <w:spacing w:line="48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3">
    <w:name w:val="Table List 3"/>
    <w:basedOn w:val="TableNormal"/>
    <w:rsid w:val="00F837CF"/>
    <w:pPr>
      <w:spacing w:line="48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F837CF"/>
    <w:pPr>
      <w:spacing w:line="48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677A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77AAF"/>
    <w:rPr>
      <w:rFonts w:ascii="Tahoma" w:hAnsi="Tahoma" w:cs="Tahoma"/>
      <w:sz w:val="16"/>
      <w:szCs w:val="16"/>
      <w:lang w:eastAsia="en-US"/>
    </w:rPr>
  </w:style>
  <w:style w:type="table" w:customStyle="1" w:styleId="TableGrid0">
    <w:name w:val="TableGrid"/>
    <w:rsid w:val="00AE480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link w:val="TitleChar"/>
    <w:qFormat/>
    <w:rsid w:val="00AE4801"/>
    <w:pPr>
      <w:spacing w:line="240" w:lineRule="auto"/>
      <w:jc w:val="center"/>
    </w:pPr>
    <w:rPr>
      <w:rFonts w:ascii="Verdana" w:hAnsi="Verdana"/>
      <w:b/>
      <w:bCs/>
      <w:sz w:val="16"/>
    </w:rPr>
  </w:style>
  <w:style w:type="character" w:customStyle="1" w:styleId="TitleChar">
    <w:name w:val="Title Char"/>
    <w:basedOn w:val="DefaultParagraphFont"/>
    <w:link w:val="Title"/>
    <w:rsid w:val="00AE4801"/>
    <w:rPr>
      <w:rFonts w:ascii="Verdana" w:hAnsi="Verdana"/>
      <w:b/>
      <w:bCs/>
      <w:sz w:val="16"/>
      <w:szCs w:val="24"/>
      <w:lang w:eastAsia="en-US"/>
    </w:rPr>
  </w:style>
  <w:style w:type="table" w:customStyle="1" w:styleId="Grilledutableau1">
    <w:name w:val="Grille du tableau1"/>
    <w:basedOn w:val="TableNormal"/>
    <w:next w:val="TableGrid"/>
    <w:uiPriority w:val="59"/>
    <w:rsid w:val="00765E5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51AA4"/>
    <w:pPr>
      <w:tabs>
        <w:tab w:val="center" w:pos="4513"/>
        <w:tab w:val="right" w:pos="9026"/>
      </w:tabs>
      <w:spacing w:line="240" w:lineRule="auto"/>
    </w:pPr>
  </w:style>
  <w:style w:type="character" w:customStyle="1" w:styleId="HeaderChar">
    <w:name w:val="Header Char"/>
    <w:basedOn w:val="DefaultParagraphFont"/>
    <w:link w:val="Header"/>
    <w:rsid w:val="00551AA4"/>
    <w:rPr>
      <w:sz w:val="24"/>
      <w:szCs w:val="24"/>
      <w:lang w:eastAsia="en-US"/>
    </w:rPr>
  </w:style>
  <w:style w:type="paragraph" w:styleId="Footer">
    <w:name w:val="footer"/>
    <w:basedOn w:val="Normal"/>
    <w:link w:val="FooterChar"/>
    <w:uiPriority w:val="99"/>
    <w:unhideWhenUsed/>
    <w:rsid w:val="00551AA4"/>
    <w:pPr>
      <w:tabs>
        <w:tab w:val="center" w:pos="4513"/>
        <w:tab w:val="right" w:pos="9026"/>
      </w:tabs>
      <w:spacing w:line="240" w:lineRule="auto"/>
    </w:pPr>
  </w:style>
  <w:style w:type="character" w:customStyle="1" w:styleId="FooterChar">
    <w:name w:val="Footer Char"/>
    <w:basedOn w:val="DefaultParagraphFont"/>
    <w:link w:val="Footer"/>
    <w:uiPriority w:val="99"/>
    <w:rsid w:val="00551AA4"/>
    <w:rPr>
      <w:sz w:val="24"/>
      <w:szCs w:val="24"/>
      <w:lang w:eastAsia="en-US"/>
    </w:rPr>
  </w:style>
  <w:style w:type="paragraph" w:styleId="Revision">
    <w:name w:val="Revision"/>
    <w:hidden/>
    <w:uiPriority w:val="99"/>
    <w:semiHidden/>
    <w:rsid w:val="0014192B"/>
    <w:rPr>
      <w:sz w:val="24"/>
      <w:szCs w:val="24"/>
      <w:lang w:eastAsia="en-US"/>
    </w:rPr>
  </w:style>
  <w:style w:type="character" w:customStyle="1" w:styleId="apple-converted-space">
    <w:name w:val="apple-converted-space"/>
    <w:basedOn w:val="DefaultParagraphFont"/>
    <w:rsid w:val="0014192B"/>
  </w:style>
  <w:style w:type="character" w:styleId="Hyperlink">
    <w:name w:val="Hyperlink"/>
    <w:basedOn w:val="DefaultParagraphFont"/>
    <w:unhideWhenUsed/>
    <w:rsid w:val="00141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roup.bmj.com/products/journals"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74223780151655"/>
          <c:y val="3.3730466132580246E-2"/>
          <c:w val="0.87926023778071338"/>
          <c:h val="0.8333725563258515"/>
        </c:manualLayout>
      </c:layout>
      <c:barChart>
        <c:barDir val="col"/>
        <c:grouping val="clustered"/>
        <c:varyColors val="0"/>
        <c:ser>
          <c:idx val="0"/>
          <c:order val="0"/>
          <c:tx>
            <c:v>1 node</c:v>
          </c:tx>
          <c:spPr>
            <a:solidFill>
              <a:schemeClr val="bg1"/>
            </a:solidFill>
            <a:ln>
              <a:solidFill>
                <a:schemeClr val="tx1"/>
              </a:solidFill>
            </a:ln>
            <a:effectLst/>
          </c:spPr>
          <c:invertIfNegative val="0"/>
          <c:errBars>
            <c:errBarType val="both"/>
            <c:errValType val="cust"/>
            <c:noEndCap val="0"/>
            <c:plus>
              <c:numLit>
                <c:formatCode>General</c:formatCode>
                <c:ptCount val="1"/>
                <c:pt idx="0">
                  <c:v>6.43</c:v>
                </c:pt>
              </c:numLit>
            </c:plus>
            <c:minus>
              <c:numLit>
                <c:formatCode>General</c:formatCode>
                <c:ptCount val="1"/>
                <c:pt idx="0">
                  <c:v>7.57</c:v>
                </c:pt>
              </c:numLit>
            </c:minus>
            <c:spPr>
              <a:noFill/>
              <a:ln w="9525" cap="flat" cmpd="sng" algn="ctr">
                <a:solidFill>
                  <a:schemeClr val="tx1">
                    <a:lumMod val="65000"/>
                    <a:lumOff val="35000"/>
                  </a:schemeClr>
                </a:solidFill>
                <a:round/>
              </a:ln>
              <a:effectLst/>
            </c:spPr>
          </c:errBars>
          <c:val>
            <c:numRef>
              <c:f>TAT!$P$49</c:f>
              <c:numCache>
                <c:formatCode>General</c:formatCode>
                <c:ptCount val="1"/>
                <c:pt idx="0">
                  <c:v>34.57</c:v>
                </c:pt>
              </c:numCache>
            </c:numRef>
          </c:val>
        </c:ser>
        <c:ser>
          <c:idx val="1"/>
          <c:order val="1"/>
          <c:spPr>
            <a:solidFill>
              <a:schemeClr val="bg1">
                <a:lumMod val="75000"/>
              </a:schemeClr>
            </a:solidFill>
            <a:ln>
              <a:solidFill>
                <a:schemeClr val="tx1"/>
              </a:solidFill>
            </a:ln>
            <a:effectLst/>
          </c:spPr>
          <c:invertIfNegative val="0"/>
          <c:errBars>
            <c:errBarType val="both"/>
            <c:errValType val="cust"/>
            <c:noEndCap val="0"/>
            <c:plus>
              <c:numLit>
                <c:formatCode>General</c:formatCode>
                <c:ptCount val="1"/>
                <c:pt idx="0">
                  <c:v>16.48</c:v>
                </c:pt>
              </c:numLit>
            </c:plus>
            <c:minus>
              <c:numLit>
                <c:formatCode>General</c:formatCode>
                <c:ptCount val="1"/>
                <c:pt idx="0">
                  <c:v>6.52</c:v>
                </c:pt>
              </c:numLit>
            </c:minus>
            <c:spPr>
              <a:noFill/>
              <a:ln w="9525" cap="flat" cmpd="sng" algn="ctr">
                <a:solidFill>
                  <a:schemeClr val="tx1">
                    <a:lumMod val="65000"/>
                    <a:lumOff val="35000"/>
                  </a:schemeClr>
                </a:solidFill>
                <a:round/>
              </a:ln>
              <a:effectLst/>
            </c:spPr>
          </c:errBars>
          <c:val>
            <c:numRef>
              <c:f>TAT!$P$50</c:f>
              <c:numCache>
                <c:formatCode>General</c:formatCode>
                <c:ptCount val="1"/>
                <c:pt idx="0">
                  <c:v>37.520000000000003</c:v>
                </c:pt>
              </c:numCache>
            </c:numRef>
          </c:val>
        </c:ser>
        <c:ser>
          <c:idx val="2"/>
          <c:order val="2"/>
          <c:spPr>
            <a:solidFill>
              <a:schemeClr val="bg1"/>
            </a:solidFill>
            <a:ln>
              <a:solidFill>
                <a:schemeClr val="tx1"/>
              </a:solidFill>
            </a:ln>
            <a:effectLst/>
          </c:spPr>
          <c:invertIfNegative val="0"/>
          <c:errBars>
            <c:errBarType val="both"/>
            <c:errValType val="cust"/>
            <c:noEndCap val="0"/>
            <c:plus>
              <c:numLit>
                <c:formatCode>General</c:formatCode>
                <c:ptCount val="1"/>
                <c:pt idx="0">
                  <c:v>10.19</c:v>
                </c:pt>
              </c:numLit>
            </c:plus>
            <c:minus>
              <c:numLit>
                <c:formatCode>General</c:formatCode>
                <c:ptCount val="1"/>
                <c:pt idx="0">
                  <c:v>9.81</c:v>
                </c:pt>
              </c:numLit>
            </c:minus>
            <c:spPr>
              <a:noFill/>
              <a:ln w="9525" cap="flat" cmpd="sng" algn="ctr">
                <a:solidFill>
                  <a:schemeClr val="tx1">
                    <a:lumMod val="65000"/>
                    <a:lumOff val="35000"/>
                  </a:schemeClr>
                </a:solidFill>
                <a:round/>
              </a:ln>
              <a:effectLst/>
            </c:spPr>
          </c:errBars>
          <c:val>
            <c:numRef>
              <c:f>TAT!$P$51</c:f>
              <c:numCache>
                <c:formatCode>General</c:formatCode>
                <c:ptCount val="1"/>
                <c:pt idx="0">
                  <c:v>39.81</c:v>
                </c:pt>
              </c:numCache>
            </c:numRef>
          </c:val>
        </c:ser>
        <c:ser>
          <c:idx val="3"/>
          <c:order val="3"/>
          <c:spPr>
            <a:solidFill>
              <a:schemeClr val="bg1">
                <a:lumMod val="75000"/>
              </a:schemeClr>
            </a:solidFill>
            <a:ln>
              <a:solidFill>
                <a:schemeClr val="tx1"/>
              </a:solidFill>
            </a:ln>
            <a:effectLst/>
          </c:spPr>
          <c:invertIfNegative val="0"/>
          <c:errBars>
            <c:errBarType val="both"/>
            <c:errValType val="cust"/>
            <c:noEndCap val="0"/>
            <c:plus>
              <c:numLit>
                <c:formatCode>General</c:formatCode>
                <c:ptCount val="1"/>
                <c:pt idx="0">
                  <c:v>16.57</c:v>
                </c:pt>
              </c:numLit>
            </c:plus>
            <c:minus>
              <c:numLit>
                <c:formatCode>General</c:formatCode>
                <c:ptCount val="1"/>
                <c:pt idx="0">
                  <c:v>7.41</c:v>
                </c:pt>
              </c:numLit>
            </c:minus>
            <c:spPr>
              <a:noFill/>
              <a:ln w="9525" cap="flat" cmpd="sng" algn="ctr">
                <a:solidFill>
                  <a:schemeClr val="tx1">
                    <a:lumMod val="65000"/>
                    <a:lumOff val="35000"/>
                  </a:schemeClr>
                </a:solidFill>
                <a:round/>
              </a:ln>
              <a:effectLst/>
            </c:spPr>
          </c:errBars>
          <c:val>
            <c:numRef>
              <c:f>TAT!$P$52</c:f>
              <c:numCache>
                <c:formatCode>General</c:formatCode>
                <c:ptCount val="1"/>
                <c:pt idx="0">
                  <c:v>42.77</c:v>
                </c:pt>
              </c:numCache>
            </c:numRef>
          </c:val>
        </c:ser>
        <c:ser>
          <c:idx val="4"/>
          <c:order val="4"/>
          <c:spPr>
            <a:solidFill>
              <a:schemeClr val="bg1"/>
            </a:solidFill>
            <a:ln>
              <a:solidFill>
                <a:schemeClr val="tx1"/>
              </a:solidFill>
            </a:ln>
            <a:effectLst/>
          </c:spPr>
          <c:invertIfNegative val="0"/>
          <c:errBars>
            <c:errBarType val="both"/>
            <c:errValType val="cust"/>
            <c:noEndCap val="0"/>
            <c:plus>
              <c:numLit>
                <c:formatCode>General</c:formatCode>
                <c:ptCount val="1"/>
                <c:pt idx="0">
                  <c:v>20.59</c:v>
                </c:pt>
              </c:numLit>
            </c:plus>
            <c:minus>
              <c:numLit>
                <c:formatCode>General</c:formatCode>
                <c:ptCount val="1"/>
                <c:pt idx="0">
                  <c:v>7.41</c:v>
                </c:pt>
              </c:numLit>
            </c:minus>
            <c:spPr>
              <a:noFill/>
              <a:ln w="9525" cap="flat" cmpd="sng" algn="ctr">
                <a:solidFill>
                  <a:schemeClr val="tx1">
                    <a:lumMod val="65000"/>
                    <a:lumOff val="35000"/>
                  </a:schemeClr>
                </a:solidFill>
                <a:round/>
              </a:ln>
              <a:effectLst/>
            </c:spPr>
          </c:errBars>
          <c:val>
            <c:numRef>
              <c:f>TAT!$P$53</c:f>
              <c:numCache>
                <c:formatCode>General</c:formatCode>
                <c:ptCount val="1"/>
                <c:pt idx="0">
                  <c:v>43.41</c:v>
                </c:pt>
              </c:numCache>
            </c:numRef>
          </c:val>
        </c:ser>
        <c:ser>
          <c:idx val="5"/>
          <c:order val="5"/>
          <c:spPr>
            <a:solidFill>
              <a:schemeClr val="bg1">
                <a:lumMod val="75000"/>
              </a:schemeClr>
            </a:solidFill>
            <a:ln>
              <a:solidFill>
                <a:schemeClr val="tx1"/>
              </a:solidFill>
            </a:ln>
            <a:effectLst/>
          </c:spPr>
          <c:invertIfNegative val="0"/>
          <c:errBars>
            <c:errBarType val="both"/>
            <c:errValType val="cust"/>
            <c:noEndCap val="0"/>
            <c:plus>
              <c:numLit>
                <c:formatCode>General</c:formatCode>
                <c:ptCount val="1"/>
                <c:pt idx="0">
                  <c:v>10.97</c:v>
                </c:pt>
              </c:numLit>
            </c:plus>
            <c:minus>
              <c:numLit>
                <c:formatCode>General</c:formatCode>
                <c:ptCount val="1"/>
                <c:pt idx="0">
                  <c:v>9.0299999999999994</c:v>
                </c:pt>
              </c:numLit>
            </c:minus>
            <c:spPr>
              <a:noFill/>
              <a:ln w="9525" cap="flat" cmpd="sng" algn="ctr">
                <a:solidFill>
                  <a:schemeClr val="tx1">
                    <a:lumMod val="65000"/>
                    <a:lumOff val="35000"/>
                  </a:schemeClr>
                </a:solidFill>
                <a:round/>
              </a:ln>
              <a:effectLst/>
            </c:spPr>
          </c:errBars>
          <c:val>
            <c:numRef>
              <c:f>TAT!$P$54</c:f>
              <c:numCache>
                <c:formatCode>General</c:formatCode>
                <c:ptCount val="1"/>
                <c:pt idx="0">
                  <c:v>45.03</c:v>
                </c:pt>
              </c:numCache>
            </c:numRef>
          </c:val>
        </c:ser>
        <c:ser>
          <c:idx val="6"/>
          <c:order val="6"/>
          <c:spPr>
            <a:solidFill>
              <a:schemeClr val="bg1"/>
            </a:solidFill>
            <a:ln>
              <a:solidFill>
                <a:schemeClr val="tx1"/>
              </a:solidFill>
            </a:ln>
            <a:effectLst/>
          </c:spPr>
          <c:invertIfNegative val="0"/>
          <c:errBars>
            <c:errBarType val="both"/>
            <c:errValType val="cust"/>
            <c:noEndCap val="0"/>
            <c:plus>
              <c:numLit>
                <c:formatCode>General</c:formatCode>
                <c:ptCount val="1"/>
                <c:pt idx="0">
                  <c:v>12.89</c:v>
                </c:pt>
              </c:numLit>
            </c:plus>
            <c:minus>
              <c:numLit>
                <c:formatCode>General</c:formatCode>
                <c:ptCount val="1"/>
                <c:pt idx="0">
                  <c:v>7.11</c:v>
                </c:pt>
              </c:numLit>
            </c:minus>
            <c:spPr>
              <a:noFill/>
              <a:ln w="9525" cap="flat" cmpd="sng" algn="ctr">
                <a:solidFill>
                  <a:schemeClr val="tx1">
                    <a:lumMod val="65000"/>
                    <a:lumOff val="35000"/>
                  </a:schemeClr>
                </a:solidFill>
                <a:round/>
              </a:ln>
              <a:effectLst/>
            </c:spPr>
          </c:errBars>
          <c:val>
            <c:numRef>
              <c:f>TAT!$P$55</c:f>
              <c:numCache>
                <c:formatCode>General</c:formatCode>
                <c:ptCount val="1"/>
                <c:pt idx="0">
                  <c:v>46.11</c:v>
                </c:pt>
              </c:numCache>
            </c:numRef>
          </c:val>
        </c:ser>
        <c:ser>
          <c:idx val="7"/>
          <c:order val="7"/>
          <c:spPr>
            <a:solidFill>
              <a:schemeClr val="bg1">
                <a:lumMod val="75000"/>
              </a:schemeClr>
            </a:solidFill>
            <a:ln>
              <a:solidFill>
                <a:schemeClr val="tx1"/>
              </a:solidFill>
            </a:ln>
            <a:effectLst/>
          </c:spPr>
          <c:invertIfNegative val="0"/>
          <c:errBars>
            <c:errBarType val="both"/>
            <c:errValType val="cust"/>
            <c:noEndCap val="0"/>
            <c:plus>
              <c:numLit>
                <c:formatCode>General</c:formatCode>
                <c:ptCount val="1"/>
                <c:pt idx="0">
                  <c:v>17.690000000000001</c:v>
                </c:pt>
              </c:numLit>
            </c:plus>
            <c:minus>
              <c:numLit>
                <c:formatCode>General</c:formatCode>
                <c:ptCount val="1"/>
                <c:pt idx="0">
                  <c:v>5.31</c:v>
                </c:pt>
              </c:numLit>
            </c:minus>
            <c:spPr>
              <a:noFill/>
              <a:ln w="9525" cap="flat" cmpd="sng" algn="ctr">
                <a:solidFill>
                  <a:schemeClr val="tx1">
                    <a:lumMod val="65000"/>
                    <a:lumOff val="35000"/>
                  </a:schemeClr>
                </a:solidFill>
                <a:round/>
              </a:ln>
              <a:effectLst/>
            </c:spPr>
          </c:errBars>
          <c:val>
            <c:numRef>
              <c:f>TAT!$P$56</c:f>
              <c:numCache>
                <c:formatCode>General</c:formatCode>
                <c:ptCount val="1"/>
                <c:pt idx="0">
                  <c:v>50.31</c:v>
                </c:pt>
              </c:numCache>
            </c:numRef>
          </c:val>
        </c:ser>
        <c:ser>
          <c:idx val="8"/>
          <c:order val="8"/>
          <c:spPr>
            <a:solidFill>
              <a:schemeClr val="accent5">
                <a:lumMod val="80000"/>
                <a:lumOff val="20000"/>
              </a:schemeClr>
            </a:solidFill>
            <a:ln>
              <a:noFill/>
            </a:ln>
            <a:effectLst/>
          </c:spPr>
          <c:invertIfNegative val="0"/>
          <c:val>
            <c:numRef>
              <c:f>TAT!$P$57</c:f>
              <c:numCache>
                <c:formatCode>General</c:formatCode>
                <c:ptCount val="1"/>
              </c:numCache>
            </c:numRef>
          </c:val>
        </c:ser>
        <c:ser>
          <c:idx val="9"/>
          <c:order val="9"/>
          <c:spPr>
            <a:solidFill>
              <a:schemeClr val="bg1">
                <a:lumMod val="75000"/>
              </a:schemeClr>
            </a:solidFill>
            <a:ln>
              <a:solidFill>
                <a:schemeClr val="tx1"/>
              </a:solidFill>
            </a:ln>
            <a:effectLst/>
          </c:spPr>
          <c:invertIfNegative val="0"/>
          <c:errBars>
            <c:errBarType val="both"/>
            <c:errValType val="cust"/>
            <c:noEndCap val="0"/>
            <c:plus>
              <c:numLit>
                <c:formatCode>General</c:formatCode>
                <c:ptCount val="1"/>
                <c:pt idx="0">
                  <c:v>7</c:v>
                </c:pt>
              </c:numLit>
            </c:plus>
            <c:minus>
              <c:numLit>
                <c:formatCode>General</c:formatCode>
                <c:ptCount val="1"/>
                <c:pt idx="0">
                  <c:v>7</c:v>
                </c:pt>
              </c:numLit>
            </c:minus>
            <c:spPr>
              <a:noFill/>
              <a:ln w="9525" cap="flat" cmpd="sng" algn="ctr">
                <a:solidFill>
                  <a:schemeClr val="tx1">
                    <a:lumMod val="65000"/>
                    <a:lumOff val="35000"/>
                  </a:schemeClr>
                </a:solidFill>
                <a:round/>
              </a:ln>
              <a:effectLst/>
            </c:spPr>
          </c:errBars>
          <c:val>
            <c:numRef>
              <c:f>TAT!$P$58</c:f>
              <c:numCache>
                <c:formatCode>General</c:formatCode>
                <c:ptCount val="1"/>
                <c:pt idx="0">
                  <c:v>57</c:v>
                </c:pt>
              </c:numCache>
            </c:numRef>
          </c:val>
        </c:ser>
        <c:ser>
          <c:idx val="10"/>
          <c:order val="10"/>
          <c:spPr>
            <a:solidFill>
              <a:schemeClr val="accent3">
                <a:lumMod val="80000"/>
              </a:schemeClr>
            </a:solidFill>
            <a:ln>
              <a:noFill/>
            </a:ln>
            <a:effectLst/>
          </c:spPr>
          <c:invertIfNegative val="0"/>
          <c:val>
            <c:numRef>
              <c:f>TAT!$P$59</c:f>
              <c:numCache>
                <c:formatCode>General</c:formatCode>
                <c:ptCount val="1"/>
              </c:numCache>
            </c:numRef>
          </c:val>
        </c:ser>
        <c:ser>
          <c:idx val="11"/>
          <c:order val="11"/>
          <c:spPr>
            <a:solidFill>
              <a:schemeClr val="bg1">
                <a:lumMod val="75000"/>
              </a:schemeClr>
            </a:solidFill>
            <a:ln>
              <a:solidFill>
                <a:schemeClr val="tx1"/>
              </a:solidFill>
            </a:ln>
            <a:effectLst/>
          </c:spPr>
          <c:invertIfNegative val="0"/>
          <c:errBars>
            <c:errBarType val="both"/>
            <c:errValType val="cust"/>
            <c:noEndCap val="0"/>
            <c:plus>
              <c:numLit>
                <c:formatCode>General</c:formatCode>
                <c:ptCount val="1"/>
                <c:pt idx="0">
                  <c:v>9.5</c:v>
                </c:pt>
              </c:numLit>
            </c:plus>
            <c:minus>
              <c:numLit>
                <c:formatCode>General</c:formatCode>
                <c:ptCount val="1"/>
                <c:pt idx="0">
                  <c:v>9.5</c:v>
                </c:pt>
              </c:numLit>
            </c:minus>
            <c:spPr>
              <a:noFill/>
              <a:ln w="9525" cap="flat" cmpd="sng" algn="ctr">
                <a:solidFill>
                  <a:schemeClr val="tx1">
                    <a:lumMod val="65000"/>
                    <a:lumOff val="35000"/>
                  </a:schemeClr>
                </a:solidFill>
                <a:round/>
              </a:ln>
              <a:effectLst/>
            </c:spPr>
          </c:errBars>
          <c:val>
            <c:numRef>
              <c:f>TAT!$P$60</c:f>
              <c:numCache>
                <c:formatCode>General</c:formatCode>
                <c:ptCount val="1"/>
                <c:pt idx="0">
                  <c:v>62.5</c:v>
                </c:pt>
              </c:numCache>
            </c:numRef>
          </c:val>
        </c:ser>
        <c:ser>
          <c:idx val="12"/>
          <c:order val="12"/>
          <c:spPr>
            <a:solidFill>
              <a:schemeClr val="bg1"/>
            </a:solidFill>
            <a:ln>
              <a:solidFill>
                <a:schemeClr val="tx1"/>
              </a:solidFill>
            </a:ln>
            <a:effectLst/>
          </c:spPr>
          <c:invertIfNegative val="0"/>
          <c:errBars>
            <c:errBarType val="both"/>
            <c:errValType val="cust"/>
            <c:noEndCap val="0"/>
            <c:plus>
              <c:numLit>
                <c:formatCode>General</c:formatCode>
                <c:ptCount val="1"/>
                <c:pt idx="0">
                  <c:v>23.16</c:v>
                </c:pt>
              </c:numLit>
            </c:plus>
            <c:minus>
              <c:numLit>
                <c:formatCode>General</c:formatCode>
                <c:ptCount val="1"/>
                <c:pt idx="0">
                  <c:v>13.84</c:v>
                </c:pt>
              </c:numLit>
            </c:minus>
            <c:spPr>
              <a:noFill/>
              <a:ln w="9525" cap="flat" cmpd="sng" algn="ctr">
                <a:solidFill>
                  <a:schemeClr val="tx1">
                    <a:lumMod val="65000"/>
                    <a:lumOff val="35000"/>
                  </a:schemeClr>
                </a:solidFill>
                <a:round/>
              </a:ln>
              <a:effectLst/>
            </c:spPr>
          </c:errBars>
          <c:val>
            <c:numRef>
              <c:f>TAT!$P$61</c:f>
              <c:numCache>
                <c:formatCode>General</c:formatCode>
                <c:ptCount val="1"/>
                <c:pt idx="0">
                  <c:v>40.479999999999997</c:v>
                </c:pt>
              </c:numCache>
            </c:numRef>
          </c:val>
        </c:ser>
        <c:ser>
          <c:idx val="13"/>
          <c:order val="13"/>
          <c:spPr>
            <a:solidFill>
              <a:schemeClr val="bg1">
                <a:lumMod val="75000"/>
              </a:schemeClr>
            </a:solidFill>
            <a:ln>
              <a:solidFill>
                <a:schemeClr val="tx1"/>
              </a:solidFill>
            </a:ln>
            <a:effectLst/>
          </c:spPr>
          <c:invertIfNegative val="0"/>
          <c:errBars>
            <c:errBarType val="both"/>
            <c:errValType val="cust"/>
            <c:noEndCap val="0"/>
            <c:plus>
              <c:numLit>
                <c:formatCode>General</c:formatCode>
                <c:ptCount val="1"/>
                <c:pt idx="0">
                  <c:v>29.63</c:v>
                </c:pt>
              </c:numLit>
            </c:plus>
            <c:minus>
              <c:numLit>
                <c:formatCode>General</c:formatCode>
                <c:ptCount val="1"/>
                <c:pt idx="0">
                  <c:v>11.37</c:v>
                </c:pt>
              </c:numLit>
            </c:minus>
            <c:spPr>
              <a:noFill/>
              <a:ln w="9525" cap="flat" cmpd="sng" algn="ctr">
                <a:solidFill>
                  <a:schemeClr val="tx1">
                    <a:lumMod val="65000"/>
                    <a:lumOff val="35000"/>
                  </a:schemeClr>
                </a:solidFill>
                <a:round/>
              </a:ln>
              <a:effectLst/>
            </c:spPr>
          </c:errBars>
          <c:val>
            <c:numRef>
              <c:f>TAT!$P$62</c:f>
              <c:numCache>
                <c:formatCode>General</c:formatCode>
                <c:ptCount val="1"/>
                <c:pt idx="0">
                  <c:v>42.37</c:v>
                </c:pt>
              </c:numCache>
            </c:numRef>
          </c:val>
        </c:ser>
        <c:dLbls>
          <c:showLegendKey val="0"/>
          <c:showVal val="0"/>
          <c:showCatName val="0"/>
          <c:showSerName val="0"/>
          <c:showPercent val="0"/>
          <c:showBubbleSize val="0"/>
        </c:dLbls>
        <c:gapWidth val="219"/>
        <c:overlap val="-27"/>
        <c:axId val="185182464"/>
        <c:axId val="185188352"/>
      </c:barChart>
      <c:catAx>
        <c:axId val="185182464"/>
        <c:scaling>
          <c:orientation val="minMax"/>
        </c:scaling>
        <c:delete val="1"/>
        <c:axPos val="b"/>
        <c:majorTickMark val="out"/>
        <c:minorTickMark val="none"/>
        <c:tickLblPos val="nextTo"/>
        <c:crossAx val="185188352"/>
        <c:crosses val="autoZero"/>
        <c:auto val="1"/>
        <c:lblAlgn val="ctr"/>
        <c:lblOffset val="100"/>
        <c:noMultiLvlLbl val="0"/>
      </c:catAx>
      <c:valAx>
        <c:axId val="185188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baseline="0">
                    <a:solidFill>
                      <a:schemeClr val="tx1"/>
                    </a:solidFill>
                  </a:rPr>
                  <a:t> Turnaround time (minutes)</a:t>
                </a:r>
                <a:endParaRPr lang="en-GB">
                  <a:solidFill>
                    <a:schemeClr val="tx1"/>
                  </a:solidFill>
                </a:endParaRP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18246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F255B-BA0B-41FC-A812-5808C917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4898</Words>
  <Characters>27922</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SUHT</Company>
  <LinksUpToDate>false</LinksUpToDate>
  <CharactersWithSpaces>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smithg1</dc:creator>
  <cp:lastModifiedBy>Parsonage J.A.</cp:lastModifiedBy>
  <cp:revision>2</cp:revision>
  <dcterms:created xsi:type="dcterms:W3CDTF">2016-07-12T14:14:00Z</dcterms:created>
  <dcterms:modified xsi:type="dcterms:W3CDTF">2016-07-12T14:14:00Z</dcterms:modified>
</cp:coreProperties>
</file>