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FC6D7" w14:textId="77777777" w:rsidR="00911073" w:rsidRPr="0080251F" w:rsidRDefault="00911073" w:rsidP="0080251F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sz w:val="22"/>
          <w:szCs w:val="22"/>
          <w:lang w:val="en-US"/>
        </w:rPr>
      </w:pPr>
      <w:bookmarkStart w:id="0" w:name="_GoBack"/>
      <w:bookmarkEnd w:id="0"/>
      <w:r w:rsidRPr="0080251F">
        <w:rPr>
          <w:rFonts w:ascii="Times New Roman" w:hAnsi="Times New Roman" w:cs="Times New Roman"/>
          <w:b/>
          <w:sz w:val="22"/>
          <w:szCs w:val="22"/>
          <w:lang w:val="en-US"/>
        </w:rPr>
        <w:t xml:space="preserve">On epidemiology of fractures and variation with age and ethnicity </w:t>
      </w:r>
    </w:p>
    <w:p w14:paraId="11FBE6D9" w14:textId="77777777" w:rsidR="00023D5A" w:rsidRPr="0080251F" w:rsidRDefault="00230BD7" w:rsidP="0080251F">
      <w:pPr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 w:rsidRPr="0080251F">
        <w:rPr>
          <w:rFonts w:ascii="Times New Roman" w:hAnsi="Times New Roman" w:cs="Times New Roman"/>
          <w:sz w:val="22"/>
          <w:szCs w:val="22"/>
        </w:rPr>
        <w:t xml:space="preserve">Authors’ response to </w:t>
      </w:r>
      <w:r w:rsidR="00911073" w:rsidRPr="0080251F">
        <w:rPr>
          <w:rFonts w:ascii="Times New Roman" w:hAnsi="Times New Roman" w:cs="Times New Roman"/>
          <w:sz w:val="22"/>
          <w:szCs w:val="22"/>
        </w:rPr>
        <w:t>Harper et al</w:t>
      </w:r>
    </w:p>
    <w:p w14:paraId="620F9A82" w14:textId="77777777" w:rsidR="00911073" w:rsidRPr="0080251F" w:rsidRDefault="00911073" w:rsidP="0080251F">
      <w:pPr>
        <w:spacing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0BA75767" w14:textId="489C3245" w:rsidR="00911073" w:rsidRPr="0080251F" w:rsidRDefault="00911073" w:rsidP="0080251F">
      <w:pPr>
        <w:spacing w:after="120" w:line="36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251F">
        <w:rPr>
          <w:rFonts w:ascii="Times New Roman" w:hAnsi="Times New Roman" w:cs="Times New Roman"/>
          <w:sz w:val="22"/>
          <w:szCs w:val="22"/>
        </w:rPr>
        <w:t>N</w:t>
      </w:r>
      <w:r w:rsidR="00A45D3D" w:rsidRPr="0080251F">
        <w:rPr>
          <w:rFonts w:ascii="Times New Roman" w:hAnsi="Times New Roman" w:cs="Times New Roman"/>
          <w:sz w:val="22"/>
          <w:szCs w:val="22"/>
        </w:rPr>
        <w:t>icholas C</w:t>
      </w:r>
      <w:r w:rsidRPr="0080251F">
        <w:rPr>
          <w:rFonts w:ascii="Times New Roman" w:hAnsi="Times New Roman" w:cs="Times New Roman"/>
          <w:sz w:val="22"/>
          <w:szCs w:val="22"/>
        </w:rPr>
        <w:t xml:space="preserve"> Harvey</w:t>
      </w:r>
      <w:r w:rsidR="00A45D3D" w:rsidRPr="0080251F">
        <w:rPr>
          <w:rFonts w:ascii="Times New Roman" w:hAnsi="Times New Roman" w:cs="Times New Roman"/>
          <w:sz w:val="22"/>
          <w:szCs w:val="22"/>
          <w:vertAlign w:val="superscript"/>
        </w:rPr>
        <w:t>1,2</w:t>
      </w:r>
      <w:r w:rsidRPr="0080251F">
        <w:rPr>
          <w:rFonts w:ascii="Times New Roman" w:hAnsi="Times New Roman" w:cs="Times New Roman"/>
          <w:sz w:val="22"/>
          <w:szCs w:val="22"/>
        </w:rPr>
        <w:t>, E</w:t>
      </w:r>
      <w:r w:rsidR="00A45D3D" w:rsidRPr="0080251F">
        <w:rPr>
          <w:rFonts w:ascii="Times New Roman" w:hAnsi="Times New Roman" w:cs="Times New Roman"/>
          <w:sz w:val="22"/>
          <w:szCs w:val="22"/>
        </w:rPr>
        <w:t>lizabeth M</w:t>
      </w:r>
      <w:r w:rsidRPr="0080251F">
        <w:rPr>
          <w:rFonts w:ascii="Times New Roman" w:hAnsi="Times New Roman" w:cs="Times New Roman"/>
          <w:sz w:val="22"/>
          <w:szCs w:val="22"/>
        </w:rPr>
        <w:t xml:space="preserve"> Curtis</w:t>
      </w:r>
      <w:r w:rsidR="00A45D3D" w:rsidRPr="0080251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C44FB" w:rsidRPr="0015306B">
        <w:rPr>
          <w:rFonts w:ascii="Times New Roman" w:hAnsi="Times New Roman" w:cs="Times New Roman"/>
          <w:sz w:val="22"/>
          <w:szCs w:val="22"/>
        </w:rPr>
        <w:t xml:space="preserve">, </w:t>
      </w:r>
      <w:r w:rsidR="00FC44FB" w:rsidRPr="0080251F">
        <w:rPr>
          <w:rFonts w:ascii="Times New Roman" w:hAnsi="Times New Roman" w:cs="Times New Roman"/>
          <w:sz w:val="22"/>
          <w:szCs w:val="22"/>
        </w:rPr>
        <w:t>Robert van der Velde</w:t>
      </w:r>
      <w:r w:rsidR="00FC44FB" w:rsidRPr="0080251F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FC44FB" w:rsidRPr="0080251F">
        <w:rPr>
          <w:rFonts w:ascii="Times New Roman" w:hAnsi="Times New Roman" w:cs="Times New Roman"/>
          <w:sz w:val="22"/>
          <w:szCs w:val="22"/>
        </w:rPr>
        <w:t>, Rebecca J Moon</w:t>
      </w:r>
      <w:r w:rsidR="00FC44FB" w:rsidRPr="0080251F">
        <w:rPr>
          <w:rFonts w:ascii="Times New Roman" w:hAnsi="Times New Roman" w:cs="Times New Roman"/>
          <w:sz w:val="22"/>
          <w:szCs w:val="22"/>
          <w:vertAlign w:val="superscript"/>
        </w:rPr>
        <w:t>1,4</w:t>
      </w:r>
      <w:r w:rsidR="00FC44FB" w:rsidRPr="0080251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C44FB" w:rsidRPr="0080251F">
        <w:rPr>
          <w:rFonts w:ascii="Times New Roman" w:hAnsi="Times New Roman" w:cs="Times New Roman"/>
          <w:sz w:val="22"/>
          <w:szCs w:val="22"/>
        </w:rPr>
        <w:t>Joop</w:t>
      </w:r>
      <w:proofErr w:type="spellEnd"/>
      <w:r w:rsidR="00FC44FB" w:rsidRPr="0080251F">
        <w:rPr>
          <w:rFonts w:ascii="Times New Roman" w:hAnsi="Times New Roman" w:cs="Times New Roman"/>
          <w:sz w:val="22"/>
          <w:szCs w:val="22"/>
        </w:rPr>
        <w:t xml:space="preserve"> P W van den Bergh</w:t>
      </w:r>
      <w:r w:rsidR="00FC44FB" w:rsidRPr="0080251F">
        <w:rPr>
          <w:rFonts w:ascii="Times New Roman" w:hAnsi="Times New Roman" w:cs="Times New Roman"/>
          <w:sz w:val="22"/>
          <w:szCs w:val="22"/>
          <w:vertAlign w:val="superscript"/>
        </w:rPr>
        <w:t>3,5</w:t>
      </w:r>
      <w:r w:rsidR="00FC44FB" w:rsidRPr="0080251F">
        <w:rPr>
          <w:rFonts w:ascii="Times New Roman" w:hAnsi="Times New Roman" w:cs="Times New Roman"/>
          <w:sz w:val="22"/>
          <w:szCs w:val="22"/>
        </w:rPr>
        <w:t>, Piet Geusens</w:t>
      </w:r>
      <w:r w:rsidR="00FC44FB" w:rsidRPr="0080251F">
        <w:rPr>
          <w:rFonts w:ascii="Times New Roman" w:hAnsi="Times New Roman" w:cs="Times New Roman"/>
          <w:sz w:val="22"/>
          <w:szCs w:val="22"/>
          <w:vertAlign w:val="superscript"/>
        </w:rPr>
        <w:t>6,7</w:t>
      </w:r>
      <w:r w:rsidR="00FC44FB" w:rsidRPr="0080251F">
        <w:rPr>
          <w:rFonts w:ascii="Times New Roman" w:hAnsi="Times New Roman" w:cs="Times New Roman"/>
          <w:sz w:val="22"/>
          <w:szCs w:val="22"/>
        </w:rPr>
        <w:t>, Frank de Vries</w:t>
      </w:r>
      <w:r w:rsidR="00FC44FB" w:rsidRPr="0080251F">
        <w:rPr>
          <w:rFonts w:ascii="Times New Roman" w:hAnsi="Times New Roman" w:cs="Times New Roman"/>
          <w:sz w:val="22"/>
          <w:szCs w:val="22"/>
          <w:vertAlign w:val="superscript"/>
        </w:rPr>
        <w:t>8</w:t>
      </w:r>
      <w:r w:rsidR="00FC44FB" w:rsidRPr="0080251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C44FB" w:rsidRPr="0080251F">
        <w:rPr>
          <w:rFonts w:ascii="Times New Roman" w:hAnsi="Times New Roman" w:cs="Times New Roman"/>
          <w:sz w:val="22"/>
          <w:szCs w:val="22"/>
        </w:rPr>
        <w:t>Tjeerd</w:t>
      </w:r>
      <w:proofErr w:type="spellEnd"/>
      <w:r w:rsidR="00FC44FB" w:rsidRPr="0080251F">
        <w:rPr>
          <w:rFonts w:ascii="Times New Roman" w:hAnsi="Times New Roman" w:cs="Times New Roman"/>
          <w:sz w:val="22"/>
          <w:szCs w:val="22"/>
        </w:rPr>
        <w:t xml:space="preserve"> P van Staa</w:t>
      </w:r>
      <w:r w:rsidR="00FC44FB" w:rsidRPr="0080251F">
        <w:rPr>
          <w:rFonts w:ascii="Times New Roman" w:hAnsi="Times New Roman" w:cs="Times New Roman"/>
          <w:sz w:val="22"/>
          <w:szCs w:val="22"/>
          <w:vertAlign w:val="superscript"/>
        </w:rPr>
        <w:t>9,10</w:t>
      </w:r>
      <w:r w:rsidR="00FC44FB" w:rsidRPr="0080251F">
        <w:rPr>
          <w:rFonts w:ascii="Times New Roman" w:hAnsi="Times New Roman" w:cs="Times New Roman"/>
          <w:sz w:val="22"/>
          <w:szCs w:val="22"/>
        </w:rPr>
        <w:t xml:space="preserve">, </w:t>
      </w:r>
      <w:r w:rsidRPr="0080251F">
        <w:rPr>
          <w:rFonts w:ascii="Times New Roman" w:hAnsi="Times New Roman" w:cs="Times New Roman"/>
          <w:sz w:val="22"/>
          <w:szCs w:val="22"/>
        </w:rPr>
        <w:t>and C</w:t>
      </w:r>
      <w:r w:rsidR="00A45D3D" w:rsidRPr="0080251F">
        <w:rPr>
          <w:rFonts w:ascii="Times New Roman" w:hAnsi="Times New Roman" w:cs="Times New Roman"/>
          <w:sz w:val="22"/>
          <w:szCs w:val="22"/>
        </w:rPr>
        <w:t>yrus</w:t>
      </w:r>
      <w:r w:rsidRPr="0080251F">
        <w:rPr>
          <w:rFonts w:ascii="Times New Roman" w:hAnsi="Times New Roman" w:cs="Times New Roman"/>
          <w:sz w:val="22"/>
          <w:szCs w:val="22"/>
        </w:rPr>
        <w:t xml:space="preserve"> Cooper</w:t>
      </w:r>
      <w:r w:rsidR="00FC44FB" w:rsidRPr="0080251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proofErr w:type="gramStart"/>
      <w:r w:rsidR="00FC44FB" w:rsidRPr="0080251F">
        <w:rPr>
          <w:rFonts w:ascii="Times New Roman" w:hAnsi="Times New Roman" w:cs="Times New Roman"/>
          <w:sz w:val="22"/>
          <w:szCs w:val="22"/>
          <w:vertAlign w:val="superscript"/>
        </w:rPr>
        <w:t>,2,11</w:t>
      </w:r>
      <w:proofErr w:type="gramEnd"/>
    </w:p>
    <w:p w14:paraId="01F2E6F8" w14:textId="77777777" w:rsidR="00FC44FB" w:rsidRPr="0080251F" w:rsidRDefault="00FC44FB" w:rsidP="0080251F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en-NZ"/>
        </w:rPr>
      </w:pPr>
      <w:r w:rsidRPr="0080251F">
        <w:rPr>
          <w:rFonts w:ascii="Times New Roman" w:hAnsi="Times New Roman" w:cs="Times New Roman"/>
          <w:sz w:val="22"/>
          <w:szCs w:val="22"/>
          <w:lang w:val="en-NZ"/>
        </w:rPr>
        <w:t>MRC Lifecourse Epidemiology Unit, University of Southampton, Southampton, SO16 6YD, UK</w:t>
      </w:r>
    </w:p>
    <w:p w14:paraId="0405CA11" w14:textId="59862084" w:rsidR="00FC44FB" w:rsidRPr="0080251F" w:rsidRDefault="00FC44FB" w:rsidP="0080251F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0251F">
        <w:rPr>
          <w:rFonts w:ascii="Times New Roman" w:hAnsi="Times New Roman" w:cs="Times New Roman"/>
          <w:sz w:val="22"/>
          <w:szCs w:val="22"/>
        </w:rPr>
        <w:t>NI</w:t>
      </w:r>
      <w:r w:rsidRPr="0080251F">
        <w:rPr>
          <w:rFonts w:ascii="Times New Roman" w:hAnsi="Times New Roman" w:cs="Times New Roman"/>
          <w:bCs/>
          <w:sz w:val="22"/>
          <w:szCs w:val="22"/>
        </w:rPr>
        <w:t xml:space="preserve">HR Southampton Biomedical Research Centre, University of Southampton and University Hospital Southampton NHS Foundation Trust, </w:t>
      </w:r>
      <w:proofErr w:type="spellStart"/>
      <w:r w:rsidRPr="0080251F">
        <w:rPr>
          <w:rFonts w:ascii="Times New Roman" w:hAnsi="Times New Roman" w:cs="Times New Roman"/>
          <w:bCs/>
          <w:sz w:val="22"/>
          <w:szCs w:val="22"/>
        </w:rPr>
        <w:t>Tremona</w:t>
      </w:r>
      <w:proofErr w:type="spellEnd"/>
      <w:r w:rsidRPr="0080251F">
        <w:rPr>
          <w:rFonts w:ascii="Times New Roman" w:hAnsi="Times New Roman" w:cs="Times New Roman"/>
          <w:bCs/>
          <w:sz w:val="22"/>
          <w:szCs w:val="22"/>
        </w:rPr>
        <w:t xml:space="preserve"> Road, Southampton, SO16 6YD, UK</w:t>
      </w:r>
    </w:p>
    <w:p w14:paraId="5E937097" w14:textId="10F4379A" w:rsidR="00FC44FB" w:rsidRPr="0080251F" w:rsidRDefault="00FC44FB" w:rsidP="0080251F">
      <w:pPr>
        <w:pStyle w:val="NormalWeb"/>
        <w:numPr>
          <w:ilvl w:val="0"/>
          <w:numId w:val="1"/>
        </w:numPr>
        <w:spacing w:before="0" w:beforeAutospacing="0" w:after="120" w:afterAutospacing="0" w:line="360" w:lineRule="auto"/>
        <w:jc w:val="both"/>
        <w:rPr>
          <w:sz w:val="22"/>
          <w:szCs w:val="22"/>
        </w:rPr>
      </w:pPr>
      <w:proofErr w:type="spellStart"/>
      <w:r w:rsidRPr="0080251F">
        <w:rPr>
          <w:sz w:val="22"/>
          <w:szCs w:val="22"/>
        </w:rPr>
        <w:t>Dept</w:t>
      </w:r>
      <w:proofErr w:type="spellEnd"/>
      <w:r w:rsidRPr="0080251F">
        <w:rPr>
          <w:sz w:val="22"/>
          <w:szCs w:val="22"/>
        </w:rPr>
        <w:t xml:space="preserve"> of Internal Medicine, </w:t>
      </w:r>
      <w:proofErr w:type="spellStart"/>
      <w:r w:rsidRPr="0080251F">
        <w:rPr>
          <w:sz w:val="22"/>
          <w:szCs w:val="22"/>
        </w:rPr>
        <w:t>VieCuri</w:t>
      </w:r>
      <w:proofErr w:type="spellEnd"/>
      <w:r w:rsidRPr="0080251F">
        <w:rPr>
          <w:sz w:val="22"/>
          <w:szCs w:val="22"/>
        </w:rPr>
        <w:t xml:space="preserve"> Medical </w:t>
      </w:r>
      <w:proofErr w:type="spellStart"/>
      <w:r w:rsidRPr="0080251F">
        <w:rPr>
          <w:sz w:val="22"/>
          <w:szCs w:val="22"/>
        </w:rPr>
        <w:t>Center</w:t>
      </w:r>
      <w:proofErr w:type="spellEnd"/>
      <w:r w:rsidRPr="0080251F">
        <w:rPr>
          <w:sz w:val="22"/>
          <w:szCs w:val="22"/>
        </w:rPr>
        <w:t xml:space="preserve">, </w:t>
      </w:r>
      <w:proofErr w:type="spellStart"/>
      <w:r w:rsidRPr="0080251F">
        <w:rPr>
          <w:sz w:val="22"/>
          <w:szCs w:val="22"/>
          <w:lang w:val="en-US"/>
        </w:rPr>
        <w:t>Venloseweg</w:t>
      </w:r>
      <w:proofErr w:type="spellEnd"/>
      <w:r w:rsidRPr="0080251F">
        <w:rPr>
          <w:sz w:val="22"/>
          <w:szCs w:val="22"/>
          <w:lang w:val="en-US"/>
        </w:rPr>
        <w:t xml:space="preserve"> 595971 PB Venlo, the Netherlands</w:t>
      </w:r>
      <w:r w:rsidRPr="0080251F">
        <w:rPr>
          <w:sz w:val="22"/>
          <w:szCs w:val="22"/>
        </w:rPr>
        <w:t xml:space="preserve"> </w:t>
      </w:r>
    </w:p>
    <w:p w14:paraId="5953290C" w14:textId="77777777" w:rsidR="00FC44FB" w:rsidRPr="0080251F" w:rsidRDefault="00FC44FB" w:rsidP="0080251F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en-NZ"/>
        </w:rPr>
      </w:pPr>
      <w:r w:rsidRPr="0080251F">
        <w:rPr>
          <w:rFonts w:ascii="Times New Roman" w:hAnsi="Times New Roman" w:cs="Times New Roman"/>
          <w:sz w:val="22"/>
          <w:szCs w:val="22"/>
          <w:lang w:val="en-NZ"/>
        </w:rPr>
        <w:t>Paediatric Endocrinology, Southampton University Hospitals NHS Foundation Trust, Southampton, SO16 6YD, UK</w:t>
      </w:r>
    </w:p>
    <w:p w14:paraId="665A9A2F" w14:textId="77777777" w:rsidR="00FC44FB" w:rsidRPr="0080251F" w:rsidRDefault="00FC44FB" w:rsidP="0080251F">
      <w:pPr>
        <w:pStyle w:val="NormalWeb"/>
        <w:numPr>
          <w:ilvl w:val="0"/>
          <w:numId w:val="1"/>
        </w:numPr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80251F">
        <w:rPr>
          <w:sz w:val="22"/>
          <w:szCs w:val="22"/>
        </w:rPr>
        <w:t xml:space="preserve">Maastricht University Medical </w:t>
      </w:r>
      <w:proofErr w:type="spellStart"/>
      <w:r w:rsidRPr="0080251F">
        <w:rPr>
          <w:sz w:val="22"/>
          <w:szCs w:val="22"/>
        </w:rPr>
        <w:t>Center</w:t>
      </w:r>
      <w:proofErr w:type="spellEnd"/>
      <w:r w:rsidRPr="0080251F">
        <w:rPr>
          <w:sz w:val="22"/>
          <w:szCs w:val="22"/>
        </w:rPr>
        <w:t>, Maastricht, The Netherlands</w:t>
      </w:r>
    </w:p>
    <w:p w14:paraId="3CD9DB56" w14:textId="77777777" w:rsidR="00FC44FB" w:rsidRPr="0080251F" w:rsidRDefault="00FC44FB" w:rsidP="0080251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contextualSpacing w:val="0"/>
        <w:rPr>
          <w:rFonts w:ascii="Times New Roman" w:eastAsia="Times New Roman" w:hAnsi="Times New Roman" w:cs="Times New Roman"/>
        </w:rPr>
      </w:pPr>
      <w:r w:rsidRPr="0080251F">
        <w:rPr>
          <w:rFonts w:ascii="Times New Roman" w:eastAsia="Times New Roman" w:hAnsi="Times New Roman" w:cs="Times New Roman"/>
        </w:rPr>
        <w:t>Department of Internal Medicine, Subdivision of Rheumatology, Maastricht University Medical Centre, Maastricht, The Netherlands</w:t>
      </w:r>
    </w:p>
    <w:p w14:paraId="45597426" w14:textId="77777777" w:rsidR="00FC44FB" w:rsidRPr="0080251F" w:rsidRDefault="00FC44FB" w:rsidP="0080251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contextualSpacing w:val="0"/>
        <w:rPr>
          <w:rFonts w:ascii="Times New Roman" w:eastAsia="Times New Roman" w:hAnsi="Times New Roman" w:cs="Times New Roman"/>
        </w:rPr>
      </w:pPr>
      <w:r w:rsidRPr="0080251F">
        <w:rPr>
          <w:rFonts w:ascii="Times New Roman" w:eastAsia="Times New Roman" w:hAnsi="Times New Roman" w:cs="Times New Roman"/>
        </w:rPr>
        <w:t>University Hasselt, Hasselt, Belgium</w:t>
      </w:r>
    </w:p>
    <w:p w14:paraId="3CF68C82" w14:textId="77777777" w:rsidR="00FC44FB" w:rsidRPr="0080251F" w:rsidRDefault="00FC44FB" w:rsidP="0080251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contextualSpacing w:val="0"/>
        <w:rPr>
          <w:rFonts w:ascii="Times New Roman" w:eastAsia="Times New Roman" w:hAnsi="Times New Roman" w:cs="Times New Roman"/>
        </w:rPr>
      </w:pPr>
      <w:r w:rsidRPr="0080251F">
        <w:rPr>
          <w:rFonts w:ascii="Times New Roman" w:hAnsi="Times New Roman" w:cs="Times New Roman"/>
        </w:rPr>
        <w:t>Department of Clinical Pharmacy &amp; Toxicology, Maastricht University Medical Centre, Maastricht, The Netherlands</w:t>
      </w:r>
    </w:p>
    <w:p w14:paraId="19116E36" w14:textId="77777777" w:rsidR="00FC44FB" w:rsidRPr="0080251F" w:rsidRDefault="00FC44FB" w:rsidP="0080251F">
      <w:pPr>
        <w:pStyle w:val="NormalWeb"/>
        <w:numPr>
          <w:ilvl w:val="0"/>
          <w:numId w:val="1"/>
        </w:numPr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80251F">
        <w:rPr>
          <w:sz w:val="22"/>
          <w:szCs w:val="22"/>
        </w:rPr>
        <w:t xml:space="preserve">Health </w:t>
      </w:r>
      <w:proofErr w:type="spellStart"/>
      <w:r w:rsidRPr="0080251F">
        <w:rPr>
          <w:sz w:val="22"/>
          <w:szCs w:val="22"/>
        </w:rPr>
        <w:t>eResearch</w:t>
      </w:r>
      <w:proofErr w:type="spellEnd"/>
      <w:r w:rsidRPr="0080251F">
        <w:rPr>
          <w:sz w:val="22"/>
          <w:szCs w:val="22"/>
        </w:rPr>
        <w:t xml:space="preserve"> Centre, Farr Institute for Health Informatics Research, University of Manchester, 1.003 Vaughan House, Portsmouth Road, M13 9PL, UK</w:t>
      </w:r>
    </w:p>
    <w:p w14:paraId="2B2353A9" w14:textId="01A641D9" w:rsidR="00FC44FB" w:rsidRPr="0080251F" w:rsidRDefault="00FC44FB" w:rsidP="0080251F">
      <w:pPr>
        <w:pStyle w:val="ListParagraph"/>
        <w:numPr>
          <w:ilvl w:val="0"/>
          <w:numId w:val="1"/>
        </w:numPr>
        <w:suppressLineNumbers/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80251F">
        <w:rPr>
          <w:rFonts w:ascii="Times New Roman" w:hAnsi="Times New Roman" w:cs="Times New Roman"/>
        </w:rPr>
        <w:t xml:space="preserve">Department of </w:t>
      </w:r>
      <w:proofErr w:type="spellStart"/>
      <w:r w:rsidRPr="0080251F">
        <w:rPr>
          <w:rFonts w:ascii="Times New Roman" w:hAnsi="Times New Roman" w:cs="Times New Roman"/>
        </w:rPr>
        <w:t>Pharmacoepidemiology</w:t>
      </w:r>
      <w:proofErr w:type="spellEnd"/>
      <w:r w:rsidRPr="0080251F">
        <w:rPr>
          <w:rFonts w:ascii="Times New Roman" w:hAnsi="Times New Roman" w:cs="Times New Roman"/>
        </w:rPr>
        <w:t xml:space="preserve"> &amp; Clinical Pharmacology, University of Utrecht, Utrecht, the Netherlands, 3508 TB</w:t>
      </w:r>
    </w:p>
    <w:p w14:paraId="054D54FD" w14:textId="77777777" w:rsidR="00FC44FB" w:rsidRPr="0080251F" w:rsidRDefault="00FC44FB" w:rsidP="0080251F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0251F">
        <w:rPr>
          <w:rFonts w:ascii="Times New Roman" w:hAnsi="Times New Roman" w:cs="Times New Roman"/>
          <w:sz w:val="22"/>
          <w:szCs w:val="22"/>
          <w:lang w:val="en-US"/>
        </w:rPr>
        <w:t xml:space="preserve">NIHR Musculoskeletal Biomedical Research Unit, University of Oxford, Nuffield Orthopedic Centre, </w:t>
      </w:r>
      <w:proofErr w:type="spellStart"/>
      <w:r w:rsidRPr="0080251F">
        <w:rPr>
          <w:rFonts w:ascii="Times New Roman" w:hAnsi="Times New Roman" w:cs="Times New Roman"/>
          <w:sz w:val="22"/>
          <w:szCs w:val="22"/>
          <w:lang w:val="en-US"/>
        </w:rPr>
        <w:t>Headington</w:t>
      </w:r>
      <w:proofErr w:type="spellEnd"/>
      <w:r w:rsidRPr="0080251F">
        <w:rPr>
          <w:rFonts w:ascii="Times New Roman" w:hAnsi="Times New Roman" w:cs="Times New Roman"/>
          <w:sz w:val="22"/>
          <w:szCs w:val="22"/>
          <w:lang w:val="en-US"/>
        </w:rPr>
        <w:t>, Oxford, OX3 7HE, UK</w:t>
      </w:r>
    </w:p>
    <w:p w14:paraId="2353CDE1" w14:textId="71A1CDFB" w:rsidR="0080251F" w:rsidRPr="0080251F" w:rsidRDefault="0080251F" w:rsidP="0080251F">
      <w:pPr>
        <w:autoSpaceDE w:val="0"/>
        <w:autoSpaceDN w:val="0"/>
        <w:adjustRightInd w:val="0"/>
        <w:spacing w:after="120" w:line="48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0251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Correspondence and reprint requests to: </w:t>
      </w:r>
      <w:r w:rsidRPr="0080251F">
        <w:rPr>
          <w:rFonts w:ascii="Times New Roman" w:hAnsi="Times New Roman" w:cs="Times New Roman"/>
          <w:color w:val="000000"/>
          <w:sz w:val="22"/>
          <w:szCs w:val="22"/>
        </w:rPr>
        <w:t xml:space="preserve">Professor Cyrus Cooper, MRC Lifecourse Epidemiology Unit, University of Southampton, Southampton General Hospital, Southampton SO16 6YD, UK. </w:t>
      </w:r>
    </w:p>
    <w:p w14:paraId="6DF63322" w14:textId="642897A1" w:rsidR="00911073" w:rsidRDefault="00846445" w:rsidP="0080251F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251F">
        <w:rPr>
          <w:rFonts w:ascii="Times New Roman" w:hAnsi="Times New Roman" w:cs="Times New Roman"/>
          <w:sz w:val="22"/>
          <w:szCs w:val="22"/>
        </w:rPr>
        <w:lastRenderedPageBreak/>
        <w:t>W</w:t>
      </w:r>
      <w:r w:rsidR="00911073" w:rsidRPr="0080251F">
        <w:rPr>
          <w:rFonts w:ascii="Times New Roman" w:hAnsi="Times New Roman" w:cs="Times New Roman"/>
          <w:sz w:val="22"/>
          <w:szCs w:val="22"/>
        </w:rPr>
        <w:t xml:space="preserve">e recently </w:t>
      </w:r>
      <w:r w:rsidR="0073714D" w:rsidRPr="0080251F">
        <w:rPr>
          <w:rFonts w:ascii="Times New Roman" w:hAnsi="Times New Roman" w:cs="Times New Roman"/>
          <w:sz w:val="22"/>
          <w:szCs w:val="22"/>
        </w:rPr>
        <w:t>demonstrated</w:t>
      </w:r>
      <w:r w:rsidR="00911073" w:rsidRPr="0080251F">
        <w:rPr>
          <w:rFonts w:ascii="Times New Roman" w:hAnsi="Times New Roman" w:cs="Times New Roman"/>
          <w:sz w:val="22"/>
          <w:szCs w:val="22"/>
        </w:rPr>
        <w:t xml:space="preserve"> differences in fracture incidence by ethnic</w:t>
      </w:r>
      <w:r w:rsidR="00607C22" w:rsidRPr="0080251F">
        <w:rPr>
          <w:rFonts w:ascii="Times New Roman" w:hAnsi="Times New Roman" w:cs="Times New Roman"/>
          <w:sz w:val="22"/>
          <w:szCs w:val="22"/>
        </w:rPr>
        <w:t>ity</w:t>
      </w:r>
      <w:r w:rsidR="00911073" w:rsidRPr="0080251F">
        <w:rPr>
          <w:rFonts w:ascii="Times New Roman" w:hAnsi="Times New Roman" w:cs="Times New Roman"/>
          <w:sz w:val="22"/>
          <w:szCs w:val="22"/>
        </w:rPr>
        <w:t xml:space="preserve"> in the UK</w:t>
      </w:r>
      <w:r w:rsidRPr="0080251F">
        <w:rPr>
          <w:rFonts w:ascii="Times New Roman" w:hAnsi="Times New Roman" w:cs="Times New Roman"/>
          <w:sz w:val="22"/>
          <w:szCs w:val="22"/>
        </w:rPr>
        <w:t xml:space="preserve"> population using </w:t>
      </w:r>
      <w:r w:rsidR="00607C22" w:rsidRPr="0080251F">
        <w:rPr>
          <w:rFonts w:ascii="Times New Roman" w:hAnsi="Times New Roman" w:cs="Times New Roman"/>
          <w:sz w:val="22"/>
          <w:szCs w:val="22"/>
        </w:rPr>
        <w:t xml:space="preserve">the </w:t>
      </w:r>
      <w:r w:rsidRPr="0080251F">
        <w:rPr>
          <w:rFonts w:ascii="Times New Roman" w:hAnsi="Times New Roman" w:cs="Times New Roman"/>
          <w:sz w:val="22"/>
          <w:szCs w:val="22"/>
        </w:rPr>
        <w:t>Clinical Practice Research Datalink (CPRD)</w:t>
      </w:r>
      <w:r w:rsidR="00F476CF" w:rsidRPr="0080251F">
        <w:rPr>
          <w:rFonts w:ascii="Times New Roman" w:hAnsi="Times New Roman" w:cs="Times New Roman"/>
          <w:sz w:val="22"/>
          <w:szCs w:val="22"/>
        </w:rPr>
        <w:t xml:space="preserve"> [1]</w:t>
      </w:r>
      <w:r w:rsidR="00911073" w:rsidRPr="0080251F">
        <w:rPr>
          <w:rFonts w:ascii="Times New Roman" w:hAnsi="Times New Roman" w:cs="Times New Roman"/>
          <w:sz w:val="22"/>
          <w:szCs w:val="22"/>
        </w:rPr>
        <w:t>. In their letter, Harper et al</w:t>
      </w:r>
      <w:r w:rsidR="00F476CF" w:rsidRPr="0080251F">
        <w:rPr>
          <w:rFonts w:ascii="Times New Roman" w:hAnsi="Times New Roman" w:cs="Times New Roman"/>
          <w:sz w:val="22"/>
          <w:szCs w:val="22"/>
        </w:rPr>
        <w:t xml:space="preserve"> [2]</w:t>
      </w:r>
      <w:r w:rsidR="00911073" w:rsidRPr="0080251F">
        <w:rPr>
          <w:rFonts w:ascii="Times New Roman" w:hAnsi="Times New Roman" w:cs="Times New Roman"/>
          <w:sz w:val="22"/>
          <w:szCs w:val="22"/>
        </w:rPr>
        <w:t xml:space="preserve"> draw attention to the differential age structure of the UK population by ethnic</w:t>
      </w:r>
      <w:r w:rsidRPr="0080251F">
        <w:rPr>
          <w:rFonts w:ascii="Times New Roman" w:hAnsi="Times New Roman" w:cs="Times New Roman"/>
          <w:sz w:val="22"/>
          <w:szCs w:val="22"/>
        </w:rPr>
        <w:t>ity</w:t>
      </w:r>
      <w:r w:rsidR="00911073" w:rsidRPr="0080251F">
        <w:rPr>
          <w:rFonts w:ascii="Times New Roman" w:hAnsi="Times New Roman" w:cs="Times New Roman"/>
          <w:sz w:val="22"/>
          <w:szCs w:val="22"/>
        </w:rPr>
        <w:t xml:space="preserve">, and suggest that the lower incidence of fractures in Asian adults over 50 years </w:t>
      </w:r>
      <w:r w:rsidR="000C47F1" w:rsidRPr="0080251F">
        <w:rPr>
          <w:rFonts w:ascii="Times New Roman" w:hAnsi="Times New Roman" w:cs="Times New Roman"/>
          <w:sz w:val="22"/>
          <w:szCs w:val="22"/>
        </w:rPr>
        <w:t>might</w:t>
      </w:r>
      <w:r w:rsidR="00911073" w:rsidRPr="0080251F">
        <w:rPr>
          <w:rFonts w:ascii="Times New Roman" w:hAnsi="Times New Roman" w:cs="Times New Roman"/>
          <w:sz w:val="22"/>
          <w:szCs w:val="22"/>
        </w:rPr>
        <w:t xml:space="preserve"> reflect the lower proportion of </w:t>
      </w:r>
      <w:r w:rsidRPr="0080251F">
        <w:rPr>
          <w:rFonts w:ascii="Times New Roman" w:hAnsi="Times New Roman" w:cs="Times New Roman"/>
          <w:sz w:val="22"/>
          <w:szCs w:val="22"/>
        </w:rPr>
        <w:t xml:space="preserve">very </w:t>
      </w:r>
      <w:r w:rsidR="00911073" w:rsidRPr="0080251F">
        <w:rPr>
          <w:rFonts w:ascii="Times New Roman" w:hAnsi="Times New Roman" w:cs="Times New Roman"/>
          <w:sz w:val="22"/>
          <w:szCs w:val="22"/>
        </w:rPr>
        <w:t xml:space="preserve">elderly individuals within this demographic compared with the white population. The relatively small number of fractures within black and </w:t>
      </w:r>
      <w:r w:rsidR="000C47F1" w:rsidRPr="0080251F">
        <w:rPr>
          <w:rFonts w:ascii="Times New Roman" w:hAnsi="Times New Roman" w:cs="Times New Roman"/>
          <w:sz w:val="22"/>
          <w:szCs w:val="22"/>
        </w:rPr>
        <w:t xml:space="preserve">South </w:t>
      </w:r>
      <w:r w:rsidR="00911073" w:rsidRPr="0080251F">
        <w:rPr>
          <w:rFonts w:ascii="Times New Roman" w:hAnsi="Times New Roman" w:cs="Times New Roman"/>
          <w:sz w:val="22"/>
          <w:szCs w:val="22"/>
        </w:rPr>
        <w:t>Asian</w:t>
      </w:r>
      <w:r w:rsidR="00230BD7" w:rsidRPr="0080251F">
        <w:rPr>
          <w:rFonts w:ascii="Times New Roman" w:hAnsi="Times New Roman" w:cs="Times New Roman"/>
          <w:sz w:val="22"/>
          <w:szCs w:val="22"/>
        </w:rPr>
        <w:t xml:space="preserve"> ethnicities meant that </w:t>
      </w:r>
      <w:r w:rsidR="00911073" w:rsidRPr="0080251F">
        <w:rPr>
          <w:rFonts w:ascii="Times New Roman" w:hAnsi="Times New Roman" w:cs="Times New Roman"/>
          <w:sz w:val="22"/>
          <w:szCs w:val="22"/>
        </w:rPr>
        <w:t xml:space="preserve">presentation of fracture incidence stratified by age band was not feasible. </w:t>
      </w:r>
      <w:r w:rsidR="00230BD7" w:rsidRPr="0080251F">
        <w:rPr>
          <w:rFonts w:ascii="Times New Roman" w:hAnsi="Times New Roman" w:cs="Times New Roman"/>
          <w:sz w:val="22"/>
          <w:szCs w:val="22"/>
        </w:rPr>
        <w:t>We have thus used a Poisson model to</w:t>
      </w:r>
      <w:r w:rsidR="00911073" w:rsidRPr="0080251F">
        <w:rPr>
          <w:rFonts w:ascii="Times New Roman" w:hAnsi="Times New Roman" w:cs="Times New Roman"/>
          <w:sz w:val="22"/>
          <w:szCs w:val="22"/>
        </w:rPr>
        <w:t xml:space="preserve"> calculat</w:t>
      </w:r>
      <w:r w:rsidR="00230BD7" w:rsidRPr="0080251F">
        <w:rPr>
          <w:rFonts w:ascii="Times New Roman" w:hAnsi="Times New Roman" w:cs="Times New Roman"/>
          <w:sz w:val="22"/>
          <w:szCs w:val="22"/>
        </w:rPr>
        <w:t xml:space="preserve">e </w:t>
      </w:r>
      <w:r w:rsidR="00911073" w:rsidRPr="0080251F">
        <w:rPr>
          <w:rFonts w:ascii="Times New Roman" w:hAnsi="Times New Roman" w:cs="Times New Roman"/>
          <w:sz w:val="22"/>
          <w:szCs w:val="22"/>
        </w:rPr>
        <w:t>incidence rate ratios</w:t>
      </w:r>
      <w:r w:rsidR="00230BD7" w:rsidRPr="0080251F">
        <w:rPr>
          <w:rFonts w:ascii="Times New Roman" w:hAnsi="Times New Roman" w:cs="Times New Roman"/>
          <w:sz w:val="22"/>
          <w:szCs w:val="22"/>
        </w:rPr>
        <w:t xml:space="preserve"> (with white ethnicity as the referent), adjusting for age and calendar year to account for any contribution of age distribution</w:t>
      </w:r>
      <w:r w:rsidR="00607C22" w:rsidRPr="0080251F">
        <w:rPr>
          <w:rFonts w:ascii="Times New Roman" w:hAnsi="Times New Roman" w:cs="Times New Roman"/>
          <w:sz w:val="22"/>
          <w:szCs w:val="22"/>
        </w:rPr>
        <w:t xml:space="preserve"> and secular change</w:t>
      </w:r>
      <w:r w:rsidR="00230BD7" w:rsidRPr="0080251F">
        <w:rPr>
          <w:rFonts w:ascii="Times New Roman" w:hAnsi="Times New Roman" w:cs="Times New Roman"/>
          <w:sz w:val="22"/>
          <w:szCs w:val="22"/>
        </w:rPr>
        <w:t xml:space="preserve"> within ethnicity strata. These data are summarised in the table below, and clearly demonstrate that </w:t>
      </w:r>
      <w:r w:rsidR="006144E9" w:rsidRPr="0080251F">
        <w:rPr>
          <w:rFonts w:ascii="Times New Roman" w:hAnsi="Times New Roman" w:cs="Times New Roman"/>
          <w:sz w:val="22"/>
          <w:szCs w:val="22"/>
        </w:rPr>
        <w:t xml:space="preserve">the differences in fracture incidence by ethnicity are congruent with the raw incidence data presented in our paper, with rates highest in whites, intermediate in </w:t>
      </w:r>
      <w:r w:rsidR="000C47F1" w:rsidRPr="0080251F">
        <w:rPr>
          <w:rFonts w:ascii="Times New Roman" w:hAnsi="Times New Roman" w:cs="Times New Roman"/>
          <w:sz w:val="22"/>
          <w:szCs w:val="22"/>
        </w:rPr>
        <w:t xml:space="preserve">South </w:t>
      </w:r>
      <w:r w:rsidR="006144E9" w:rsidRPr="0080251F">
        <w:rPr>
          <w:rFonts w:ascii="Times New Roman" w:hAnsi="Times New Roman" w:cs="Times New Roman"/>
          <w:sz w:val="22"/>
          <w:szCs w:val="22"/>
        </w:rPr>
        <w:t>Asians and lowest in blacks. In conclusion, whilst there are ethnic differences in age distribution in the UK, these do not explain the differential fracture rates; as discussed in our paper</w:t>
      </w:r>
      <w:r w:rsidR="00F476CF" w:rsidRPr="0080251F">
        <w:rPr>
          <w:rFonts w:ascii="Times New Roman" w:hAnsi="Times New Roman" w:cs="Times New Roman"/>
          <w:sz w:val="22"/>
          <w:szCs w:val="22"/>
        </w:rPr>
        <w:t xml:space="preserve"> [1]</w:t>
      </w:r>
      <w:r w:rsidR="006144E9" w:rsidRPr="0080251F">
        <w:rPr>
          <w:rFonts w:ascii="Times New Roman" w:hAnsi="Times New Roman" w:cs="Times New Roman"/>
          <w:sz w:val="22"/>
          <w:szCs w:val="22"/>
        </w:rPr>
        <w:t xml:space="preserve">, variations in </w:t>
      </w:r>
      <w:r w:rsidR="00E97152" w:rsidRPr="0080251F">
        <w:rPr>
          <w:rFonts w:ascii="Times New Roman" w:hAnsi="Times New Roman" w:cs="Times New Roman"/>
          <w:sz w:val="22"/>
          <w:szCs w:val="22"/>
        </w:rPr>
        <w:t xml:space="preserve">factors such as BMD, bone geometry and body composition </w:t>
      </w:r>
      <w:r w:rsidR="006144E9" w:rsidRPr="0080251F">
        <w:rPr>
          <w:rFonts w:ascii="Times New Roman" w:hAnsi="Times New Roman" w:cs="Times New Roman"/>
          <w:sz w:val="22"/>
          <w:szCs w:val="22"/>
        </w:rPr>
        <w:t>may all contribute. Whatever the underlying</w:t>
      </w:r>
      <w:r w:rsidR="00741F74" w:rsidRPr="0080251F">
        <w:rPr>
          <w:rFonts w:ascii="Times New Roman" w:hAnsi="Times New Roman" w:cs="Times New Roman"/>
          <w:sz w:val="22"/>
          <w:szCs w:val="22"/>
        </w:rPr>
        <w:t xml:space="preserve"> cause, we agree with Harper et al that our findings inform the allocation of healthcare resources to those at greatest need.</w:t>
      </w:r>
    </w:p>
    <w:p w14:paraId="409053FE" w14:textId="77777777" w:rsidR="0015306B" w:rsidRPr="0080251F" w:rsidRDefault="0015306B" w:rsidP="0080251F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B7350A8" w14:textId="41219F24" w:rsidR="00846445" w:rsidRPr="0080251F" w:rsidRDefault="00E52286" w:rsidP="0080251F">
      <w:pPr>
        <w:spacing w:after="120" w:line="360" w:lineRule="auto"/>
        <w:jc w:val="both"/>
        <w:rPr>
          <w:rFonts w:ascii="Times New Roman" w:hAnsi="Times New Roman" w:cs="Times New Roman"/>
          <w:sz w:val="22"/>
        </w:rPr>
      </w:pPr>
      <w:r w:rsidRPr="0080251F">
        <w:rPr>
          <w:rFonts w:ascii="Times New Roman" w:hAnsi="Times New Roman" w:cs="Times New Roman"/>
          <w:b/>
          <w:sz w:val="22"/>
        </w:rPr>
        <w:t>Table 1:</w:t>
      </w:r>
      <w:r w:rsidRPr="0080251F">
        <w:rPr>
          <w:rFonts w:ascii="Times New Roman" w:hAnsi="Times New Roman" w:cs="Times New Roman"/>
          <w:sz w:val="22"/>
        </w:rPr>
        <w:t xml:space="preserve"> Incidence of fragility fracture by ethnicity [1], and Incidence Rate Ratios relative to white ethnicity (adjusted for age and calendar year) in UK men </w:t>
      </w:r>
      <w:r w:rsidR="00607C22" w:rsidRPr="0080251F">
        <w:rPr>
          <w:rFonts w:ascii="Times New Roman" w:hAnsi="Times New Roman" w:cs="Times New Roman"/>
          <w:sz w:val="22"/>
        </w:rPr>
        <w:t>and women aged 50 years or over, 1988 to 2012.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4F2C5E" w:rsidRPr="00557657" w14:paraId="58474DB6" w14:textId="77777777" w:rsidTr="00102CB4">
        <w:tc>
          <w:tcPr>
            <w:tcW w:w="8516" w:type="dxa"/>
            <w:gridSpan w:val="4"/>
            <w:tcBorders>
              <w:bottom w:val="nil"/>
            </w:tcBorders>
          </w:tcPr>
          <w:p w14:paraId="2B8CEC05" w14:textId="7BA0AE0D" w:rsidR="004F2C5E" w:rsidRPr="00557657" w:rsidRDefault="004F2C5E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Women</w:t>
            </w:r>
          </w:p>
        </w:tc>
      </w:tr>
      <w:tr w:rsidR="00322B83" w:rsidRPr="00557657" w14:paraId="6025ED74" w14:textId="77777777" w:rsidTr="004F2C5E">
        <w:tc>
          <w:tcPr>
            <w:tcW w:w="2129" w:type="dxa"/>
            <w:tcBorders>
              <w:top w:val="nil"/>
              <w:bottom w:val="single" w:sz="2" w:space="0" w:color="auto"/>
            </w:tcBorders>
          </w:tcPr>
          <w:p w14:paraId="427D2D69" w14:textId="77777777" w:rsidR="00322B83" w:rsidRPr="00557657" w:rsidRDefault="00322B83" w:rsidP="00102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b/>
                <w:sz w:val="20"/>
                <w:szCs w:val="20"/>
              </w:rPr>
              <w:t>Ethnicity</w:t>
            </w:r>
          </w:p>
        </w:tc>
        <w:tc>
          <w:tcPr>
            <w:tcW w:w="2129" w:type="dxa"/>
            <w:tcBorders>
              <w:top w:val="nil"/>
              <w:bottom w:val="single" w:sz="2" w:space="0" w:color="auto"/>
            </w:tcBorders>
          </w:tcPr>
          <w:p w14:paraId="5743FD5E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b/>
                <w:sz w:val="20"/>
                <w:szCs w:val="20"/>
              </w:rPr>
              <w:t>Number fractures</w:t>
            </w:r>
          </w:p>
        </w:tc>
        <w:tc>
          <w:tcPr>
            <w:tcW w:w="2129" w:type="dxa"/>
            <w:tcBorders>
              <w:top w:val="nil"/>
              <w:bottom w:val="single" w:sz="2" w:space="0" w:color="auto"/>
            </w:tcBorders>
          </w:tcPr>
          <w:p w14:paraId="665BF263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b/>
                <w:sz w:val="20"/>
                <w:szCs w:val="20"/>
              </w:rPr>
              <w:t>Rate (/10,000py)</w:t>
            </w:r>
          </w:p>
        </w:tc>
        <w:tc>
          <w:tcPr>
            <w:tcW w:w="2129" w:type="dxa"/>
            <w:tcBorders>
              <w:top w:val="nil"/>
              <w:bottom w:val="single" w:sz="2" w:space="0" w:color="auto"/>
            </w:tcBorders>
          </w:tcPr>
          <w:p w14:paraId="706EA7BD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b/>
                <w:sz w:val="20"/>
                <w:szCs w:val="20"/>
              </w:rPr>
              <w:t>IRR*</w:t>
            </w:r>
          </w:p>
        </w:tc>
      </w:tr>
      <w:tr w:rsidR="00322B83" w:rsidRPr="00557657" w14:paraId="00B10A19" w14:textId="77777777" w:rsidTr="004F2C5E">
        <w:tc>
          <w:tcPr>
            <w:tcW w:w="2129" w:type="dxa"/>
            <w:tcBorders>
              <w:top w:val="single" w:sz="2" w:space="0" w:color="auto"/>
            </w:tcBorders>
          </w:tcPr>
          <w:p w14:paraId="2A135548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2129" w:type="dxa"/>
            <w:tcBorders>
              <w:top w:val="single" w:sz="2" w:space="0" w:color="auto"/>
            </w:tcBorders>
          </w:tcPr>
          <w:p w14:paraId="42BB7257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71081</w:t>
            </w:r>
          </w:p>
        </w:tc>
        <w:tc>
          <w:tcPr>
            <w:tcW w:w="2129" w:type="dxa"/>
            <w:tcBorders>
              <w:top w:val="single" w:sz="2" w:space="0" w:color="auto"/>
            </w:tcBorders>
          </w:tcPr>
          <w:p w14:paraId="2C1E3C83" w14:textId="7E59610B" w:rsidR="00322B83" w:rsidRPr="00557657" w:rsidRDefault="00801D75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104.03</w:t>
            </w:r>
          </w:p>
        </w:tc>
        <w:tc>
          <w:tcPr>
            <w:tcW w:w="2129" w:type="dxa"/>
            <w:tcBorders>
              <w:top w:val="single" w:sz="2" w:space="0" w:color="auto"/>
            </w:tcBorders>
          </w:tcPr>
          <w:p w14:paraId="1F043D51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322B83" w:rsidRPr="00557657" w14:paraId="4F7B6E0D" w14:textId="77777777" w:rsidTr="004F2C5E">
        <w:tc>
          <w:tcPr>
            <w:tcW w:w="2129" w:type="dxa"/>
          </w:tcPr>
          <w:p w14:paraId="3152E1F0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2129" w:type="dxa"/>
          </w:tcPr>
          <w:p w14:paraId="53B27509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129" w:type="dxa"/>
          </w:tcPr>
          <w:p w14:paraId="0040CF59" w14:textId="260322E8" w:rsidR="00322B83" w:rsidRPr="00557657" w:rsidRDefault="00801D75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70.98</w:t>
            </w:r>
          </w:p>
        </w:tc>
        <w:tc>
          <w:tcPr>
            <w:tcW w:w="2129" w:type="dxa"/>
          </w:tcPr>
          <w:p w14:paraId="515F48DF" w14:textId="5B3FE1F8" w:rsidR="00322B83" w:rsidRPr="00557657" w:rsidRDefault="00322B83" w:rsidP="00276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  (0.74</w:t>
            </w:r>
            <w:r w:rsid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0.89)</w:t>
            </w:r>
          </w:p>
        </w:tc>
      </w:tr>
      <w:tr w:rsidR="00322B83" w:rsidRPr="00557657" w14:paraId="6BC1882C" w14:textId="77777777" w:rsidTr="004F2C5E">
        <w:tc>
          <w:tcPr>
            <w:tcW w:w="2129" w:type="dxa"/>
          </w:tcPr>
          <w:p w14:paraId="4D39C52F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Mixed</w:t>
            </w:r>
          </w:p>
        </w:tc>
        <w:tc>
          <w:tcPr>
            <w:tcW w:w="2129" w:type="dxa"/>
          </w:tcPr>
          <w:p w14:paraId="3C4E7B75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29" w:type="dxa"/>
          </w:tcPr>
          <w:p w14:paraId="29E31A1C" w14:textId="12EBB43D" w:rsidR="00322B83" w:rsidRPr="00557657" w:rsidRDefault="00801D75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50.12</w:t>
            </w:r>
          </w:p>
        </w:tc>
        <w:tc>
          <w:tcPr>
            <w:tcW w:w="2129" w:type="dxa"/>
          </w:tcPr>
          <w:p w14:paraId="086D7F83" w14:textId="3CCCC55B" w:rsidR="00322B83" w:rsidRPr="00557657" w:rsidRDefault="00322B83" w:rsidP="00276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  (0.51</w:t>
            </w:r>
            <w:r w:rsid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0.79)</w:t>
            </w:r>
          </w:p>
        </w:tc>
      </w:tr>
      <w:tr w:rsidR="00322B83" w:rsidRPr="00557657" w14:paraId="5FA783B8" w14:textId="77777777" w:rsidTr="004F2C5E">
        <w:tc>
          <w:tcPr>
            <w:tcW w:w="2129" w:type="dxa"/>
          </w:tcPr>
          <w:p w14:paraId="7A91FA0A" w14:textId="76154029" w:rsidR="00322B83" w:rsidRPr="00557657" w:rsidRDefault="00276B80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South </w:t>
            </w:r>
            <w:r w:rsidR="00322B83" w:rsidRPr="00557657"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</w:tc>
        <w:tc>
          <w:tcPr>
            <w:tcW w:w="2129" w:type="dxa"/>
          </w:tcPr>
          <w:p w14:paraId="4D324DCA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2129" w:type="dxa"/>
          </w:tcPr>
          <w:p w14:paraId="1DDF177A" w14:textId="5D3473E4" w:rsidR="00322B83" w:rsidRPr="00557657" w:rsidRDefault="00801D75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44.46</w:t>
            </w:r>
          </w:p>
        </w:tc>
        <w:tc>
          <w:tcPr>
            <w:tcW w:w="2129" w:type="dxa"/>
          </w:tcPr>
          <w:p w14:paraId="129455AD" w14:textId="16BBFADE" w:rsidR="00322B83" w:rsidRPr="00557657" w:rsidRDefault="00322B83" w:rsidP="00276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  (0.52</w:t>
            </w:r>
            <w:r w:rsid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0.62)</w:t>
            </w:r>
          </w:p>
        </w:tc>
      </w:tr>
      <w:tr w:rsidR="00322B83" w:rsidRPr="00557657" w14:paraId="7499FFEC" w14:textId="77777777" w:rsidTr="004F2C5E">
        <w:tc>
          <w:tcPr>
            <w:tcW w:w="2129" w:type="dxa"/>
          </w:tcPr>
          <w:p w14:paraId="38751AB0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  <w:tc>
          <w:tcPr>
            <w:tcW w:w="2129" w:type="dxa"/>
          </w:tcPr>
          <w:p w14:paraId="7F8D9A8A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129" w:type="dxa"/>
          </w:tcPr>
          <w:p w14:paraId="766EA0B5" w14:textId="2C329669" w:rsidR="00322B83" w:rsidRPr="00557657" w:rsidRDefault="00801D75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22.26</w:t>
            </w:r>
          </w:p>
        </w:tc>
        <w:tc>
          <w:tcPr>
            <w:tcW w:w="2129" w:type="dxa"/>
          </w:tcPr>
          <w:p w14:paraId="0D183445" w14:textId="4493E313" w:rsidR="00322B83" w:rsidRPr="00557657" w:rsidRDefault="00322B83" w:rsidP="00276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  (0.24</w:t>
            </w:r>
            <w:r w:rsid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0.33)</w:t>
            </w:r>
          </w:p>
        </w:tc>
      </w:tr>
      <w:tr w:rsidR="00322B83" w:rsidRPr="00557657" w14:paraId="6BCB2276" w14:textId="77777777" w:rsidTr="004F2C5E">
        <w:tc>
          <w:tcPr>
            <w:tcW w:w="2129" w:type="dxa"/>
          </w:tcPr>
          <w:p w14:paraId="52FBFE2A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28526DCC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D4AEB18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E29FC91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5E" w:rsidRPr="00557657" w14:paraId="3AAE149D" w14:textId="77777777" w:rsidTr="00102CB4">
        <w:tc>
          <w:tcPr>
            <w:tcW w:w="8516" w:type="dxa"/>
            <w:gridSpan w:val="4"/>
            <w:tcBorders>
              <w:bottom w:val="nil"/>
            </w:tcBorders>
          </w:tcPr>
          <w:p w14:paraId="3A17B601" w14:textId="4D57676B" w:rsidR="004F2C5E" w:rsidRPr="00557657" w:rsidRDefault="004F2C5E" w:rsidP="004F2C5E">
            <w:pPr>
              <w:tabs>
                <w:tab w:val="left" w:pos="9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Men</w:t>
            </w:r>
          </w:p>
        </w:tc>
      </w:tr>
      <w:tr w:rsidR="00322B83" w:rsidRPr="00557657" w14:paraId="16F2A720" w14:textId="77777777" w:rsidTr="004F2C5E">
        <w:tc>
          <w:tcPr>
            <w:tcW w:w="2129" w:type="dxa"/>
            <w:tcBorders>
              <w:top w:val="nil"/>
              <w:bottom w:val="single" w:sz="2" w:space="0" w:color="auto"/>
            </w:tcBorders>
          </w:tcPr>
          <w:p w14:paraId="4359931E" w14:textId="77777777" w:rsidR="00322B83" w:rsidRPr="00557657" w:rsidRDefault="00322B83" w:rsidP="00102C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b/>
                <w:sz w:val="20"/>
                <w:szCs w:val="20"/>
              </w:rPr>
              <w:t>Ethnicity</w:t>
            </w:r>
          </w:p>
        </w:tc>
        <w:tc>
          <w:tcPr>
            <w:tcW w:w="2129" w:type="dxa"/>
            <w:tcBorders>
              <w:top w:val="nil"/>
              <w:bottom w:val="single" w:sz="2" w:space="0" w:color="auto"/>
            </w:tcBorders>
          </w:tcPr>
          <w:p w14:paraId="5E6DB5B2" w14:textId="7F2FD218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b/>
                <w:sz w:val="20"/>
                <w:szCs w:val="20"/>
              </w:rPr>
              <w:t>Number fractures</w:t>
            </w:r>
          </w:p>
        </w:tc>
        <w:tc>
          <w:tcPr>
            <w:tcW w:w="2129" w:type="dxa"/>
            <w:tcBorders>
              <w:top w:val="nil"/>
              <w:bottom w:val="single" w:sz="2" w:space="0" w:color="auto"/>
            </w:tcBorders>
          </w:tcPr>
          <w:p w14:paraId="31E058AA" w14:textId="689BE59E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b/>
                <w:sz w:val="20"/>
                <w:szCs w:val="20"/>
              </w:rPr>
              <w:t>Rate (/10,000py)</w:t>
            </w:r>
          </w:p>
        </w:tc>
        <w:tc>
          <w:tcPr>
            <w:tcW w:w="2129" w:type="dxa"/>
            <w:tcBorders>
              <w:top w:val="nil"/>
              <w:bottom w:val="single" w:sz="2" w:space="0" w:color="auto"/>
            </w:tcBorders>
          </w:tcPr>
          <w:p w14:paraId="06B633EC" w14:textId="3FC4C4D3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b/>
                <w:sz w:val="20"/>
                <w:szCs w:val="20"/>
              </w:rPr>
              <w:t>IRR*</w:t>
            </w:r>
          </w:p>
        </w:tc>
      </w:tr>
      <w:tr w:rsidR="00322B83" w:rsidRPr="00557657" w14:paraId="35EC8961" w14:textId="77777777" w:rsidTr="004F2C5E">
        <w:tc>
          <w:tcPr>
            <w:tcW w:w="2129" w:type="dxa"/>
            <w:tcBorders>
              <w:top w:val="single" w:sz="2" w:space="0" w:color="auto"/>
            </w:tcBorders>
          </w:tcPr>
          <w:p w14:paraId="7602278D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2129" w:type="dxa"/>
            <w:tcBorders>
              <w:top w:val="single" w:sz="2" w:space="0" w:color="auto"/>
            </w:tcBorders>
          </w:tcPr>
          <w:p w14:paraId="4BB43D84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25285</w:t>
            </w:r>
          </w:p>
        </w:tc>
        <w:tc>
          <w:tcPr>
            <w:tcW w:w="2129" w:type="dxa"/>
            <w:tcBorders>
              <w:top w:val="single" w:sz="2" w:space="0" w:color="auto"/>
            </w:tcBorders>
          </w:tcPr>
          <w:p w14:paraId="5CA8BD01" w14:textId="7A44337C" w:rsidR="00322B83" w:rsidRPr="00557657" w:rsidRDefault="00801D75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41.74</w:t>
            </w:r>
          </w:p>
        </w:tc>
        <w:tc>
          <w:tcPr>
            <w:tcW w:w="2129" w:type="dxa"/>
            <w:tcBorders>
              <w:top w:val="single" w:sz="2" w:space="0" w:color="auto"/>
            </w:tcBorders>
          </w:tcPr>
          <w:p w14:paraId="5067B737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Ref</w:t>
            </w:r>
          </w:p>
        </w:tc>
      </w:tr>
      <w:tr w:rsidR="00322B83" w:rsidRPr="00557657" w14:paraId="51D94D2D" w14:textId="77777777" w:rsidTr="004F2C5E">
        <w:tc>
          <w:tcPr>
            <w:tcW w:w="2129" w:type="dxa"/>
          </w:tcPr>
          <w:p w14:paraId="321E4B2A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2129" w:type="dxa"/>
          </w:tcPr>
          <w:p w14:paraId="4F365436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129" w:type="dxa"/>
          </w:tcPr>
          <w:p w14:paraId="7249802B" w14:textId="75CA007D" w:rsidR="00322B83" w:rsidRPr="00557657" w:rsidRDefault="00801D75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28.88</w:t>
            </w:r>
          </w:p>
        </w:tc>
        <w:tc>
          <w:tcPr>
            <w:tcW w:w="2129" w:type="dxa"/>
          </w:tcPr>
          <w:p w14:paraId="08C6E8B0" w14:textId="298F9D97" w:rsidR="00322B83" w:rsidRPr="00557657" w:rsidRDefault="00322B83" w:rsidP="00276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  (0.66</w:t>
            </w:r>
            <w:r w:rsid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0.89)</w:t>
            </w:r>
          </w:p>
        </w:tc>
      </w:tr>
      <w:tr w:rsidR="00322B83" w:rsidRPr="00557657" w14:paraId="12E385A8" w14:textId="77777777" w:rsidTr="004F2C5E">
        <w:tc>
          <w:tcPr>
            <w:tcW w:w="2129" w:type="dxa"/>
          </w:tcPr>
          <w:p w14:paraId="18729BC1" w14:textId="15B25937" w:rsidR="00322B83" w:rsidRPr="00557657" w:rsidRDefault="00276B80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South </w:t>
            </w:r>
            <w:r w:rsidR="00322B83" w:rsidRPr="00557657"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</w:tc>
        <w:tc>
          <w:tcPr>
            <w:tcW w:w="2129" w:type="dxa"/>
          </w:tcPr>
          <w:p w14:paraId="7FCDFDDF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129" w:type="dxa"/>
          </w:tcPr>
          <w:p w14:paraId="1C914E26" w14:textId="487D4DFD" w:rsidR="00322B83" w:rsidRPr="00557657" w:rsidRDefault="00801D75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26.85</w:t>
            </w:r>
          </w:p>
        </w:tc>
        <w:tc>
          <w:tcPr>
            <w:tcW w:w="2129" w:type="dxa"/>
          </w:tcPr>
          <w:p w14:paraId="0D6FBE48" w14:textId="059D81E6" w:rsidR="00322B83" w:rsidRPr="00557657" w:rsidRDefault="00322B83" w:rsidP="00276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  (0.65</w:t>
            </w:r>
            <w:r w:rsid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0.82)</w:t>
            </w:r>
          </w:p>
        </w:tc>
      </w:tr>
      <w:tr w:rsidR="00322B83" w:rsidRPr="00557657" w14:paraId="2B8CD875" w14:textId="77777777" w:rsidTr="004F2C5E">
        <w:tc>
          <w:tcPr>
            <w:tcW w:w="2129" w:type="dxa"/>
          </w:tcPr>
          <w:p w14:paraId="3D8B4C08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Mixed</w:t>
            </w:r>
          </w:p>
        </w:tc>
        <w:tc>
          <w:tcPr>
            <w:tcW w:w="2129" w:type="dxa"/>
          </w:tcPr>
          <w:p w14:paraId="23F0AC1E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9" w:type="dxa"/>
          </w:tcPr>
          <w:p w14:paraId="6307D33D" w14:textId="66A6EDD3" w:rsidR="00322B83" w:rsidRPr="00557657" w:rsidRDefault="00801D75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17.37</w:t>
            </w:r>
          </w:p>
        </w:tc>
        <w:tc>
          <w:tcPr>
            <w:tcW w:w="2129" w:type="dxa"/>
          </w:tcPr>
          <w:p w14:paraId="3E3FAAEB" w14:textId="068D1872" w:rsidR="00322B83" w:rsidRPr="00557657" w:rsidRDefault="00322B83" w:rsidP="00276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  (0.32</w:t>
            </w:r>
            <w:r w:rsid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0.74)</w:t>
            </w:r>
          </w:p>
        </w:tc>
      </w:tr>
      <w:tr w:rsidR="00322B83" w:rsidRPr="00557657" w14:paraId="2A817173" w14:textId="77777777" w:rsidTr="004F2C5E">
        <w:tc>
          <w:tcPr>
            <w:tcW w:w="2129" w:type="dxa"/>
          </w:tcPr>
          <w:p w14:paraId="5558C73C" w14:textId="77777777" w:rsidR="00322B83" w:rsidRPr="00557657" w:rsidRDefault="00322B83" w:rsidP="00102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  <w:tc>
          <w:tcPr>
            <w:tcW w:w="2129" w:type="dxa"/>
          </w:tcPr>
          <w:p w14:paraId="49E0349E" w14:textId="77777777" w:rsidR="00322B83" w:rsidRPr="00557657" w:rsidRDefault="00322B83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29" w:type="dxa"/>
          </w:tcPr>
          <w:p w14:paraId="394F79D9" w14:textId="3D683D36" w:rsidR="00322B83" w:rsidRPr="00557657" w:rsidRDefault="00801D75" w:rsidP="004F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15.75</w:t>
            </w:r>
          </w:p>
        </w:tc>
        <w:tc>
          <w:tcPr>
            <w:tcW w:w="2129" w:type="dxa"/>
          </w:tcPr>
          <w:p w14:paraId="39025B9D" w14:textId="6DEF7041" w:rsidR="00322B83" w:rsidRPr="00557657" w:rsidRDefault="00322B83" w:rsidP="00276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  (0.34</w:t>
            </w:r>
            <w:r w:rsid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57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0.51)</w:t>
            </w:r>
          </w:p>
        </w:tc>
      </w:tr>
    </w:tbl>
    <w:p w14:paraId="432ED8D0" w14:textId="77777777" w:rsidR="00557657" w:rsidRPr="00557657" w:rsidRDefault="00557657" w:rsidP="00557657">
      <w:pPr>
        <w:rPr>
          <w:rFonts w:ascii="Times New Roman" w:hAnsi="Times New Roman" w:cs="Times New Roman"/>
        </w:rPr>
      </w:pPr>
      <w:r w:rsidRPr="00557657">
        <w:rPr>
          <w:rFonts w:ascii="Times New Roman" w:hAnsi="Times New Roman" w:cs="Times New Roman"/>
        </w:rPr>
        <w:t>*IRR=Incidence Rate Ratio from Poisson model, adjusting for age and calendar year.</w:t>
      </w:r>
    </w:p>
    <w:p w14:paraId="11EA25DC" w14:textId="77777777" w:rsidR="00846445" w:rsidRDefault="00846445">
      <w:pPr>
        <w:rPr>
          <w:rFonts w:ascii="Times New Roman" w:hAnsi="Times New Roman" w:cs="Times New Roman"/>
        </w:rPr>
      </w:pPr>
    </w:p>
    <w:p w14:paraId="1D53A302" w14:textId="77777777" w:rsidR="0080251F" w:rsidRDefault="008025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92B6BF1" w14:textId="326D11E1" w:rsidR="00F476CF" w:rsidRPr="0080251F" w:rsidRDefault="00F476CF" w:rsidP="0080251F">
      <w:pPr>
        <w:spacing w:after="12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0251F">
        <w:rPr>
          <w:rFonts w:ascii="Times New Roman" w:hAnsi="Times New Roman" w:cs="Times New Roman"/>
          <w:b/>
          <w:sz w:val="22"/>
          <w:szCs w:val="22"/>
        </w:rPr>
        <w:lastRenderedPageBreak/>
        <w:t>References</w:t>
      </w:r>
    </w:p>
    <w:p w14:paraId="51D8E1A1" w14:textId="77777777" w:rsidR="00F476CF" w:rsidRPr="0080251F" w:rsidRDefault="00F476CF" w:rsidP="0080251F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3D781B" w14:textId="77777777" w:rsidR="00F476CF" w:rsidRPr="0080251F" w:rsidRDefault="00F476CF" w:rsidP="0080251F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0251F">
        <w:rPr>
          <w:rFonts w:ascii="Times New Roman" w:hAnsi="Times New Roman" w:cs="Times New Roman"/>
          <w:sz w:val="22"/>
          <w:szCs w:val="22"/>
        </w:rPr>
        <w:t xml:space="preserve">[1] </w:t>
      </w:r>
      <w:r w:rsidRPr="0080251F">
        <w:rPr>
          <w:rFonts w:ascii="Times New Roman" w:hAnsi="Times New Roman" w:cs="Times New Roman"/>
          <w:sz w:val="22"/>
          <w:szCs w:val="22"/>
          <w:lang w:val="en-US"/>
        </w:rPr>
        <w:t xml:space="preserve">E.M. Curtis, R. van der </w:t>
      </w:r>
      <w:proofErr w:type="spellStart"/>
      <w:r w:rsidRPr="0080251F">
        <w:rPr>
          <w:rFonts w:ascii="Times New Roman" w:hAnsi="Times New Roman" w:cs="Times New Roman"/>
          <w:sz w:val="22"/>
          <w:szCs w:val="22"/>
          <w:lang w:val="en-US"/>
        </w:rPr>
        <w:t>Velde</w:t>
      </w:r>
      <w:proofErr w:type="spellEnd"/>
      <w:r w:rsidRPr="0080251F">
        <w:rPr>
          <w:rFonts w:ascii="Times New Roman" w:hAnsi="Times New Roman" w:cs="Times New Roman"/>
          <w:sz w:val="22"/>
          <w:szCs w:val="22"/>
          <w:lang w:val="en-US"/>
        </w:rPr>
        <w:t xml:space="preserve">, R.J. Moon, J.P. van den Bergh, P. </w:t>
      </w:r>
      <w:proofErr w:type="spellStart"/>
      <w:r w:rsidRPr="0080251F">
        <w:rPr>
          <w:rFonts w:ascii="Times New Roman" w:hAnsi="Times New Roman" w:cs="Times New Roman"/>
          <w:sz w:val="22"/>
          <w:szCs w:val="22"/>
          <w:lang w:val="en-US"/>
        </w:rPr>
        <w:t>Geusens</w:t>
      </w:r>
      <w:proofErr w:type="spellEnd"/>
      <w:r w:rsidRPr="0080251F">
        <w:rPr>
          <w:rFonts w:ascii="Times New Roman" w:hAnsi="Times New Roman" w:cs="Times New Roman"/>
          <w:sz w:val="22"/>
          <w:szCs w:val="22"/>
          <w:lang w:val="en-US"/>
        </w:rPr>
        <w:t xml:space="preserve">, F. de Vries, T.P. van Staa, C. Cooper, N.C. Harvey. Epidemiology of fractures in the United Kingdom 1988-2012: Variation with age, sex, geography, ethnicity and socioeconomic status. Bone 87 (2016) 19-26 </w:t>
      </w:r>
    </w:p>
    <w:p w14:paraId="353AC0FD" w14:textId="2C11F213" w:rsidR="00F476CF" w:rsidRPr="0080251F" w:rsidRDefault="00F476CF" w:rsidP="0080251F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225FA0" w14:textId="360288C8" w:rsidR="00F476CF" w:rsidRPr="0080251F" w:rsidRDefault="00F476CF" w:rsidP="0080251F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0251F">
        <w:rPr>
          <w:rFonts w:ascii="Times New Roman" w:hAnsi="Times New Roman" w:cs="Times New Roman"/>
          <w:sz w:val="22"/>
          <w:szCs w:val="22"/>
        </w:rPr>
        <w:t xml:space="preserve">[2] </w:t>
      </w:r>
      <w:r w:rsidRPr="0080251F">
        <w:rPr>
          <w:rFonts w:ascii="Times New Roman" w:hAnsi="Times New Roman" w:cs="Times New Roman"/>
          <w:sz w:val="22"/>
          <w:szCs w:val="22"/>
          <w:lang w:val="en-US"/>
        </w:rPr>
        <w:t xml:space="preserve">D. Harper, K. Brooke-Wavell, B. </w:t>
      </w:r>
      <w:proofErr w:type="spellStart"/>
      <w:r w:rsidRPr="0080251F">
        <w:rPr>
          <w:rFonts w:ascii="Times New Roman" w:hAnsi="Times New Roman" w:cs="Times New Roman"/>
          <w:sz w:val="22"/>
          <w:szCs w:val="22"/>
          <w:lang w:val="en-US"/>
        </w:rPr>
        <w:t>Bogin</w:t>
      </w:r>
      <w:proofErr w:type="spellEnd"/>
      <w:r w:rsidRPr="0080251F">
        <w:rPr>
          <w:rFonts w:ascii="Times New Roman" w:hAnsi="Times New Roman" w:cs="Times New Roman"/>
          <w:sz w:val="22"/>
          <w:szCs w:val="22"/>
          <w:lang w:val="en-US"/>
        </w:rPr>
        <w:t xml:space="preserve">. On epidemiology of fractures and variation with age and ethnicity </w:t>
      </w:r>
    </w:p>
    <w:p w14:paraId="686F138C" w14:textId="1447794C" w:rsidR="00F476CF" w:rsidRPr="0080251F" w:rsidRDefault="00F476CF" w:rsidP="0080251F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F476CF" w:rsidRPr="0080251F" w:rsidSect="00102CB4">
      <w:footerReference w:type="default" r:id="rId8"/>
      <w:pgSz w:w="11900" w:h="1682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4C31B" w14:textId="77777777" w:rsidR="000C47F1" w:rsidRDefault="000C47F1" w:rsidP="000C47F1">
      <w:r>
        <w:separator/>
      </w:r>
    </w:p>
  </w:endnote>
  <w:endnote w:type="continuationSeparator" w:id="0">
    <w:p w14:paraId="4D80BCDF" w14:textId="77777777" w:rsidR="000C47F1" w:rsidRDefault="000C47F1" w:rsidP="000C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CDD73" w14:textId="4EFBDFFF" w:rsidR="000C47F1" w:rsidRDefault="000C47F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642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AFB87" w14:textId="77777777" w:rsidR="000C47F1" w:rsidRDefault="000C47F1" w:rsidP="000C47F1">
      <w:r>
        <w:separator/>
      </w:r>
    </w:p>
  </w:footnote>
  <w:footnote w:type="continuationSeparator" w:id="0">
    <w:p w14:paraId="2825F354" w14:textId="77777777" w:rsidR="000C47F1" w:rsidRDefault="000C47F1" w:rsidP="000C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E609F"/>
    <w:multiLevelType w:val="hybridMultilevel"/>
    <w:tmpl w:val="0E9EFE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3"/>
    <w:rsid w:val="00023D5A"/>
    <w:rsid w:val="000C47F1"/>
    <w:rsid w:val="000F6422"/>
    <w:rsid w:val="00102CB4"/>
    <w:rsid w:val="0015306B"/>
    <w:rsid w:val="00230BD7"/>
    <w:rsid w:val="00276B80"/>
    <w:rsid w:val="00294B6C"/>
    <w:rsid w:val="00322B83"/>
    <w:rsid w:val="003E3450"/>
    <w:rsid w:val="004F2C5E"/>
    <w:rsid w:val="00557657"/>
    <w:rsid w:val="00607C22"/>
    <w:rsid w:val="006144E9"/>
    <w:rsid w:val="006406B3"/>
    <w:rsid w:val="0073714D"/>
    <w:rsid w:val="00741F74"/>
    <w:rsid w:val="00801D75"/>
    <w:rsid w:val="0080251F"/>
    <w:rsid w:val="00846445"/>
    <w:rsid w:val="00911073"/>
    <w:rsid w:val="00A45D3D"/>
    <w:rsid w:val="00AC4D2D"/>
    <w:rsid w:val="00C55C0F"/>
    <w:rsid w:val="00E52286"/>
    <w:rsid w:val="00E97152"/>
    <w:rsid w:val="00F476CF"/>
    <w:rsid w:val="00F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C35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47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7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7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7F1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C47F1"/>
  </w:style>
  <w:style w:type="paragraph" w:styleId="NormalWeb">
    <w:name w:val="Normal (Web)"/>
    <w:basedOn w:val="Normal"/>
    <w:uiPriority w:val="99"/>
    <w:unhideWhenUsed/>
    <w:rsid w:val="00FC44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C44FB"/>
    <w:pPr>
      <w:spacing w:after="200" w:line="276" w:lineRule="auto"/>
      <w:ind w:left="720"/>
      <w:contextualSpacing/>
    </w:pPr>
    <w:rPr>
      <w:sz w:val="22"/>
      <w:szCs w:val="22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C44FB"/>
    <w:rPr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47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7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7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7F1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C47F1"/>
  </w:style>
  <w:style w:type="paragraph" w:styleId="NormalWeb">
    <w:name w:val="Normal (Web)"/>
    <w:basedOn w:val="Normal"/>
    <w:uiPriority w:val="99"/>
    <w:unhideWhenUsed/>
    <w:rsid w:val="00FC44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C44FB"/>
    <w:pPr>
      <w:spacing w:after="200" w:line="276" w:lineRule="auto"/>
      <w:ind w:left="720"/>
      <w:contextualSpacing/>
    </w:pPr>
    <w:rPr>
      <w:sz w:val="22"/>
      <w:szCs w:val="22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C44FB"/>
    <w:rPr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Harvey</dc:creator>
  <cp:lastModifiedBy>Karen Drake</cp:lastModifiedBy>
  <cp:revision>2</cp:revision>
  <cp:lastPrinted>2016-07-09T09:46:00Z</cp:lastPrinted>
  <dcterms:created xsi:type="dcterms:W3CDTF">2016-07-25T10:21:00Z</dcterms:created>
  <dcterms:modified xsi:type="dcterms:W3CDTF">2016-07-25T10:21:00Z</dcterms:modified>
</cp:coreProperties>
</file>