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A4" w:rsidRDefault="00694551" w:rsidP="0069455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COMMENTARY:</w:t>
      </w:r>
    </w:p>
    <w:p w:rsidR="00694551" w:rsidRDefault="00FA0E20" w:rsidP="0069455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PREDICTION OF PROGNOSIS FOR PEOPLE OFF SICK WITH UPPER EXTREMITY MUSCULOSKELETAL DISORDERS</w:t>
      </w:r>
    </w:p>
    <w:p w:rsidR="00C168A6" w:rsidRDefault="00C168A6" w:rsidP="0069455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94551" w:rsidRPr="009A005E" w:rsidRDefault="00694551" w:rsidP="00694551">
      <w:pPr>
        <w:spacing w:line="48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9A005E">
        <w:rPr>
          <w:rFonts w:ascii="Arial" w:hAnsi="Arial" w:cs="Arial"/>
          <w:b/>
          <w:sz w:val="24"/>
          <w:szCs w:val="24"/>
        </w:rPr>
        <w:t>Walker-Bone K</w:t>
      </w:r>
      <w:r w:rsidRPr="009A005E">
        <w:rPr>
          <w:rFonts w:ascii="Arial" w:hAnsi="Arial" w:cs="Arial"/>
          <w:b/>
          <w:sz w:val="24"/>
          <w:szCs w:val="24"/>
          <w:vertAlign w:val="superscript"/>
        </w:rPr>
        <w:t>1</w:t>
      </w:r>
      <w:proofErr w:type="gramStart"/>
      <w:r w:rsidRPr="009A005E">
        <w:rPr>
          <w:rFonts w:ascii="Arial" w:hAnsi="Arial" w:cs="Arial"/>
          <w:b/>
          <w:sz w:val="24"/>
          <w:szCs w:val="24"/>
          <w:vertAlign w:val="superscript"/>
        </w:rPr>
        <w:t>,2</w:t>
      </w:r>
      <w:proofErr w:type="gramEnd"/>
      <w:r w:rsidRPr="009A005E">
        <w:rPr>
          <w:rFonts w:ascii="Arial" w:hAnsi="Arial" w:cs="Arial"/>
          <w:b/>
          <w:sz w:val="24"/>
          <w:szCs w:val="24"/>
        </w:rPr>
        <w:t>, Linaker CH</w:t>
      </w:r>
      <w:r w:rsidR="00E431EF" w:rsidRPr="009A005E">
        <w:rPr>
          <w:rFonts w:ascii="Arial" w:hAnsi="Arial" w:cs="Arial"/>
          <w:b/>
          <w:sz w:val="24"/>
          <w:szCs w:val="24"/>
          <w:vertAlign w:val="superscript"/>
        </w:rPr>
        <w:t>1,2</w:t>
      </w:r>
    </w:p>
    <w:p w:rsidR="00694551" w:rsidRPr="00694551" w:rsidRDefault="00694551" w:rsidP="006945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94551">
        <w:rPr>
          <w:rFonts w:ascii="Arial" w:hAnsi="Arial" w:cs="Arial"/>
          <w:sz w:val="24"/>
          <w:szCs w:val="24"/>
          <w:vertAlign w:val="superscript"/>
        </w:rPr>
        <w:t>1</w:t>
      </w:r>
      <w:r w:rsidRPr="00694551">
        <w:rPr>
          <w:rFonts w:ascii="Arial" w:hAnsi="Arial" w:cs="Arial"/>
          <w:sz w:val="24"/>
          <w:szCs w:val="24"/>
        </w:rPr>
        <w:t>MRC Lifecourse Epidemiology Unit, University of Southampton, Southampton, UK</w:t>
      </w:r>
    </w:p>
    <w:p w:rsidR="00694551" w:rsidRPr="00694551" w:rsidRDefault="00694551" w:rsidP="006945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94551">
        <w:rPr>
          <w:rFonts w:ascii="Arial" w:hAnsi="Arial" w:cs="Arial"/>
          <w:sz w:val="24"/>
          <w:szCs w:val="24"/>
          <w:vertAlign w:val="superscript"/>
        </w:rPr>
        <w:t>2</w:t>
      </w:r>
      <w:r w:rsidRPr="00694551">
        <w:rPr>
          <w:rFonts w:ascii="Arial" w:hAnsi="Arial" w:cs="Arial"/>
          <w:sz w:val="24"/>
          <w:szCs w:val="24"/>
        </w:rPr>
        <w:t>Arthritis Research UK/MRC Centre for Musculoskeletal Health and Work, University of Southampton, Southampton, UK</w:t>
      </w:r>
    </w:p>
    <w:p w:rsidR="00694551" w:rsidRDefault="00694551" w:rsidP="0069455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94551" w:rsidRDefault="007A4B5F" w:rsidP="007A4B5F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Word count = 789</w:t>
      </w:r>
    </w:p>
    <w:p w:rsidR="00694551" w:rsidRDefault="00694551" w:rsidP="00694551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E431EF" w:rsidRDefault="00E431EF" w:rsidP="00E431EF">
      <w:pPr>
        <w:spacing w:after="0" w:line="480" w:lineRule="auto"/>
        <w:rPr>
          <w:rFonts w:ascii="Arial" w:hAnsi="Arial" w:cs="Arial"/>
          <w:b/>
          <w:i/>
          <w:sz w:val="24"/>
          <w:szCs w:val="24"/>
        </w:rPr>
      </w:pPr>
    </w:p>
    <w:p w:rsidR="00E431EF" w:rsidRDefault="00E431EF" w:rsidP="00E431EF">
      <w:pPr>
        <w:spacing w:after="0" w:line="480" w:lineRule="auto"/>
        <w:rPr>
          <w:rFonts w:ascii="Arial" w:hAnsi="Arial" w:cs="Arial"/>
          <w:b/>
          <w:i/>
          <w:sz w:val="24"/>
          <w:szCs w:val="24"/>
        </w:rPr>
      </w:pPr>
    </w:p>
    <w:p w:rsidR="00E431EF" w:rsidRDefault="00E431EF" w:rsidP="00E431EF">
      <w:pPr>
        <w:spacing w:after="0" w:line="480" w:lineRule="auto"/>
        <w:rPr>
          <w:rFonts w:ascii="Arial" w:hAnsi="Arial" w:cs="Arial"/>
          <w:b/>
          <w:i/>
          <w:sz w:val="24"/>
          <w:szCs w:val="24"/>
        </w:rPr>
      </w:pPr>
    </w:p>
    <w:p w:rsidR="00E431EF" w:rsidRDefault="00E431EF" w:rsidP="00E431EF">
      <w:pPr>
        <w:spacing w:after="0" w:line="480" w:lineRule="auto"/>
        <w:rPr>
          <w:rFonts w:ascii="Arial" w:hAnsi="Arial" w:cs="Arial"/>
          <w:b/>
          <w:i/>
          <w:sz w:val="24"/>
          <w:szCs w:val="24"/>
        </w:rPr>
      </w:pPr>
    </w:p>
    <w:p w:rsidR="00E431EF" w:rsidRPr="00E431EF" w:rsidRDefault="00E431EF" w:rsidP="00E431EF">
      <w:pPr>
        <w:spacing w:after="0" w:line="480" w:lineRule="auto"/>
        <w:rPr>
          <w:rFonts w:ascii="Arial" w:hAnsi="Arial" w:cs="Arial"/>
          <w:b/>
          <w:i/>
          <w:sz w:val="24"/>
          <w:szCs w:val="24"/>
        </w:rPr>
      </w:pPr>
      <w:r w:rsidRPr="00E431EF">
        <w:rPr>
          <w:rFonts w:ascii="Arial" w:hAnsi="Arial" w:cs="Arial"/>
          <w:b/>
          <w:i/>
          <w:sz w:val="24"/>
          <w:szCs w:val="24"/>
        </w:rPr>
        <w:t>Name and address for correspondence:</w:t>
      </w:r>
    </w:p>
    <w:p w:rsidR="00E431EF" w:rsidRPr="00694551" w:rsidRDefault="00E431EF" w:rsidP="00E431E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694551">
        <w:rPr>
          <w:rFonts w:ascii="Arial" w:hAnsi="Arial" w:cs="Arial"/>
          <w:sz w:val="24"/>
          <w:szCs w:val="24"/>
        </w:rPr>
        <w:t>Professor Karen Walker-Bone</w:t>
      </w:r>
    </w:p>
    <w:p w:rsidR="00E431EF" w:rsidRPr="00694551" w:rsidRDefault="00E431EF" w:rsidP="00E431E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694551">
        <w:rPr>
          <w:rFonts w:ascii="Arial" w:hAnsi="Arial" w:cs="Arial"/>
          <w:sz w:val="24"/>
          <w:szCs w:val="24"/>
        </w:rPr>
        <w:t>Professor of Occupational Rheumatology</w:t>
      </w:r>
    </w:p>
    <w:p w:rsidR="00E431EF" w:rsidRPr="00694551" w:rsidRDefault="00E431EF" w:rsidP="00E431E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694551">
        <w:rPr>
          <w:rFonts w:ascii="Arial" w:hAnsi="Arial" w:cs="Arial"/>
          <w:sz w:val="24"/>
          <w:szCs w:val="24"/>
        </w:rPr>
        <w:t>Director, Arthritis Research-UK /MRC Centre for Musculoskeletal Health and Work</w:t>
      </w:r>
    </w:p>
    <w:p w:rsidR="00E431EF" w:rsidRPr="00E431EF" w:rsidRDefault="00E431EF" w:rsidP="00E431EF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 w:rsidRPr="00E431EF">
        <w:rPr>
          <w:rFonts w:ascii="Arial" w:hAnsi="Arial" w:cs="Arial"/>
          <w:sz w:val="24"/>
          <w:szCs w:val="24"/>
        </w:rPr>
        <w:t xml:space="preserve">MRC Lifecourse Epidemiology Unit, Southampton General Hospital, </w:t>
      </w:r>
      <w:proofErr w:type="spellStart"/>
      <w:r w:rsidRPr="00E431EF">
        <w:rPr>
          <w:rFonts w:ascii="Arial" w:hAnsi="Arial" w:cs="Arial"/>
          <w:sz w:val="24"/>
          <w:szCs w:val="24"/>
        </w:rPr>
        <w:t>Tremona</w:t>
      </w:r>
      <w:proofErr w:type="spellEnd"/>
      <w:r w:rsidRPr="00E431EF">
        <w:rPr>
          <w:rFonts w:ascii="Arial" w:hAnsi="Arial" w:cs="Arial"/>
          <w:sz w:val="24"/>
          <w:szCs w:val="24"/>
        </w:rPr>
        <w:t xml:space="preserve"> Road, Southampton, SO16 6YD, UK.</w:t>
      </w:r>
      <w:proofErr w:type="gramEnd"/>
    </w:p>
    <w:p w:rsidR="00E431EF" w:rsidRDefault="00E431EF" w:rsidP="00E431E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431EF">
        <w:rPr>
          <w:rFonts w:ascii="Arial" w:hAnsi="Arial" w:cs="Arial"/>
          <w:sz w:val="24"/>
          <w:szCs w:val="24"/>
        </w:rPr>
        <w:t>Tel: 023 80 777624</w:t>
      </w:r>
      <w:r w:rsidRPr="00E431EF">
        <w:rPr>
          <w:rFonts w:ascii="Arial" w:hAnsi="Arial" w:cs="Arial"/>
          <w:sz w:val="24"/>
          <w:szCs w:val="24"/>
        </w:rPr>
        <w:tab/>
      </w:r>
      <w:r w:rsidRPr="00E431EF">
        <w:rPr>
          <w:rFonts w:ascii="Arial" w:hAnsi="Arial" w:cs="Arial"/>
          <w:sz w:val="24"/>
          <w:szCs w:val="24"/>
        </w:rPr>
        <w:tab/>
      </w:r>
      <w:r w:rsidRPr="00E431EF">
        <w:rPr>
          <w:rFonts w:ascii="Arial" w:hAnsi="Arial" w:cs="Arial"/>
          <w:sz w:val="24"/>
          <w:szCs w:val="24"/>
        </w:rPr>
        <w:tab/>
      </w:r>
      <w:r w:rsidRPr="00E431EF">
        <w:rPr>
          <w:rFonts w:ascii="Arial" w:hAnsi="Arial" w:cs="Arial"/>
          <w:sz w:val="24"/>
          <w:szCs w:val="24"/>
        </w:rPr>
        <w:tab/>
      </w:r>
      <w:r w:rsidRPr="00E431EF">
        <w:rPr>
          <w:rFonts w:ascii="Arial" w:hAnsi="Arial" w:cs="Arial"/>
          <w:sz w:val="24"/>
          <w:szCs w:val="24"/>
        </w:rPr>
        <w:tab/>
        <w:t xml:space="preserve">E-mail: </w:t>
      </w:r>
      <w:hyperlink r:id="rId8" w:history="1">
        <w:r w:rsidRPr="003C50D8">
          <w:rPr>
            <w:rStyle w:val="Hyperlink"/>
            <w:rFonts w:ascii="Arial" w:hAnsi="Arial" w:cs="Arial"/>
            <w:sz w:val="24"/>
            <w:szCs w:val="24"/>
          </w:rPr>
          <w:t>kwb@mrc.soton.ac.uk</w:t>
        </w:r>
      </w:hyperlink>
    </w:p>
    <w:p w:rsidR="00E431EF" w:rsidRDefault="00E431EF" w:rsidP="00E431EF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FA0E20" w:rsidRDefault="00FA0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94551" w:rsidRDefault="00BA5508" w:rsidP="001A19E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Musculoskeletal disorders</w:t>
      </w:r>
      <w:r w:rsidR="00E3461E">
        <w:rPr>
          <w:rFonts w:ascii="Arial" w:hAnsi="Arial" w:cs="Arial"/>
          <w:sz w:val="24"/>
          <w:szCs w:val="24"/>
        </w:rPr>
        <w:t xml:space="preserve"> (MSDs)</w:t>
      </w:r>
      <w:r>
        <w:rPr>
          <w:rFonts w:ascii="Arial" w:hAnsi="Arial" w:cs="Arial"/>
          <w:sz w:val="24"/>
          <w:szCs w:val="24"/>
        </w:rPr>
        <w:t xml:space="preserve"> are the second most common cause of disability worldwide [</w:t>
      </w:r>
      <w:r w:rsidR="004672EA">
        <w:rPr>
          <w:rFonts w:ascii="Arial" w:hAnsi="Arial" w:cs="Arial"/>
          <w:sz w:val="24"/>
          <w:szCs w:val="24"/>
        </w:rPr>
        <w:t>1]</w:t>
      </w:r>
      <w:r>
        <w:rPr>
          <w:rFonts w:ascii="Arial" w:hAnsi="Arial" w:cs="Arial"/>
          <w:sz w:val="24"/>
          <w:szCs w:val="24"/>
        </w:rPr>
        <w:t xml:space="preserve">. </w:t>
      </w:r>
      <w:r w:rsidR="001A19E1">
        <w:rPr>
          <w:rFonts w:ascii="Arial" w:hAnsi="Arial" w:cs="Arial"/>
          <w:sz w:val="24"/>
          <w:szCs w:val="24"/>
        </w:rPr>
        <w:t xml:space="preserve">Among people of working age, musculoskeletal conditions, including back pain, neck pain, upper limb disorders and arthritis </w:t>
      </w:r>
      <w:r w:rsidR="00E3461E">
        <w:rPr>
          <w:rFonts w:ascii="Arial" w:hAnsi="Arial" w:cs="Arial"/>
          <w:sz w:val="24"/>
          <w:szCs w:val="24"/>
        </w:rPr>
        <w:t>account</w:t>
      </w:r>
      <w:r w:rsidR="001A19E1">
        <w:rPr>
          <w:rFonts w:ascii="Arial" w:hAnsi="Arial" w:cs="Arial"/>
          <w:sz w:val="24"/>
          <w:szCs w:val="24"/>
        </w:rPr>
        <w:t xml:space="preserve"> for a</w:t>
      </w:r>
      <w:r w:rsidR="00C21AA5">
        <w:rPr>
          <w:rFonts w:ascii="Arial" w:hAnsi="Arial" w:cs="Arial"/>
          <w:sz w:val="24"/>
          <w:szCs w:val="24"/>
        </w:rPr>
        <w:t>lmost a quarter</w:t>
      </w:r>
      <w:r w:rsidR="001A19E1">
        <w:rPr>
          <w:rFonts w:ascii="Arial" w:hAnsi="Arial" w:cs="Arial"/>
          <w:sz w:val="24"/>
          <w:szCs w:val="24"/>
        </w:rPr>
        <w:t xml:space="preserve"> of all sickness absence</w:t>
      </w:r>
      <w:r w:rsidR="00E3461E">
        <w:rPr>
          <w:rFonts w:ascii="Arial" w:hAnsi="Arial" w:cs="Arial"/>
          <w:sz w:val="24"/>
          <w:szCs w:val="24"/>
        </w:rPr>
        <w:t>. Furthermore,</w:t>
      </w:r>
      <w:r w:rsidR="001A19E1">
        <w:rPr>
          <w:rFonts w:ascii="Arial" w:hAnsi="Arial" w:cs="Arial"/>
          <w:sz w:val="24"/>
          <w:szCs w:val="24"/>
        </w:rPr>
        <w:t xml:space="preserve"> </w:t>
      </w:r>
      <w:r w:rsidR="00E3461E">
        <w:rPr>
          <w:rFonts w:ascii="Arial" w:hAnsi="Arial" w:cs="Arial"/>
          <w:sz w:val="24"/>
          <w:szCs w:val="24"/>
        </w:rPr>
        <w:t xml:space="preserve">MSDs </w:t>
      </w:r>
      <w:r w:rsidR="001A19E1">
        <w:rPr>
          <w:rFonts w:ascii="Arial" w:hAnsi="Arial" w:cs="Arial"/>
          <w:sz w:val="24"/>
          <w:szCs w:val="24"/>
        </w:rPr>
        <w:t xml:space="preserve">contribute </w:t>
      </w:r>
      <w:r>
        <w:rPr>
          <w:rFonts w:ascii="Arial" w:hAnsi="Arial" w:cs="Arial"/>
          <w:sz w:val="24"/>
          <w:szCs w:val="24"/>
        </w:rPr>
        <w:t xml:space="preserve">even more </w:t>
      </w:r>
      <w:r w:rsidR="001A19E1">
        <w:rPr>
          <w:rFonts w:ascii="Arial" w:hAnsi="Arial" w:cs="Arial"/>
          <w:sz w:val="24"/>
          <w:szCs w:val="24"/>
        </w:rPr>
        <w:t xml:space="preserve">significantly to </w:t>
      </w:r>
      <w:proofErr w:type="spellStart"/>
      <w:r w:rsidR="001A19E1">
        <w:rPr>
          <w:rFonts w:ascii="Arial" w:hAnsi="Arial" w:cs="Arial"/>
          <w:sz w:val="24"/>
          <w:szCs w:val="24"/>
        </w:rPr>
        <w:t>presenteeism</w:t>
      </w:r>
      <w:proofErr w:type="spellEnd"/>
      <w:r w:rsidR="00E3461E">
        <w:rPr>
          <w:rFonts w:ascii="Arial" w:hAnsi="Arial" w:cs="Arial"/>
          <w:sz w:val="24"/>
          <w:szCs w:val="24"/>
        </w:rPr>
        <w:t xml:space="preserve"> (</w:t>
      </w:r>
      <w:r w:rsidR="00E62791">
        <w:rPr>
          <w:rFonts w:ascii="Arial" w:hAnsi="Arial" w:cs="Arial"/>
          <w:sz w:val="24"/>
          <w:szCs w:val="24"/>
        </w:rPr>
        <w:t>the reduction in working performance while at work because of ill-health</w:t>
      </w:r>
      <w:proofErr w:type="gramStart"/>
      <w:r w:rsidR="00E62791">
        <w:rPr>
          <w:rFonts w:ascii="Arial" w:hAnsi="Arial" w:cs="Arial"/>
          <w:sz w:val="24"/>
          <w:szCs w:val="24"/>
        </w:rPr>
        <w:t>)</w:t>
      </w:r>
      <w:r w:rsidR="001A19E1">
        <w:rPr>
          <w:rFonts w:ascii="Arial" w:hAnsi="Arial" w:cs="Arial"/>
          <w:sz w:val="24"/>
          <w:szCs w:val="24"/>
        </w:rPr>
        <w:t>and</w:t>
      </w:r>
      <w:proofErr w:type="gramEnd"/>
      <w:r w:rsidR="001A19E1">
        <w:rPr>
          <w:rFonts w:ascii="Arial" w:hAnsi="Arial" w:cs="Arial"/>
          <w:sz w:val="24"/>
          <w:szCs w:val="24"/>
        </w:rPr>
        <w:t xml:space="preserve"> impaired in-work productivity</w:t>
      </w:r>
      <w:r w:rsidR="006A22F2">
        <w:rPr>
          <w:rFonts w:ascii="Arial" w:hAnsi="Arial" w:cs="Arial"/>
          <w:sz w:val="24"/>
          <w:szCs w:val="24"/>
        </w:rPr>
        <w:t xml:space="preserve"> (although these are more challenging to quantify accurately)</w:t>
      </w:r>
      <w:r w:rsidR="001A19E1">
        <w:rPr>
          <w:rFonts w:ascii="Arial" w:hAnsi="Arial" w:cs="Arial"/>
          <w:sz w:val="24"/>
          <w:szCs w:val="24"/>
        </w:rPr>
        <w:t>.</w:t>
      </w:r>
      <w:r w:rsidR="00ED543A" w:rsidRPr="00ED543A">
        <w:rPr>
          <w:rFonts w:ascii="Arial" w:hAnsi="Arial" w:cs="Arial"/>
          <w:sz w:val="24"/>
          <w:szCs w:val="24"/>
        </w:rPr>
        <w:t xml:space="preserve"> </w:t>
      </w:r>
      <w:r w:rsidR="00777066">
        <w:rPr>
          <w:rFonts w:ascii="Arial" w:hAnsi="Arial" w:cs="Arial"/>
          <w:sz w:val="24"/>
          <w:szCs w:val="24"/>
        </w:rPr>
        <w:t>Indeed, i</w:t>
      </w:r>
      <w:r w:rsidR="00ED543A" w:rsidRPr="00ED543A">
        <w:rPr>
          <w:rFonts w:ascii="Arial" w:hAnsi="Arial" w:cs="Arial"/>
          <w:sz w:val="24"/>
          <w:szCs w:val="24"/>
        </w:rPr>
        <w:t xml:space="preserve">t is estimated that the total cost of lost productivity attributable to MSDs among people of working age in the EU </w:t>
      </w:r>
      <w:r w:rsidR="00777066">
        <w:rPr>
          <w:rFonts w:ascii="Arial" w:hAnsi="Arial" w:cs="Arial"/>
          <w:sz w:val="24"/>
          <w:szCs w:val="24"/>
        </w:rPr>
        <w:t>might</w:t>
      </w:r>
      <w:r w:rsidR="00777066" w:rsidRPr="00ED543A">
        <w:rPr>
          <w:rFonts w:ascii="Arial" w:hAnsi="Arial" w:cs="Arial"/>
          <w:sz w:val="24"/>
          <w:szCs w:val="24"/>
        </w:rPr>
        <w:t xml:space="preserve"> </w:t>
      </w:r>
      <w:r w:rsidR="00ED543A" w:rsidRPr="00ED543A">
        <w:rPr>
          <w:rFonts w:ascii="Arial" w:hAnsi="Arial" w:cs="Arial"/>
          <w:sz w:val="24"/>
          <w:szCs w:val="24"/>
        </w:rPr>
        <w:t>be as high as 2%</w:t>
      </w:r>
      <w:r w:rsidR="00ED543A">
        <w:rPr>
          <w:rFonts w:ascii="Arial" w:hAnsi="Arial" w:cs="Arial"/>
          <w:sz w:val="24"/>
          <w:szCs w:val="24"/>
        </w:rPr>
        <w:t xml:space="preserve"> of gross domestic product [</w:t>
      </w:r>
      <w:r w:rsidR="004672EA">
        <w:rPr>
          <w:rFonts w:ascii="Arial" w:hAnsi="Arial" w:cs="Arial"/>
          <w:sz w:val="24"/>
          <w:szCs w:val="24"/>
        </w:rPr>
        <w:t>2</w:t>
      </w:r>
      <w:r w:rsidR="00ED543A">
        <w:rPr>
          <w:rFonts w:ascii="Arial" w:hAnsi="Arial" w:cs="Arial"/>
          <w:sz w:val="24"/>
          <w:szCs w:val="24"/>
        </w:rPr>
        <w:t>]</w:t>
      </w:r>
      <w:r w:rsidR="00591C20">
        <w:rPr>
          <w:rFonts w:ascii="Arial" w:hAnsi="Arial" w:cs="Arial"/>
          <w:sz w:val="24"/>
          <w:szCs w:val="24"/>
        </w:rPr>
        <w:t xml:space="preserve">. For these reasons, we </w:t>
      </w:r>
      <w:r w:rsidR="00777066">
        <w:rPr>
          <w:rFonts w:ascii="Arial" w:hAnsi="Arial" w:cs="Arial"/>
          <w:sz w:val="24"/>
          <w:szCs w:val="24"/>
        </w:rPr>
        <w:t xml:space="preserve">urgently </w:t>
      </w:r>
      <w:r w:rsidR="00591C20">
        <w:rPr>
          <w:rFonts w:ascii="Arial" w:hAnsi="Arial" w:cs="Arial"/>
          <w:sz w:val="24"/>
          <w:szCs w:val="24"/>
        </w:rPr>
        <w:t>need to develop effective strategies to identify those individuals with r</w:t>
      </w:r>
      <w:r>
        <w:rPr>
          <w:rFonts w:ascii="Arial" w:hAnsi="Arial" w:cs="Arial"/>
          <w:sz w:val="24"/>
          <w:szCs w:val="24"/>
        </w:rPr>
        <w:t>ecent-onset musculoskeletal pain or injury</w:t>
      </w:r>
      <w:r w:rsidR="00591C20">
        <w:rPr>
          <w:rFonts w:ascii="Arial" w:hAnsi="Arial" w:cs="Arial"/>
          <w:sz w:val="24"/>
          <w:szCs w:val="24"/>
        </w:rPr>
        <w:t xml:space="preserve"> at </w:t>
      </w:r>
      <w:r w:rsidR="00777066">
        <w:rPr>
          <w:rFonts w:ascii="Arial" w:hAnsi="Arial" w:cs="Arial"/>
          <w:sz w:val="24"/>
          <w:szCs w:val="24"/>
        </w:rPr>
        <w:t xml:space="preserve">greatest </w:t>
      </w:r>
      <w:r w:rsidR="00591C20">
        <w:rPr>
          <w:rFonts w:ascii="Arial" w:hAnsi="Arial" w:cs="Arial"/>
          <w:sz w:val="24"/>
          <w:szCs w:val="24"/>
        </w:rPr>
        <w:t>risk of long</w:t>
      </w:r>
      <w:r w:rsidR="00777066">
        <w:rPr>
          <w:rFonts w:ascii="Arial" w:hAnsi="Arial" w:cs="Arial"/>
          <w:sz w:val="24"/>
          <w:szCs w:val="24"/>
        </w:rPr>
        <w:t>-</w:t>
      </w:r>
      <w:r w:rsidR="00591C20">
        <w:rPr>
          <w:rFonts w:ascii="Arial" w:hAnsi="Arial" w:cs="Arial"/>
          <w:sz w:val="24"/>
          <w:szCs w:val="24"/>
        </w:rPr>
        <w:t xml:space="preserve">term </w:t>
      </w:r>
      <w:r w:rsidR="008E6F8A">
        <w:rPr>
          <w:rFonts w:ascii="Arial" w:hAnsi="Arial" w:cs="Arial"/>
          <w:sz w:val="24"/>
          <w:szCs w:val="24"/>
        </w:rPr>
        <w:t xml:space="preserve">work </w:t>
      </w:r>
      <w:r w:rsidR="00591C20">
        <w:rPr>
          <w:rFonts w:ascii="Arial" w:hAnsi="Arial" w:cs="Arial"/>
          <w:sz w:val="24"/>
          <w:szCs w:val="24"/>
        </w:rPr>
        <w:t xml:space="preserve">disability </w:t>
      </w:r>
      <w:r w:rsidR="00777066">
        <w:rPr>
          <w:rFonts w:ascii="Arial" w:hAnsi="Arial" w:cs="Arial"/>
          <w:sz w:val="24"/>
          <w:szCs w:val="24"/>
        </w:rPr>
        <w:t>and to develop</w:t>
      </w:r>
      <w:r w:rsidR="00591C20">
        <w:rPr>
          <w:rFonts w:ascii="Arial" w:hAnsi="Arial" w:cs="Arial"/>
          <w:sz w:val="24"/>
          <w:szCs w:val="24"/>
        </w:rPr>
        <w:t xml:space="preserve"> </w:t>
      </w:r>
      <w:r w:rsidR="0057083B">
        <w:rPr>
          <w:rFonts w:ascii="Arial" w:hAnsi="Arial" w:cs="Arial"/>
          <w:sz w:val="24"/>
          <w:szCs w:val="24"/>
        </w:rPr>
        <w:t xml:space="preserve">effectual </w:t>
      </w:r>
      <w:r w:rsidR="00591C20">
        <w:rPr>
          <w:rFonts w:ascii="Arial" w:hAnsi="Arial" w:cs="Arial"/>
          <w:sz w:val="24"/>
          <w:szCs w:val="24"/>
        </w:rPr>
        <w:t xml:space="preserve">and cost-effective </w:t>
      </w:r>
      <w:r w:rsidR="008E6F8A">
        <w:rPr>
          <w:rFonts w:ascii="Arial" w:hAnsi="Arial" w:cs="Arial"/>
          <w:sz w:val="24"/>
          <w:szCs w:val="24"/>
        </w:rPr>
        <w:t xml:space="preserve">preventive and treatment </w:t>
      </w:r>
      <w:r w:rsidR="00591C20">
        <w:rPr>
          <w:rFonts w:ascii="Arial" w:hAnsi="Arial" w:cs="Arial"/>
          <w:sz w:val="24"/>
          <w:szCs w:val="24"/>
        </w:rPr>
        <w:t>interventions.</w:t>
      </w:r>
      <w:r w:rsidR="001F58E9">
        <w:rPr>
          <w:rFonts w:ascii="Arial" w:hAnsi="Arial" w:cs="Arial"/>
          <w:sz w:val="24"/>
          <w:szCs w:val="24"/>
        </w:rPr>
        <w:t xml:space="preserve"> </w:t>
      </w:r>
    </w:p>
    <w:p w:rsidR="00591C20" w:rsidRDefault="00591C20" w:rsidP="001A19E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94551" w:rsidRDefault="002D7B87" w:rsidP="001A19E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these reasons, the paper by Armijo-</w:t>
      </w:r>
      <w:proofErr w:type="spellStart"/>
      <w:r>
        <w:rPr>
          <w:rFonts w:ascii="Arial" w:hAnsi="Arial" w:cs="Arial"/>
          <w:sz w:val="24"/>
          <w:szCs w:val="24"/>
        </w:rPr>
        <w:t>Olivo</w:t>
      </w:r>
      <w:proofErr w:type="spellEnd"/>
      <w:r>
        <w:rPr>
          <w:rFonts w:ascii="Arial" w:hAnsi="Arial" w:cs="Arial"/>
          <w:sz w:val="24"/>
          <w:szCs w:val="24"/>
        </w:rPr>
        <w:t xml:space="preserve"> and colleagues in this edition [</w:t>
      </w:r>
      <w:r w:rsidR="004672E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] </w:t>
      </w:r>
      <w:r w:rsidR="00B47565">
        <w:rPr>
          <w:rFonts w:ascii="Arial" w:hAnsi="Arial" w:cs="Arial"/>
          <w:sz w:val="24"/>
          <w:szCs w:val="24"/>
        </w:rPr>
        <w:t>reports</w:t>
      </w:r>
      <w:r>
        <w:rPr>
          <w:rFonts w:ascii="Arial" w:hAnsi="Arial" w:cs="Arial"/>
          <w:sz w:val="24"/>
          <w:szCs w:val="24"/>
        </w:rPr>
        <w:t xml:space="preserve"> an important development enhancing our understanding of those factors predictive of </w:t>
      </w:r>
      <w:r w:rsidR="00E96781">
        <w:rPr>
          <w:rFonts w:ascii="Arial" w:hAnsi="Arial" w:cs="Arial"/>
          <w:sz w:val="24"/>
          <w:szCs w:val="24"/>
        </w:rPr>
        <w:t>work disability</w:t>
      </w:r>
      <w:r>
        <w:rPr>
          <w:rFonts w:ascii="Arial" w:hAnsi="Arial" w:cs="Arial"/>
          <w:sz w:val="24"/>
          <w:szCs w:val="24"/>
        </w:rPr>
        <w:t xml:space="preserve"> from musculoskeletal conditions of the upper limb. The disability of the arm, shoulder and hand (DASH) questionnaire </w:t>
      </w:r>
      <w:r w:rsidR="00D15EC2">
        <w:rPr>
          <w:rFonts w:ascii="Arial" w:hAnsi="Arial" w:cs="Arial"/>
          <w:sz w:val="24"/>
          <w:szCs w:val="24"/>
        </w:rPr>
        <w:t>is a 30-item self-report</w:t>
      </w:r>
      <w:r w:rsidR="00115A0C">
        <w:rPr>
          <w:rFonts w:ascii="Arial" w:hAnsi="Arial" w:cs="Arial"/>
          <w:sz w:val="24"/>
          <w:szCs w:val="24"/>
        </w:rPr>
        <w:t xml:space="preserve"> tool</w:t>
      </w:r>
      <w:r w:rsidR="00D15EC2">
        <w:rPr>
          <w:rFonts w:ascii="Arial" w:hAnsi="Arial" w:cs="Arial"/>
          <w:sz w:val="24"/>
          <w:szCs w:val="24"/>
        </w:rPr>
        <w:t xml:space="preserve"> validated and published in 1996 </w:t>
      </w:r>
      <w:r w:rsidR="004672EA">
        <w:rPr>
          <w:rFonts w:ascii="Arial" w:hAnsi="Arial" w:cs="Arial"/>
          <w:sz w:val="24"/>
          <w:szCs w:val="24"/>
        </w:rPr>
        <w:t>[4</w:t>
      </w:r>
      <w:r w:rsidR="00B47565">
        <w:rPr>
          <w:rFonts w:ascii="Arial" w:hAnsi="Arial" w:cs="Arial"/>
          <w:sz w:val="24"/>
          <w:szCs w:val="24"/>
        </w:rPr>
        <w:t>]. T</w:t>
      </w:r>
      <w:r w:rsidR="00D15EC2">
        <w:rPr>
          <w:rFonts w:ascii="Arial" w:hAnsi="Arial" w:cs="Arial"/>
          <w:sz w:val="24"/>
          <w:szCs w:val="24"/>
        </w:rPr>
        <w:t xml:space="preserve">ogether with its validated short </w:t>
      </w:r>
      <w:r w:rsidR="00115A0C">
        <w:rPr>
          <w:rFonts w:ascii="Arial" w:hAnsi="Arial" w:cs="Arial"/>
          <w:sz w:val="24"/>
          <w:szCs w:val="24"/>
        </w:rPr>
        <w:t>version</w:t>
      </w:r>
      <w:r w:rsidR="00D15EC2">
        <w:rPr>
          <w:rFonts w:ascii="Arial" w:hAnsi="Arial" w:cs="Arial"/>
          <w:sz w:val="24"/>
          <w:szCs w:val="24"/>
        </w:rPr>
        <w:t xml:space="preserve"> (the </w:t>
      </w:r>
      <w:r w:rsidR="00D15EC2" w:rsidRPr="00D15EC2">
        <w:rPr>
          <w:rFonts w:ascii="Arial" w:hAnsi="Arial" w:cs="Arial"/>
          <w:i/>
          <w:sz w:val="24"/>
          <w:szCs w:val="24"/>
        </w:rPr>
        <w:t>quick</w:t>
      </w:r>
      <w:r w:rsidR="00D15EC2">
        <w:rPr>
          <w:rFonts w:ascii="Arial" w:hAnsi="Arial" w:cs="Arial"/>
          <w:sz w:val="24"/>
          <w:szCs w:val="24"/>
        </w:rPr>
        <w:t>-DASH)</w:t>
      </w:r>
      <w:r w:rsidR="00115A0C">
        <w:rPr>
          <w:rFonts w:ascii="Arial" w:hAnsi="Arial" w:cs="Arial"/>
          <w:sz w:val="24"/>
          <w:szCs w:val="24"/>
        </w:rPr>
        <w:t xml:space="preserve"> </w:t>
      </w:r>
      <w:r w:rsidR="00D15EC2">
        <w:rPr>
          <w:rFonts w:ascii="Arial" w:hAnsi="Arial" w:cs="Arial"/>
          <w:sz w:val="24"/>
          <w:szCs w:val="24"/>
        </w:rPr>
        <w:t>[</w:t>
      </w:r>
      <w:r w:rsidR="004672EA">
        <w:rPr>
          <w:rFonts w:ascii="Arial" w:hAnsi="Arial" w:cs="Arial"/>
          <w:sz w:val="24"/>
          <w:szCs w:val="24"/>
        </w:rPr>
        <w:t>5</w:t>
      </w:r>
      <w:r w:rsidR="00D15EC2">
        <w:rPr>
          <w:rFonts w:ascii="Arial" w:hAnsi="Arial" w:cs="Arial"/>
          <w:sz w:val="24"/>
          <w:szCs w:val="24"/>
        </w:rPr>
        <w:t>]</w:t>
      </w:r>
      <w:r w:rsidR="00115A0C">
        <w:rPr>
          <w:rFonts w:ascii="Arial" w:hAnsi="Arial" w:cs="Arial"/>
          <w:sz w:val="24"/>
          <w:szCs w:val="24"/>
        </w:rPr>
        <w:t>,</w:t>
      </w:r>
      <w:r w:rsidR="00D15EC2">
        <w:rPr>
          <w:rFonts w:ascii="Arial" w:hAnsi="Arial" w:cs="Arial"/>
          <w:sz w:val="24"/>
          <w:szCs w:val="24"/>
        </w:rPr>
        <w:t xml:space="preserve"> </w:t>
      </w:r>
      <w:r w:rsidR="00B47565">
        <w:rPr>
          <w:rFonts w:ascii="Arial" w:hAnsi="Arial" w:cs="Arial"/>
          <w:sz w:val="24"/>
          <w:szCs w:val="24"/>
        </w:rPr>
        <w:t xml:space="preserve">it </w:t>
      </w:r>
      <w:r w:rsidR="00D15EC2">
        <w:rPr>
          <w:rFonts w:ascii="Arial" w:hAnsi="Arial" w:cs="Arial"/>
          <w:sz w:val="24"/>
          <w:szCs w:val="24"/>
        </w:rPr>
        <w:t xml:space="preserve">has been widely used as an outcome measure </w:t>
      </w:r>
      <w:r w:rsidR="00B47565">
        <w:rPr>
          <w:rFonts w:ascii="Arial" w:hAnsi="Arial" w:cs="Arial"/>
          <w:sz w:val="24"/>
          <w:szCs w:val="24"/>
        </w:rPr>
        <w:t xml:space="preserve">for </w:t>
      </w:r>
      <w:r w:rsidR="0057083B">
        <w:rPr>
          <w:rFonts w:ascii="Arial" w:hAnsi="Arial" w:cs="Arial"/>
          <w:sz w:val="24"/>
          <w:szCs w:val="24"/>
        </w:rPr>
        <w:t xml:space="preserve">both </w:t>
      </w:r>
      <w:r w:rsidR="00D15EC2">
        <w:rPr>
          <w:rFonts w:ascii="Arial" w:hAnsi="Arial" w:cs="Arial"/>
          <w:sz w:val="24"/>
          <w:szCs w:val="24"/>
        </w:rPr>
        <w:t xml:space="preserve">research </w:t>
      </w:r>
      <w:r w:rsidR="00115A0C">
        <w:rPr>
          <w:rFonts w:ascii="Arial" w:hAnsi="Arial" w:cs="Arial"/>
          <w:sz w:val="24"/>
          <w:szCs w:val="24"/>
        </w:rPr>
        <w:t>and clinical practice</w:t>
      </w:r>
      <w:r w:rsidR="0057083B">
        <w:rPr>
          <w:rFonts w:ascii="Arial" w:hAnsi="Arial" w:cs="Arial"/>
          <w:sz w:val="24"/>
          <w:szCs w:val="24"/>
        </w:rPr>
        <w:t xml:space="preserve"> purposes</w:t>
      </w:r>
      <w:r w:rsidR="00D15EC2">
        <w:rPr>
          <w:rFonts w:ascii="Arial" w:hAnsi="Arial" w:cs="Arial"/>
          <w:sz w:val="24"/>
          <w:szCs w:val="24"/>
        </w:rPr>
        <w:t xml:space="preserve"> </w:t>
      </w:r>
      <w:r w:rsidR="00115A0C">
        <w:rPr>
          <w:rFonts w:ascii="Arial" w:hAnsi="Arial" w:cs="Arial"/>
          <w:sz w:val="24"/>
          <w:szCs w:val="24"/>
        </w:rPr>
        <w:t>[</w:t>
      </w:r>
      <w:r w:rsidR="004672EA">
        <w:rPr>
          <w:rFonts w:ascii="Arial" w:hAnsi="Arial" w:cs="Arial"/>
          <w:sz w:val="24"/>
          <w:szCs w:val="24"/>
        </w:rPr>
        <w:t>6</w:t>
      </w:r>
      <w:r w:rsidR="00115A0C">
        <w:rPr>
          <w:rFonts w:ascii="Arial" w:hAnsi="Arial" w:cs="Arial"/>
          <w:sz w:val="24"/>
          <w:szCs w:val="24"/>
        </w:rPr>
        <w:t>]</w:t>
      </w:r>
      <w:r w:rsidR="00D15EC2">
        <w:rPr>
          <w:rFonts w:ascii="Arial" w:hAnsi="Arial" w:cs="Arial"/>
          <w:sz w:val="24"/>
          <w:szCs w:val="24"/>
        </w:rPr>
        <w:t>.</w:t>
      </w:r>
      <w:r w:rsidR="00FC356F">
        <w:rPr>
          <w:rFonts w:ascii="Arial" w:hAnsi="Arial" w:cs="Arial"/>
          <w:sz w:val="24"/>
          <w:szCs w:val="24"/>
        </w:rPr>
        <w:t xml:space="preserve"> </w:t>
      </w:r>
      <w:r w:rsidR="008D753E">
        <w:rPr>
          <w:rFonts w:ascii="Arial" w:hAnsi="Arial" w:cs="Arial"/>
          <w:sz w:val="24"/>
          <w:szCs w:val="24"/>
        </w:rPr>
        <w:t xml:space="preserve">Prior to this </w:t>
      </w:r>
      <w:r w:rsidR="0057083B">
        <w:rPr>
          <w:rFonts w:ascii="Arial" w:hAnsi="Arial" w:cs="Arial"/>
          <w:sz w:val="24"/>
          <w:szCs w:val="24"/>
        </w:rPr>
        <w:t>publication</w:t>
      </w:r>
      <w:r w:rsidR="008D753E">
        <w:rPr>
          <w:rFonts w:ascii="Arial" w:hAnsi="Arial" w:cs="Arial"/>
          <w:sz w:val="24"/>
          <w:szCs w:val="24"/>
        </w:rPr>
        <w:t xml:space="preserve">, few studies </w:t>
      </w:r>
      <w:r w:rsidR="0057083B">
        <w:rPr>
          <w:rFonts w:ascii="Arial" w:hAnsi="Arial" w:cs="Arial"/>
          <w:sz w:val="24"/>
          <w:szCs w:val="24"/>
        </w:rPr>
        <w:t xml:space="preserve">explored </w:t>
      </w:r>
      <w:r w:rsidR="008D753E">
        <w:rPr>
          <w:rFonts w:ascii="Arial" w:hAnsi="Arial" w:cs="Arial"/>
          <w:sz w:val="24"/>
          <w:szCs w:val="24"/>
        </w:rPr>
        <w:t>the predictors of disability from upper limb diso</w:t>
      </w:r>
      <w:r w:rsidR="0020616F">
        <w:rPr>
          <w:rFonts w:ascii="Arial" w:hAnsi="Arial" w:cs="Arial"/>
          <w:sz w:val="24"/>
          <w:szCs w:val="24"/>
        </w:rPr>
        <w:t>r</w:t>
      </w:r>
      <w:r w:rsidR="008D753E">
        <w:rPr>
          <w:rFonts w:ascii="Arial" w:hAnsi="Arial" w:cs="Arial"/>
          <w:sz w:val="24"/>
          <w:szCs w:val="24"/>
        </w:rPr>
        <w:t>ders and w</w:t>
      </w:r>
      <w:r w:rsidR="0020616F">
        <w:rPr>
          <w:rFonts w:ascii="Arial" w:hAnsi="Arial" w:cs="Arial"/>
          <w:sz w:val="24"/>
          <w:szCs w:val="24"/>
        </w:rPr>
        <w:t>here available, the outcomes evaluated were not specific</w:t>
      </w:r>
      <w:r w:rsidR="00F80215">
        <w:rPr>
          <w:rFonts w:ascii="Arial" w:hAnsi="Arial" w:cs="Arial"/>
          <w:sz w:val="24"/>
          <w:szCs w:val="24"/>
        </w:rPr>
        <w:t>ally focussed on</w:t>
      </w:r>
      <w:r w:rsidR="0020616F">
        <w:rPr>
          <w:rFonts w:ascii="Arial" w:hAnsi="Arial" w:cs="Arial"/>
          <w:sz w:val="24"/>
          <w:szCs w:val="24"/>
        </w:rPr>
        <w:t xml:space="preserve"> </w:t>
      </w:r>
      <w:r w:rsidR="000A4B52">
        <w:rPr>
          <w:rFonts w:ascii="Arial" w:hAnsi="Arial" w:cs="Arial"/>
          <w:sz w:val="24"/>
          <w:szCs w:val="24"/>
        </w:rPr>
        <w:t xml:space="preserve">work ability and return to work. </w:t>
      </w:r>
      <w:r w:rsidR="00F80215">
        <w:rPr>
          <w:rFonts w:ascii="Arial" w:hAnsi="Arial" w:cs="Arial"/>
          <w:sz w:val="24"/>
          <w:szCs w:val="24"/>
        </w:rPr>
        <w:t>Th</w:t>
      </w:r>
      <w:r w:rsidR="00E2396A">
        <w:rPr>
          <w:rFonts w:ascii="Arial" w:hAnsi="Arial" w:cs="Arial"/>
          <w:sz w:val="24"/>
          <w:szCs w:val="24"/>
        </w:rPr>
        <w:t>is</w:t>
      </w:r>
      <w:r w:rsidR="00F80215">
        <w:rPr>
          <w:rFonts w:ascii="Arial" w:hAnsi="Arial" w:cs="Arial"/>
          <w:sz w:val="24"/>
          <w:szCs w:val="24"/>
        </w:rPr>
        <w:t xml:space="preserve"> </w:t>
      </w:r>
      <w:r w:rsidR="00E2396A">
        <w:rPr>
          <w:rFonts w:ascii="Arial" w:hAnsi="Arial" w:cs="Arial"/>
          <w:sz w:val="24"/>
          <w:szCs w:val="24"/>
        </w:rPr>
        <w:t xml:space="preserve">Canadian </w:t>
      </w:r>
      <w:r w:rsidR="00F80215">
        <w:rPr>
          <w:rFonts w:ascii="Arial" w:hAnsi="Arial" w:cs="Arial"/>
          <w:sz w:val="24"/>
          <w:szCs w:val="24"/>
        </w:rPr>
        <w:t>research team</w:t>
      </w:r>
      <w:r w:rsidR="00562CB2">
        <w:rPr>
          <w:rFonts w:ascii="Arial" w:hAnsi="Arial" w:cs="Arial"/>
          <w:sz w:val="24"/>
          <w:szCs w:val="24"/>
        </w:rPr>
        <w:t xml:space="preserve"> used a retrospective cohort study design to explore whether addition of the DASH enhanced the prediction of work disability over </w:t>
      </w:r>
      <w:r w:rsidR="00562CB2">
        <w:rPr>
          <w:rFonts w:ascii="Arial" w:hAnsi="Arial" w:cs="Arial"/>
          <w:sz w:val="24"/>
          <w:szCs w:val="24"/>
        </w:rPr>
        <w:lastRenderedPageBreak/>
        <w:t xml:space="preserve">and above a model including other </w:t>
      </w:r>
      <w:r w:rsidR="008E6F8A">
        <w:rPr>
          <w:rFonts w:ascii="Arial" w:hAnsi="Arial" w:cs="Arial"/>
          <w:sz w:val="24"/>
          <w:szCs w:val="24"/>
        </w:rPr>
        <w:t xml:space="preserve">recognised </w:t>
      </w:r>
      <w:r w:rsidR="00562CB2">
        <w:rPr>
          <w:rFonts w:ascii="Arial" w:hAnsi="Arial" w:cs="Arial"/>
          <w:sz w:val="24"/>
          <w:szCs w:val="24"/>
        </w:rPr>
        <w:t>generic risk factors</w:t>
      </w:r>
      <w:r w:rsidR="008E6F8A">
        <w:rPr>
          <w:rFonts w:ascii="Arial" w:hAnsi="Arial" w:cs="Arial"/>
          <w:sz w:val="24"/>
          <w:szCs w:val="24"/>
        </w:rPr>
        <w:t xml:space="preserve"> (demographic factors, pain intensity, health-related quality of life, pain disability).</w:t>
      </w:r>
    </w:p>
    <w:p w:rsidR="008E6F8A" w:rsidRDefault="008E6F8A" w:rsidP="001A19E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DB2CAF" w:rsidRDefault="00E2396A" w:rsidP="001A19E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</w:t>
      </w:r>
      <w:r w:rsidR="00A8696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comprehensive </w:t>
      </w:r>
      <w:r w:rsidR="00A86965">
        <w:rPr>
          <w:rFonts w:ascii="Arial" w:hAnsi="Arial" w:cs="Arial"/>
          <w:sz w:val="24"/>
          <w:szCs w:val="24"/>
        </w:rPr>
        <w:t xml:space="preserve">database </w:t>
      </w:r>
      <w:r>
        <w:rPr>
          <w:rFonts w:ascii="Arial" w:hAnsi="Arial" w:cs="Arial"/>
          <w:sz w:val="24"/>
          <w:szCs w:val="24"/>
        </w:rPr>
        <w:t xml:space="preserve">of more than 8000 </w:t>
      </w:r>
      <w:r w:rsidR="00A86965">
        <w:rPr>
          <w:rFonts w:ascii="Arial" w:hAnsi="Arial" w:cs="Arial"/>
          <w:sz w:val="24"/>
          <w:szCs w:val="24"/>
        </w:rPr>
        <w:t xml:space="preserve"> workers’ compensation claimants</w:t>
      </w:r>
      <w:r w:rsidR="00227304">
        <w:rPr>
          <w:rFonts w:ascii="Arial" w:hAnsi="Arial" w:cs="Arial"/>
          <w:sz w:val="24"/>
          <w:szCs w:val="24"/>
        </w:rPr>
        <w:t xml:space="preserve"> (3036 with upper extremity disorders)</w:t>
      </w:r>
      <w:r>
        <w:rPr>
          <w:rFonts w:ascii="Arial" w:hAnsi="Arial" w:cs="Arial"/>
          <w:sz w:val="24"/>
          <w:szCs w:val="24"/>
        </w:rPr>
        <w:t xml:space="preserve"> in the province of Alberta, Canada</w:t>
      </w:r>
      <w:r w:rsidR="00A86965">
        <w:rPr>
          <w:rFonts w:ascii="Arial" w:hAnsi="Arial" w:cs="Arial"/>
          <w:sz w:val="24"/>
          <w:szCs w:val="24"/>
        </w:rPr>
        <w:t>, t</w:t>
      </w:r>
      <w:r w:rsidR="00C168A6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researchers </w:t>
      </w:r>
      <w:r w:rsidR="00C168A6">
        <w:rPr>
          <w:rFonts w:ascii="Arial" w:hAnsi="Arial" w:cs="Arial"/>
          <w:sz w:val="24"/>
          <w:szCs w:val="24"/>
        </w:rPr>
        <w:t>show</w:t>
      </w:r>
      <w:r w:rsidR="006A22F2">
        <w:rPr>
          <w:rFonts w:ascii="Arial" w:hAnsi="Arial" w:cs="Arial"/>
          <w:sz w:val="24"/>
          <w:szCs w:val="24"/>
        </w:rPr>
        <w:t>ed</w:t>
      </w:r>
      <w:r w:rsidR="00C168A6">
        <w:rPr>
          <w:rFonts w:ascii="Arial" w:hAnsi="Arial" w:cs="Arial"/>
          <w:sz w:val="24"/>
          <w:szCs w:val="24"/>
        </w:rPr>
        <w:t xml:space="preserve"> the expected prognostic importance of</w:t>
      </w:r>
      <w:r w:rsidR="00A86965">
        <w:rPr>
          <w:rFonts w:ascii="Arial" w:hAnsi="Arial" w:cs="Arial"/>
          <w:sz w:val="24"/>
          <w:szCs w:val="24"/>
        </w:rPr>
        <w:t xml:space="preserve"> generic factors including</w:t>
      </w:r>
      <w:r w:rsidR="00C168A6">
        <w:rPr>
          <w:rFonts w:ascii="Arial" w:hAnsi="Arial" w:cs="Arial"/>
          <w:sz w:val="24"/>
          <w:szCs w:val="24"/>
        </w:rPr>
        <w:t xml:space="preserve">: age, geographical region, educational attainment, having a job open to return to, comorbidities, prior claims for disability, healthcare utilisation, availability of modified work, </w:t>
      </w:r>
      <w:r w:rsidR="003D7EF6">
        <w:rPr>
          <w:rFonts w:ascii="Arial" w:hAnsi="Arial" w:cs="Arial"/>
          <w:sz w:val="24"/>
          <w:szCs w:val="24"/>
        </w:rPr>
        <w:t xml:space="preserve">and </w:t>
      </w:r>
      <w:r w:rsidR="00C168A6">
        <w:rPr>
          <w:rFonts w:ascii="Arial" w:hAnsi="Arial" w:cs="Arial"/>
          <w:sz w:val="24"/>
          <w:szCs w:val="24"/>
        </w:rPr>
        <w:t>time between accident and injury</w:t>
      </w:r>
      <w:r w:rsidR="003D7EF6" w:rsidRPr="003D7EF6">
        <w:rPr>
          <w:rFonts w:ascii="Arial" w:hAnsi="Arial" w:cs="Arial"/>
          <w:sz w:val="24"/>
          <w:szCs w:val="24"/>
        </w:rPr>
        <w:t xml:space="preserve"> </w:t>
      </w:r>
      <w:r w:rsidR="003D7EF6">
        <w:rPr>
          <w:rFonts w:ascii="Arial" w:hAnsi="Arial" w:cs="Arial"/>
          <w:sz w:val="24"/>
          <w:szCs w:val="24"/>
        </w:rPr>
        <w:t>on likelihood of needing wage replacement 90 days later. Also associated were:</w:t>
      </w:r>
      <w:r w:rsidR="00C168A6">
        <w:rPr>
          <w:rFonts w:ascii="Arial" w:hAnsi="Arial" w:cs="Arial"/>
          <w:sz w:val="24"/>
          <w:szCs w:val="24"/>
        </w:rPr>
        <w:t xml:space="preserve"> self-rated health (as measured by the short-form 36</w:t>
      </w:r>
      <w:r w:rsidR="00C21AA5">
        <w:rPr>
          <w:rFonts w:ascii="Arial" w:hAnsi="Arial" w:cs="Arial"/>
          <w:sz w:val="24"/>
          <w:szCs w:val="24"/>
        </w:rPr>
        <w:t xml:space="preserve"> (SF-36)</w:t>
      </w:r>
      <w:r w:rsidR="00C168A6">
        <w:rPr>
          <w:rFonts w:ascii="Arial" w:hAnsi="Arial" w:cs="Arial"/>
          <w:sz w:val="24"/>
          <w:szCs w:val="24"/>
        </w:rPr>
        <w:t>), pain intensity</w:t>
      </w:r>
      <w:r w:rsidR="003D7EF6">
        <w:rPr>
          <w:rFonts w:ascii="Arial" w:hAnsi="Arial" w:cs="Arial"/>
          <w:sz w:val="24"/>
          <w:szCs w:val="24"/>
        </w:rPr>
        <w:t xml:space="preserve"> (on a visual analogue scale)</w:t>
      </w:r>
      <w:r w:rsidR="00C168A6">
        <w:rPr>
          <w:rFonts w:ascii="Arial" w:hAnsi="Arial" w:cs="Arial"/>
          <w:sz w:val="24"/>
          <w:szCs w:val="24"/>
        </w:rPr>
        <w:t>, and pain disability index</w:t>
      </w:r>
      <w:r w:rsidR="00C21AA5">
        <w:rPr>
          <w:rFonts w:ascii="Arial" w:hAnsi="Arial" w:cs="Arial"/>
          <w:sz w:val="24"/>
          <w:szCs w:val="24"/>
        </w:rPr>
        <w:t xml:space="preserve"> (PDI) </w:t>
      </w:r>
      <w:r w:rsidR="00C168A6">
        <w:rPr>
          <w:rFonts w:ascii="Arial" w:hAnsi="Arial" w:cs="Arial"/>
          <w:sz w:val="24"/>
          <w:szCs w:val="24"/>
        </w:rPr>
        <w:t xml:space="preserve">score. However, </w:t>
      </w:r>
      <w:r>
        <w:rPr>
          <w:rFonts w:ascii="Arial" w:hAnsi="Arial" w:cs="Arial"/>
          <w:sz w:val="24"/>
          <w:szCs w:val="24"/>
        </w:rPr>
        <w:t xml:space="preserve">the </w:t>
      </w:r>
      <w:r w:rsidR="00C168A6">
        <w:rPr>
          <w:rFonts w:ascii="Arial" w:hAnsi="Arial" w:cs="Arial"/>
          <w:sz w:val="24"/>
          <w:szCs w:val="24"/>
        </w:rPr>
        <w:t xml:space="preserve">addition of the DASH score </w:t>
      </w:r>
      <w:r w:rsidR="00A86965">
        <w:rPr>
          <w:rFonts w:ascii="Arial" w:hAnsi="Arial" w:cs="Arial"/>
          <w:sz w:val="24"/>
          <w:szCs w:val="24"/>
        </w:rPr>
        <w:t xml:space="preserve">to a model including these factors </w:t>
      </w:r>
      <w:r w:rsidR="003D7EF6">
        <w:rPr>
          <w:rFonts w:ascii="Arial" w:hAnsi="Arial" w:cs="Arial"/>
          <w:sz w:val="24"/>
          <w:szCs w:val="24"/>
        </w:rPr>
        <w:t xml:space="preserve">significantly </w:t>
      </w:r>
      <w:r w:rsidR="00C168A6">
        <w:rPr>
          <w:rFonts w:ascii="Arial" w:hAnsi="Arial" w:cs="Arial"/>
          <w:sz w:val="24"/>
          <w:szCs w:val="24"/>
        </w:rPr>
        <w:t>enhanced the predictive capability of identifying those at gre</w:t>
      </w:r>
      <w:r w:rsidR="003D7EF6">
        <w:rPr>
          <w:rFonts w:ascii="Arial" w:hAnsi="Arial" w:cs="Arial"/>
          <w:sz w:val="24"/>
          <w:szCs w:val="24"/>
        </w:rPr>
        <w:t>atest risk</w:t>
      </w:r>
      <w:r>
        <w:rPr>
          <w:rFonts w:ascii="Arial" w:hAnsi="Arial" w:cs="Arial"/>
          <w:sz w:val="24"/>
          <w:szCs w:val="24"/>
        </w:rPr>
        <w:t xml:space="preserve"> of a poor work outcome</w:t>
      </w:r>
      <w:r w:rsidR="003D7EF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Critically </w:t>
      </w:r>
      <w:r w:rsidR="00A86965">
        <w:rPr>
          <w:rFonts w:ascii="Arial" w:hAnsi="Arial" w:cs="Arial"/>
          <w:sz w:val="24"/>
          <w:szCs w:val="24"/>
        </w:rPr>
        <w:t xml:space="preserve">in addition, use of the five response options of </w:t>
      </w:r>
      <w:r w:rsidR="00C168A6">
        <w:rPr>
          <w:rFonts w:ascii="Arial" w:hAnsi="Arial" w:cs="Arial"/>
          <w:sz w:val="24"/>
          <w:szCs w:val="24"/>
        </w:rPr>
        <w:t xml:space="preserve">item 23 of the DASH, </w:t>
      </w:r>
      <w:r w:rsidR="00A86965">
        <w:rPr>
          <w:rFonts w:ascii="Arial" w:hAnsi="Arial" w:cs="Arial"/>
          <w:sz w:val="24"/>
          <w:szCs w:val="24"/>
        </w:rPr>
        <w:t>(“during the past week, were you limited in your work or other regular daily activities as a result of your arm, shoulder or hand problem?”</w:t>
      </w:r>
      <w:r w:rsidR="004672EA">
        <w:rPr>
          <w:rFonts w:ascii="Arial" w:hAnsi="Arial" w:cs="Arial"/>
          <w:sz w:val="24"/>
          <w:szCs w:val="24"/>
        </w:rPr>
        <w:t>)</w:t>
      </w:r>
      <w:r w:rsidR="00A86965">
        <w:rPr>
          <w:rFonts w:ascii="Arial" w:hAnsi="Arial" w:cs="Arial"/>
          <w:sz w:val="24"/>
          <w:szCs w:val="24"/>
        </w:rPr>
        <w:t xml:space="preserve"> </w:t>
      </w:r>
      <w:r w:rsidR="00C168A6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an effective surrogate for</w:t>
      </w:r>
      <w:r w:rsidR="00C168A6">
        <w:rPr>
          <w:rFonts w:ascii="Arial" w:hAnsi="Arial" w:cs="Arial"/>
          <w:sz w:val="24"/>
          <w:szCs w:val="24"/>
        </w:rPr>
        <w:t xml:space="preserve"> the overall DASH score, </w:t>
      </w:r>
      <w:r>
        <w:rPr>
          <w:rFonts w:ascii="Arial" w:hAnsi="Arial" w:cs="Arial"/>
          <w:sz w:val="24"/>
          <w:szCs w:val="24"/>
        </w:rPr>
        <w:t>in terms</w:t>
      </w:r>
      <w:r w:rsidR="007A4B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C168A6">
        <w:rPr>
          <w:rFonts w:ascii="Arial" w:hAnsi="Arial" w:cs="Arial"/>
          <w:sz w:val="24"/>
          <w:szCs w:val="24"/>
        </w:rPr>
        <w:t xml:space="preserve">enhancing </w:t>
      </w:r>
      <w:r w:rsidR="00A86965">
        <w:rPr>
          <w:rFonts w:ascii="Arial" w:hAnsi="Arial" w:cs="Arial"/>
          <w:sz w:val="24"/>
          <w:szCs w:val="24"/>
        </w:rPr>
        <w:t xml:space="preserve">the </w:t>
      </w:r>
      <w:r w:rsidR="00227304">
        <w:rPr>
          <w:rFonts w:ascii="Arial" w:hAnsi="Arial" w:cs="Arial"/>
          <w:sz w:val="24"/>
          <w:szCs w:val="24"/>
        </w:rPr>
        <w:t xml:space="preserve">predictive capability of the model. </w:t>
      </w:r>
    </w:p>
    <w:p w:rsidR="007A4B5F" w:rsidRDefault="007A4B5F" w:rsidP="001A19E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94551" w:rsidRDefault="00DB2CAF" w:rsidP="001A19E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worker becomes injured, or develops a new musculoskeletal disorde</w:t>
      </w:r>
      <w:r w:rsidR="005B6008">
        <w:rPr>
          <w:rFonts w:ascii="Arial" w:hAnsi="Arial" w:cs="Arial"/>
          <w:sz w:val="24"/>
          <w:szCs w:val="24"/>
        </w:rPr>
        <w:t xml:space="preserve">r, </w:t>
      </w:r>
      <w:r w:rsidR="00900181">
        <w:rPr>
          <w:rFonts w:ascii="Arial" w:hAnsi="Arial" w:cs="Arial"/>
          <w:sz w:val="24"/>
          <w:szCs w:val="24"/>
        </w:rPr>
        <w:t>a complex range of</w:t>
      </w:r>
      <w:r w:rsidR="00E2396A">
        <w:rPr>
          <w:rFonts w:ascii="Arial" w:hAnsi="Arial" w:cs="Arial"/>
          <w:sz w:val="24"/>
          <w:szCs w:val="24"/>
        </w:rPr>
        <w:t xml:space="preserve"> </w:t>
      </w:r>
      <w:r w:rsidR="00900181">
        <w:rPr>
          <w:rFonts w:ascii="Arial" w:hAnsi="Arial" w:cs="Arial"/>
          <w:sz w:val="24"/>
          <w:szCs w:val="24"/>
        </w:rPr>
        <w:t xml:space="preserve">physical, psychosocial and occupational </w:t>
      </w:r>
      <w:r w:rsidR="005B6008">
        <w:rPr>
          <w:rFonts w:ascii="Arial" w:hAnsi="Arial" w:cs="Arial"/>
          <w:sz w:val="24"/>
          <w:szCs w:val="24"/>
        </w:rPr>
        <w:t xml:space="preserve">factors interact </w:t>
      </w:r>
      <w:r w:rsidR="00E2396A">
        <w:rPr>
          <w:rFonts w:ascii="Arial" w:hAnsi="Arial" w:cs="Arial"/>
          <w:sz w:val="24"/>
          <w:szCs w:val="24"/>
        </w:rPr>
        <w:t>and influence th</w:t>
      </w:r>
      <w:r w:rsidR="00900181">
        <w:rPr>
          <w:rFonts w:ascii="Arial" w:hAnsi="Arial" w:cs="Arial"/>
          <w:sz w:val="24"/>
          <w:szCs w:val="24"/>
        </w:rPr>
        <w:t>at</w:t>
      </w:r>
      <w:r w:rsidR="005B6008">
        <w:rPr>
          <w:rFonts w:ascii="Arial" w:hAnsi="Arial" w:cs="Arial"/>
          <w:sz w:val="24"/>
          <w:szCs w:val="24"/>
        </w:rPr>
        <w:t xml:space="preserve"> individual’s response and </w:t>
      </w:r>
      <w:r w:rsidR="00E2396A">
        <w:rPr>
          <w:rFonts w:ascii="Arial" w:hAnsi="Arial" w:cs="Arial"/>
          <w:sz w:val="24"/>
          <w:szCs w:val="24"/>
        </w:rPr>
        <w:t xml:space="preserve">subsequent </w:t>
      </w:r>
      <w:r w:rsidR="00A33E51">
        <w:rPr>
          <w:rFonts w:ascii="Arial" w:hAnsi="Arial" w:cs="Arial"/>
          <w:sz w:val="24"/>
          <w:szCs w:val="24"/>
        </w:rPr>
        <w:t xml:space="preserve">rehabilitation and recovery. </w:t>
      </w:r>
      <w:r w:rsidR="00900181">
        <w:rPr>
          <w:rFonts w:ascii="Arial" w:hAnsi="Arial" w:cs="Arial"/>
          <w:sz w:val="24"/>
          <w:szCs w:val="24"/>
        </w:rPr>
        <w:t>These may include: type of occupation</w:t>
      </w:r>
      <w:r w:rsidR="00A33E51">
        <w:rPr>
          <w:rFonts w:ascii="Arial" w:hAnsi="Arial" w:cs="Arial"/>
          <w:sz w:val="24"/>
          <w:szCs w:val="24"/>
        </w:rPr>
        <w:t xml:space="preserve">, nature of the </w:t>
      </w:r>
      <w:r w:rsidR="00900181">
        <w:rPr>
          <w:rFonts w:ascii="Arial" w:hAnsi="Arial" w:cs="Arial"/>
          <w:sz w:val="24"/>
          <w:szCs w:val="24"/>
        </w:rPr>
        <w:t xml:space="preserve">health </w:t>
      </w:r>
      <w:r w:rsidR="00A33E51">
        <w:rPr>
          <w:rFonts w:ascii="Arial" w:hAnsi="Arial" w:cs="Arial"/>
          <w:sz w:val="24"/>
          <w:szCs w:val="24"/>
        </w:rPr>
        <w:t xml:space="preserve">condition, </w:t>
      </w:r>
      <w:r w:rsidR="00900181">
        <w:rPr>
          <w:rFonts w:ascii="Arial" w:hAnsi="Arial" w:cs="Arial"/>
          <w:sz w:val="24"/>
          <w:szCs w:val="24"/>
        </w:rPr>
        <w:t xml:space="preserve">individual </w:t>
      </w:r>
      <w:r w:rsidR="00A33E51">
        <w:rPr>
          <w:rFonts w:ascii="Arial" w:hAnsi="Arial" w:cs="Arial"/>
          <w:sz w:val="24"/>
          <w:szCs w:val="24"/>
        </w:rPr>
        <w:t xml:space="preserve">beliefs and expectations, financial status, availability of workers’ compensation, quality of line management, flexibility and availability of peer and managerial support, </w:t>
      </w:r>
      <w:r w:rsidR="00A33E51">
        <w:rPr>
          <w:rFonts w:ascii="Arial" w:hAnsi="Arial" w:cs="Arial"/>
          <w:sz w:val="24"/>
          <w:szCs w:val="24"/>
        </w:rPr>
        <w:lastRenderedPageBreak/>
        <w:t xml:space="preserve">job satisfaction, mood, comorbidities, family circumstances and ultimately combine to determine both the short and long-term outcomes. However, there is considerable evidence that the greatest ‘opportunity’ for successful rehabilitation to work </w:t>
      </w:r>
      <w:proofErr w:type="gramStart"/>
      <w:r w:rsidR="00A33E51">
        <w:rPr>
          <w:rFonts w:ascii="Arial" w:hAnsi="Arial" w:cs="Arial"/>
          <w:sz w:val="24"/>
          <w:szCs w:val="24"/>
        </w:rPr>
        <w:t>occurs</w:t>
      </w:r>
      <w:proofErr w:type="gramEnd"/>
      <w:r w:rsidR="00A33E51">
        <w:rPr>
          <w:rFonts w:ascii="Arial" w:hAnsi="Arial" w:cs="Arial"/>
          <w:sz w:val="24"/>
          <w:szCs w:val="24"/>
        </w:rPr>
        <w:t xml:space="preserve"> early (best prognosis within 0-3 months of sickness absence)</w:t>
      </w:r>
      <w:r w:rsidR="000F7B01">
        <w:rPr>
          <w:rFonts w:ascii="Arial" w:hAnsi="Arial" w:cs="Arial"/>
          <w:sz w:val="24"/>
          <w:szCs w:val="24"/>
        </w:rPr>
        <w:t xml:space="preserve">. This paper elegantly shows how difficult it is to apply any simplistic model to identify all those at highest risk of disability for work after 3 months. However, </w:t>
      </w:r>
      <w:r w:rsidR="009235C1">
        <w:rPr>
          <w:rFonts w:ascii="Arial" w:hAnsi="Arial" w:cs="Arial"/>
          <w:sz w:val="24"/>
          <w:szCs w:val="24"/>
        </w:rPr>
        <w:t xml:space="preserve">the authors demonstrate that </w:t>
      </w:r>
      <w:r w:rsidR="00900181">
        <w:rPr>
          <w:rFonts w:ascii="Arial" w:hAnsi="Arial" w:cs="Arial"/>
          <w:sz w:val="24"/>
          <w:szCs w:val="24"/>
        </w:rPr>
        <w:t xml:space="preserve">a model </w:t>
      </w:r>
      <w:r w:rsidR="009235C1">
        <w:rPr>
          <w:rFonts w:ascii="Arial" w:hAnsi="Arial" w:cs="Arial"/>
          <w:sz w:val="24"/>
          <w:szCs w:val="24"/>
        </w:rPr>
        <w:t>incorporating</w:t>
      </w:r>
      <w:r w:rsidR="00900181">
        <w:rPr>
          <w:rFonts w:ascii="Arial" w:hAnsi="Arial" w:cs="Arial"/>
          <w:sz w:val="24"/>
          <w:szCs w:val="24"/>
        </w:rPr>
        <w:t xml:space="preserve"> </w:t>
      </w:r>
      <w:r w:rsidR="000F7B01">
        <w:rPr>
          <w:rFonts w:ascii="Arial" w:hAnsi="Arial" w:cs="Arial"/>
          <w:sz w:val="24"/>
          <w:szCs w:val="24"/>
        </w:rPr>
        <w:t>the SF-36</w:t>
      </w:r>
      <w:r w:rsidR="00900181">
        <w:rPr>
          <w:rFonts w:ascii="Arial" w:hAnsi="Arial" w:cs="Arial"/>
          <w:sz w:val="24"/>
          <w:szCs w:val="24"/>
        </w:rPr>
        <w:t xml:space="preserve"> sub-scales</w:t>
      </w:r>
      <w:r w:rsidR="000F7B01">
        <w:rPr>
          <w:rFonts w:ascii="Arial" w:hAnsi="Arial" w:cs="Arial"/>
          <w:sz w:val="24"/>
          <w:szCs w:val="24"/>
        </w:rPr>
        <w:t xml:space="preserve"> (physical functioning, social functioning, </w:t>
      </w:r>
      <w:proofErr w:type="gramStart"/>
      <w:r w:rsidR="000F7B01">
        <w:rPr>
          <w:rFonts w:ascii="Arial" w:hAnsi="Arial" w:cs="Arial"/>
          <w:sz w:val="24"/>
          <w:szCs w:val="24"/>
        </w:rPr>
        <w:t>role</w:t>
      </w:r>
      <w:proofErr w:type="gramEnd"/>
      <w:r w:rsidR="000F7B01">
        <w:rPr>
          <w:rFonts w:ascii="Arial" w:hAnsi="Arial" w:cs="Arial"/>
          <w:sz w:val="24"/>
          <w:szCs w:val="24"/>
        </w:rPr>
        <w:t xml:space="preserve"> physical) and the DASH item 23 </w:t>
      </w:r>
      <w:r w:rsidR="00900181">
        <w:rPr>
          <w:rFonts w:ascii="Arial" w:hAnsi="Arial" w:cs="Arial"/>
          <w:sz w:val="24"/>
          <w:szCs w:val="24"/>
        </w:rPr>
        <w:t>accurately identifies</w:t>
      </w:r>
      <w:r w:rsidR="000F7B01">
        <w:rPr>
          <w:rFonts w:ascii="Arial" w:hAnsi="Arial" w:cs="Arial"/>
          <w:sz w:val="24"/>
          <w:szCs w:val="24"/>
        </w:rPr>
        <w:t xml:space="preserve"> as many as three-quarters of </w:t>
      </w:r>
      <w:r w:rsidR="00900181">
        <w:rPr>
          <w:rFonts w:ascii="Arial" w:hAnsi="Arial" w:cs="Arial"/>
          <w:sz w:val="24"/>
          <w:szCs w:val="24"/>
        </w:rPr>
        <w:t xml:space="preserve">workers </w:t>
      </w:r>
      <w:r w:rsidR="000F7B01">
        <w:rPr>
          <w:rFonts w:ascii="Arial" w:hAnsi="Arial" w:cs="Arial"/>
          <w:sz w:val="24"/>
          <w:szCs w:val="24"/>
        </w:rPr>
        <w:t>at the highest risk</w:t>
      </w:r>
      <w:r w:rsidR="00900181">
        <w:rPr>
          <w:rFonts w:ascii="Arial" w:hAnsi="Arial" w:cs="Arial"/>
          <w:sz w:val="24"/>
          <w:szCs w:val="24"/>
        </w:rPr>
        <w:t xml:space="preserve"> of a poor outcome</w:t>
      </w:r>
      <w:r w:rsidR="000F7B01">
        <w:rPr>
          <w:rFonts w:ascii="Arial" w:hAnsi="Arial" w:cs="Arial"/>
          <w:sz w:val="24"/>
          <w:szCs w:val="24"/>
        </w:rPr>
        <w:t xml:space="preserve">. For those of us trying to reduce the burden of work disability from musculoskeletal disorders, therefore, this is an important step forward. Clinical trials such as the </w:t>
      </w:r>
      <w:proofErr w:type="spellStart"/>
      <w:r w:rsidR="000F7B01">
        <w:rPr>
          <w:rFonts w:ascii="Arial" w:hAnsi="Arial" w:cs="Arial"/>
          <w:sz w:val="24"/>
          <w:szCs w:val="24"/>
        </w:rPr>
        <w:t>ST</w:t>
      </w:r>
      <w:r w:rsidR="003D7EF6">
        <w:rPr>
          <w:rFonts w:ascii="Arial" w:hAnsi="Arial" w:cs="Arial"/>
          <w:sz w:val="24"/>
          <w:szCs w:val="24"/>
        </w:rPr>
        <w:t>arT</w:t>
      </w:r>
      <w:proofErr w:type="spellEnd"/>
      <w:r w:rsidR="000F7B01">
        <w:rPr>
          <w:rFonts w:ascii="Arial" w:hAnsi="Arial" w:cs="Arial"/>
          <w:sz w:val="24"/>
          <w:szCs w:val="24"/>
        </w:rPr>
        <w:t xml:space="preserve"> back trial </w:t>
      </w:r>
      <w:r w:rsidR="004643CB">
        <w:rPr>
          <w:rFonts w:ascii="Arial" w:hAnsi="Arial" w:cs="Arial"/>
          <w:sz w:val="24"/>
          <w:szCs w:val="24"/>
        </w:rPr>
        <w:t>[</w:t>
      </w:r>
      <w:r w:rsidR="004672EA">
        <w:rPr>
          <w:rFonts w:ascii="Arial" w:hAnsi="Arial" w:cs="Arial"/>
          <w:sz w:val="24"/>
          <w:szCs w:val="24"/>
        </w:rPr>
        <w:t>7,8</w:t>
      </w:r>
      <w:r w:rsidR="004643CB">
        <w:rPr>
          <w:rFonts w:ascii="Arial" w:hAnsi="Arial" w:cs="Arial"/>
          <w:sz w:val="24"/>
          <w:szCs w:val="24"/>
        </w:rPr>
        <w:t xml:space="preserve">] </w:t>
      </w:r>
      <w:r w:rsidR="000F7B01">
        <w:rPr>
          <w:rFonts w:ascii="Arial" w:hAnsi="Arial" w:cs="Arial"/>
          <w:sz w:val="24"/>
          <w:szCs w:val="24"/>
        </w:rPr>
        <w:t xml:space="preserve">have </w:t>
      </w:r>
      <w:r w:rsidR="009235C1">
        <w:rPr>
          <w:rFonts w:ascii="Arial" w:hAnsi="Arial" w:cs="Arial"/>
          <w:sz w:val="24"/>
          <w:szCs w:val="24"/>
        </w:rPr>
        <w:t xml:space="preserve">highlighted </w:t>
      </w:r>
      <w:r w:rsidR="000F7B01">
        <w:rPr>
          <w:rFonts w:ascii="Arial" w:hAnsi="Arial" w:cs="Arial"/>
          <w:sz w:val="24"/>
          <w:szCs w:val="24"/>
        </w:rPr>
        <w:t>the cost-</w:t>
      </w:r>
      <w:r w:rsidR="005A3664">
        <w:rPr>
          <w:rFonts w:ascii="Arial" w:hAnsi="Arial" w:cs="Arial"/>
          <w:sz w:val="24"/>
          <w:szCs w:val="24"/>
        </w:rPr>
        <w:t>effectiveness</w:t>
      </w:r>
      <w:r w:rsidR="000F7B01">
        <w:rPr>
          <w:rFonts w:ascii="Arial" w:hAnsi="Arial" w:cs="Arial"/>
          <w:sz w:val="24"/>
          <w:szCs w:val="24"/>
        </w:rPr>
        <w:t xml:space="preserve"> of a triaged approach to acute </w:t>
      </w:r>
      <w:r w:rsidR="005A3664">
        <w:rPr>
          <w:rFonts w:ascii="Arial" w:hAnsi="Arial" w:cs="Arial"/>
          <w:sz w:val="24"/>
          <w:szCs w:val="24"/>
        </w:rPr>
        <w:t>musculoskeletal</w:t>
      </w:r>
      <w:r w:rsidR="000F7B01">
        <w:rPr>
          <w:rFonts w:ascii="Arial" w:hAnsi="Arial" w:cs="Arial"/>
          <w:sz w:val="24"/>
          <w:szCs w:val="24"/>
        </w:rPr>
        <w:t xml:space="preserve"> disorders (in </w:t>
      </w:r>
      <w:proofErr w:type="spellStart"/>
      <w:r w:rsidR="003D7EF6">
        <w:rPr>
          <w:rFonts w:ascii="Arial" w:hAnsi="Arial" w:cs="Arial"/>
          <w:sz w:val="24"/>
          <w:szCs w:val="24"/>
        </w:rPr>
        <w:t>STarT</w:t>
      </w:r>
      <w:proofErr w:type="spellEnd"/>
      <w:r w:rsidR="005A3664">
        <w:rPr>
          <w:rFonts w:ascii="Arial" w:hAnsi="Arial" w:cs="Arial"/>
          <w:sz w:val="24"/>
          <w:szCs w:val="24"/>
        </w:rPr>
        <w:t xml:space="preserve"> back</w:t>
      </w:r>
      <w:r w:rsidR="000F7B01">
        <w:rPr>
          <w:rFonts w:ascii="Arial" w:hAnsi="Arial" w:cs="Arial"/>
          <w:sz w:val="24"/>
          <w:szCs w:val="24"/>
        </w:rPr>
        <w:t xml:space="preserve"> </w:t>
      </w:r>
      <w:r w:rsidR="005A3664">
        <w:rPr>
          <w:rFonts w:ascii="Arial" w:hAnsi="Arial" w:cs="Arial"/>
          <w:sz w:val="24"/>
          <w:szCs w:val="24"/>
        </w:rPr>
        <w:t>it was</w:t>
      </w:r>
      <w:r w:rsidR="000F7B01">
        <w:rPr>
          <w:rFonts w:ascii="Arial" w:hAnsi="Arial" w:cs="Arial"/>
          <w:sz w:val="24"/>
          <w:szCs w:val="24"/>
        </w:rPr>
        <w:t xml:space="preserve"> low back pain) where</w:t>
      </w:r>
      <w:r w:rsidR="005A3664">
        <w:rPr>
          <w:rFonts w:ascii="Arial" w:hAnsi="Arial" w:cs="Arial"/>
          <w:sz w:val="24"/>
          <w:szCs w:val="24"/>
        </w:rPr>
        <w:t>by</w:t>
      </w:r>
      <w:r w:rsidR="000F7B01">
        <w:rPr>
          <w:rFonts w:ascii="Arial" w:hAnsi="Arial" w:cs="Arial"/>
          <w:sz w:val="24"/>
          <w:szCs w:val="24"/>
        </w:rPr>
        <w:t xml:space="preserve"> using a risk factor-based algorithm, more complex and exp</w:t>
      </w:r>
      <w:r w:rsidR="005A3664">
        <w:rPr>
          <w:rFonts w:ascii="Arial" w:hAnsi="Arial" w:cs="Arial"/>
          <w:sz w:val="24"/>
          <w:szCs w:val="24"/>
        </w:rPr>
        <w:t>en</w:t>
      </w:r>
      <w:r w:rsidR="000F7B01">
        <w:rPr>
          <w:rFonts w:ascii="Arial" w:hAnsi="Arial" w:cs="Arial"/>
          <w:sz w:val="24"/>
          <w:szCs w:val="24"/>
        </w:rPr>
        <w:t xml:space="preserve">sive healthcare interventions are </w:t>
      </w:r>
      <w:r w:rsidR="009235C1">
        <w:rPr>
          <w:rFonts w:ascii="Arial" w:hAnsi="Arial" w:cs="Arial"/>
          <w:sz w:val="24"/>
          <w:szCs w:val="24"/>
        </w:rPr>
        <w:t>aimed at</w:t>
      </w:r>
      <w:r w:rsidR="000F7B01">
        <w:rPr>
          <w:rFonts w:ascii="Arial" w:hAnsi="Arial" w:cs="Arial"/>
          <w:sz w:val="24"/>
          <w:szCs w:val="24"/>
        </w:rPr>
        <w:t xml:space="preserve"> those a</w:t>
      </w:r>
      <w:r w:rsidR="005A3664">
        <w:rPr>
          <w:rFonts w:ascii="Arial" w:hAnsi="Arial" w:cs="Arial"/>
          <w:sz w:val="24"/>
          <w:szCs w:val="24"/>
        </w:rPr>
        <w:t>t highest risk of poor outcomes. The work of Armijo-</w:t>
      </w:r>
      <w:proofErr w:type="spellStart"/>
      <w:r w:rsidR="005A3664">
        <w:rPr>
          <w:rFonts w:ascii="Arial" w:hAnsi="Arial" w:cs="Arial"/>
          <w:sz w:val="24"/>
          <w:szCs w:val="24"/>
        </w:rPr>
        <w:t>Olivo</w:t>
      </w:r>
      <w:proofErr w:type="spellEnd"/>
      <w:r w:rsidR="005A3664">
        <w:rPr>
          <w:rFonts w:ascii="Arial" w:hAnsi="Arial" w:cs="Arial"/>
          <w:sz w:val="24"/>
          <w:szCs w:val="24"/>
        </w:rPr>
        <w:t xml:space="preserve"> and colleagues suggest that we are making progress towards being able to identify those with upper limb disorders at highest risk of longer term work disability </w:t>
      </w:r>
      <w:r w:rsidR="009235C1">
        <w:rPr>
          <w:rFonts w:ascii="Arial" w:hAnsi="Arial" w:cs="Arial"/>
          <w:sz w:val="24"/>
          <w:szCs w:val="24"/>
        </w:rPr>
        <w:t xml:space="preserve">and consequently </w:t>
      </w:r>
      <w:r w:rsidR="0040086D">
        <w:rPr>
          <w:rFonts w:ascii="Arial" w:hAnsi="Arial" w:cs="Arial"/>
          <w:sz w:val="24"/>
          <w:szCs w:val="24"/>
        </w:rPr>
        <w:t xml:space="preserve">target </w:t>
      </w:r>
      <w:r w:rsidR="005A3664">
        <w:rPr>
          <w:rFonts w:ascii="Arial" w:hAnsi="Arial" w:cs="Arial"/>
          <w:sz w:val="24"/>
          <w:szCs w:val="24"/>
        </w:rPr>
        <w:t xml:space="preserve">healthcare resources </w:t>
      </w:r>
      <w:r w:rsidR="009235C1">
        <w:rPr>
          <w:rFonts w:ascii="Arial" w:hAnsi="Arial" w:cs="Arial"/>
          <w:sz w:val="24"/>
          <w:szCs w:val="24"/>
        </w:rPr>
        <w:t xml:space="preserve">appropriately </w:t>
      </w:r>
      <w:r w:rsidR="0040086D">
        <w:rPr>
          <w:rFonts w:ascii="Arial" w:hAnsi="Arial" w:cs="Arial"/>
          <w:sz w:val="24"/>
          <w:szCs w:val="24"/>
        </w:rPr>
        <w:t>at</w:t>
      </w:r>
      <w:r w:rsidR="009235C1">
        <w:rPr>
          <w:rFonts w:ascii="Arial" w:hAnsi="Arial" w:cs="Arial"/>
          <w:sz w:val="24"/>
          <w:szCs w:val="24"/>
        </w:rPr>
        <w:t xml:space="preserve"> </w:t>
      </w:r>
      <w:r w:rsidR="005A3664">
        <w:rPr>
          <w:rFonts w:ascii="Arial" w:hAnsi="Arial" w:cs="Arial"/>
          <w:sz w:val="24"/>
          <w:szCs w:val="24"/>
        </w:rPr>
        <w:t>this higher-risk group</w:t>
      </w:r>
      <w:r w:rsidR="0040086D">
        <w:rPr>
          <w:rFonts w:ascii="Arial" w:hAnsi="Arial" w:cs="Arial"/>
          <w:sz w:val="24"/>
          <w:szCs w:val="24"/>
        </w:rPr>
        <w:t>.</w:t>
      </w:r>
      <w:r w:rsidR="005A3664">
        <w:rPr>
          <w:rFonts w:ascii="Arial" w:hAnsi="Arial" w:cs="Arial"/>
          <w:sz w:val="24"/>
          <w:szCs w:val="24"/>
        </w:rPr>
        <w:t xml:space="preserve"> </w:t>
      </w:r>
      <w:r w:rsidR="00027840">
        <w:rPr>
          <w:rFonts w:ascii="Arial" w:hAnsi="Arial" w:cs="Arial"/>
          <w:sz w:val="24"/>
          <w:szCs w:val="24"/>
        </w:rPr>
        <w:t xml:space="preserve">This is positive progress in addressing the </w:t>
      </w:r>
      <w:r w:rsidR="006A22F2">
        <w:rPr>
          <w:rFonts w:ascii="Arial" w:hAnsi="Arial" w:cs="Arial"/>
          <w:sz w:val="24"/>
          <w:szCs w:val="24"/>
        </w:rPr>
        <w:t>substantial</w:t>
      </w:r>
      <w:r w:rsidR="0040086D">
        <w:rPr>
          <w:rFonts w:ascii="Arial" w:hAnsi="Arial" w:cs="Arial"/>
          <w:sz w:val="24"/>
          <w:szCs w:val="24"/>
        </w:rPr>
        <w:t xml:space="preserve"> challenge</w:t>
      </w:r>
      <w:r w:rsidR="009235C1">
        <w:rPr>
          <w:rFonts w:ascii="Arial" w:hAnsi="Arial" w:cs="Arial"/>
          <w:sz w:val="24"/>
          <w:szCs w:val="24"/>
        </w:rPr>
        <w:t xml:space="preserve"> of </w:t>
      </w:r>
      <w:r w:rsidR="005A3664">
        <w:rPr>
          <w:rFonts w:ascii="Arial" w:hAnsi="Arial" w:cs="Arial"/>
          <w:sz w:val="24"/>
          <w:szCs w:val="24"/>
        </w:rPr>
        <w:t xml:space="preserve">cost-effectively reducing the </w:t>
      </w:r>
      <w:r w:rsidR="0040086D">
        <w:rPr>
          <w:rFonts w:ascii="Arial" w:hAnsi="Arial" w:cs="Arial"/>
          <w:sz w:val="24"/>
          <w:szCs w:val="24"/>
        </w:rPr>
        <w:t xml:space="preserve">considerable </w:t>
      </w:r>
      <w:r w:rsidR="005A3664">
        <w:rPr>
          <w:rFonts w:ascii="Arial" w:hAnsi="Arial" w:cs="Arial"/>
          <w:sz w:val="24"/>
          <w:szCs w:val="24"/>
        </w:rPr>
        <w:t>burden of work disability caused by upper extremity musculoskeletal disorders.</w:t>
      </w:r>
      <w:r w:rsidR="00531607">
        <w:rPr>
          <w:rFonts w:ascii="Arial" w:hAnsi="Arial" w:cs="Arial"/>
          <w:sz w:val="24"/>
          <w:szCs w:val="24"/>
        </w:rPr>
        <w:t xml:space="preserve"> </w:t>
      </w:r>
    </w:p>
    <w:p w:rsidR="00192509" w:rsidRDefault="0019250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2509" w:rsidRDefault="00192509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FUNDING:</w:t>
      </w:r>
    </w:p>
    <w:p w:rsidR="00192509" w:rsidRPr="00192509" w:rsidRDefault="00192509" w:rsidP="0019250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2509">
        <w:rPr>
          <w:rFonts w:ascii="Arial" w:hAnsi="Arial" w:cs="Arial"/>
          <w:color w:val="000000" w:themeColor="text1"/>
          <w:sz w:val="24"/>
          <w:szCs w:val="24"/>
        </w:rPr>
        <w:t>Dr Linaker is funded by a strategic award from Arthritis Research UK and MRC (The Arthritis Research UK/MRC Centre for Musculoskeletal Health and Work).</w:t>
      </w:r>
    </w:p>
    <w:p w:rsidR="00192509" w:rsidRDefault="00192509" w:rsidP="0019250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2509" w:rsidRPr="00192509" w:rsidRDefault="00192509" w:rsidP="0019250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9250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CONFLICT OF INTEREST:</w:t>
      </w:r>
    </w:p>
    <w:p w:rsidR="00192509" w:rsidRPr="00192509" w:rsidRDefault="00192509" w:rsidP="0019250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2509">
        <w:rPr>
          <w:rFonts w:ascii="Arial" w:hAnsi="Arial" w:cs="Arial"/>
          <w:color w:val="000000" w:themeColor="text1"/>
          <w:sz w:val="24"/>
          <w:szCs w:val="24"/>
        </w:rPr>
        <w:t>Both co-authors actively participated in the preparation of this manuscript. No co-authors have any conflict of interest to declare.</w:t>
      </w:r>
    </w:p>
    <w:p w:rsidR="00192509" w:rsidRDefault="00192509" w:rsidP="00676925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76925" w:rsidRPr="00676925" w:rsidRDefault="00676925" w:rsidP="00676925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76925">
        <w:rPr>
          <w:rFonts w:ascii="Arial" w:hAnsi="Arial" w:cs="Arial"/>
          <w:b/>
          <w:color w:val="000000" w:themeColor="text1"/>
          <w:sz w:val="24"/>
          <w:szCs w:val="24"/>
        </w:rPr>
        <w:t>References</w:t>
      </w:r>
    </w:p>
    <w:p w:rsidR="00676925" w:rsidRPr="00676925" w:rsidRDefault="00676925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</w:rPr>
        <w:t>Arnijo-Olivi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S, Woodhouse L, </w:t>
      </w: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</w:rPr>
        <w:t>Steenstra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I, Gross D. The predictive value of the DASH tool for predicting return to work of injured workers with musculoskeletal disorders of the upper extremity. OEM (editors to complete)</w:t>
      </w:r>
    </w:p>
    <w:p w:rsidR="00676925" w:rsidRPr="00676925" w:rsidRDefault="00676925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</w:rPr>
        <w:t>Storheim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K, </w:t>
      </w: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</w:rPr>
        <w:t>Zwart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J-A. </w:t>
      </w:r>
      <w:r w:rsidR="00215E8A"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Musculoskeletal disorders</w:t>
      </w:r>
      <w:r w:rsidR="00215E8A"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the</w:t>
      </w:r>
      <w:r w:rsidR="00215E8A"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215E8A"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Global Burden of </w:t>
      </w: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Disease study. Ann Rheum Dis. 2014</w:t>
      </w:r>
      <w:proofErr w:type="gramStart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;73</w:t>
      </w:r>
      <w:proofErr w:type="gramEnd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(6):949-50. </w:t>
      </w:r>
    </w:p>
    <w:p w:rsidR="00676925" w:rsidRPr="00676925" w:rsidRDefault="00676925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Bevan S. </w:t>
      </w:r>
      <w:r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Economic impact of musculoskeletal disorders (MSDs) on work in Europe. Best </w:t>
      </w:r>
      <w:proofErr w:type="spellStart"/>
      <w:r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Pract</w:t>
      </w:r>
      <w:proofErr w:type="spellEnd"/>
      <w:r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Res </w:t>
      </w:r>
      <w:proofErr w:type="spellStart"/>
      <w:r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Clin</w:t>
      </w:r>
      <w:proofErr w:type="spellEnd"/>
      <w:r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Rheumatol</w:t>
      </w:r>
      <w:proofErr w:type="spellEnd"/>
      <w:r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. 2015; 29:356-73. </w:t>
      </w:r>
    </w:p>
    <w:p w:rsidR="00676925" w:rsidRPr="00676925" w:rsidRDefault="00676925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</w:rPr>
        <w:t>Hudak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P, </w:t>
      </w: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</w:rPr>
        <w:t>Amadio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PC, Bombardier C, and the Upper Extremity Collaborative Group. </w:t>
      </w:r>
      <w:r w:rsidRPr="00676925">
        <w:rPr>
          <w:rFonts w:ascii="Arial" w:hAnsi="Arial" w:cs="Arial"/>
          <w:bCs/>
          <w:color w:val="000000" w:themeColor="text1"/>
          <w:sz w:val="24"/>
          <w:szCs w:val="24"/>
        </w:rPr>
        <w:t>Development of an Upper Extremity Outcome Measure: The DASH (Disabilities of the Arm, Shoulder, and Hand)</w:t>
      </w:r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676925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gram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J </w:t>
      </w: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</w:rPr>
        <w:t>Ind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</w:rPr>
        <w:t xml:space="preserve"> Med 1996; 29:602-608.</w:t>
      </w:r>
    </w:p>
    <w:p w:rsidR="00676925" w:rsidRPr="00676925" w:rsidRDefault="00676925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Beaton DE, Wright JG, Katz JN, and the Upper Extremity Collaborative Group.</w:t>
      </w:r>
      <w:r w:rsidR="00215E8A"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215E8A"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Development of the</w:t>
      </w:r>
      <w:r w:rsidR="00215E8A" w:rsidRPr="0067692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215E8A" w:rsidRPr="00676925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Quick</w:t>
      </w:r>
      <w:r w:rsidR="00215E8A"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DASH</w:t>
      </w:r>
      <w:proofErr w:type="spellEnd"/>
      <w:r w:rsidR="00215E8A"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: Comparison of three item-reduction approaches</w:t>
      </w:r>
      <w:r w:rsidRPr="006769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JBJS 2005a; </w:t>
      </w:r>
      <w:proofErr w:type="gramStart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87A(</w:t>
      </w:r>
      <w:proofErr w:type="gramEnd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5):1038-1046.</w:t>
      </w:r>
    </w:p>
    <w:p w:rsidR="00676925" w:rsidRPr="00676925" w:rsidRDefault="00676925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Dowrick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AS, </w:t>
      </w:r>
      <w:proofErr w:type="spellStart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Gabbe</w:t>
      </w:r>
      <w:proofErr w:type="spellEnd"/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BJ, Williamson OD, Cameron PA.</w:t>
      </w:r>
      <w:r w:rsidR="00215E8A"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215E8A" w:rsidRPr="0067692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Outcome instruments for the assessment of the upper extremity following trauma: a review</w:t>
      </w:r>
      <w:r w:rsidRPr="006769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Injury 2005; 36: 468-476.</w:t>
      </w:r>
      <w:r w:rsidRPr="00676925">
        <w:t xml:space="preserve"> </w:t>
      </w:r>
    </w:p>
    <w:p w:rsidR="00676925" w:rsidRPr="00676925" w:rsidRDefault="004672EA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2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Hill JC, Whitehurst DGT, Lewis M,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 al</w:t>
      </w:r>
      <w:r w:rsidRPr="004672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76925"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Comparison of stratified primary care management for low back pain with current best practice (</w:t>
      </w:r>
      <w:proofErr w:type="spellStart"/>
      <w:r w:rsidR="00676925"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STarT</w:t>
      </w:r>
      <w:proofErr w:type="spellEnd"/>
      <w:r w:rsidR="00676925"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Back): a randomised controlled trial. Lancet 2011; 378: 1560–71.</w:t>
      </w:r>
    </w:p>
    <w:p w:rsidR="00676925" w:rsidRPr="00676925" w:rsidRDefault="00676925" w:rsidP="00676925">
      <w:pPr>
        <w:numPr>
          <w:ilvl w:val="0"/>
          <w:numId w:val="1"/>
        </w:numPr>
        <w:spacing w:line="48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Foster N, Mullis R, Hill JC, </w:t>
      </w:r>
      <w:r w:rsidR="004672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 al</w:t>
      </w:r>
      <w:r w:rsidRPr="006769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76925">
        <w:rPr>
          <w:rFonts w:ascii="Arial" w:eastAsia="Times New Roman" w:hAnsi="Arial" w:cs="Arial"/>
          <w:bCs/>
          <w:color w:val="403838"/>
          <w:kern w:val="36"/>
          <w:sz w:val="24"/>
          <w:szCs w:val="24"/>
          <w:lang w:eastAsia="en-GB"/>
        </w:rPr>
        <w:t>Effect of Stratified Care for Low Back Pain in Family Practice (</w:t>
      </w:r>
      <w:proofErr w:type="spellStart"/>
      <w:r w:rsidRPr="00676925">
        <w:rPr>
          <w:rFonts w:ascii="Arial" w:eastAsia="Times New Roman" w:hAnsi="Arial" w:cs="Arial"/>
          <w:bCs/>
          <w:color w:val="403838"/>
          <w:kern w:val="36"/>
          <w:sz w:val="24"/>
          <w:szCs w:val="24"/>
          <w:lang w:eastAsia="en-GB"/>
        </w:rPr>
        <w:t>IMPaCT</w:t>
      </w:r>
      <w:proofErr w:type="spellEnd"/>
      <w:r w:rsidRPr="00676925">
        <w:rPr>
          <w:rFonts w:ascii="Arial" w:eastAsia="Times New Roman" w:hAnsi="Arial" w:cs="Arial"/>
          <w:bCs/>
          <w:color w:val="403838"/>
          <w:kern w:val="36"/>
          <w:sz w:val="24"/>
          <w:szCs w:val="24"/>
          <w:lang w:eastAsia="en-GB"/>
        </w:rPr>
        <w:t xml:space="preserve"> Back): A Prospective Population-Based Sequential Comparison. Ann </w:t>
      </w:r>
      <w:proofErr w:type="gramStart"/>
      <w:r w:rsidRPr="00676925">
        <w:rPr>
          <w:rFonts w:ascii="Arial" w:eastAsia="Times New Roman" w:hAnsi="Arial" w:cs="Arial"/>
          <w:bCs/>
          <w:color w:val="403838"/>
          <w:kern w:val="36"/>
          <w:sz w:val="24"/>
          <w:szCs w:val="24"/>
          <w:lang w:eastAsia="en-GB"/>
        </w:rPr>
        <w:t>Fam</w:t>
      </w:r>
      <w:proofErr w:type="gramEnd"/>
      <w:r w:rsidRPr="00676925">
        <w:rPr>
          <w:rFonts w:ascii="Arial" w:eastAsia="Times New Roman" w:hAnsi="Arial" w:cs="Arial"/>
          <w:bCs/>
          <w:color w:val="403838"/>
          <w:kern w:val="36"/>
          <w:sz w:val="24"/>
          <w:szCs w:val="24"/>
          <w:lang w:eastAsia="en-GB"/>
        </w:rPr>
        <w:t xml:space="preserve"> Med 2014; 12 (2): 102-11.</w:t>
      </w:r>
      <w:r w:rsidRPr="00676925">
        <w:rPr>
          <w:rFonts w:ascii="Arial" w:eastAsia="Times New Roman" w:hAnsi="Arial" w:cs="Arial"/>
          <w:b/>
          <w:bCs/>
          <w:color w:val="403838"/>
          <w:kern w:val="36"/>
          <w:sz w:val="24"/>
          <w:szCs w:val="24"/>
          <w:lang w:eastAsia="en-GB"/>
        </w:rPr>
        <w:t xml:space="preserve">                                        </w:t>
      </w:r>
    </w:p>
    <w:p w:rsidR="00676925" w:rsidRPr="00694551" w:rsidRDefault="00676925" w:rsidP="001A19E1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76925" w:rsidRPr="0069455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74" w:rsidRDefault="009E7F74" w:rsidP="00E96781">
      <w:pPr>
        <w:spacing w:after="0" w:line="240" w:lineRule="auto"/>
      </w:pPr>
      <w:r>
        <w:separator/>
      </w:r>
    </w:p>
  </w:endnote>
  <w:endnote w:type="continuationSeparator" w:id="0">
    <w:p w:rsidR="009E7F74" w:rsidRDefault="009E7F74" w:rsidP="00E9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125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6781" w:rsidRDefault="00E967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7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781" w:rsidRDefault="00E96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74" w:rsidRDefault="009E7F74" w:rsidP="00E96781">
      <w:pPr>
        <w:spacing w:after="0" w:line="240" w:lineRule="auto"/>
      </w:pPr>
      <w:r>
        <w:separator/>
      </w:r>
    </w:p>
  </w:footnote>
  <w:footnote w:type="continuationSeparator" w:id="0">
    <w:p w:rsidR="009E7F74" w:rsidRDefault="009E7F74" w:rsidP="00E9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E75"/>
    <w:multiLevelType w:val="hybridMultilevel"/>
    <w:tmpl w:val="6A42C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51"/>
    <w:rsid w:val="00027840"/>
    <w:rsid w:val="000A4B52"/>
    <w:rsid w:val="000F7B01"/>
    <w:rsid w:val="00115A0C"/>
    <w:rsid w:val="00192509"/>
    <w:rsid w:val="001A19E1"/>
    <w:rsid w:val="001E65A4"/>
    <w:rsid w:val="001F58E9"/>
    <w:rsid w:val="0020616F"/>
    <w:rsid w:val="00215E8A"/>
    <w:rsid w:val="00227304"/>
    <w:rsid w:val="002A6326"/>
    <w:rsid w:val="002D7B87"/>
    <w:rsid w:val="003D7EF6"/>
    <w:rsid w:val="0040086D"/>
    <w:rsid w:val="004218FC"/>
    <w:rsid w:val="004626EA"/>
    <w:rsid w:val="004643CB"/>
    <w:rsid w:val="004672EA"/>
    <w:rsid w:val="004C5868"/>
    <w:rsid w:val="004E17FB"/>
    <w:rsid w:val="00531607"/>
    <w:rsid w:val="00562CB2"/>
    <w:rsid w:val="0057083B"/>
    <w:rsid w:val="00591C20"/>
    <w:rsid w:val="005A3664"/>
    <w:rsid w:val="005B6008"/>
    <w:rsid w:val="005D5935"/>
    <w:rsid w:val="00676925"/>
    <w:rsid w:val="00694551"/>
    <w:rsid w:val="006A22F2"/>
    <w:rsid w:val="00777066"/>
    <w:rsid w:val="007A4B5F"/>
    <w:rsid w:val="007E0156"/>
    <w:rsid w:val="00874525"/>
    <w:rsid w:val="0089698B"/>
    <w:rsid w:val="008D753E"/>
    <w:rsid w:val="008E6F8A"/>
    <w:rsid w:val="00900181"/>
    <w:rsid w:val="009235C1"/>
    <w:rsid w:val="009A005E"/>
    <w:rsid w:val="009D0FAB"/>
    <w:rsid w:val="009E7F74"/>
    <w:rsid w:val="00A33E51"/>
    <w:rsid w:val="00A86965"/>
    <w:rsid w:val="00B47565"/>
    <w:rsid w:val="00B90C17"/>
    <w:rsid w:val="00BA5508"/>
    <w:rsid w:val="00C168A6"/>
    <w:rsid w:val="00C21AA5"/>
    <w:rsid w:val="00C82DAA"/>
    <w:rsid w:val="00D15EC2"/>
    <w:rsid w:val="00DB2CAF"/>
    <w:rsid w:val="00E2396A"/>
    <w:rsid w:val="00E265F8"/>
    <w:rsid w:val="00E3461E"/>
    <w:rsid w:val="00E431EF"/>
    <w:rsid w:val="00E62791"/>
    <w:rsid w:val="00E96781"/>
    <w:rsid w:val="00ED543A"/>
    <w:rsid w:val="00F35D5E"/>
    <w:rsid w:val="00F80215"/>
    <w:rsid w:val="00FA0E20"/>
    <w:rsid w:val="00F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1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81"/>
  </w:style>
  <w:style w:type="paragraph" w:styleId="Footer">
    <w:name w:val="footer"/>
    <w:basedOn w:val="Normal"/>
    <w:link w:val="FooterChar"/>
    <w:uiPriority w:val="99"/>
    <w:unhideWhenUsed/>
    <w:rsid w:val="00E9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81"/>
  </w:style>
  <w:style w:type="character" w:styleId="CommentReference">
    <w:name w:val="annotation reference"/>
    <w:basedOn w:val="DefaultParagraphFont"/>
    <w:uiPriority w:val="99"/>
    <w:semiHidden/>
    <w:unhideWhenUsed/>
    <w:rsid w:val="00923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1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81"/>
  </w:style>
  <w:style w:type="paragraph" w:styleId="Footer">
    <w:name w:val="footer"/>
    <w:basedOn w:val="Normal"/>
    <w:link w:val="FooterChar"/>
    <w:uiPriority w:val="99"/>
    <w:unhideWhenUsed/>
    <w:rsid w:val="00E9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81"/>
  </w:style>
  <w:style w:type="character" w:styleId="CommentReference">
    <w:name w:val="annotation reference"/>
    <w:basedOn w:val="DefaultParagraphFont"/>
    <w:uiPriority w:val="99"/>
    <w:semiHidden/>
    <w:unhideWhenUsed/>
    <w:rsid w:val="00923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b@mrc.soton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6770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Walker-Bone</dc:creator>
  <cp:lastModifiedBy>Karen Drake</cp:lastModifiedBy>
  <cp:revision>2</cp:revision>
  <cp:lastPrinted>2016-07-11T08:23:00Z</cp:lastPrinted>
  <dcterms:created xsi:type="dcterms:W3CDTF">2016-07-29T13:55:00Z</dcterms:created>
  <dcterms:modified xsi:type="dcterms:W3CDTF">2016-07-29T13:55:00Z</dcterms:modified>
</cp:coreProperties>
</file>