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351" w:rsidRPr="008C3BEF" w:rsidRDefault="00D51351" w:rsidP="008C3BEF">
      <w:pPr>
        <w:ind w:left="1440" w:hanging="1440"/>
        <w:rPr>
          <w:rFonts w:ascii="Arial" w:hAnsi="Arial" w:cs="Arial"/>
          <w:b/>
        </w:rPr>
      </w:pPr>
      <w:bookmarkStart w:id="0" w:name="_GoBack"/>
      <w:bookmarkEnd w:id="0"/>
      <w:r w:rsidRPr="008C3BEF">
        <w:rPr>
          <w:rFonts w:ascii="Arial" w:hAnsi="Arial" w:cs="Arial"/>
          <w:b/>
        </w:rPr>
        <w:t>Table 1</w:t>
      </w:r>
      <w:r w:rsidRPr="008C3BEF">
        <w:rPr>
          <w:rFonts w:ascii="Arial" w:hAnsi="Arial" w:cs="Arial"/>
          <w:b/>
        </w:rPr>
        <w:tab/>
      </w:r>
      <w:r w:rsidR="008C3BEF">
        <w:rPr>
          <w:rFonts w:ascii="Arial" w:hAnsi="Arial" w:cs="Arial"/>
          <w:b/>
        </w:rPr>
        <w:t>Indications for HIV testing – BHIVA guidelines [</w:t>
      </w:r>
      <w:r w:rsidR="00D73ADA">
        <w:rPr>
          <w:rFonts w:ascii="Arial" w:hAnsi="Arial" w:cs="Arial"/>
          <w:b/>
        </w:rPr>
        <w:t>6</w:t>
      </w:r>
      <w:r w:rsidR="008C3BEF">
        <w:rPr>
          <w:rFonts w:ascii="Arial" w:hAnsi="Arial" w:cs="Arial"/>
          <w:b/>
        </w:rPr>
        <w:t>] adapted to include rheumatological conditions</w:t>
      </w:r>
    </w:p>
    <w:tbl>
      <w:tblPr>
        <w:tblStyle w:val="TableGrid"/>
        <w:tblW w:w="0" w:type="auto"/>
        <w:tblLook w:val="04A0" w:firstRow="1" w:lastRow="0" w:firstColumn="1" w:lastColumn="0" w:noHBand="0" w:noVBand="1"/>
      </w:tblPr>
      <w:tblGrid>
        <w:gridCol w:w="1668"/>
        <w:gridCol w:w="2409"/>
        <w:gridCol w:w="3261"/>
      </w:tblGrid>
      <w:tr w:rsidR="00456E82" w:rsidTr="008C3BEF">
        <w:tc>
          <w:tcPr>
            <w:tcW w:w="1668" w:type="dxa"/>
          </w:tcPr>
          <w:p w:rsidR="00456E82" w:rsidRPr="008C3BEF" w:rsidRDefault="00456E82" w:rsidP="00456E82">
            <w:pPr>
              <w:jc w:val="center"/>
              <w:rPr>
                <w:rFonts w:ascii="Arial" w:hAnsi="Arial" w:cs="Arial"/>
                <w:b/>
                <w:sz w:val="16"/>
                <w:szCs w:val="16"/>
              </w:rPr>
            </w:pPr>
          </w:p>
        </w:tc>
        <w:tc>
          <w:tcPr>
            <w:tcW w:w="2409" w:type="dxa"/>
          </w:tcPr>
          <w:p w:rsidR="00456E82" w:rsidRPr="008C3BEF" w:rsidRDefault="00456E82" w:rsidP="00456E82">
            <w:pPr>
              <w:jc w:val="center"/>
              <w:rPr>
                <w:rFonts w:ascii="Arial" w:hAnsi="Arial" w:cs="Arial"/>
                <w:b/>
                <w:sz w:val="16"/>
                <w:szCs w:val="16"/>
              </w:rPr>
            </w:pPr>
            <w:r w:rsidRPr="008C3BEF">
              <w:rPr>
                <w:rFonts w:ascii="Arial" w:hAnsi="Arial" w:cs="Arial"/>
                <w:b/>
                <w:sz w:val="16"/>
                <w:szCs w:val="16"/>
              </w:rPr>
              <w:t>AIDS-defining conditions</w:t>
            </w:r>
          </w:p>
        </w:tc>
        <w:tc>
          <w:tcPr>
            <w:tcW w:w="3261" w:type="dxa"/>
          </w:tcPr>
          <w:p w:rsidR="00456E82" w:rsidRPr="008C3BEF" w:rsidRDefault="00456E82" w:rsidP="008C3BEF">
            <w:pPr>
              <w:jc w:val="center"/>
              <w:rPr>
                <w:rFonts w:ascii="Arial" w:hAnsi="Arial" w:cs="Arial"/>
                <w:b/>
                <w:sz w:val="16"/>
                <w:szCs w:val="16"/>
              </w:rPr>
            </w:pPr>
            <w:r w:rsidRPr="008C3BEF">
              <w:rPr>
                <w:rFonts w:ascii="Arial" w:hAnsi="Arial" w:cs="Arial"/>
                <w:b/>
                <w:sz w:val="16"/>
                <w:szCs w:val="16"/>
              </w:rPr>
              <w:t>Other conditions where HIV testing should be offered</w:t>
            </w:r>
          </w:p>
        </w:tc>
      </w:tr>
      <w:tr w:rsidR="00456E82" w:rsidTr="008C3BEF">
        <w:tc>
          <w:tcPr>
            <w:tcW w:w="1668" w:type="dxa"/>
          </w:tcPr>
          <w:p w:rsidR="00456E82" w:rsidRPr="005747CB" w:rsidRDefault="00456E82">
            <w:pPr>
              <w:rPr>
                <w:rFonts w:ascii="Arial" w:hAnsi="Arial" w:cs="Arial"/>
                <w:b/>
                <w:sz w:val="16"/>
                <w:szCs w:val="16"/>
              </w:rPr>
            </w:pPr>
            <w:r w:rsidRPr="005747CB">
              <w:rPr>
                <w:rFonts w:ascii="Arial" w:hAnsi="Arial" w:cs="Arial"/>
                <w:b/>
                <w:sz w:val="16"/>
                <w:szCs w:val="16"/>
              </w:rPr>
              <w:t>Respiratory</w:t>
            </w:r>
          </w:p>
        </w:tc>
        <w:tc>
          <w:tcPr>
            <w:tcW w:w="2409" w:type="dxa"/>
          </w:tcPr>
          <w:p w:rsidR="00456E82" w:rsidRPr="00456E82" w:rsidRDefault="00456E82" w:rsidP="008C3BEF">
            <w:pPr>
              <w:jc w:val="center"/>
              <w:rPr>
                <w:rFonts w:ascii="Arial" w:hAnsi="Arial" w:cs="Arial"/>
                <w:sz w:val="16"/>
                <w:szCs w:val="16"/>
              </w:rPr>
            </w:pPr>
            <w:r w:rsidRPr="00456E82">
              <w:rPr>
                <w:rFonts w:ascii="Arial" w:hAnsi="Arial" w:cs="Arial"/>
                <w:sz w:val="16"/>
                <w:szCs w:val="16"/>
              </w:rPr>
              <w:t>Tuberculosis</w:t>
            </w:r>
          </w:p>
        </w:tc>
        <w:tc>
          <w:tcPr>
            <w:tcW w:w="3261" w:type="dxa"/>
          </w:tcPr>
          <w:p w:rsidR="00456E82" w:rsidRPr="00456E82" w:rsidRDefault="00456E82" w:rsidP="008C3BEF">
            <w:pPr>
              <w:jc w:val="center"/>
              <w:rPr>
                <w:rFonts w:ascii="Arial" w:hAnsi="Arial" w:cs="Arial"/>
                <w:sz w:val="16"/>
                <w:szCs w:val="16"/>
              </w:rPr>
            </w:pPr>
            <w:r w:rsidRPr="00456E82">
              <w:rPr>
                <w:rFonts w:ascii="Arial" w:hAnsi="Arial" w:cs="Arial"/>
                <w:sz w:val="16"/>
                <w:szCs w:val="16"/>
              </w:rPr>
              <w:t>Bacterial pneumonia</w:t>
            </w:r>
          </w:p>
        </w:tc>
      </w:tr>
      <w:tr w:rsidR="00456E82" w:rsidTr="008C3BEF">
        <w:tc>
          <w:tcPr>
            <w:tcW w:w="1668" w:type="dxa"/>
          </w:tcPr>
          <w:p w:rsidR="00456E82" w:rsidRPr="005747CB" w:rsidRDefault="00456E82">
            <w:pPr>
              <w:rPr>
                <w:rFonts w:ascii="Arial" w:hAnsi="Arial" w:cs="Arial"/>
                <w:b/>
                <w:sz w:val="16"/>
                <w:szCs w:val="16"/>
              </w:rPr>
            </w:pPr>
          </w:p>
        </w:tc>
        <w:tc>
          <w:tcPr>
            <w:tcW w:w="2409" w:type="dxa"/>
          </w:tcPr>
          <w:p w:rsidR="00456E82" w:rsidRPr="00456E82" w:rsidRDefault="005747CB" w:rsidP="008C3BEF">
            <w:pPr>
              <w:jc w:val="center"/>
              <w:rPr>
                <w:rFonts w:ascii="Arial" w:hAnsi="Arial" w:cs="Arial"/>
                <w:sz w:val="16"/>
                <w:szCs w:val="16"/>
              </w:rPr>
            </w:pPr>
            <w:r>
              <w:rPr>
                <w:rFonts w:ascii="Arial" w:hAnsi="Arial" w:cs="Arial"/>
                <w:sz w:val="16"/>
                <w:szCs w:val="16"/>
              </w:rPr>
              <w:t>Pneum</w:t>
            </w:r>
            <w:r w:rsidR="00456E82" w:rsidRPr="00456E82">
              <w:rPr>
                <w:rFonts w:ascii="Arial" w:hAnsi="Arial" w:cs="Arial"/>
                <w:sz w:val="16"/>
                <w:szCs w:val="16"/>
              </w:rPr>
              <w:t>ocystis</w:t>
            </w:r>
          </w:p>
        </w:tc>
        <w:tc>
          <w:tcPr>
            <w:tcW w:w="3261" w:type="dxa"/>
          </w:tcPr>
          <w:p w:rsidR="00456E82" w:rsidRPr="00456E82" w:rsidRDefault="00456E82" w:rsidP="008C3BEF">
            <w:pPr>
              <w:jc w:val="center"/>
              <w:rPr>
                <w:rFonts w:ascii="Arial" w:hAnsi="Arial" w:cs="Arial"/>
                <w:sz w:val="16"/>
                <w:szCs w:val="16"/>
              </w:rPr>
            </w:pPr>
            <w:r w:rsidRPr="00456E82">
              <w:rPr>
                <w:rFonts w:ascii="Arial" w:hAnsi="Arial" w:cs="Arial"/>
                <w:sz w:val="16"/>
                <w:szCs w:val="16"/>
              </w:rPr>
              <w:t>Aspergillosis</w:t>
            </w:r>
          </w:p>
        </w:tc>
      </w:tr>
      <w:tr w:rsidR="00456E82" w:rsidTr="008C3BEF">
        <w:tc>
          <w:tcPr>
            <w:tcW w:w="1668" w:type="dxa"/>
          </w:tcPr>
          <w:p w:rsidR="00456E82" w:rsidRPr="005747CB" w:rsidRDefault="00456E82">
            <w:pPr>
              <w:rPr>
                <w:rFonts w:ascii="Arial" w:hAnsi="Arial" w:cs="Arial"/>
                <w:b/>
                <w:sz w:val="16"/>
                <w:szCs w:val="16"/>
              </w:rPr>
            </w:pPr>
            <w:r w:rsidRPr="005747CB">
              <w:rPr>
                <w:rFonts w:ascii="Arial" w:hAnsi="Arial" w:cs="Arial"/>
                <w:b/>
                <w:sz w:val="16"/>
                <w:szCs w:val="16"/>
              </w:rPr>
              <w:t>Neurology</w:t>
            </w:r>
          </w:p>
        </w:tc>
        <w:tc>
          <w:tcPr>
            <w:tcW w:w="2409" w:type="dxa"/>
          </w:tcPr>
          <w:p w:rsidR="00456E82" w:rsidRPr="00456E82" w:rsidRDefault="00456E82" w:rsidP="008C3BEF">
            <w:pPr>
              <w:jc w:val="center"/>
              <w:rPr>
                <w:rFonts w:ascii="Arial" w:hAnsi="Arial" w:cs="Arial"/>
                <w:sz w:val="16"/>
                <w:szCs w:val="16"/>
              </w:rPr>
            </w:pPr>
            <w:r w:rsidRPr="00456E82">
              <w:rPr>
                <w:rFonts w:ascii="Arial" w:hAnsi="Arial" w:cs="Arial"/>
                <w:sz w:val="16"/>
                <w:szCs w:val="16"/>
              </w:rPr>
              <w:t>Cerebral toxoplasmosis</w:t>
            </w:r>
          </w:p>
        </w:tc>
        <w:tc>
          <w:tcPr>
            <w:tcW w:w="3261" w:type="dxa"/>
          </w:tcPr>
          <w:p w:rsidR="00456E82" w:rsidRPr="00456E82" w:rsidRDefault="00456E82" w:rsidP="008C3BEF">
            <w:pPr>
              <w:jc w:val="center"/>
              <w:rPr>
                <w:rFonts w:ascii="Arial" w:hAnsi="Arial" w:cs="Arial"/>
                <w:sz w:val="16"/>
                <w:szCs w:val="16"/>
              </w:rPr>
            </w:pPr>
            <w:r w:rsidRPr="00456E82">
              <w:rPr>
                <w:rFonts w:ascii="Arial" w:hAnsi="Arial" w:cs="Arial"/>
                <w:sz w:val="16"/>
                <w:szCs w:val="16"/>
              </w:rPr>
              <w:t>Aseptic meningitis/encephalitis</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456E82" w:rsidRDefault="005747CB" w:rsidP="008C3BEF">
            <w:pPr>
              <w:jc w:val="center"/>
              <w:rPr>
                <w:rFonts w:ascii="Arial" w:hAnsi="Arial" w:cs="Arial"/>
                <w:sz w:val="16"/>
                <w:szCs w:val="16"/>
              </w:rPr>
            </w:pPr>
            <w:r w:rsidRPr="00456E82">
              <w:rPr>
                <w:rFonts w:ascii="Arial" w:hAnsi="Arial" w:cs="Arial"/>
                <w:sz w:val="16"/>
                <w:szCs w:val="16"/>
              </w:rPr>
              <w:t>Primary cerebral lymphoma</w:t>
            </w:r>
          </w:p>
        </w:tc>
        <w:tc>
          <w:tcPr>
            <w:tcW w:w="3261" w:type="dxa"/>
          </w:tcPr>
          <w:p w:rsidR="005747CB" w:rsidRPr="00456E82" w:rsidRDefault="005747CB" w:rsidP="008C3BEF">
            <w:pPr>
              <w:jc w:val="center"/>
              <w:rPr>
                <w:rFonts w:ascii="Arial" w:hAnsi="Arial" w:cs="Arial"/>
                <w:sz w:val="16"/>
                <w:szCs w:val="16"/>
              </w:rPr>
            </w:pPr>
            <w:r w:rsidRPr="00456E82">
              <w:rPr>
                <w:rFonts w:ascii="Arial" w:hAnsi="Arial" w:cs="Arial"/>
                <w:sz w:val="16"/>
                <w:szCs w:val="16"/>
              </w:rPr>
              <w:t>Space occupying lesion of unknown cause</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456E82" w:rsidRDefault="005747CB" w:rsidP="008C3BEF">
            <w:pPr>
              <w:jc w:val="center"/>
              <w:rPr>
                <w:rFonts w:ascii="Arial" w:hAnsi="Arial" w:cs="Arial"/>
                <w:sz w:val="16"/>
                <w:szCs w:val="16"/>
              </w:rPr>
            </w:pPr>
            <w:r w:rsidRPr="00456E82">
              <w:rPr>
                <w:rFonts w:ascii="Arial" w:hAnsi="Arial" w:cs="Arial"/>
                <w:sz w:val="16"/>
                <w:szCs w:val="16"/>
              </w:rPr>
              <w:t>Cryptococcal meningitis</w:t>
            </w:r>
          </w:p>
        </w:tc>
        <w:tc>
          <w:tcPr>
            <w:tcW w:w="3261" w:type="dxa"/>
          </w:tcPr>
          <w:p w:rsidR="005747CB" w:rsidRPr="00456E82" w:rsidRDefault="005747CB" w:rsidP="008C3BEF">
            <w:pPr>
              <w:jc w:val="center"/>
              <w:rPr>
                <w:rFonts w:ascii="Arial" w:hAnsi="Arial" w:cs="Arial"/>
                <w:sz w:val="16"/>
                <w:szCs w:val="16"/>
              </w:rPr>
            </w:pPr>
            <w:r w:rsidRPr="005747CB">
              <w:rPr>
                <w:rFonts w:ascii="Arial" w:hAnsi="Arial" w:cs="Arial"/>
                <w:sz w:val="16"/>
                <w:szCs w:val="16"/>
              </w:rPr>
              <w:t>Cerebral abscess</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456E82" w:rsidRDefault="005747CB" w:rsidP="008C3BEF">
            <w:pPr>
              <w:jc w:val="center"/>
              <w:rPr>
                <w:rFonts w:ascii="Arial" w:hAnsi="Arial" w:cs="Arial"/>
                <w:sz w:val="16"/>
                <w:szCs w:val="16"/>
              </w:rPr>
            </w:pPr>
            <w:r w:rsidRPr="005747CB">
              <w:rPr>
                <w:rFonts w:ascii="Arial" w:hAnsi="Arial" w:cs="Arial"/>
                <w:sz w:val="16"/>
                <w:szCs w:val="16"/>
              </w:rPr>
              <w:t>Progressive multifocal leucoencephalopathy</w:t>
            </w:r>
          </w:p>
        </w:tc>
        <w:tc>
          <w:tcPr>
            <w:tcW w:w="3261" w:type="dxa"/>
          </w:tcPr>
          <w:p w:rsidR="005747CB" w:rsidRPr="00456E82" w:rsidRDefault="005747CB" w:rsidP="008C3BEF">
            <w:pPr>
              <w:jc w:val="center"/>
              <w:rPr>
                <w:rFonts w:ascii="Arial" w:hAnsi="Arial" w:cs="Arial"/>
                <w:sz w:val="16"/>
                <w:szCs w:val="16"/>
              </w:rPr>
            </w:pPr>
            <w:r w:rsidRPr="005747CB">
              <w:rPr>
                <w:rFonts w:ascii="Arial" w:hAnsi="Arial" w:cs="Arial"/>
                <w:sz w:val="16"/>
                <w:szCs w:val="16"/>
              </w:rPr>
              <w:t>Guillain–Barré syndrome</w:t>
            </w:r>
          </w:p>
        </w:tc>
      </w:tr>
      <w:tr w:rsidR="00456E82" w:rsidTr="008C3BEF">
        <w:tc>
          <w:tcPr>
            <w:tcW w:w="1668" w:type="dxa"/>
          </w:tcPr>
          <w:p w:rsidR="00456E82" w:rsidRPr="00456E82" w:rsidRDefault="00456E82">
            <w:pPr>
              <w:rPr>
                <w:rFonts w:ascii="Arial" w:hAnsi="Arial" w:cs="Arial"/>
                <w:sz w:val="16"/>
                <w:szCs w:val="16"/>
              </w:rPr>
            </w:pPr>
          </w:p>
        </w:tc>
        <w:tc>
          <w:tcPr>
            <w:tcW w:w="2409" w:type="dxa"/>
          </w:tcPr>
          <w:p w:rsidR="00456E82" w:rsidRPr="00456E82" w:rsidRDefault="00456E82" w:rsidP="008C3BEF">
            <w:pPr>
              <w:jc w:val="center"/>
              <w:rPr>
                <w:rFonts w:ascii="Arial" w:hAnsi="Arial" w:cs="Arial"/>
                <w:sz w:val="16"/>
                <w:szCs w:val="16"/>
              </w:rPr>
            </w:pPr>
          </w:p>
        </w:tc>
        <w:tc>
          <w:tcPr>
            <w:tcW w:w="3261" w:type="dxa"/>
          </w:tcPr>
          <w:p w:rsidR="00456E82" w:rsidRPr="00456E82" w:rsidRDefault="005747CB" w:rsidP="008C3BEF">
            <w:pPr>
              <w:jc w:val="center"/>
              <w:rPr>
                <w:rFonts w:ascii="Arial" w:hAnsi="Arial" w:cs="Arial"/>
                <w:sz w:val="16"/>
                <w:szCs w:val="16"/>
              </w:rPr>
            </w:pPr>
            <w:r w:rsidRPr="005747CB">
              <w:rPr>
                <w:rFonts w:ascii="Arial" w:hAnsi="Arial" w:cs="Arial"/>
                <w:sz w:val="16"/>
                <w:szCs w:val="16"/>
              </w:rPr>
              <w:t>Transverse myelitis</w:t>
            </w:r>
          </w:p>
        </w:tc>
      </w:tr>
      <w:tr w:rsidR="00456E82" w:rsidTr="008C3BEF">
        <w:tc>
          <w:tcPr>
            <w:tcW w:w="1668" w:type="dxa"/>
          </w:tcPr>
          <w:p w:rsidR="00456E82" w:rsidRPr="00456E82" w:rsidRDefault="00456E82">
            <w:pPr>
              <w:rPr>
                <w:rFonts w:ascii="Arial" w:hAnsi="Arial" w:cs="Arial"/>
                <w:sz w:val="16"/>
                <w:szCs w:val="16"/>
              </w:rPr>
            </w:pPr>
          </w:p>
        </w:tc>
        <w:tc>
          <w:tcPr>
            <w:tcW w:w="2409" w:type="dxa"/>
          </w:tcPr>
          <w:p w:rsidR="00456E82" w:rsidRPr="00456E82" w:rsidRDefault="00456E82" w:rsidP="008C3BEF">
            <w:pPr>
              <w:jc w:val="center"/>
              <w:rPr>
                <w:rFonts w:ascii="Arial" w:hAnsi="Arial" w:cs="Arial"/>
                <w:sz w:val="16"/>
                <w:szCs w:val="16"/>
              </w:rPr>
            </w:pPr>
          </w:p>
        </w:tc>
        <w:tc>
          <w:tcPr>
            <w:tcW w:w="3261" w:type="dxa"/>
          </w:tcPr>
          <w:p w:rsidR="00456E82" w:rsidRPr="00456E82" w:rsidRDefault="005747CB" w:rsidP="008C3BEF">
            <w:pPr>
              <w:jc w:val="center"/>
              <w:rPr>
                <w:rFonts w:ascii="Arial" w:hAnsi="Arial" w:cs="Arial"/>
                <w:sz w:val="16"/>
                <w:szCs w:val="16"/>
              </w:rPr>
            </w:pPr>
            <w:r w:rsidRPr="005747CB">
              <w:rPr>
                <w:rFonts w:ascii="Arial" w:hAnsi="Arial" w:cs="Arial"/>
                <w:sz w:val="16"/>
                <w:szCs w:val="16"/>
              </w:rPr>
              <w:t>Peripheral neuropathy</w:t>
            </w:r>
          </w:p>
        </w:tc>
      </w:tr>
      <w:tr w:rsidR="005747CB" w:rsidTr="008C3BEF">
        <w:tc>
          <w:tcPr>
            <w:tcW w:w="1668" w:type="dxa"/>
          </w:tcPr>
          <w:p w:rsidR="005747CB" w:rsidRPr="005747CB" w:rsidRDefault="005747CB" w:rsidP="005747CB">
            <w:pPr>
              <w:rPr>
                <w:rFonts w:ascii="Arial" w:hAnsi="Arial" w:cs="Arial"/>
                <w:b/>
                <w:sz w:val="16"/>
                <w:szCs w:val="16"/>
              </w:rPr>
            </w:pPr>
            <w:r w:rsidRPr="005747CB">
              <w:rPr>
                <w:rFonts w:ascii="Arial" w:hAnsi="Arial" w:cs="Arial"/>
                <w:b/>
                <w:sz w:val="16"/>
                <w:szCs w:val="16"/>
              </w:rPr>
              <w:t xml:space="preserve">Dermatology </w:t>
            </w:r>
          </w:p>
          <w:p w:rsidR="005747CB" w:rsidRPr="00456E82" w:rsidRDefault="005747CB" w:rsidP="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Kaposi’s sarcoma</w:t>
            </w:r>
          </w:p>
          <w:p w:rsidR="005747CB" w:rsidRPr="00456E82"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Severe or recalcitrant seborrhoeic dermatitis</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456E82"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Severe or recalcitrant psoriasis</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456E82"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Multidermatomal or recurrent herpes zoster</w:t>
            </w:r>
          </w:p>
        </w:tc>
      </w:tr>
      <w:tr w:rsidR="005747CB" w:rsidTr="008C3BEF">
        <w:tc>
          <w:tcPr>
            <w:tcW w:w="1668" w:type="dxa"/>
          </w:tcPr>
          <w:p w:rsidR="005747CB" w:rsidRPr="00456E82" w:rsidRDefault="005747CB" w:rsidP="005747CB">
            <w:pPr>
              <w:rPr>
                <w:rFonts w:ascii="Arial" w:hAnsi="Arial" w:cs="Arial"/>
                <w:sz w:val="16"/>
                <w:szCs w:val="16"/>
              </w:rPr>
            </w:pPr>
            <w:r w:rsidRPr="005747CB">
              <w:rPr>
                <w:rFonts w:ascii="Arial" w:hAnsi="Arial" w:cs="Arial"/>
                <w:b/>
                <w:sz w:val="16"/>
                <w:szCs w:val="16"/>
              </w:rPr>
              <w:t xml:space="preserve">Gastroenterology </w:t>
            </w:r>
          </w:p>
        </w:tc>
        <w:tc>
          <w:tcPr>
            <w:tcW w:w="2409"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Persistent cryptosporidiosis</w:t>
            </w:r>
          </w:p>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Oral candidiasis</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Oral hairy leukoplakia</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Chronic diarrhoea of unknown cause</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Weight loss of unknown cause</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Salmonella, shigella or campylobacter</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Hepatitis B infection</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Hepatitis C infection</w:t>
            </w:r>
          </w:p>
        </w:tc>
      </w:tr>
      <w:tr w:rsidR="005747CB" w:rsidTr="008C3BEF">
        <w:tc>
          <w:tcPr>
            <w:tcW w:w="1668" w:type="dxa"/>
          </w:tcPr>
          <w:p w:rsidR="005747CB" w:rsidRPr="005747CB" w:rsidRDefault="005747CB" w:rsidP="005747CB">
            <w:pPr>
              <w:rPr>
                <w:rFonts w:ascii="Arial" w:hAnsi="Arial" w:cs="Arial"/>
                <w:b/>
                <w:sz w:val="16"/>
                <w:szCs w:val="16"/>
              </w:rPr>
            </w:pPr>
            <w:r w:rsidRPr="005747CB">
              <w:rPr>
                <w:rFonts w:ascii="Arial" w:hAnsi="Arial" w:cs="Arial"/>
                <w:b/>
                <w:sz w:val="16"/>
                <w:szCs w:val="16"/>
              </w:rPr>
              <w:t xml:space="preserve">Oncology </w:t>
            </w:r>
          </w:p>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Non-Hodgkin’s lymphoma</w:t>
            </w:r>
          </w:p>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Anal cancer or anal intraepithelial dysplasia</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Lung cancer</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Seminoma</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Head and neck cancer</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Hodgkin’s lymphoma</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Castleman’s disease</w:t>
            </w:r>
          </w:p>
        </w:tc>
      </w:tr>
      <w:tr w:rsidR="005747CB" w:rsidTr="008C3BEF">
        <w:tc>
          <w:tcPr>
            <w:tcW w:w="1668" w:type="dxa"/>
          </w:tcPr>
          <w:p w:rsidR="005747CB" w:rsidRPr="00456E82" w:rsidRDefault="005747CB">
            <w:pPr>
              <w:rPr>
                <w:rFonts w:ascii="Arial" w:hAnsi="Arial" w:cs="Arial"/>
                <w:sz w:val="16"/>
                <w:szCs w:val="16"/>
              </w:rPr>
            </w:pPr>
            <w:r w:rsidRPr="005747CB">
              <w:rPr>
                <w:rFonts w:ascii="Arial" w:hAnsi="Arial" w:cs="Arial"/>
                <w:b/>
                <w:sz w:val="16"/>
                <w:szCs w:val="16"/>
              </w:rPr>
              <w:t>Gynaecology</w:t>
            </w:r>
          </w:p>
        </w:tc>
        <w:tc>
          <w:tcPr>
            <w:tcW w:w="2409"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Cervical cancer</w:t>
            </w:r>
          </w:p>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Vaginal intraepithelial neoplasia</w:t>
            </w: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Cervical intraepithelial neoplasia Grade 2 or above</w:t>
            </w:r>
          </w:p>
        </w:tc>
      </w:tr>
      <w:tr w:rsidR="005747CB" w:rsidTr="008C3BEF">
        <w:tc>
          <w:tcPr>
            <w:tcW w:w="1668" w:type="dxa"/>
          </w:tcPr>
          <w:p w:rsidR="005747CB" w:rsidRPr="005747CB" w:rsidRDefault="005747CB" w:rsidP="005747CB">
            <w:pPr>
              <w:rPr>
                <w:rFonts w:ascii="Arial" w:hAnsi="Arial" w:cs="Arial"/>
                <w:b/>
                <w:sz w:val="16"/>
                <w:szCs w:val="16"/>
              </w:rPr>
            </w:pPr>
            <w:r w:rsidRPr="005747CB">
              <w:rPr>
                <w:rFonts w:ascii="Arial" w:hAnsi="Arial" w:cs="Arial"/>
                <w:b/>
                <w:sz w:val="16"/>
                <w:szCs w:val="16"/>
              </w:rPr>
              <w:t xml:space="preserve">Haematology </w:t>
            </w:r>
          </w:p>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Any unexplained blood dyscrasia including:</w:t>
            </w:r>
          </w:p>
          <w:p w:rsidR="005747CB" w:rsidRPr="005747CB" w:rsidRDefault="005747CB" w:rsidP="008C3BEF">
            <w:pPr>
              <w:jc w:val="center"/>
              <w:rPr>
                <w:rFonts w:ascii="Arial" w:hAnsi="Arial" w:cs="Arial"/>
                <w:sz w:val="16"/>
                <w:szCs w:val="16"/>
              </w:rPr>
            </w:pPr>
            <w:r w:rsidRPr="005747CB">
              <w:rPr>
                <w:rFonts w:ascii="Arial" w:hAnsi="Arial" w:cs="Arial"/>
                <w:sz w:val="16"/>
                <w:szCs w:val="16"/>
              </w:rPr>
              <w:t>• thrombocytopenia</w:t>
            </w:r>
          </w:p>
          <w:p w:rsidR="005747CB" w:rsidRPr="005747CB" w:rsidRDefault="005747CB" w:rsidP="008C3BEF">
            <w:pPr>
              <w:jc w:val="center"/>
              <w:rPr>
                <w:rFonts w:ascii="Arial" w:hAnsi="Arial" w:cs="Arial"/>
                <w:sz w:val="16"/>
                <w:szCs w:val="16"/>
              </w:rPr>
            </w:pPr>
            <w:r w:rsidRPr="005747CB">
              <w:rPr>
                <w:rFonts w:ascii="Arial" w:hAnsi="Arial" w:cs="Arial"/>
                <w:sz w:val="16"/>
                <w:szCs w:val="16"/>
              </w:rPr>
              <w:t>• neutropenia</w:t>
            </w:r>
          </w:p>
          <w:p w:rsidR="005747CB" w:rsidRPr="005747CB" w:rsidRDefault="005747CB" w:rsidP="008C3BEF">
            <w:pPr>
              <w:jc w:val="center"/>
              <w:rPr>
                <w:rFonts w:ascii="Arial" w:hAnsi="Arial" w:cs="Arial"/>
                <w:sz w:val="16"/>
                <w:szCs w:val="16"/>
              </w:rPr>
            </w:pPr>
            <w:r w:rsidRPr="005747CB">
              <w:rPr>
                <w:rFonts w:ascii="Arial" w:hAnsi="Arial" w:cs="Arial"/>
                <w:sz w:val="16"/>
                <w:szCs w:val="16"/>
              </w:rPr>
              <w:t>• lymphopenia</w:t>
            </w:r>
          </w:p>
        </w:tc>
      </w:tr>
      <w:tr w:rsidR="005747CB" w:rsidTr="008C3BEF">
        <w:tc>
          <w:tcPr>
            <w:tcW w:w="1668" w:type="dxa"/>
          </w:tcPr>
          <w:p w:rsidR="005747CB" w:rsidRPr="005747CB" w:rsidRDefault="005747CB" w:rsidP="005747CB">
            <w:pPr>
              <w:rPr>
                <w:rFonts w:ascii="Arial" w:hAnsi="Arial" w:cs="Arial"/>
                <w:b/>
                <w:sz w:val="16"/>
                <w:szCs w:val="16"/>
              </w:rPr>
            </w:pPr>
            <w:r w:rsidRPr="005747CB">
              <w:rPr>
                <w:rFonts w:ascii="Arial" w:hAnsi="Arial" w:cs="Arial"/>
                <w:b/>
                <w:sz w:val="16"/>
                <w:szCs w:val="16"/>
              </w:rPr>
              <w:t xml:space="preserve">Ophthalmology </w:t>
            </w:r>
          </w:p>
          <w:p w:rsidR="005747CB" w:rsidRPr="00456E82" w:rsidRDefault="005747CB">
            <w:pPr>
              <w:rPr>
                <w:rFonts w:ascii="Arial" w:hAnsi="Arial" w:cs="Arial"/>
                <w:sz w:val="16"/>
                <w:szCs w:val="16"/>
              </w:rPr>
            </w:pPr>
          </w:p>
        </w:tc>
        <w:tc>
          <w:tcPr>
            <w:tcW w:w="2409" w:type="dxa"/>
          </w:tcPr>
          <w:p w:rsidR="005747CB" w:rsidRPr="008C3BEF" w:rsidRDefault="005747CB" w:rsidP="008C3BEF">
            <w:pPr>
              <w:jc w:val="center"/>
              <w:rPr>
                <w:rFonts w:ascii="Arial" w:hAnsi="Arial" w:cs="Arial"/>
                <w:sz w:val="16"/>
                <w:szCs w:val="16"/>
              </w:rPr>
            </w:pPr>
            <w:r w:rsidRPr="008C3BEF">
              <w:rPr>
                <w:rFonts w:ascii="Arial" w:hAnsi="Arial" w:cs="Arial"/>
                <w:sz w:val="16"/>
                <w:szCs w:val="16"/>
              </w:rPr>
              <w:t>Cytomegalovirus retinitis</w:t>
            </w:r>
          </w:p>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Infective retinal diseases including herpesviruses and toxoplasma</w:t>
            </w:r>
          </w:p>
          <w:p w:rsidR="005747CB" w:rsidRPr="005747CB" w:rsidRDefault="005747CB" w:rsidP="008C3BEF">
            <w:pPr>
              <w:jc w:val="center"/>
              <w:rPr>
                <w:rFonts w:ascii="Arial" w:hAnsi="Arial" w:cs="Arial"/>
                <w:sz w:val="16"/>
                <w:szCs w:val="16"/>
              </w:rPr>
            </w:pPr>
          </w:p>
        </w:tc>
      </w:tr>
      <w:tr w:rsidR="005747CB" w:rsidTr="008C3BEF">
        <w:tc>
          <w:tcPr>
            <w:tcW w:w="1668" w:type="dxa"/>
          </w:tcPr>
          <w:p w:rsidR="005747CB" w:rsidRPr="00456E82" w:rsidRDefault="005747CB">
            <w:pPr>
              <w:rPr>
                <w:rFonts w:ascii="Arial" w:hAnsi="Arial" w:cs="Arial"/>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Any unexplained retinopathy</w:t>
            </w:r>
          </w:p>
          <w:p w:rsidR="005747CB" w:rsidRPr="005747CB" w:rsidRDefault="005747CB" w:rsidP="008C3BEF">
            <w:pPr>
              <w:jc w:val="center"/>
              <w:rPr>
                <w:rFonts w:ascii="Arial" w:hAnsi="Arial" w:cs="Arial"/>
                <w:sz w:val="16"/>
                <w:szCs w:val="16"/>
              </w:rPr>
            </w:pPr>
          </w:p>
        </w:tc>
      </w:tr>
      <w:tr w:rsidR="005747CB" w:rsidTr="008C3BEF">
        <w:tc>
          <w:tcPr>
            <w:tcW w:w="1668" w:type="dxa"/>
          </w:tcPr>
          <w:p w:rsidR="005747CB" w:rsidRPr="005747CB" w:rsidRDefault="005747CB">
            <w:pPr>
              <w:rPr>
                <w:rFonts w:ascii="Arial" w:hAnsi="Arial" w:cs="Arial"/>
                <w:b/>
                <w:sz w:val="16"/>
                <w:szCs w:val="16"/>
              </w:rPr>
            </w:pPr>
            <w:r w:rsidRPr="005747CB">
              <w:rPr>
                <w:rFonts w:ascii="Arial" w:hAnsi="Arial" w:cs="Arial"/>
                <w:b/>
                <w:sz w:val="16"/>
                <w:szCs w:val="16"/>
              </w:rPr>
              <w:t>ENT</w:t>
            </w: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Lymphadenopathy of unknown cause</w:t>
            </w:r>
          </w:p>
        </w:tc>
      </w:tr>
      <w:tr w:rsidR="005747CB" w:rsidTr="008C3BEF">
        <w:tc>
          <w:tcPr>
            <w:tcW w:w="1668" w:type="dxa"/>
          </w:tcPr>
          <w:p w:rsidR="005747CB" w:rsidRPr="005747CB" w:rsidRDefault="005747CB">
            <w:pPr>
              <w:rPr>
                <w:rFonts w:ascii="Arial" w:hAnsi="Arial" w:cs="Arial"/>
                <w:b/>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Chronic parotitis</w:t>
            </w:r>
          </w:p>
        </w:tc>
      </w:tr>
      <w:tr w:rsidR="005747CB" w:rsidTr="008C3BEF">
        <w:tc>
          <w:tcPr>
            <w:tcW w:w="1668" w:type="dxa"/>
          </w:tcPr>
          <w:p w:rsidR="005747CB" w:rsidRPr="005747CB" w:rsidRDefault="005747CB">
            <w:pPr>
              <w:rPr>
                <w:rFonts w:ascii="Arial" w:hAnsi="Arial" w:cs="Arial"/>
                <w:b/>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Lymphoepithelial parotid cysts</w:t>
            </w:r>
          </w:p>
        </w:tc>
      </w:tr>
      <w:tr w:rsidR="005747CB" w:rsidTr="008C3BEF">
        <w:tc>
          <w:tcPr>
            <w:tcW w:w="1668" w:type="dxa"/>
          </w:tcPr>
          <w:p w:rsidR="005747CB" w:rsidRPr="005747CB" w:rsidRDefault="005747CB">
            <w:pPr>
              <w:rPr>
                <w:rFonts w:ascii="Arial" w:hAnsi="Arial" w:cs="Arial"/>
                <w:b/>
                <w:sz w:val="16"/>
                <w:szCs w:val="16"/>
              </w:rPr>
            </w:pPr>
            <w:r>
              <w:rPr>
                <w:rFonts w:ascii="Arial" w:hAnsi="Arial" w:cs="Arial"/>
                <w:b/>
                <w:sz w:val="16"/>
                <w:szCs w:val="16"/>
              </w:rPr>
              <w:t>Other</w:t>
            </w: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Other Mononucleosis-like syndrome (primary HIV infection)</w:t>
            </w:r>
          </w:p>
        </w:tc>
      </w:tr>
      <w:tr w:rsidR="005747CB" w:rsidTr="008C3BEF">
        <w:tc>
          <w:tcPr>
            <w:tcW w:w="1668" w:type="dxa"/>
          </w:tcPr>
          <w:p w:rsidR="005747CB" w:rsidRPr="005747CB" w:rsidRDefault="005747CB">
            <w:pPr>
              <w:rPr>
                <w:rFonts w:ascii="Arial" w:hAnsi="Arial" w:cs="Arial"/>
                <w:b/>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Pyrexia of unknown origin</w:t>
            </w:r>
          </w:p>
        </w:tc>
      </w:tr>
      <w:tr w:rsidR="005747CB" w:rsidTr="008C3BEF">
        <w:tc>
          <w:tcPr>
            <w:tcW w:w="1668" w:type="dxa"/>
          </w:tcPr>
          <w:p w:rsidR="005747CB" w:rsidRPr="005747CB" w:rsidRDefault="005747CB">
            <w:pPr>
              <w:rPr>
                <w:rFonts w:ascii="Arial" w:hAnsi="Arial" w:cs="Arial"/>
                <w:b/>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Any lymphadenopathy of unknown cause</w:t>
            </w:r>
          </w:p>
        </w:tc>
      </w:tr>
      <w:tr w:rsidR="005747CB" w:rsidTr="008C3BEF">
        <w:tc>
          <w:tcPr>
            <w:tcW w:w="1668" w:type="dxa"/>
          </w:tcPr>
          <w:p w:rsidR="005747CB" w:rsidRPr="005747CB" w:rsidRDefault="005747CB">
            <w:pPr>
              <w:rPr>
                <w:rFonts w:ascii="Arial" w:hAnsi="Arial" w:cs="Arial"/>
                <w:b/>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sidRPr="005747CB">
              <w:rPr>
                <w:rFonts w:ascii="Arial" w:hAnsi="Arial" w:cs="Arial"/>
                <w:sz w:val="16"/>
                <w:szCs w:val="16"/>
              </w:rPr>
              <w:t>Other Mononucleosis-like syndrome (primary HIV infection)</w:t>
            </w:r>
          </w:p>
        </w:tc>
      </w:tr>
      <w:tr w:rsidR="005747CB" w:rsidTr="008C3BEF">
        <w:tc>
          <w:tcPr>
            <w:tcW w:w="1668" w:type="dxa"/>
          </w:tcPr>
          <w:p w:rsidR="005747CB" w:rsidRPr="005747CB" w:rsidRDefault="005747CB">
            <w:pPr>
              <w:rPr>
                <w:rFonts w:ascii="Arial" w:hAnsi="Arial" w:cs="Arial"/>
                <w:b/>
                <w:sz w:val="16"/>
                <w:szCs w:val="16"/>
              </w:rPr>
            </w:pPr>
          </w:p>
        </w:tc>
        <w:tc>
          <w:tcPr>
            <w:tcW w:w="2409" w:type="dxa"/>
          </w:tcPr>
          <w:p w:rsidR="005747CB" w:rsidRPr="005747CB" w:rsidRDefault="005747CB" w:rsidP="008C3BEF">
            <w:pPr>
              <w:jc w:val="center"/>
              <w:rPr>
                <w:rFonts w:ascii="Arial" w:hAnsi="Arial" w:cs="Arial"/>
                <w:sz w:val="16"/>
                <w:szCs w:val="16"/>
              </w:rPr>
            </w:pPr>
          </w:p>
        </w:tc>
        <w:tc>
          <w:tcPr>
            <w:tcW w:w="3261" w:type="dxa"/>
          </w:tcPr>
          <w:p w:rsidR="005747CB" w:rsidRPr="005747CB" w:rsidRDefault="005747CB" w:rsidP="008C3BEF">
            <w:pPr>
              <w:jc w:val="center"/>
              <w:rPr>
                <w:rFonts w:ascii="Arial" w:hAnsi="Arial" w:cs="Arial"/>
                <w:sz w:val="16"/>
                <w:szCs w:val="16"/>
              </w:rPr>
            </w:pPr>
            <w:r>
              <w:rPr>
                <w:rFonts w:ascii="Arial" w:hAnsi="Arial" w:cs="Arial"/>
                <w:sz w:val="16"/>
                <w:szCs w:val="16"/>
              </w:rPr>
              <w:t>Any sexually transmitted infection</w:t>
            </w:r>
          </w:p>
        </w:tc>
      </w:tr>
      <w:tr w:rsidR="005747CB" w:rsidTr="008C3BEF">
        <w:tc>
          <w:tcPr>
            <w:tcW w:w="1668" w:type="dxa"/>
            <w:shd w:val="clear" w:color="auto" w:fill="808080" w:themeFill="background1" w:themeFillShade="80"/>
          </w:tcPr>
          <w:p w:rsidR="005747CB" w:rsidRPr="005747CB" w:rsidRDefault="005747CB">
            <w:pPr>
              <w:rPr>
                <w:rFonts w:ascii="Arial" w:hAnsi="Arial" w:cs="Arial"/>
                <w:b/>
                <w:sz w:val="16"/>
                <w:szCs w:val="16"/>
              </w:rPr>
            </w:pPr>
            <w:r>
              <w:rPr>
                <w:rFonts w:ascii="Arial" w:hAnsi="Arial" w:cs="Arial"/>
                <w:b/>
                <w:sz w:val="16"/>
                <w:szCs w:val="16"/>
              </w:rPr>
              <w:t>Rheumatological</w:t>
            </w:r>
          </w:p>
        </w:tc>
        <w:tc>
          <w:tcPr>
            <w:tcW w:w="2409" w:type="dxa"/>
            <w:shd w:val="clear" w:color="auto" w:fill="808080" w:themeFill="background1" w:themeFillShade="80"/>
          </w:tcPr>
          <w:p w:rsidR="005747CB" w:rsidRPr="005747CB" w:rsidRDefault="005747CB" w:rsidP="008C3BEF">
            <w:pPr>
              <w:jc w:val="center"/>
              <w:rPr>
                <w:rFonts w:ascii="Arial" w:hAnsi="Arial" w:cs="Arial"/>
                <w:sz w:val="16"/>
                <w:szCs w:val="16"/>
              </w:rPr>
            </w:pPr>
          </w:p>
        </w:tc>
        <w:tc>
          <w:tcPr>
            <w:tcW w:w="3261" w:type="dxa"/>
            <w:shd w:val="clear" w:color="auto" w:fill="808080" w:themeFill="background1" w:themeFillShade="80"/>
          </w:tcPr>
          <w:p w:rsidR="005747CB" w:rsidRPr="005747CB" w:rsidRDefault="00E27CCF" w:rsidP="008C3BEF">
            <w:pPr>
              <w:jc w:val="cente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0288" behindDoc="0" locked="0" layoutInCell="1" allowOverlap="1">
                      <wp:simplePos x="0" y="0"/>
                      <wp:positionH relativeFrom="column">
                        <wp:posOffset>2197930</wp:posOffset>
                      </wp:positionH>
                      <wp:positionV relativeFrom="paragraph">
                        <wp:posOffset>38449</wp:posOffset>
                      </wp:positionV>
                      <wp:extent cx="137424" cy="116282"/>
                      <wp:effectExtent l="0" t="0" r="15240" b="17145"/>
                      <wp:wrapNone/>
                      <wp:docPr id="2" name="Rectangle 2"/>
                      <wp:cNvGraphicFramePr/>
                      <a:graphic xmlns:a="http://schemas.openxmlformats.org/drawingml/2006/main">
                        <a:graphicData uri="http://schemas.microsoft.com/office/word/2010/wordprocessingShape">
                          <wps:wsp>
                            <wps:cNvSpPr/>
                            <wps:spPr>
                              <a:xfrm>
                                <a:off x="0" y="0"/>
                                <a:ext cx="137424" cy="116282"/>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73.05pt;margin-top:3.05pt;width:10.8pt;height:9.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hSkAIAAI8FAAAOAAAAZHJzL2Uyb0RvYy54bWysVE1v2zAMvQ/YfxB0Xx176ceCOkWQIsOA&#10;rg3aDj0rshQbkERNUuJkv36U7DhZV2zAsBwUUiQf9WiS1zc7rchWON+AKWl+NqJEGA5VY9Yl/fa8&#10;+HBFiQ/MVEyBESXdC09vpu/fXbd2IgqoQVXCEQQxftLaktYh2EmWeV4LzfwZWGHQKMFpFlB166xy&#10;rEV0rbJiNLrIWnCVdcCF93h72xnpNOFLKXh4kNKLQFRJ8W0hnS6dq3hm02s2WTtm64b3z2D/8ArN&#10;GoNJB6hbFhjZuOY3KN1wBx5kOOOgM5Cy4SJxQDb56BWbp5pZkbhgcbwdyuT/Hyy/3y4daaqSFpQY&#10;pvETPWLRmFkrQYpYntb6CXo92aXrNY9i5LqTTsd/ZEF2qaT7oaRiFwjHy/zj5bgYU8LRlOcXxVXC&#10;zI7B1vnwWYAmUSipw+SpkGx75wMmRNeDS8zlQTXVolEqKbFLxFw5smX4fVfrPIWqjf4KVXd3PsJf&#10;pIE4qamie6cdkbLIsWOVpLBXIuIr8ygkFgd5FAl5QOjAGefChC6pr1kl/pYzAUZkiQwG7B7gVzIH&#10;7O7pvX8MFamrh+DRnx7WBQ8RKTOYMATrxoB7C0Ahqz5z548lOylNFFdQ7bF1HHQz5S1fNPgJ75gP&#10;S+ZwiHDccDGEBzykgrak0EuU1OB+vHUf/bG30UpJi0NZUv99w5ygRH0x2PWf8vE4TnFSxueXBSru&#10;1LI6tZiNngP2RY4ryPIkRv+gDqJ0oF9wf8xiVjQxwzF3SXlwB2UeumWBG4iL2Sy54eRaFu7Mk+UR&#10;PFY1tujz7oU52/dxwAG4h8MAs8mrdu58Y6SB2SaAbFKvH+va1xunPjVrv6HiWjnVk9dxj05/AgAA&#10;//8DAFBLAwQUAAYACAAAACEAO6vqzuAAAAAIAQAADwAAAGRycy9kb3ducmV2LnhtbEyPQU/CQBCF&#10;7yb+h82YeJNtoSmkdkqIiQnxgoDiddsd22p3tukuUPz1Lic9vUzey3vf5MvRdOJEg2stI8STCARx&#10;ZXXLNcLb/vlhAcJ5xVp1lgnhQg6Wxe1NrjJtz7yl087XIpSwyxRC432fSemqhoxyE9sTB+/TDkb5&#10;cA611IM6h3LTyWkUpdKolsNCo3p6aqj63h0Nwju9bDc+Ll8/1nzYJ6v1V3TZ/CDe342rRxCeRv8X&#10;hit+QIciMJX2yNqJDmGWpHGIIlwl+LN0PgdRIkyTBGSRy/8PFL8AAAD//wMAUEsBAi0AFAAGAAgA&#10;AAAhALaDOJL+AAAA4QEAABMAAAAAAAAAAAAAAAAAAAAAAFtDb250ZW50X1R5cGVzXS54bWxQSwEC&#10;LQAUAAYACAAAACEAOP0h/9YAAACUAQAACwAAAAAAAAAAAAAAAAAvAQAAX3JlbHMvLnJlbHNQSwEC&#10;LQAUAAYACAAAACEAkrsYUpACAACPBQAADgAAAAAAAAAAAAAAAAAuAgAAZHJzL2Uyb0RvYy54bWxQ&#10;SwECLQAUAAYACAAAACEAO6vqzuAAAAAIAQAADwAAAAAAAAAAAAAAAADqBAAAZHJzL2Rvd25yZXYu&#10;eG1sUEsFBgAAAAAEAAQA8wAAAPcFAAAAAA==&#10;" fillcolor="#7f7f7f [1612]" strokecolor="#243f60 [1604]" strokeweight="2pt"/>
                  </w:pict>
                </mc:Fallback>
              </mc:AlternateContent>
            </w:r>
            <w:r>
              <w:rPr>
                <w:rFonts w:ascii="Arial" w:hAnsi="Arial" w:cs="Arial"/>
                <w:noProof/>
                <w:sz w:val="16"/>
                <w:szCs w:val="16"/>
                <w:lang w:eastAsia="en-GB"/>
              </w:rPr>
              <mc:AlternateContent>
                <mc:Choice Requires="wps">
                  <w:drawing>
                    <wp:anchor distT="0" distB="0" distL="114300" distR="114300" simplePos="0" relativeHeight="251659264" behindDoc="0" locked="0" layoutInCell="1" allowOverlap="1">
                      <wp:simplePos x="0" y="0"/>
                      <wp:positionH relativeFrom="column">
                        <wp:posOffset>2160931</wp:posOffset>
                      </wp:positionH>
                      <wp:positionV relativeFrom="paragraph">
                        <wp:posOffset>12021</wp:posOffset>
                      </wp:positionV>
                      <wp:extent cx="919685" cy="1173392"/>
                      <wp:effectExtent l="0" t="0" r="13970" b="27305"/>
                      <wp:wrapNone/>
                      <wp:docPr id="1" name="Text Box 1"/>
                      <wp:cNvGraphicFramePr/>
                      <a:graphic xmlns:a="http://schemas.openxmlformats.org/drawingml/2006/main">
                        <a:graphicData uri="http://schemas.microsoft.com/office/word/2010/wordprocessingShape">
                          <wps:wsp>
                            <wps:cNvSpPr txBox="1"/>
                            <wps:spPr>
                              <a:xfrm>
                                <a:off x="0" y="0"/>
                                <a:ext cx="919685" cy="11733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7CCF" w:rsidRPr="00E27CCF" w:rsidRDefault="00E27CCF">
                                  <w:pPr>
                                    <w:rPr>
                                      <w:rFonts w:ascii="Arial" w:hAnsi="Arial" w:cs="Arial"/>
                                      <w:sz w:val="16"/>
                                      <w:szCs w:val="16"/>
                                    </w:rPr>
                                  </w:pPr>
                                  <w:r>
                                    <w:rPr>
                                      <w:rFonts w:ascii="Arial" w:hAnsi="Arial" w:cs="Arial"/>
                                      <w:sz w:val="16"/>
                                      <w:szCs w:val="16"/>
                                    </w:rPr>
                                    <w:t xml:space="preserve">     Suggested rheumatological presentations to add to BHIVA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0.15pt;margin-top:.95pt;width:72.4pt;height:9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M2jwIAALIFAAAOAAAAZHJzL2Uyb0RvYy54bWysVNtuGyEQfa/Uf0C8N+t1rrayjtxEqSpF&#10;SVSnyjNmwUYFhgL2rvv1Gdj1JWleUvVlF5jDYebM5fKqNZqshQ8KbEXLowElwnKolV1U9OfT7ZcL&#10;SkJktmYarKjoRgR6Nfn86bJxYzGEJehaeIIkNowbV9FljG5cFIEvhWHhCJywaJTgDYu49Yui9qxB&#10;dqOL4WBwVjTga+eBixDw9KYz0knml1Lw+CBlEJHoiqJvMX99/s7Tt5hcsvHCM7dUvHeD/YMXhimL&#10;j+6oblhkZOXVX1RGcQ8BZDziYAqQUnGRY8BoysGbaGZL5kSOBcUJbidT+H+0/H796ImqMXeUWGYw&#10;RU+ijeQrtKRM6jQujBE0cwiLLR4nZH8e8DAF3Upv0h/DIWhHnTc7bRMZx8NROTq7OKWEo6ksz4+P&#10;R8NEU+xvOx/iNwGGpEVFPeYuS8rWdyF20C0kPRZAq/pWaZ03qV7EtfZkzTDTOmYfkfwVSlvSVPTs&#10;+HSQiV/ZcsXtGeaLdxiQT9v0nMiV1buVFOqUyKu40SJhtP0hJCqbBXnHR8a5sDs/MzqhJEb0kYs9&#10;fu/VRy53ceCN/DLYuLtslAXfqfRa2vrXVhjZ4TGHB3GnZWznbV8hc6g3WDgeusYLjt8qzO4dC/GR&#10;eew0rBWcHvEBP1IDZgf6FSVL8H/eO094bAC0UtJg51Y0/F4xLyjR3y22xqg8OUmtnjcnp+dD3PhD&#10;y/zQYlfmGrBksPzRu7xM+Ki3S+nBPOOQmaZX0cQsx7crGrfL69jNExxSXEynGYTN7Vi8szPHE3WS&#10;N9XuU/vMvOsLPGJr3MO2x9n4TZ132HTTwnQVQarcBEngTtVeeBwMuY36IZYmz+E+o/ajdvICAAD/&#10;/wMAUEsDBBQABgAIAAAAIQDJulEk3QAAAAkBAAAPAAAAZHJzL2Rvd25yZXYueG1sTI9BS8NAEIXv&#10;gv9hGcGb3dTEGmM2JSgiqCBWL96m2TEJZmdDdtum/97xpMfH93jzTbme3aD2NIXes4HlIgFF3Hjb&#10;c2vg4/3hIgcVIrLFwTMZOFKAdXV6UmJh/YHfaL+JrZIRDgUa6GIcC61D05HDsPAjsbAvPzmMEqdW&#10;2wkPMu4GfZkkK+2wZ7nQ4Uh3HTXfm50z8JR94n0an+kYeX6t68d8zMKLMednc30LKtIc/8rwqy/q&#10;UInT1u/YBjUYSLMklaqAG1DCs/xqCWorOV9dg65K/f+D6gcAAP//AwBQSwECLQAUAAYACAAAACEA&#10;toM4kv4AAADhAQAAEwAAAAAAAAAAAAAAAAAAAAAAW0NvbnRlbnRfVHlwZXNdLnhtbFBLAQItABQA&#10;BgAIAAAAIQA4/SH/1gAAAJQBAAALAAAAAAAAAAAAAAAAAC8BAABfcmVscy8ucmVsc1BLAQItABQA&#10;BgAIAAAAIQBTgrM2jwIAALIFAAAOAAAAAAAAAAAAAAAAAC4CAABkcnMvZTJvRG9jLnhtbFBLAQIt&#10;ABQABgAIAAAAIQDJulEk3QAAAAkBAAAPAAAAAAAAAAAAAAAAAOkEAABkcnMvZG93bnJldi54bWxQ&#10;SwUGAAAAAAQABADzAAAA8wUAAAAA&#10;" fillcolor="white [3201]" strokecolor="white [3212]" strokeweight=".5pt">
                      <v:textbox>
                        <w:txbxContent>
                          <w:p w:rsidR="00E27CCF" w:rsidRPr="00E27CCF" w:rsidRDefault="00E27CCF">
                            <w:pPr>
                              <w:rPr>
                                <w:rFonts w:ascii="Arial" w:hAnsi="Arial" w:cs="Arial"/>
                                <w:sz w:val="16"/>
                                <w:szCs w:val="16"/>
                              </w:rPr>
                            </w:pPr>
                            <w:r>
                              <w:rPr>
                                <w:rFonts w:ascii="Arial" w:hAnsi="Arial" w:cs="Arial"/>
                                <w:sz w:val="16"/>
                                <w:szCs w:val="16"/>
                              </w:rPr>
                              <w:t xml:space="preserve">     Suggested rheumatological presentations to add to BHIVA guidance</w:t>
                            </w:r>
                          </w:p>
                        </w:txbxContent>
                      </v:textbox>
                    </v:shape>
                  </w:pict>
                </mc:Fallback>
              </mc:AlternateContent>
            </w:r>
            <w:r w:rsidR="005747CB" w:rsidRPr="005747CB">
              <w:rPr>
                <w:rFonts w:ascii="Arial" w:hAnsi="Arial" w:cs="Arial"/>
                <w:sz w:val="16"/>
                <w:szCs w:val="16"/>
              </w:rPr>
              <w:t>Sexually-acquired reactive arthritis or reactive arthritis with unknown mode of acquisition</w:t>
            </w:r>
          </w:p>
        </w:tc>
      </w:tr>
      <w:tr w:rsidR="005747CB" w:rsidTr="008C3BEF">
        <w:tc>
          <w:tcPr>
            <w:tcW w:w="1668" w:type="dxa"/>
            <w:shd w:val="clear" w:color="auto" w:fill="808080" w:themeFill="background1" w:themeFillShade="80"/>
          </w:tcPr>
          <w:p w:rsidR="005747CB" w:rsidRPr="005747CB" w:rsidRDefault="005747CB">
            <w:pPr>
              <w:rPr>
                <w:rFonts w:ascii="Arial" w:hAnsi="Arial" w:cs="Arial"/>
                <w:b/>
                <w:sz w:val="16"/>
                <w:szCs w:val="16"/>
              </w:rPr>
            </w:pPr>
          </w:p>
        </w:tc>
        <w:tc>
          <w:tcPr>
            <w:tcW w:w="2409" w:type="dxa"/>
            <w:shd w:val="clear" w:color="auto" w:fill="808080" w:themeFill="background1" w:themeFillShade="80"/>
          </w:tcPr>
          <w:p w:rsidR="005747CB" w:rsidRPr="005747CB" w:rsidRDefault="005747CB" w:rsidP="008C3BEF">
            <w:pPr>
              <w:jc w:val="center"/>
              <w:rPr>
                <w:rFonts w:ascii="Arial" w:hAnsi="Arial" w:cs="Arial"/>
                <w:sz w:val="16"/>
                <w:szCs w:val="16"/>
              </w:rPr>
            </w:pPr>
          </w:p>
        </w:tc>
        <w:tc>
          <w:tcPr>
            <w:tcW w:w="3261" w:type="dxa"/>
            <w:shd w:val="clear" w:color="auto" w:fill="808080" w:themeFill="background1" w:themeFillShade="80"/>
          </w:tcPr>
          <w:p w:rsidR="005747CB" w:rsidRPr="005747CB" w:rsidRDefault="005747CB" w:rsidP="008C3BEF">
            <w:pPr>
              <w:jc w:val="center"/>
              <w:rPr>
                <w:rFonts w:ascii="Arial" w:hAnsi="Arial" w:cs="Arial"/>
                <w:sz w:val="16"/>
                <w:szCs w:val="16"/>
              </w:rPr>
            </w:pPr>
            <w:r w:rsidRPr="005747CB">
              <w:rPr>
                <w:rFonts w:ascii="Arial" w:hAnsi="Arial" w:cs="Arial"/>
                <w:sz w:val="16"/>
                <w:szCs w:val="16"/>
              </w:rPr>
              <w:t>Keratoconjunctivitis sicca symptoms in the absence of anti-Ro or anti-La antibodies (DILS)</w:t>
            </w:r>
          </w:p>
        </w:tc>
      </w:tr>
      <w:tr w:rsidR="005747CB" w:rsidTr="008C3BEF">
        <w:tc>
          <w:tcPr>
            <w:tcW w:w="1668" w:type="dxa"/>
            <w:shd w:val="clear" w:color="auto" w:fill="808080" w:themeFill="background1" w:themeFillShade="80"/>
          </w:tcPr>
          <w:p w:rsidR="005747CB" w:rsidRPr="005747CB" w:rsidRDefault="005747CB">
            <w:pPr>
              <w:rPr>
                <w:rFonts w:ascii="Arial" w:hAnsi="Arial" w:cs="Arial"/>
                <w:b/>
                <w:sz w:val="16"/>
                <w:szCs w:val="16"/>
              </w:rPr>
            </w:pPr>
          </w:p>
        </w:tc>
        <w:tc>
          <w:tcPr>
            <w:tcW w:w="2409" w:type="dxa"/>
            <w:shd w:val="clear" w:color="auto" w:fill="808080" w:themeFill="background1" w:themeFillShade="80"/>
          </w:tcPr>
          <w:p w:rsidR="005747CB" w:rsidRPr="005747CB" w:rsidRDefault="005747CB" w:rsidP="008C3BEF">
            <w:pPr>
              <w:jc w:val="center"/>
              <w:rPr>
                <w:rFonts w:ascii="Arial" w:hAnsi="Arial" w:cs="Arial"/>
                <w:sz w:val="16"/>
                <w:szCs w:val="16"/>
              </w:rPr>
            </w:pPr>
          </w:p>
        </w:tc>
        <w:tc>
          <w:tcPr>
            <w:tcW w:w="3261" w:type="dxa"/>
            <w:shd w:val="clear" w:color="auto" w:fill="808080" w:themeFill="background1" w:themeFillShade="80"/>
          </w:tcPr>
          <w:p w:rsidR="005747CB" w:rsidRPr="005747CB" w:rsidRDefault="008C3BEF" w:rsidP="00AD0F0C">
            <w:pPr>
              <w:jc w:val="center"/>
              <w:rPr>
                <w:rFonts w:ascii="Arial" w:hAnsi="Arial" w:cs="Arial"/>
                <w:sz w:val="16"/>
                <w:szCs w:val="16"/>
              </w:rPr>
            </w:pPr>
            <w:r>
              <w:rPr>
                <w:rFonts w:ascii="Arial" w:hAnsi="Arial" w:cs="Arial"/>
                <w:sz w:val="16"/>
                <w:szCs w:val="16"/>
              </w:rPr>
              <w:t>Atypical l</w:t>
            </w:r>
            <w:r w:rsidR="005747CB" w:rsidRPr="005747CB">
              <w:rPr>
                <w:rFonts w:ascii="Arial" w:hAnsi="Arial" w:cs="Arial"/>
                <w:sz w:val="16"/>
                <w:szCs w:val="16"/>
              </w:rPr>
              <w:t xml:space="preserve">upus </w:t>
            </w:r>
          </w:p>
        </w:tc>
      </w:tr>
      <w:tr w:rsidR="005747CB" w:rsidTr="008C3BEF">
        <w:tc>
          <w:tcPr>
            <w:tcW w:w="1668" w:type="dxa"/>
            <w:shd w:val="clear" w:color="auto" w:fill="808080" w:themeFill="background1" w:themeFillShade="80"/>
          </w:tcPr>
          <w:p w:rsidR="005747CB" w:rsidRPr="005747CB" w:rsidRDefault="005747CB">
            <w:pPr>
              <w:rPr>
                <w:rFonts w:ascii="Arial" w:hAnsi="Arial" w:cs="Arial"/>
                <w:b/>
                <w:sz w:val="16"/>
                <w:szCs w:val="16"/>
              </w:rPr>
            </w:pPr>
          </w:p>
        </w:tc>
        <w:tc>
          <w:tcPr>
            <w:tcW w:w="2409" w:type="dxa"/>
            <w:shd w:val="clear" w:color="auto" w:fill="808080" w:themeFill="background1" w:themeFillShade="80"/>
          </w:tcPr>
          <w:p w:rsidR="005747CB" w:rsidRPr="005747CB" w:rsidRDefault="005747CB">
            <w:pPr>
              <w:rPr>
                <w:rFonts w:ascii="Arial" w:hAnsi="Arial" w:cs="Arial"/>
                <w:sz w:val="16"/>
                <w:szCs w:val="16"/>
              </w:rPr>
            </w:pPr>
          </w:p>
        </w:tc>
        <w:tc>
          <w:tcPr>
            <w:tcW w:w="3261" w:type="dxa"/>
            <w:shd w:val="clear" w:color="auto" w:fill="808080" w:themeFill="background1" w:themeFillShade="80"/>
          </w:tcPr>
          <w:p w:rsidR="005747CB" w:rsidRPr="005747CB" w:rsidRDefault="00941A92" w:rsidP="008C3BEF">
            <w:pPr>
              <w:jc w:val="center"/>
            </w:pPr>
            <w:r>
              <w:rPr>
                <w:rFonts w:ascii="Arial" w:hAnsi="Arial" w:cs="Arial"/>
                <w:sz w:val="16"/>
                <w:szCs w:val="16"/>
              </w:rPr>
              <w:t>Vasculitis</w:t>
            </w:r>
          </w:p>
        </w:tc>
      </w:tr>
      <w:tr w:rsidR="008C3BEF" w:rsidTr="008C3BEF">
        <w:tc>
          <w:tcPr>
            <w:tcW w:w="1668" w:type="dxa"/>
            <w:shd w:val="clear" w:color="auto" w:fill="808080" w:themeFill="background1" w:themeFillShade="80"/>
          </w:tcPr>
          <w:p w:rsidR="008C3BEF" w:rsidRPr="005747CB" w:rsidRDefault="008C3BEF">
            <w:pPr>
              <w:rPr>
                <w:rFonts w:ascii="Arial" w:hAnsi="Arial" w:cs="Arial"/>
                <w:b/>
                <w:sz w:val="16"/>
                <w:szCs w:val="16"/>
              </w:rPr>
            </w:pPr>
          </w:p>
        </w:tc>
        <w:tc>
          <w:tcPr>
            <w:tcW w:w="2409" w:type="dxa"/>
            <w:shd w:val="clear" w:color="auto" w:fill="808080" w:themeFill="background1" w:themeFillShade="80"/>
          </w:tcPr>
          <w:p w:rsidR="008C3BEF" w:rsidRPr="005747CB" w:rsidRDefault="008C3BEF">
            <w:pPr>
              <w:rPr>
                <w:rFonts w:ascii="Arial" w:hAnsi="Arial" w:cs="Arial"/>
                <w:sz w:val="16"/>
                <w:szCs w:val="16"/>
              </w:rPr>
            </w:pPr>
          </w:p>
        </w:tc>
        <w:tc>
          <w:tcPr>
            <w:tcW w:w="3261" w:type="dxa"/>
            <w:shd w:val="clear" w:color="auto" w:fill="808080" w:themeFill="background1" w:themeFillShade="80"/>
          </w:tcPr>
          <w:p w:rsidR="008C3BEF" w:rsidRPr="005747CB" w:rsidRDefault="008C3BEF" w:rsidP="008C3BEF">
            <w:pPr>
              <w:jc w:val="center"/>
              <w:rPr>
                <w:rFonts w:ascii="Arial" w:hAnsi="Arial" w:cs="Arial"/>
                <w:sz w:val="16"/>
                <w:szCs w:val="16"/>
              </w:rPr>
            </w:pPr>
            <w:r>
              <w:rPr>
                <w:rFonts w:ascii="Arial" w:hAnsi="Arial" w:cs="Arial"/>
                <w:sz w:val="16"/>
                <w:szCs w:val="16"/>
              </w:rPr>
              <w:t>Unexplained autoantibodies</w:t>
            </w:r>
          </w:p>
        </w:tc>
      </w:tr>
    </w:tbl>
    <w:p w:rsidR="00456E82" w:rsidRDefault="00BB1E92">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42284</wp:posOffset>
                </wp:positionH>
                <wp:positionV relativeFrom="paragraph">
                  <wp:posOffset>97514</wp:posOffset>
                </wp:positionV>
                <wp:extent cx="4545573" cy="401701"/>
                <wp:effectExtent l="0" t="0" r="26670" b="17780"/>
                <wp:wrapNone/>
                <wp:docPr id="3" name="Text Box 3"/>
                <wp:cNvGraphicFramePr/>
                <a:graphic xmlns:a="http://schemas.openxmlformats.org/drawingml/2006/main">
                  <a:graphicData uri="http://schemas.microsoft.com/office/word/2010/wordprocessingShape">
                    <wps:wsp>
                      <wps:cNvSpPr txBox="1"/>
                      <wps:spPr>
                        <a:xfrm>
                          <a:off x="0" y="0"/>
                          <a:ext cx="4545573" cy="4017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E92" w:rsidRPr="00BB1E92" w:rsidRDefault="00BB1E92">
                            <w:pPr>
                              <w:rPr>
                                <w:rFonts w:ascii="Arial" w:hAnsi="Arial" w:cs="Arial"/>
                                <w:sz w:val="18"/>
                                <w:szCs w:val="18"/>
                              </w:rPr>
                            </w:pPr>
                            <w:r>
                              <w:rPr>
                                <w:rFonts w:ascii="Arial" w:hAnsi="Arial" w:cs="Arial"/>
                                <w:sz w:val="18"/>
                                <w:szCs w:val="18"/>
                              </w:rPr>
                              <w:t xml:space="preserve">Note: HIV antibody testing (and Hepatitis B and C) is also recommended for rheumatological patients prior to commencement of biologic therapies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35pt;margin-top:7.7pt;width:357.9pt;height:3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cQlQIAALkFAAAOAAAAZHJzL2Uyb0RvYy54bWysVEtPGzEQvlfqf7B8L7uBBNqIDUpBVJUQ&#10;oELF2fHaxML2uLaT3fTXd+x9ECgXql52x55vXp9n5vSsNZpshQ8KbEUnByUlwnKolX2s6M/7y0+f&#10;KQmR2ZppsKKiOxHo2eLjh9PGzcUhrEHXwhN0YsO8cRVdx+jmRRH4WhgWDsAJi0oJ3rCIR/9Y1J41&#10;6N3o4rAsj4sGfO08cBEC3l50SrrI/qUUPN5IGUQkuqKYW8xfn7+r9C0Wp2z+6JlbK96nwf4hC8OU&#10;xaCjqwsWGdl49Zcro7iHADIecDAFSKm4yDVgNZPyVTV3a+ZErgXJCW6kKfw/t/x6e+uJqit6RIll&#10;Bp/oXrSRfIWWHCV2GhfmCLpzCIstXuMrD/cBL1PRrfQm/bEcgnrkeTdym5xxvJzOprPZCQbhqJuW&#10;k5MyuymerZ0P8ZsAQ5JQUY9vlyll26sQMROEDpAULIBW9aXSOh9Sv4hz7cmW4UvrODh/gdKWNBU9&#10;PpqV2fELXXI92q8040+pSoy5h8KTtimcyJ3Vp5UY6pjIUtxpkTDa/hASmc2EvJEj41zYMc+MTiiJ&#10;Fb3HsMc/Z/Ue464OtMiRwcbR2CgLvmPpJbX100Ct7PBI0l7dSYztqs0tNTbKCuod9o+Hbv6C45cK&#10;+b5iId4yjwOHLYNLJN7gR2rAR4JeomQN/vdb9wmPc4BaShoc4IqGXxvmBSX6u8UJ+TKZTtPE58N0&#10;dnKIB7+vWe1r7MacA3bOBNeV41lM+KgHUXowD7hrlikqqpjlGLuicRDPY7dWcFdxsVxmEM64Y/HK&#10;3jmeXCeWU5/dtw/Mu77PI07INQyjzuav2r3DJksLy00EqfIsJJ47Vnv+cT/kdu13WVpA++eMet64&#10;iz8AAAD//wMAUEsDBBQABgAIAAAAIQCi2slx2gAAAAcBAAAPAAAAZHJzL2Rvd25yZXYueG1sTI7B&#10;TsMwEETvSPyDtUjcqENEmzSNUwEqXDhREGc3dm2LeB3Zbhr+nuVEb7Mzo9nXbmc/sEnH5AIKuF8U&#10;wDT2QTk0Aj4/Xu5qYClLVHIIqAX86ATb7vqqlY0KZ3zX0z4bRiOYGinA5jw2nKfeai/TIowaKTuG&#10;6GWmMxquojzTuB94WRQr7qVD+mDlqJ+t7r/3Jy9g92TWpq9ltLtaOTfNX8c38yrE7c38uAGW9Zz/&#10;y/CHT+jQEdMhnFAlNghYVVQke/kAjOKqLJfADiTqCnjX8kv+7hcAAP//AwBQSwECLQAUAAYACAAA&#10;ACEAtoM4kv4AAADhAQAAEwAAAAAAAAAAAAAAAAAAAAAAW0NvbnRlbnRfVHlwZXNdLnhtbFBLAQIt&#10;ABQABgAIAAAAIQA4/SH/1gAAAJQBAAALAAAAAAAAAAAAAAAAAC8BAABfcmVscy8ucmVsc1BLAQIt&#10;ABQABgAIAAAAIQB3UccQlQIAALkFAAAOAAAAAAAAAAAAAAAAAC4CAABkcnMvZTJvRG9jLnhtbFBL&#10;AQItABQABgAIAAAAIQCi2slx2gAAAAcBAAAPAAAAAAAAAAAAAAAAAO8EAABkcnMvZG93bnJldi54&#10;bWxQSwUGAAAAAAQABADzAAAA9gUAAAAA&#10;" fillcolor="white [3201]" strokeweight=".5pt">
                <v:textbox>
                  <w:txbxContent>
                    <w:p w:rsidR="00BB1E92" w:rsidRPr="00BB1E92" w:rsidRDefault="00BB1E92">
                      <w:pPr>
                        <w:rPr>
                          <w:rFonts w:ascii="Arial" w:hAnsi="Arial" w:cs="Arial"/>
                          <w:sz w:val="18"/>
                          <w:szCs w:val="18"/>
                        </w:rPr>
                      </w:pPr>
                      <w:r>
                        <w:rPr>
                          <w:rFonts w:ascii="Arial" w:hAnsi="Arial" w:cs="Arial"/>
                          <w:sz w:val="18"/>
                          <w:szCs w:val="18"/>
                        </w:rPr>
                        <w:t xml:space="preserve">Note: HIV antibody testing (and Hepatitis B and C) is also recommended for rheumatological patients prior to commencement of biologic therapies </w:t>
                      </w:r>
                    </w:p>
                  </w:txbxContent>
                </v:textbox>
              </v:shape>
            </w:pict>
          </mc:Fallback>
        </mc:AlternateContent>
      </w:r>
    </w:p>
    <w:p w:rsidR="00D51351" w:rsidRPr="00E27CCF" w:rsidRDefault="00E27CCF" w:rsidP="00E27CCF">
      <w:pPr>
        <w:ind w:left="1440" w:hanging="1440"/>
        <w:rPr>
          <w:rFonts w:ascii="Arial" w:hAnsi="Arial" w:cs="Arial"/>
          <w:b/>
        </w:rPr>
      </w:pPr>
      <w:r>
        <w:rPr>
          <w:rFonts w:ascii="Arial" w:hAnsi="Arial" w:cs="Arial"/>
          <w:b/>
        </w:rPr>
        <w:lastRenderedPageBreak/>
        <w:t>Table 3</w:t>
      </w:r>
      <w:r>
        <w:rPr>
          <w:rFonts w:ascii="Arial" w:hAnsi="Arial" w:cs="Arial"/>
          <w:b/>
        </w:rPr>
        <w:tab/>
      </w:r>
      <w:r w:rsidR="00773474" w:rsidRPr="00E27CCF">
        <w:rPr>
          <w:rFonts w:ascii="Arial" w:hAnsi="Arial" w:cs="Arial"/>
          <w:b/>
        </w:rPr>
        <w:t>A review of the use of disease-modifying anti-rheumatic drugs and biologics among patients with known HIV infection</w:t>
      </w:r>
      <w:r w:rsidR="00931663" w:rsidRPr="00E27CCF">
        <w:rPr>
          <w:rFonts w:ascii="Arial" w:hAnsi="Arial" w:cs="Arial"/>
          <w:b/>
        </w:rPr>
        <w:t xml:space="preserve"> for control of inflammatory diseases</w:t>
      </w:r>
      <w:r w:rsidR="001B3EDB" w:rsidRPr="00E27CCF">
        <w:rPr>
          <w:rFonts w:ascii="Arial" w:hAnsi="Arial" w:cs="Arial"/>
          <w:b/>
        </w:rPr>
        <w:t>, transplant patients</w:t>
      </w:r>
      <w:r w:rsidR="00931663" w:rsidRPr="00E27CCF">
        <w:rPr>
          <w:rFonts w:ascii="Arial" w:hAnsi="Arial" w:cs="Arial"/>
          <w:b/>
        </w:rPr>
        <w:t xml:space="preserve"> and skin psoriasis</w:t>
      </w:r>
    </w:p>
    <w:tbl>
      <w:tblPr>
        <w:tblStyle w:val="TableGrid"/>
        <w:tblW w:w="9464" w:type="dxa"/>
        <w:tblLook w:val="04A0" w:firstRow="1" w:lastRow="0" w:firstColumn="1" w:lastColumn="0" w:noHBand="0" w:noVBand="1"/>
      </w:tblPr>
      <w:tblGrid>
        <w:gridCol w:w="2031"/>
        <w:gridCol w:w="2046"/>
        <w:gridCol w:w="1985"/>
        <w:gridCol w:w="1984"/>
        <w:gridCol w:w="1418"/>
      </w:tblGrid>
      <w:tr w:rsidR="000E191F" w:rsidTr="001828EF">
        <w:tc>
          <w:tcPr>
            <w:tcW w:w="2031" w:type="dxa"/>
          </w:tcPr>
          <w:p w:rsidR="00931663" w:rsidRPr="00701F9A" w:rsidRDefault="00931663">
            <w:pPr>
              <w:rPr>
                <w:rFonts w:ascii="Arial" w:hAnsi="Arial" w:cs="Arial"/>
                <w:b/>
                <w:sz w:val="16"/>
                <w:szCs w:val="16"/>
              </w:rPr>
            </w:pPr>
            <w:r w:rsidRPr="00701F9A">
              <w:rPr>
                <w:rFonts w:ascii="Arial" w:hAnsi="Arial" w:cs="Arial"/>
                <w:b/>
                <w:sz w:val="16"/>
                <w:szCs w:val="16"/>
              </w:rPr>
              <w:t>Drug</w:t>
            </w:r>
          </w:p>
        </w:tc>
        <w:tc>
          <w:tcPr>
            <w:tcW w:w="2046" w:type="dxa"/>
          </w:tcPr>
          <w:p w:rsidR="00931663" w:rsidRPr="00701F9A" w:rsidRDefault="00931663">
            <w:pPr>
              <w:rPr>
                <w:rFonts w:ascii="Arial" w:hAnsi="Arial" w:cs="Arial"/>
                <w:b/>
                <w:sz w:val="16"/>
                <w:szCs w:val="16"/>
              </w:rPr>
            </w:pPr>
            <w:r w:rsidRPr="00701F9A">
              <w:rPr>
                <w:rFonts w:ascii="Arial" w:hAnsi="Arial" w:cs="Arial"/>
                <w:b/>
                <w:sz w:val="16"/>
                <w:szCs w:val="16"/>
              </w:rPr>
              <w:t>Comment</w:t>
            </w:r>
          </w:p>
        </w:tc>
        <w:tc>
          <w:tcPr>
            <w:tcW w:w="1985" w:type="dxa"/>
          </w:tcPr>
          <w:p w:rsidR="00931663" w:rsidRPr="00701F9A" w:rsidRDefault="0047128A" w:rsidP="0047128A">
            <w:pPr>
              <w:rPr>
                <w:rFonts w:ascii="Arial" w:hAnsi="Arial" w:cs="Arial"/>
                <w:b/>
                <w:sz w:val="16"/>
                <w:szCs w:val="16"/>
              </w:rPr>
            </w:pPr>
            <w:r w:rsidRPr="00701F9A">
              <w:rPr>
                <w:rFonts w:ascii="Arial" w:hAnsi="Arial" w:cs="Arial"/>
                <w:b/>
                <w:sz w:val="16"/>
                <w:szCs w:val="16"/>
              </w:rPr>
              <w:t>Efficacy /safety</w:t>
            </w:r>
          </w:p>
        </w:tc>
        <w:tc>
          <w:tcPr>
            <w:tcW w:w="1984" w:type="dxa"/>
          </w:tcPr>
          <w:p w:rsidR="00931663" w:rsidRPr="00701F9A" w:rsidRDefault="00931663">
            <w:pPr>
              <w:rPr>
                <w:rFonts w:ascii="Arial" w:hAnsi="Arial" w:cs="Arial"/>
                <w:b/>
                <w:sz w:val="16"/>
                <w:szCs w:val="16"/>
              </w:rPr>
            </w:pPr>
            <w:r w:rsidRPr="00701F9A">
              <w:rPr>
                <w:rFonts w:ascii="Arial" w:hAnsi="Arial" w:cs="Arial"/>
                <w:b/>
                <w:sz w:val="16"/>
                <w:szCs w:val="16"/>
              </w:rPr>
              <w:t>Interactions</w:t>
            </w:r>
            <w:r w:rsidR="00D56D00">
              <w:rPr>
                <w:rFonts w:ascii="Arial" w:hAnsi="Arial" w:cs="Arial"/>
                <w:b/>
                <w:sz w:val="16"/>
                <w:szCs w:val="16"/>
              </w:rPr>
              <w:t xml:space="preserve"> with cART</w:t>
            </w:r>
          </w:p>
        </w:tc>
        <w:tc>
          <w:tcPr>
            <w:tcW w:w="1418" w:type="dxa"/>
          </w:tcPr>
          <w:p w:rsidR="00931663" w:rsidRPr="007E08A0" w:rsidRDefault="000245AB" w:rsidP="000245AB">
            <w:pPr>
              <w:rPr>
                <w:rFonts w:ascii="Arial" w:hAnsi="Arial" w:cs="Arial"/>
                <w:b/>
                <w:sz w:val="16"/>
                <w:szCs w:val="16"/>
              </w:rPr>
            </w:pPr>
            <w:r>
              <w:rPr>
                <w:rFonts w:ascii="Arial" w:hAnsi="Arial" w:cs="Arial"/>
                <w:b/>
                <w:sz w:val="16"/>
                <w:szCs w:val="16"/>
              </w:rPr>
              <w:t>Personal e</w:t>
            </w:r>
            <w:r w:rsidR="007E08A0" w:rsidRPr="007E08A0">
              <w:rPr>
                <w:rFonts w:ascii="Arial" w:hAnsi="Arial" w:cs="Arial"/>
                <w:b/>
                <w:sz w:val="16"/>
                <w:szCs w:val="16"/>
              </w:rPr>
              <w:t>xperience</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Hydroxychloroquine</w:t>
            </w:r>
          </w:p>
        </w:tc>
        <w:tc>
          <w:tcPr>
            <w:tcW w:w="2046" w:type="dxa"/>
          </w:tcPr>
          <w:p w:rsidR="00931663" w:rsidRPr="00701F9A" w:rsidRDefault="0047128A" w:rsidP="008148B1">
            <w:pPr>
              <w:rPr>
                <w:rFonts w:ascii="Arial" w:hAnsi="Arial" w:cs="Arial"/>
                <w:sz w:val="16"/>
                <w:szCs w:val="16"/>
              </w:rPr>
            </w:pPr>
            <w:r w:rsidRPr="00701F9A">
              <w:rPr>
                <w:rFonts w:ascii="Arial" w:hAnsi="Arial" w:cs="Arial"/>
                <w:sz w:val="16"/>
                <w:szCs w:val="16"/>
              </w:rPr>
              <w:t>Hydroxycholoroquine (HCQ) inhibits HIV infectivity through immunomodulatory effects, inhibit</w:t>
            </w:r>
            <w:r w:rsidR="00701F9A" w:rsidRPr="00701F9A">
              <w:rPr>
                <w:rFonts w:ascii="Arial" w:hAnsi="Arial" w:cs="Arial"/>
                <w:sz w:val="16"/>
                <w:szCs w:val="16"/>
              </w:rPr>
              <w:t>s</w:t>
            </w:r>
            <w:r w:rsidRPr="00701F9A">
              <w:rPr>
                <w:rFonts w:ascii="Arial" w:hAnsi="Arial" w:cs="Arial"/>
                <w:sz w:val="16"/>
                <w:szCs w:val="16"/>
              </w:rPr>
              <w:t xml:space="preserve"> viral replication and increase</w:t>
            </w:r>
            <w:r w:rsidR="00701F9A" w:rsidRPr="00701F9A">
              <w:rPr>
                <w:rFonts w:ascii="Arial" w:hAnsi="Arial" w:cs="Arial"/>
                <w:sz w:val="16"/>
                <w:szCs w:val="16"/>
              </w:rPr>
              <w:t>s</w:t>
            </w:r>
            <w:r w:rsidRPr="00701F9A">
              <w:rPr>
                <w:rFonts w:ascii="Arial" w:hAnsi="Arial" w:cs="Arial"/>
                <w:sz w:val="16"/>
                <w:szCs w:val="16"/>
              </w:rPr>
              <w:t xml:space="preserve"> circulating CD4+ T cells [</w:t>
            </w:r>
            <w:r w:rsidR="008148B1">
              <w:rPr>
                <w:rFonts w:ascii="Arial" w:hAnsi="Arial" w:cs="Arial"/>
                <w:sz w:val="16"/>
                <w:szCs w:val="16"/>
              </w:rPr>
              <w:t>76-78</w:t>
            </w:r>
            <w:r w:rsidRPr="00701F9A">
              <w:rPr>
                <w:rFonts w:ascii="Arial" w:hAnsi="Arial" w:cs="Arial"/>
                <w:sz w:val="16"/>
                <w:szCs w:val="16"/>
              </w:rPr>
              <w:t>].</w:t>
            </w:r>
            <w:r w:rsidR="007E08A0">
              <w:rPr>
                <w:rFonts w:ascii="Arial" w:hAnsi="Arial" w:cs="Arial"/>
                <w:sz w:val="16"/>
                <w:szCs w:val="16"/>
              </w:rPr>
              <w:t xml:space="preserve"> Chloroquine and Hydroxychloroquine under investigation for use in suppressing immune activat</w:t>
            </w:r>
            <w:r w:rsidR="008148B1">
              <w:rPr>
                <w:rFonts w:ascii="Arial" w:hAnsi="Arial" w:cs="Arial"/>
                <w:sz w:val="16"/>
                <w:szCs w:val="16"/>
              </w:rPr>
              <w:t xml:space="preserve">ion that remains despite effective </w:t>
            </w:r>
            <w:r w:rsidR="007E08A0">
              <w:rPr>
                <w:rFonts w:ascii="Arial" w:hAnsi="Arial" w:cs="Arial"/>
                <w:sz w:val="16"/>
                <w:szCs w:val="16"/>
              </w:rPr>
              <w:t>viral suppression with cART</w:t>
            </w:r>
            <w:r w:rsidR="008148B1">
              <w:rPr>
                <w:rFonts w:ascii="Arial" w:hAnsi="Arial" w:cs="Arial"/>
                <w:sz w:val="16"/>
                <w:szCs w:val="16"/>
              </w:rPr>
              <w:t xml:space="preserve"> [79]</w:t>
            </w:r>
            <w:r w:rsidR="007E08A0">
              <w:rPr>
                <w:rFonts w:ascii="Arial" w:hAnsi="Arial" w:cs="Arial"/>
                <w:sz w:val="16"/>
                <w:szCs w:val="16"/>
              </w:rPr>
              <w:t>.</w:t>
            </w:r>
          </w:p>
        </w:tc>
        <w:tc>
          <w:tcPr>
            <w:tcW w:w="1985" w:type="dxa"/>
          </w:tcPr>
          <w:p w:rsidR="00931663" w:rsidRPr="00701F9A" w:rsidRDefault="001B3EDB">
            <w:pPr>
              <w:rPr>
                <w:rFonts w:ascii="Arial" w:hAnsi="Arial" w:cs="Arial"/>
                <w:sz w:val="16"/>
                <w:szCs w:val="16"/>
              </w:rPr>
            </w:pPr>
            <w:r w:rsidRPr="00701F9A">
              <w:rPr>
                <w:rFonts w:ascii="Arial" w:hAnsi="Arial" w:cs="Arial"/>
                <w:sz w:val="16"/>
                <w:szCs w:val="16"/>
              </w:rPr>
              <w:t>Generally safe and well-tolerated</w:t>
            </w:r>
            <w:r w:rsidR="000245AB">
              <w:rPr>
                <w:rFonts w:ascii="Arial" w:hAnsi="Arial" w:cs="Arial"/>
                <w:sz w:val="16"/>
                <w:szCs w:val="16"/>
              </w:rPr>
              <w:t>. Appears to have been widely used in HIV patients, particularly for dermatological disease.</w:t>
            </w:r>
          </w:p>
        </w:tc>
        <w:tc>
          <w:tcPr>
            <w:tcW w:w="1984" w:type="dxa"/>
          </w:tcPr>
          <w:p w:rsidR="00931663" w:rsidRPr="00701F9A" w:rsidRDefault="007E08A0">
            <w:pPr>
              <w:rPr>
                <w:rFonts w:ascii="Arial" w:hAnsi="Arial" w:cs="Arial"/>
                <w:sz w:val="16"/>
                <w:szCs w:val="16"/>
              </w:rPr>
            </w:pPr>
            <w:r>
              <w:rPr>
                <w:rFonts w:ascii="Arial" w:hAnsi="Arial" w:cs="Arial"/>
                <w:sz w:val="16"/>
                <w:szCs w:val="16"/>
              </w:rPr>
              <w:t>None identified</w:t>
            </w:r>
          </w:p>
        </w:tc>
        <w:tc>
          <w:tcPr>
            <w:tcW w:w="1418" w:type="dxa"/>
          </w:tcPr>
          <w:p w:rsidR="00931663" w:rsidRPr="00701F9A" w:rsidRDefault="007E08A0">
            <w:pPr>
              <w:rPr>
                <w:rFonts w:ascii="Arial" w:hAnsi="Arial" w:cs="Arial"/>
                <w:sz w:val="16"/>
                <w:szCs w:val="16"/>
              </w:rPr>
            </w:pPr>
            <w:r>
              <w:rPr>
                <w:rFonts w:ascii="Arial" w:hAnsi="Arial" w:cs="Arial"/>
                <w:sz w:val="16"/>
                <w:szCs w:val="16"/>
              </w:rPr>
              <w:t>Used safely in several patients without safety issues and with good benefit</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Sulfasalazine</w:t>
            </w:r>
          </w:p>
        </w:tc>
        <w:tc>
          <w:tcPr>
            <w:tcW w:w="2046" w:type="dxa"/>
          </w:tcPr>
          <w:p w:rsidR="00931663" w:rsidRPr="00701F9A" w:rsidRDefault="008148B1">
            <w:pPr>
              <w:rPr>
                <w:rFonts w:ascii="Arial" w:hAnsi="Arial" w:cs="Arial"/>
                <w:sz w:val="16"/>
                <w:szCs w:val="16"/>
              </w:rPr>
            </w:pPr>
            <w:r>
              <w:rPr>
                <w:rFonts w:ascii="Arial" w:hAnsi="Arial" w:cs="Arial"/>
                <w:sz w:val="16"/>
                <w:szCs w:val="16"/>
              </w:rPr>
              <w:t>Possible immunomodulatory effect on HIV viral infectivity [80]</w:t>
            </w:r>
          </w:p>
        </w:tc>
        <w:tc>
          <w:tcPr>
            <w:tcW w:w="1985" w:type="dxa"/>
          </w:tcPr>
          <w:p w:rsidR="0047128A" w:rsidRPr="00701F9A" w:rsidRDefault="0047128A" w:rsidP="0047128A">
            <w:pPr>
              <w:rPr>
                <w:rFonts w:ascii="Arial" w:hAnsi="Arial" w:cs="Arial"/>
                <w:sz w:val="16"/>
                <w:szCs w:val="16"/>
              </w:rPr>
            </w:pPr>
            <w:r w:rsidRPr="00701F9A">
              <w:rPr>
                <w:rFonts w:ascii="Arial" w:hAnsi="Arial" w:cs="Arial"/>
                <w:sz w:val="16"/>
                <w:szCs w:val="16"/>
              </w:rPr>
              <w:t>From three published reports including 17 patients with HIV and seronegative spondyloarthropathy, there is evidence of a good response in the majority of patients (14/17= 82%) (often in &lt; 1 month) and no bone marrow, renal or liver toxicity [</w:t>
            </w:r>
            <w:r w:rsidR="008148B1">
              <w:rPr>
                <w:rFonts w:ascii="Arial" w:hAnsi="Arial" w:cs="Arial"/>
                <w:sz w:val="16"/>
                <w:szCs w:val="16"/>
              </w:rPr>
              <w:t>81</w:t>
            </w:r>
            <w:r w:rsidRPr="00701F9A">
              <w:rPr>
                <w:rFonts w:ascii="Arial" w:hAnsi="Arial" w:cs="Arial"/>
                <w:sz w:val="16"/>
                <w:szCs w:val="16"/>
              </w:rPr>
              <w:t xml:space="preserve">]. </w:t>
            </w:r>
          </w:p>
          <w:p w:rsidR="00931663" w:rsidRPr="00701F9A" w:rsidRDefault="00931663">
            <w:pPr>
              <w:rPr>
                <w:rFonts w:ascii="Arial" w:hAnsi="Arial" w:cs="Arial"/>
                <w:sz w:val="16"/>
                <w:szCs w:val="16"/>
              </w:rPr>
            </w:pPr>
          </w:p>
        </w:tc>
        <w:tc>
          <w:tcPr>
            <w:tcW w:w="1984" w:type="dxa"/>
          </w:tcPr>
          <w:p w:rsidR="00931663" w:rsidRPr="00701F9A" w:rsidRDefault="007E08A0">
            <w:pPr>
              <w:rPr>
                <w:rFonts w:ascii="Arial" w:hAnsi="Arial" w:cs="Arial"/>
                <w:sz w:val="16"/>
                <w:szCs w:val="16"/>
              </w:rPr>
            </w:pPr>
            <w:r>
              <w:rPr>
                <w:rFonts w:ascii="Arial" w:hAnsi="Arial" w:cs="Arial"/>
                <w:sz w:val="16"/>
                <w:szCs w:val="16"/>
              </w:rPr>
              <w:t>None identified but hypothetical interaction with zidovudine (extra monitoring required)</w:t>
            </w:r>
          </w:p>
        </w:tc>
        <w:tc>
          <w:tcPr>
            <w:tcW w:w="1418" w:type="dxa"/>
          </w:tcPr>
          <w:p w:rsidR="00931663" w:rsidRPr="00701F9A" w:rsidRDefault="000245AB">
            <w:pPr>
              <w:rPr>
                <w:rFonts w:ascii="Arial" w:hAnsi="Arial" w:cs="Arial"/>
                <w:sz w:val="16"/>
                <w:szCs w:val="16"/>
              </w:rPr>
            </w:pPr>
            <w:r w:rsidRPr="000245AB">
              <w:rPr>
                <w:rFonts w:ascii="Arial" w:hAnsi="Arial" w:cs="Arial"/>
                <w:sz w:val="16"/>
                <w:szCs w:val="16"/>
              </w:rPr>
              <w:t>Used safely in several patients without safety issues and with good benefit</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Methotrexate</w:t>
            </w:r>
          </w:p>
        </w:tc>
        <w:tc>
          <w:tcPr>
            <w:tcW w:w="2046" w:type="dxa"/>
          </w:tcPr>
          <w:p w:rsidR="00931663" w:rsidRPr="00701F9A" w:rsidRDefault="000245AB">
            <w:pPr>
              <w:rPr>
                <w:rFonts w:ascii="Arial" w:hAnsi="Arial" w:cs="Arial"/>
                <w:sz w:val="16"/>
                <w:szCs w:val="16"/>
              </w:rPr>
            </w:pPr>
            <w:r>
              <w:rPr>
                <w:rFonts w:ascii="Arial" w:hAnsi="Arial" w:cs="Arial"/>
                <w:sz w:val="16"/>
                <w:szCs w:val="16"/>
              </w:rPr>
              <w:t>Used in combination chemotherapy for lymphoma patients</w:t>
            </w:r>
          </w:p>
        </w:tc>
        <w:tc>
          <w:tcPr>
            <w:tcW w:w="1985" w:type="dxa"/>
          </w:tcPr>
          <w:p w:rsidR="0047128A" w:rsidRPr="00701F9A" w:rsidRDefault="004320AD" w:rsidP="0047128A">
            <w:pPr>
              <w:rPr>
                <w:rFonts w:ascii="Arial" w:hAnsi="Arial" w:cs="Arial"/>
                <w:sz w:val="16"/>
                <w:szCs w:val="16"/>
              </w:rPr>
            </w:pPr>
            <w:r>
              <w:rPr>
                <w:rFonts w:ascii="Arial" w:hAnsi="Arial" w:cs="Arial"/>
                <w:sz w:val="16"/>
                <w:szCs w:val="16"/>
              </w:rPr>
              <w:t>M</w:t>
            </w:r>
            <w:r w:rsidR="0047128A" w:rsidRPr="00701F9A">
              <w:rPr>
                <w:rFonts w:ascii="Arial" w:hAnsi="Arial" w:cs="Arial"/>
                <w:sz w:val="16"/>
                <w:szCs w:val="16"/>
              </w:rPr>
              <w:t>ost reports in the pre-cART era reported p</w:t>
            </w:r>
            <w:r w:rsidR="008148B1">
              <w:rPr>
                <w:rFonts w:ascii="Arial" w:hAnsi="Arial" w:cs="Arial"/>
                <w:sz w:val="16"/>
                <w:szCs w:val="16"/>
              </w:rPr>
              <w:t>oor outcomes, and even death [</w:t>
            </w:r>
            <w:r w:rsidR="00BA7A34">
              <w:rPr>
                <w:rFonts w:ascii="Arial" w:hAnsi="Arial" w:cs="Arial"/>
                <w:sz w:val="16"/>
                <w:szCs w:val="16"/>
              </w:rPr>
              <w:t>8,</w:t>
            </w:r>
            <w:r w:rsidR="008148B1">
              <w:rPr>
                <w:rFonts w:ascii="Arial" w:hAnsi="Arial" w:cs="Arial"/>
                <w:sz w:val="16"/>
                <w:szCs w:val="16"/>
              </w:rPr>
              <w:t>62</w:t>
            </w:r>
            <w:r w:rsidR="0047128A" w:rsidRPr="00701F9A">
              <w:rPr>
                <w:rFonts w:ascii="Arial" w:hAnsi="Arial" w:cs="Arial"/>
                <w:sz w:val="16"/>
                <w:szCs w:val="16"/>
              </w:rPr>
              <w:t>]. Since however, there have been increasing numbers of case reports of its safe, effective use among patients with psoriasis, psoriatic arthritis, RA and dermatomyositis over the course of months and even years</w:t>
            </w:r>
            <w:r w:rsidR="00BA7A34">
              <w:rPr>
                <w:rFonts w:ascii="Arial" w:hAnsi="Arial" w:cs="Arial"/>
                <w:sz w:val="16"/>
                <w:szCs w:val="16"/>
              </w:rPr>
              <w:t xml:space="preserve"> [54,82]</w:t>
            </w:r>
            <w:r w:rsidR="0047128A" w:rsidRPr="00701F9A">
              <w:rPr>
                <w:rFonts w:ascii="Arial" w:hAnsi="Arial" w:cs="Arial"/>
                <w:sz w:val="16"/>
                <w:szCs w:val="16"/>
              </w:rPr>
              <w:t xml:space="preserve">. It may be that methotrexate does not adversely affect the natural course of HIV disease but </w:t>
            </w:r>
            <w:r>
              <w:rPr>
                <w:rFonts w:ascii="Arial" w:hAnsi="Arial" w:cs="Arial"/>
                <w:sz w:val="16"/>
                <w:szCs w:val="16"/>
              </w:rPr>
              <w:t xml:space="preserve">the literature </w:t>
            </w:r>
            <w:r w:rsidR="0047128A" w:rsidRPr="00701F9A">
              <w:rPr>
                <w:rFonts w:ascii="Arial" w:hAnsi="Arial" w:cs="Arial"/>
                <w:sz w:val="16"/>
                <w:szCs w:val="16"/>
              </w:rPr>
              <w:t>reflect</w:t>
            </w:r>
            <w:r w:rsidR="00701F9A" w:rsidRPr="00701F9A">
              <w:rPr>
                <w:rFonts w:ascii="Arial" w:hAnsi="Arial" w:cs="Arial"/>
                <w:sz w:val="16"/>
                <w:szCs w:val="16"/>
              </w:rPr>
              <w:t>s</w:t>
            </w:r>
            <w:r w:rsidR="0047128A" w:rsidRPr="00701F9A">
              <w:rPr>
                <w:rFonts w:ascii="Arial" w:hAnsi="Arial" w:cs="Arial"/>
                <w:sz w:val="16"/>
                <w:szCs w:val="16"/>
              </w:rPr>
              <w:t xml:space="preserve"> publication bias. The use of methotrexate is now recommended for the treatment of refractory severe psoriasis by the National Psoriasis Foundation in their 2009 g</w:t>
            </w:r>
            <w:r w:rsidR="008148B1">
              <w:rPr>
                <w:rFonts w:ascii="Arial" w:hAnsi="Arial" w:cs="Arial"/>
                <w:sz w:val="16"/>
                <w:szCs w:val="16"/>
              </w:rPr>
              <w:t>uidance (grade III evidence) [83</w:t>
            </w:r>
            <w:r w:rsidR="0047128A" w:rsidRPr="00701F9A">
              <w:rPr>
                <w:rFonts w:ascii="Arial" w:hAnsi="Arial" w:cs="Arial"/>
                <w:sz w:val="16"/>
                <w:szCs w:val="16"/>
              </w:rPr>
              <w:t>].</w:t>
            </w:r>
          </w:p>
          <w:p w:rsidR="00931663" w:rsidRPr="00701F9A" w:rsidRDefault="00931663">
            <w:pPr>
              <w:rPr>
                <w:rFonts w:ascii="Arial" w:hAnsi="Arial" w:cs="Arial"/>
                <w:sz w:val="16"/>
                <w:szCs w:val="16"/>
              </w:rPr>
            </w:pPr>
          </w:p>
        </w:tc>
        <w:tc>
          <w:tcPr>
            <w:tcW w:w="1984" w:type="dxa"/>
          </w:tcPr>
          <w:p w:rsidR="00931663" w:rsidRPr="00701F9A" w:rsidRDefault="004320AD" w:rsidP="008148B1">
            <w:pPr>
              <w:rPr>
                <w:rFonts w:ascii="Arial" w:hAnsi="Arial" w:cs="Arial"/>
                <w:sz w:val="16"/>
                <w:szCs w:val="16"/>
              </w:rPr>
            </w:pPr>
            <w:r>
              <w:rPr>
                <w:rFonts w:ascii="Arial" w:hAnsi="Arial" w:cs="Arial"/>
                <w:sz w:val="16"/>
                <w:szCs w:val="16"/>
              </w:rPr>
              <w:t>No identified interactions with any cART but very low quality evidence as co-admini</w:t>
            </w:r>
            <w:r w:rsidR="00655464">
              <w:rPr>
                <w:rFonts w:ascii="Arial" w:hAnsi="Arial" w:cs="Arial"/>
                <w:sz w:val="16"/>
                <w:szCs w:val="16"/>
              </w:rPr>
              <w:t xml:space="preserve">stration has not been studied at rheumatological doses. In high dose chemotherapy, </w:t>
            </w:r>
            <w:r w:rsidR="00655464" w:rsidRPr="00655464">
              <w:rPr>
                <w:rFonts w:ascii="Arial" w:hAnsi="Arial" w:cs="Arial"/>
                <w:sz w:val="16"/>
                <w:szCs w:val="16"/>
              </w:rPr>
              <w:t>MTX elimination half-life was not influenced use of non-nucleoside reverse transcriptase inhibitors or integrase inhibitors (p = 0.15). Similarly, different NRTI backbones did not affect MTX elimination kinetics despite the potential overlapping competition for active renal tubular transporters between MTX and tenofovir</w:t>
            </w:r>
            <w:r w:rsidR="00655464">
              <w:rPr>
                <w:rFonts w:ascii="Arial" w:hAnsi="Arial" w:cs="Arial"/>
                <w:sz w:val="16"/>
                <w:szCs w:val="16"/>
              </w:rPr>
              <w:t xml:space="preserve"> [</w:t>
            </w:r>
            <w:r w:rsidR="00BA7A34">
              <w:rPr>
                <w:rFonts w:ascii="Arial" w:hAnsi="Arial" w:cs="Arial"/>
                <w:sz w:val="16"/>
                <w:szCs w:val="16"/>
              </w:rPr>
              <w:t>84</w:t>
            </w:r>
            <w:r w:rsidR="00655464">
              <w:rPr>
                <w:rFonts w:ascii="Arial" w:hAnsi="Arial" w:cs="Arial"/>
                <w:sz w:val="16"/>
                <w:szCs w:val="16"/>
              </w:rPr>
              <w:t>]</w:t>
            </w:r>
            <w:r w:rsidR="00655464" w:rsidRPr="00655464">
              <w:rPr>
                <w:rFonts w:ascii="Arial" w:hAnsi="Arial" w:cs="Arial"/>
                <w:sz w:val="16"/>
                <w:szCs w:val="16"/>
              </w:rPr>
              <w:t>.</w:t>
            </w:r>
          </w:p>
        </w:tc>
        <w:tc>
          <w:tcPr>
            <w:tcW w:w="1418" w:type="dxa"/>
          </w:tcPr>
          <w:p w:rsidR="00931663" w:rsidRPr="00701F9A" w:rsidRDefault="004320AD">
            <w:pPr>
              <w:rPr>
                <w:rFonts w:ascii="Arial" w:hAnsi="Arial" w:cs="Arial"/>
                <w:sz w:val="16"/>
                <w:szCs w:val="16"/>
              </w:rPr>
            </w:pPr>
            <w:r>
              <w:rPr>
                <w:rFonts w:ascii="Arial" w:hAnsi="Arial" w:cs="Arial"/>
                <w:sz w:val="16"/>
                <w:szCs w:val="16"/>
              </w:rPr>
              <w:t>Used in 5 patients with suppressed viral activity and CD4+</w:t>
            </w:r>
            <w:r w:rsidR="008148B1">
              <w:rPr>
                <w:rFonts w:ascii="Arial" w:hAnsi="Arial" w:cs="Arial"/>
                <w:sz w:val="16"/>
                <w:szCs w:val="16"/>
              </w:rPr>
              <w:t xml:space="preserve"> </w:t>
            </w:r>
            <w:r>
              <w:rPr>
                <w:rFonts w:ascii="Arial" w:hAnsi="Arial" w:cs="Arial"/>
                <w:sz w:val="16"/>
                <w:szCs w:val="16"/>
              </w:rPr>
              <w:t>&gt;</w:t>
            </w:r>
            <w:r w:rsidR="008148B1">
              <w:rPr>
                <w:rFonts w:ascii="Arial" w:hAnsi="Arial" w:cs="Arial"/>
                <w:sz w:val="16"/>
                <w:szCs w:val="16"/>
              </w:rPr>
              <w:t xml:space="preserve"> </w:t>
            </w:r>
            <w:r>
              <w:rPr>
                <w:rFonts w:ascii="Arial" w:hAnsi="Arial" w:cs="Arial"/>
                <w:sz w:val="16"/>
                <w:szCs w:val="16"/>
              </w:rPr>
              <w:t>200 without side effects</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Leflunomide</w:t>
            </w:r>
          </w:p>
        </w:tc>
        <w:tc>
          <w:tcPr>
            <w:tcW w:w="2046" w:type="dxa"/>
          </w:tcPr>
          <w:p w:rsidR="00931663" w:rsidRPr="00701F9A" w:rsidRDefault="0047128A">
            <w:pPr>
              <w:rPr>
                <w:rFonts w:ascii="Arial" w:hAnsi="Arial" w:cs="Arial"/>
                <w:sz w:val="16"/>
                <w:szCs w:val="16"/>
              </w:rPr>
            </w:pPr>
            <w:r w:rsidRPr="00701F9A">
              <w:rPr>
                <w:rFonts w:ascii="Arial" w:hAnsi="Arial" w:cs="Arial"/>
                <w:sz w:val="16"/>
                <w:szCs w:val="16"/>
              </w:rPr>
              <w:t xml:space="preserve">Leflunomide has been shown to have virostatic properties against several viruses, including HIV-1, so that it may be a safe drug </w:t>
            </w:r>
            <w:r w:rsidR="008148B1">
              <w:rPr>
                <w:rFonts w:ascii="Arial" w:hAnsi="Arial" w:cs="Arial"/>
                <w:sz w:val="16"/>
                <w:szCs w:val="16"/>
              </w:rPr>
              <w:t>to use in the context of HIV [8</w:t>
            </w:r>
            <w:r w:rsidR="00BA7A34">
              <w:rPr>
                <w:rFonts w:ascii="Arial" w:hAnsi="Arial" w:cs="Arial"/>
                <w:sz w:val="16"/>
                <w:szCs w:val="16"/>
              </w:rPr>
              <w:t>5</w:t>
            </w:r>
            <w:r w:rsidRPr="00701F9A">
              <w:rPr>
                <w:rFonts w:ascii="Arial" w:hAnsi="Arial" w:cs="Arial"/>
                <w:sz w:val="16"/>
                <w:szCs w:val="16"/>
              </w:rPr>
              <w:t>].</w:t>
            </w:r>
          </w:p>
        </w:tc>
        <w:tc>
          <w:tcPr>
            <w:tcW w:w="1985" w:type="dxa"/>
          </w:tcPr>
          <w:p w:rsidR="00931663" w:rsidRPr="00701F9A" w:rsidRDefault="00931663">
            <w:pPr>
              <w:rPr>
                <w:rFonts w:ascii="Arial" w:hAnsi="Arial" w:cs="Arial"/>
                <w:sz w:val="16"/>
                <w:szCs w:val="16"/>
              </w:rPr>
            </w:pPr>
          </w:p>
        </w:tc>
        <w:tc>
          <w:tcPr>
            <w:tcW w:w="1984" w:type="dxa"/>
          </w:tcPr>
          <w:p w:rsidR="00931663" w:rsidRPr="00701F9A" w:rsidRDefault="002D566C">
            <w:pPr>
              <w:rPr>
                <w:rFonts w:ascii="Arial" w:hAnsi="Arial" w:cs="Arial"/>
                <w:sz w:val="16"/>
                <w:szCs w:val="16"/>
              </w:rPr>
            </w:pPr>
            <w:r>
              <w:rPr>
                <w:rFonts w:ascii="Arial" w:hAnsi="Arial" w:cs="Arial"/>
                <w:sz w:val="16"/>
                <w:szCs w:val="16"/>
              </w:rPr>
              <w:t>No data on interactions</w:t>
            </w:r>
          </w:p>
        </w:tc>
        <w:tc>
          <w:tcPr>
            <w:tcW w:w="1418" w:type="dxa"/>
          </w:tcPr>
          <w:p w:rsidR="00931663" w:rsidRPr="00701F9A" w:rsidRDefault="000245AB">
            <w:pPr>
              <w:rPr>
                <w:rFonts w:ascii="Arial" w:hAnsi="Arial" w:cs="Arial"/>
                <w:sz w:val="16"/>
                <w:szCs w:val="16"/>
              </w:rPr>
            </w:pPr>
            <w:r>
              <w:rPr>
                <w:rFonts w:ascii="Arial" w:hAnsi="Arial" w:cs="Arial"/>
                <w:sz w:val="16"/>
                <w:szCs w:val="16"/>
              </w:rPr>
              <w:t>Not used personally. Anecdotal report of safe use in two patients</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Azathioprine</w:t>
            </w:r>
          </w:p>
        </w:tc>
        <w:tc>
          <w:tcPr>
            <w:tcW w:w="2046" w:type="dxa"/>
          </w:tcPr>
          <w:p w:rsidR="00931663" w:rsidRPr="00701F9A" w:rsidRDefault="00931663">
            <w:pPr>
              <w:rPr>
                <w:rFonts w:ascii="Arial" w:hAnsi="Arial" w:cs="Arial"/>
                <w:sz w:val="16"/>
                <w:szCs w:val="16"/>
              </w:rPr>
            </w:pPr>
          </w:p>
        </w:tc>
        <w:tc>
          <w:tcPr>
            <w:tcW w:w="1985" w:type="dxa"/>
          </w:tcPr>
          <w:p w:rsidR="0047128A" w:rsidRPr="00701F9A" w:rsidRDefault="0047128A" w:rsidP="0047128A">
            <w:pPr>
              <w:rPr>
                <w:rFonts w:ascii="Arial" w:hAnsi="Arial" w:cs="Arial"/>
                <w:sz w:val="16"/>
                <w:szCs w:val="16"/>
              </w:rPr>
            </w:pPr>
            <w:r w:rsidRPr="00701F9A">
              <w:rPr>
                <w:rFonts w:ascii="Arial" w:hAnsi="Arial" w:cs="Arial"/>
                <w:sz w:val="16"/>
                <w:szCs w:val="16"/>
              </w:rPr>
              <w:t xml:space="preserve">There were few data on azathioprine but a recent review of its use in 7 </w:t>
            </w:r>
            <w:r w:rsidRPr="00701F9A">
              <w:rPr>
                <w:rFonts w:ascii="Arial" w:hAnsi="Arial" w:cs="Arial"/>
                <w:sz w:val="16"/>
                <w:szCs w:val="16"/>
              </w:rPr>
              <w:lastRenderedPageBreak/>
              <w:t>patients suggested that it had been used safely, without opportunistic infections, over a median of 12 months although two died but the authors stated  ‘</w:t>
            </w:r>
            <w:r w:rsidR="00701F9A" w:rsidRPr="00701F9A">
              <w:rPr>
                <w:rFonts w:ascii="Arial" w:hAnsi="Arial" w:cs="Arial"/>
                <w:sz w:val="16"/>
                <w:szCs w:val="16"/>
              </w:rPr>
              <w:t>n</w:t>
            </w:r>
            <w:r w:rsidRPr="00701F9A">
              <w:rPr>
                <w:rFonts w:ascii="Arial" w:hAnsi="Arial" w:cs="Arial"/>
                <w:sz w:val="16"/>
                <w:szCs w:val="16"/>
              </w:rPr>
              <w:t>either death was associate</w:t>
            </w:r>
            <w:r w:rsidR="008148B1">
              <w:rPr>
                <w:rFonts w:ascii="Arial" w:hAnsi="Arial" w:cs="Arial"/>
                <w:sz w:val="16"/>
                <w:szCs w:val="16"/>
              </w:rPr>
              <w:t>d with azathioprine therapy’ [8</w:t>
            </w:r>
            <w:r w:rsidR="00BA7A34">
              <w:rPr>
                <w:rFonts w:ascii="Arial" w:hAnsi="Arial" w:cs="Arial"/>
                <w:sz w:val="16"/>
                <w:szCs w:val="16"/>
              </w:rPr>
              <w:t>6</w:t>
            </w:r>
            <w:r w:rsidRPr="00701F9A">
              <w:rPr>
                <w:rFonts w:ascii="Arial" w:hAnsi="Arial" w:cs="Arial"/>
                <w:sz w:val="16"/>
                <w:szCs w:val="16"/>
              </w:rPr>
              <w:t xml:space="preserve">]. Of note, the only rheumatic syndrome treated with azathioprine in this series was myositis in one patient. </w:t>
            </w:r>
          </w:p>
          <w:p w:rsidR="00931663" w:rsidRPr="00701F9A" w:rsidRDefault="00931663">
            <w:pPr>
              <w:rPr>
                <w:rFonts w:ascii="Arial" w:hAnsi="Arial" w:cs="Arial"/>
                <w:sz w:val="16"/>
                <w:szCs w:val="16"/>
              </w:rPr>
            </w:pPr>
          </w:p>
        </w:tc>
        <w:tc>
          <w:tcPr>
            <w:tcW w:w="1984" w:type="dxa"/>
          </w:tcPr>
          <w:p w:rsidR="00931663" w:rsidRPr="00701F9A" w:rsidRDefault="00D56D00" w:rsidP="001828EF">
            <w:pPr>
              <w:rPr>
                <w:rFonts w:ascii="Arial" w:hAnsi="Arial" w:cs="Arial"/>
                <w:sz w:val="16"/>
                <w:szCs w:val="16"/>
              </w:rPr>
            </w:pPr>
            <w:r>
              <w:rPr>
                <w:rFonts w:ascii="Arial" w:hAnsi="Arial" w:cs="Arial"/>
                <w:sz w:val="16"/>
                <w:szCs w:val="16"/>
              </w:rPr>
              <w:lastRenderedPageBreak/>
              <w:t xml:space="preserve">For most cART, no interactions expected. </w:t>
            </w:r>
            <w:r w:rsidR="001828EF">
              <w:rPr>
                <w:rFonts w:ascii="Arial" w:hAnsi="Arial" w:cs="Arial"/>
                <w:sz w:val="16"/>
                <w:szCs w:val="16"/>
              </w:rPr>
              <w:t>A</w:t>
            </w:r>
            <w:r w:rsidR="001828EF" w:rsidRPr="001828EF">
              <w:rPr>
                <w:rFonts w:ascii="Arial" w:hAnsi="Arial" w:cs="Arial"/>
                <w:sz w:val="16"/>
                <w:szCs w:val="16"/>
              </w:rPr>
              <w:t xml:space="preserve">zathioprine is partly </w:t>
            </w:r>
            <w:r w:rsidR="001828EF" w:rsidRPr="001828EF">
              <w:rPr>
                <w:rFonts w:ascii="Arial" w:hAnsi="Arial" w:cs="Arial"/>
                <w:sz w:val="16"/>
                <w:szCs w:val="16"/>
              </w:rPr>
              <w:lastRenderedPageBreak/>
              <w:t>inactivated via the enzyme xanthine oxidase</w:t>
            </w:r>
            <w:r w:rsidR="001828EF">
              <w:rPr>
                <w:rFonts w:ascii="Arial" w:hAnsi="Arial" w:cs="Arial"/>
                <w:sz w:val="16"/>
                <w:szCs w:val="16"/>
              </w:rPr>
              <w:t>, which also metabolises</w:t>
            </w:r>
            <w:r w:rsidR="001828EF" w:rsidRPr="001828EF">
              <w:rPr>
                <w:rFonts w:ascii="Arial" w:hAnsi="Arial" w:cs="Arial"/>
                <w:sz w:val="16"/>
                <w:szCs w:val="16"/>
              </w:rPr>
              <w:t xml:space="preserve"> didanosine</w:t>
            </w:r>
            <w:r w:rsidR="001828EF">
              <w:rPr>
                <w:rFonts w:ascii="Arial" w:hAnsi="Arial" w:cs="Arial"/>
                <w:sz w:val="16"/>
                <w:szCs w:val="16"/>
              </w:rPr>
              <w:t xml:space="preserve"> </w:t>
            </w:r>
            <w:r>
              <w:rPr>
                <w:rFonts w:ascii="Arial" w:hAnsi="Arial" w:cs="Arial"/>
                <w:sz w:val="16"/>
                <w:szCs w:val="16"/>
              </w:rPr>
              <w:t xml:space="preserve">and zidovudine </w:t>
            </w:r>
            <w:r w:rsidR="001828EF">
              <w:rPr>
                <w:rFonts w:ascii="Arial" w:hAnsi="Arial" w:cs="Arial"/>
                <w:sz w:val="16"/>
                <w:szCs w:val="16"/>
              </w:rPr>
              <w:t>so</w:t>
            </w:r>
            <w:r w:rsidR="001828EF" w:rsidRPr="001828EF">
              <w:rPr>
                <w:rFonts w:ascii="Arial" w:hAnsi="Arial" w:cs="Arial"/>
                <w:sz w:val="16"/>
                <w:szCs w:val="16"/>
              </w:rPr>
              <w:t xml:space="preserve"> competition could possibly increase the risk of toxicity and monitoring of haematological parameters is recommended.</w:t>
            </w:r>
          </w:p>
        </w:tc>
        <w:tc>
          <w:tcPr>
            <w:tcW w:w="1418" w:type="dxa"/>
          </w:tcPr>
          <w:p w:rsidR="00931663" w:rsidRPr="00701F9A" w:rsidRDefault="008148B1">
            <w:pPr>
              <w:rPr>
                <w:rFonts w:ascii="Arial" w:hAnsi="Arial" w:cs="Arial"/>
                <w:sz w:val="16"/>
                <w:szCs w:val="16"/>
              </w:rPr>
            </w:pPr>
            <w:r>
              <w:rPr>
                <w:rFonts w:ascii="Arial" w:hAnsi="Arial" w:cs="Arial"/>
                <w:sz w:val="16"/>
                <w:szCs w:val="16"/>
              </w:rPr>
              <w:lastRenderedPageBreak/>
              <w:t xml:space="preserve">Used in 2 patients </w:t>
            </w:r>
            <w:r w:rsidRPr="008148B1">
              <w:rPr>
                <w:rFonts w:ascii="Arial" w:hAnsi="Arial" w:cs="Arial"/>
                <w:sz w:val="16"/>
                <w:szCs w:val="16"/>
              </w:rPr>
              <w:t xml:space="preserve">with suppressed viral </w:t>
            </w:r>
            <w:r w:rsidRPr="008148B1">
              <w:rPr>
                <w:rFonts w:ascii="Arial" w:hAnsi="Arial" w:cs="Arial"/>
                <w:sz w:val="16"/>
                <w:szCs w:val="16"/>
              </w:rPr>
              <w:lastRenderedPageBreak/>
              <w:t>activity and CD4+ &gt; 200 without side effects</w:t>
            </w:r>
          </w:p>
        </w:tc>
      </w:tr>
      <w:tr w:rsidR="000E191F" w:rsidTr="001828EF">
        <w:tc>
          <w:tcPr>
            <w:tcW w:w="2031" w:type="dxa"/>
          </w:tcPr>
          <w:p w:rsidR="0047128A" w:rsidRPr="00701F9A" w:rsidRDefault="0047128A">
            <w:pPr>
              <w:rPr>
                <w:rFonts w:ascii="Arial" w:hAnsi="Arial" w:cs="Arial"/>
                <w:sz w:val="16"/>
                <w:szCs w:val="16"/>
              </w:rPr>
            </w:pPr>
            <w:r w:rsidRPr="00701F9A">
              <w:rPr>
                <w:rFonts w:ascii="Arial" w:hAnsi="Arial" w:cs="Arial"/>
                <w:sz w:val="16"/>
                <w:szCs w:val="16"/>
              </w:rPr>
              <w:lastRenderedPageBreak/>
              <w:t>Ciclosporin-A</w:t>
            </w:r>
          </w:p>
        </w:tc>
        <w:tc>
          <w:tcPr>
            <w:tcW w:w="2046" w:type="dxa"/>
          </w:tcPr>
          <w:p w:rsidR="0047128A" w:rsidRPr="00701F9A" w:rsidRDefault="0047128A">
            <w:pPr>
              <w:rPr>
                <w:rFonts w:ascii="Arial" w:hAnsi="Arial" w:cs="Arial"/>
                <w:sz w:val="16"/>
                <w:szCs w:val="16"/>
                <w:lang w:val="en-AU"/>
              </w:rPr>
            </w:pPr>
          </w:p>
        </w:tc>
        <w:tc>
          <w:tcPr>
            <w:tcW w:w="1985" w:type="dxa"/>
          </w:tcPr>
          <w:p w:rsidR="0047128A" w:rsidRPr="00701F9A" w:rsidRDefault="00701F9A">
            <w:pPr>
              <w:rPr>
                <w:rFonts w:ascii="Arial" w:hAnsi="Arial" w:cs="Arial"/>
                <w:sz w:val="16"/>
                <w:szCs w:val="16"/>
              </w:rPr>
            </w:pPr>
            <w:r w:rsidRPr="00701F9A">
              <w:rPr>
                <w:rFonts w:ascii="Arial" w:hAnsi="Arial" w:cs="Arial"/>
                <w:sz w:val="16"/>
                <w:szCs w:val="16"/>
              </w:rPr>
              <w:t>Ci</w:t>
            </w:r>
            <w:r w:rsidR="00672001" w:rsidRPr="00701F9A">
              <w:rPr>
                <w:rFonts w:ascii="Arial" w:hAnsi="Arial" w:cs="Arial"/>
                <w:sz w:val="16"/>
                <w:szCs w:val="16"/>
              </w:rPr>
              <w:t>closporin-A has been used in HIV patients, particularly in the context of organ transplantation, those with nephritis and dermatological patients</w:t>
            </w:r>
            <w:r w:rsidR="005A53F6">
              <w:rPr>
                <w:rFonts w:ascii="Arial" w:hAnsi="Arial" w:cs="Arial"/>
                <w:sz w:val="16"/>
                <w:szCs w:val="16"/>
              </w:rPr>
              <w:t xml:space="preserve"> – very few data from rheumatological use</w:t>
            </w:r>
          </w:p>
        </w:tc>
        <w:tc>
          <w:tcPr>
            <w:tcW w:w="1984" w:type="dxa"/>
          </w:tcPr>
          <w:p w:rsidR="0047128A" w:rsidRPr="00701F9A" w:rsidRDefault="00672001">
            <w:pPr>
              <w:rPr>
                <w:rFonts w:ascii="Arial" w:hAnsi="Arial" w:cs="Arial"/>
                <w:sz w:val="16"/>
                <w:szCs w:val="16"/>
              </w:rPr>
            </w:pPr>
            <w:r w:rsidRPr="00701F9A">
              <w:rPr>
                <w:rFonts w:ascii="Arial" w:hAnsi="Arial" w:cs="Arial"/>
                <w:sz w:val="16"/>
                <w:szCs w:val="16"/>
              </w:rPr>
              <w:t>There are comp</w:t>
            </w:r>
            <w:r w:rsidR="00701F9A" w:rsidRPr="00701F9A">
              <w:rPr>
                <w:rFonts w:ascii="Arial" w:hAnsi="Arial" w:cs="Arial"/>
                <w:sz w:val="16"/>
                <w:szCs w:val="16"/>
              </w:rPr>
              <w:t>lex drug interactions between Ci</w:t>
            </w:r>
            <w:r w:rsidRPr="00701F9A">
              <w:rPr>
                <w:rFonts w:ascii="Arial" w:hAnsi="Arial" w:cs="Arial"/>
                <w:sz w:val="16"/>
                <w:szCs w:val="16"/>
              </w:rPr>
              <w:t>closporin-A and protease inhibitors and non-nucleoside reverse transcriptase inhibitors</w:t>
            </w:r>
          </w:p>
        </w:tc>
        <w:tc>
          <w:tcPr>
            <w:tcW w:w="1418" w:type="dxa"/>
          </w:tcPr>
          <w:p w:rsidR="0047128A" w:rsidRPr="00701F9A" w:rsidRDefault="005A53F6" w:rsidP="005A53F6">
            <w:pPr>
              <w:rPr>
                <w:rFonts w:ascii="Arial" w:hAnsi="Arial" w:cs="Arial"/>
                <w:sz w:val="16"/>
                <w:szCs w:val="16"/>
              </w:rPr>
            </w:pPr>
            <w:r>
              <w:rPr>
                <w:rFonts w:ascii="Arial" w:hAnsi="Arial" w:cs="Arial"/>
                <w:sz w:val="16"/>
                <w:szCs w:val="16"/>
              </w:rPr>
              <w:t>Not used personally</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Mycophenolate mofetil</w:t>
            </w:r>
          </w:p>
        </w:tc>
        <w:tc>
          <w:tcPr>
            <w:tcW w:w="2046" w:type="dxa"/>
          </w:tcPr>
          <w:p w:rsidR="00931663" w:rsidRPr="00701F9A" w:rsidRDefault="0047128A">
            <w:pPr>
              <w:rPr>
                <w:rFonts w:ascii="Arial" w:hAnsi="Arial" w:cs="Arial"/>
                <w:sz w:val="16"/>
                <w:szCs w:val="16"/>
              </w:rPr>
            </w:pPr>
            <w:r w:rsidRPr="00701F9A">
              <w:rPr>
                <w:rFonts w:ascii="Arial" w:hAnsi="Arial" w:cs="Arial"/>
                <w:sz w:val="16"/>
                <w:szCs w:val="16"/>
                <w:lang w:val="en-AU"/>
              </w:rPr>
              <w:t xml:space="preserve">There have been in vitro and in vivo studies showing that MMF has some promising anti-viral activity against HIV-1. </w:t>
            </w:r>
            <w:r w:rsidRPr="00701F9A">
              <w:rPr>
                <w:rFonts w:ascii="Arial" w:hAnsi="Arial" w:cs="Arial"/>
                <w:sz w:val="16"/>
                <w:szCs w:val="16"/>
              </w:rPr>
              <w:t xml:space="preserve"> </w:t>
            </w:r>
          </w:p>
        </w:tc>
        <w:tc>
          <w:tcPr>
            <w:tcW w:w="1985" w:type="dxa"/>
          </w:tcPr>
          <w:p w:rsidR="00931663" w:rsidRPr="00701F9A" w:rsidRDefault="0047128A" w:rsidP="005A53F6">
            <w:pPr>
              <w:rPr>
                <w:rFonts w:ascii="Arial" w:hAnsi="Arial" w:cs="Arial"/>
                <w:sz w:val="16"/>
                <w:szCs w:val="16"/>
              </w:rPr>
            </w:pPr>
            <w:r w:rsidRPr="00701F9A">
              <w:rPr>
                <w:rFonts w:ascii="Arial" w:hAnsi="Arial" w:cs="Arial"/>
                <w:sz w:val="16"/>
                <w:szCs w:val="16"/>
              </w:rPr>
              <w:t>There are few data on the use of Mycophenolate (MMF), except in renal and SLE patients</w:t>
            </w:r>
            <w:r w:rsidRPr="00701F9A">
              <w:rPr>
                <w:rFonts w:ascii="Arial" w:hAnsi="Arial" w:cs="Arial"/>
                <w:sz w:val="16"/>
                <w:szCs w:val="16"/>
                <w:lang w:val="en-AU"/>
              </w:rPr>
              <w:t xml:space="preserve"> [</w:t>
            </w:r>
            <w:r w:rsidR="00BA7A34">
              <w:rPr>
                <w:rFonts w:ascii="Arial" w:hAnsi="Arial" w:cs="Arial"/>
                <w:sz w:val="16"/>
                <w:szCs w:val="16"/>
                <w:lang w:val="en-AU"/>
              </w:rPr>
              <w:t>55,87-88</w:t>
            </w:r>
            <w:r w:rsidRPr="00701F9A">
              <w:rPr>
                <w:rFonts w:ascii="Arial" w:hAnsi="Arial" w:cs="Arial"/>
                <w:sz w:val="16"/>
                <w:szCs w:val="16"/>
                <w:lang w:val="en-AU"/>
              </w:rPr>
              <w:t xml:space="preserve">].                               </w:t>
            </w:r>
          </w:p>
        </w:tc>
        <w:tc>
          <w:tcPr>
            <w:tcW w:w="1984" w:type="dxa"/>
          </w:tcPr>
          <w:p w:rsidR="00931663" w:rsidRPr="00701F9A" w:rsidRDefault="004320AD" w:rsidP="002D566C">
            <w:pPr>
              <w:rPr>
                <w:rFonts w:ascii="Arial" w:hAnsi="Arial" w:cs="Arial"/>
                <w:sz w:val="16"/>
                <w:szCs w:val="16"/>
              </w:rPr>
            </w:pPr>
            <w:r>
              <w:rPr>
                <w:rFonts w:ascii="Arial" w:hAnsi="Arial" w:cs="Arial"/>
                <w:sz w:val="16"/>
                <w:szCs w:val="16"/>
              </w:rPr>
              <w:t>Interactions only studied for</w:t>
            </w:r>
            <w:r w:rsidR="002D566C">
              <w:rPr>
                <w:rFonts w:ascii="Arial" w:hAnsi="Arial" w:cs="Arial"/>
                <w:sz w:val="16"/>
                <w:szCs w:val="16"/>
              </w:rPr>
              <w:t>: Abacavir, Indinavir, Ritonavir, Nevirapine, Didanosine, 3TC. Results suggest increased clearance of nevirapine</w:t>
            </w:r>
            <w:r>
              <w:rPr>
                <w:rFonts w:ascii="Arial" w:hAnsi="Arial" w:cs="Arial"/>
                <w:sz w:val="16"/>
                <w:szCs w:val="16"/>
              </w:rPr>
              <w:t xml:space="preserve">. </w:t>
            </w:r>
            <w:r w:rsidR="001828EF">
              <w:rPr>
                <w:rFonts w:ascii="Arial" w:hAnsi="Arial" w:cs="Arial"/>
                <w:sz w:val="16"/>
                <w:szCs w:val="16"/>
              </w:rPr>
              <w:t>C</w:t>
            </w:r>
            <w:r w:rsidR="001828EF" w:rsidRPr="001828EF">
              <w:rPr>
                <w:rFonts w:ascii="Arial" w:hAnsi="Arial" w:cs="Arial"/>
                <w:sz w:val="16"/>
                <w:szCs w:val="16"/>
              </w:rPr>
              <w:t>o</w:t>
            </w:r>
            <w:r w:rsidR="005A53F6">
              <w:rPr>
                <w:rFonts w:ascii="Arial" w:hAnsi="Arial" w:cs="Arial"/>
                <w:sz w:val="16"/>
                <w:szCs w:val="16"/>
              </w:rPr>
              <w:t>-</w:t>
            </w:r>
            <w:r w:rsidR="001828EF" w:rsidRPr="001828EF">
              <w:rPr>
                <w:rFonts w:ascii="Arial" w:hAnsi="Arial" w:cs="Arial"/>
                <w:sz w:val="16"/>
                <w:szCs w:val="16"/>
              </w:rPr>
              <w:t>administration of inducers or inhibitors of glucuronidation, such as some PIs and NNRTIs, could alter mycophenolate levels. Concentration monitoring of mycophenolate is recommended.</w:t>
            </w:r>
            <w:r w:rsidR="001828EF">
              <w:rPr>
                <w:rFonts w:ascii="Arial" w:hAnsi="Arial" w:cs="Arial"/>
                <w:sz w:val="16"/>
                <w:szCs w:val="16"/>
              </w:rPr>
              <w:t xml:space="preserve"> Close monitoring of renal function recommended if co-administered with Tenofovir.</w:t>
            </w:r>
          </w:p>
        </w:tc>
        <w:tc>
          <w:tcPr>
            <w:tcW w:w="1418" w:type="dxa"/>
          </w:tcPr>
          <w:p w:rsidR="00931663" w:rsidRPr="00701F9A" w:rsidRDefault="004320AD">
            <w:pPr>
              <w:rPr>
                <w:rFonts w:ascii="Arial" w:hAnsi="Arial" w:cs="Arial"/>
                <w:sz w:val="16"/>
                <w:szCs w:val="16"/>
              </w:rPr>
            </w:pPr>
            <w:r>
              <w:rPr>
                <w:rFonts w:ascii="Arial" w:hAnsi="Arial" w:cs="Arial"/>
                <w:sz w:val="16"/>
                <w:szCs w:val="16"/>
              </w:rPr>
              <w:t>Used twice safely in patients with viral suppression and CD4+ count&gt;200</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Gold</w:t>
            </w:r>
          </w:p>
        </w:tc>
        <w:tc>
          <w:tcPr>
            <w:tcW w:w="2046" w:type="dxa"/>
          </w:tcPr>
          <w:p w:rsidR="00931663" w:rsidRPr="00701F9A" w:rsidRDefault="00701F9A">
            <w:pPr>
              <w:rPr>
                <w:rFonts w:ascii="Arial" w:hAnsi="Arial" w:cs="Arial"/>
                <w:sz w:val="16"/>
                <w:szCs w:val="16"/>
              </w:rPr>
            </w:pPr>
            <w:r w:rsidRPr="00701F9A">
              <w:rPr>
                <w:rFonts w:ascii="Arial" w:hAnsi="Arial" w:cs="Arial"/>
                <w:sz w:val="16"/>
                <w:szCs w:val="16"/>
              </w:rPr>
              <w:t>Auranofin under investigation for possible beneficial effects on HIV viral activity</w:t>
            </w:r>
            <w:r w:rsidR="00BA7A34">
              <w:rPr>
                <w:rFonts w:ascii="Arial" w:hAnsi="Arial" w:cs="Arial"/>
                <w:sz w:val="16"/>
                <w:szCs w:val="16"/>
              </w:rPr>
              <w:t xml:space="preserve"> [89</w:t>
            </w:r>
            <w:r w:rsidR="005A53F6">
              <w:rPr>
                <w:rFonts w:ascii="Arial" w:hAnsi="Arial" w:cs="Arial"/>
                <w:sz w:val="16"/>
                <w:szCs w:val="16"/>
              </w:rPr>
              <w:t>]</w:t>
            </w:r>
            <w:r w:rsidRPr="00701F9A">
              <w:rPr>
                <w:rFonts w:ascii="Arial" w:hAnsi="Arial" w:cs="Arial"/>
                <w:sz w:val="16"/>
                <w:szCs w:val="16"/>
              </w:rPr>
              <w:t xml:space="preserve">                                               </w:t>
            </w:r>
          </w:p>
        </w:tc>
        <w:tc>
          <w:tcPr>
            <w:tcW w:w="1985" w:type="dxa"/>
          </w:tcPr>
          <w:p w:rsidR="00931663" w:rsidRPr="00701F9A" w:rsidRDefault="0047128A">
            <w:pPr>
              <w:rPr>
                <w:rFonts w:ascii="Arial" w:hAnsi="Arial" w:cs="Arial"/>
                <w:sz w:val="16"/>
                <w:szCs w:val="16"/>
              </w:rPr>
            </w:pPr>
            <w:r w:rsidRPr="00701F9A">
              <w:rPr>
                <w:rFonts w:ascii="Arial" w:hAnsi="Arial" w:cs="Arial"/>
                <w:sz w:val="16"/>
                <w:szCs w:val="16"/>
              </w:rPr>
              <w:t>No published data on use of Myocrisin in HIV</w:t>
            </w:r>
          </w:p>
          <w:p w:rsidR="0047128A" w:rsidRPr="00701F9A" w:rsidRDefault="0047128A">
            <w:pPr>
              <w:rPr>
                <w:rFonts w:ascii="Arial" w:hAnsi="Arial" w:cs="Arial"/>
                <w:sz w:val="16"/>
                <w:szCs w:val="16"/>
              </w:rPr>
            </w:pPr>
          </w:p>
        </w:tc>
        <w:tc>
          <w:tcPr>
            <w:tcW w:w="1984" w:type="dxa"/>
          </w:tcPr>
          <w:p w:rsidR="00931663" w:rsidRPr="00701F9A" w:rsidRDefault="004320AD">
            <w:pPr>
              <w:rPr>
                <w:rFonts w:ascii="Arial" w:hAnsi="Arial" w:cs="Arial"/>
                <w:sz w:val="16"/>
                <w:szCs w:val="16"/>
              </w:rPr>
            </w:pPr>
            <w:r>
              <w:rPr>
                <w:rFonts w:ascii="Arial" w:hAnsi="Arial" w:cs="Arial"/>
                <w:sz w:val="16"/>
                <w:szCs w:val="16"/>
              </w:rPr>
              <w:t>No data on interaction</w:t>
            </w:r>
          </w:p>
        </w:tc>
        <w:tc>
          <w:tcPr>
            <w:tcW w:w="1418" w:type="dxa"/>
          </w:tcPr>
          <w:p w:rsidR="00931663" w:rsidRPr="00701F9A" w:rsidRDefault="005A53F6">
            <w:pPr>
              <w:rPr>
                <w:rFonts w:ascii="Arial" w:hAnsi="Arial" w:cs="Arial"/>
                <w:sz w:val="16"/>
                <w:szCs w:val="16"/>
              </w:rPr>
            </w:pPr>
            <w:r w:rsidRPr="005A53F6">
              <w:rPr>
                <w:rFonts w:ascii="Arial" w:hAnsi="Arial" w:cs="Arial"/>
                <w:sz w:val="16"/>
                <w:szCs w:val="16"/>
              </w:rPr>
              <w:t>Not used personally</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t>Anti-TNF</w:t>
            </w:r>
            <w:r w:rsidR="005A53F6">
              <w:rPr>
                <w:rFonts w:ascii="Arial" w:hAnsi="Arial" w:cs="Arial"/>
                <w:sz w:val="16"/>
                <w:szCs w:val="16"/>
              </w:rPr>
              <w:t>ɑ</w:t>
            </w:r>
          </w:p>
        </w:tc>
        <w:tc>
          <w:tcPr>
            <w:tcW w:w="2046" w:type="dxa"/>
          </w:tcPr>
          <w:p w:rsidR="00931663" w:rsidRPr="00701F9A" w:rsidRDefault="001B208B" w:rsidP="001B208B">
            <w:pPr>
              <w:rPr>
                <w:rFonts w:ascii="Arial" w:hAnsi="Arial" w:cs="Arial"/>
                <w:sz w:val="16"/>
                <w:szCs w:val="16"/>
              </w:rPr>
            </w:pPr>
            <w:r>
              <w:rPr>
                <w:rFonts w:ascii="Arial" w:hAnsi="Arial" w:cs="Arial"/>
                <w:sz w:val="16"/>
                <w:szCs w:val="16"/>
              </w:rPr>
              <w:t>TNFɑ is involved in viral replication and pathogenesis of HIV. TNFɑ production elevated even in patients taking cART with complete viral suppression</w:t>
            </w:r>
            <w:r w:rsidR="00BA7A34">
              <w:rPr>
                <w:rFonts w:ascii="Arial" w:hAnsi="Arial" w:cs="Arial"/>
                <w:sz w:val="16"/>
                <w:szCs w:val="16"/>
              </w:rPr>
              <w:t>. Trials in HIV</w:t>
            </w:r>
            <w:r w:rsidR="000E191F">
              <w:rPr>
                <w:rFonts w:ascii="Arial" w:hAnsi="Arial" w:cs="Arial"/>
                <w:sz w:val="16"/>
                <w:szCs w:val="16"/>
              </w:rPr>
              <w:t xml:space="preserve"> infected patients showed TNFɑ suppres</w:t>
            </w:r>
            <w:r w:rsidR="00BA7A34">
              <w:rPr>
                <w:rFonts w:ascii="Arial" w:hAnsi="Arial" w:cs="Arial"/>
                <w:sz w:val="16"/>
                <w:szCs w:val="16"/>
              </w:rPr>
              <w:t>sion achieved with inhibitors [</w:t>
            </w:r>
            <w:r w:rsidR="000E191F">
              <w:rPr>
                <w:rFonts w:ascii="Arial" w:hAnsi="Arial" w:cs="Arial"/>
                <w:sz w:val="16"/>
                <w:szCs w:val="16"/>
              </w:rPr>
              <w:t>9</w:t>
            </w:r>
            <w:r w:rsidR="00BA7A34">
              <w:rPr>
                <w:rFonts w:ascii="Arial" w:hAnsi="Arial" w:cs="Arial"/>
                <w:sz w:val="16"/>
                <w:szCs w:val="16"/>
              </w:rPr>
              <w:t>0</w:t>
            </w:r>
            <w:r w:rsidR="000E191F">
              <w:rPr>
                <w:rFonts w:ascii="Arial" w:hAnsi="Arial" w:cs="Arial"/>
                <w:sz w:val="16"/>
                <w:szCs w:val="16"/>
              </w:rPr>
              <w:t>].</w:t>
            </w:r>
          </w:p>
        </w:tc>
        <w:tc>
          <w:tcPr>
            <w:tcW w:w="1985" w:type="dxa"/>
          </w:tcPr>
          <w:p w:rsidR="00931663" w:rsidRPr="00701F9A" w:rsidRDefault="00200E5E" w:rsidP="000E191F">
            <w:pPr>
              <w:rPr>
                <w:rFonts w:ascii="Arial" w:hAnsi="Arial" w:cs="Arial"/>
                <w:sz w:val="16"/>
                <w:szCs w:val="16"/>
              </w:rPr>
            </w:pPr>
            <w:r w:rsidRPr="00701F9A">
              <w:rPr>
                <w:rFonts w:ascii="Arial" w:hAnsi="Arial" w:cs="Arial"/>
                <w:sz w:val="16"/>
                <w:szCs w:val="16"/>
              </w:rPr>
              <w:t>There have been</w:t>
            </w:r>
            <w:r w:rsidR="00701F9A" w:rsidRPr="00701F9A">
              <w:rPr>
                <w:rFonts w:ascii="Arial" w:hAnsi="Arial" w:cs="Arial"/>
                <w:sz w:val="16"/>
                <w:szCs w:val="16"/>
              </w:rPr>
              <w:t xml:space="preserve"> </w:t>
            </w:r>
            <w:r w:rsidRPr="00701F9A">
              <w:rPr>
                <w:rFonts w:ascii="Arial" w:hAnsi="Arial" w:cs="Arial"/>
                <w:sz w:val="16"/>
                <w:szCs w:val="16"/>
                <w:lang w:val="en-AU"/>
              </w:rPr>
              <w:t xml:space="preserve">increasing numbers of case reports </w:t>
            </w:r>
            <w:r w:rsidR="001B208B">
              <w:rPr>
                <w:rFonts w:ascii="Arial" w:hAnsi="Arial" w:cs="Arial"/>
                <w:sz w:val="16"/>
                <w:szCs w:val="16"/>
                <w:lang w:val="en-AU"/>
              </w:rPr>
              <w:t xml:space="preserve">and series </w:t>
            </w:r>
            <w:r w:rsidRPr="00701F9A">
              <w:rPr>
                <w:rFonts w:ascii="Arial" w:hAnsi="Arial" w:cs="Arial"/>
                <w:sz w:val="16"/>
                <w:szCs w:val="16"/>
                <w:lang w:val="en-AU"/>
              </w:rPr>
              <w:t xml:space="preserve">of use of anti TNFɑ therapies in HIV, including: Infliximab, Etanercept and Adalimumab. They have been successfully used in </w:t>
            </w:r>
            <w:r w:rsidR="000E191F">
              <w:rPr>
                <w:rFonts w:ascii="Arial" w:hAnsi="Arial" w:cs="Arial"/>
                <w:sz w:val="16"/>
                <w:szCs w:val="16"/>
                <w:lang w:val="en-AU"/>
              </w:rPr>
              <w:t xml:space="preserve">psoriasis, </w:t>
            </w:r>
            <w:r w:rsidRPr="00701F9A">
              <w:rPr>
                <w:rFonts w:ascii="Arial" w:hAnsi="Arial" w:cs="Arial"/>
                <w:sz w:val="16"/>
                <w:szCs w:val="16"/>
                <w:lang w:val="en-AU"/>
              </w:rPr>
              <w:t>p</w:t>
            </w:r>
            <w:r w:rsidRPr="00701F9A">
              <w:rPr>
                <w:rFonts w:ascii="Arial" w:hAnsi="Arial" w:cs="Arial"/>
                <w:sz w:val="16"/>
                <w:szCs w:val="16"/>
              </w:rPr>
              <w:t xml:space="preserve">soriatic arthropathy, AS, RA, Crohn’s, </w:t>
            </w:r>
            <w:r w:rsidR="000E191F">
              <w:rPr>
                <w:rFonts w:ascii="Arial" w:hAnsi="Arial" w:cs="Arial"/>
                <w:sz w:val="16"/>
                <w:szCs w:val="16"/>
              </w:rPr>
              <w:t xml:space="preserve">colitis, </w:t>
            </w:r>
            <w:r w:rsidRPr="00701F9A">
              <w:rPr>
                <w:rFonts w:ascii="Arial" w:hAnsi="Arial" w:cs="Arial"/>
                <w:sz w:val="16"/>
                <w:szCs w:val="16"/>
              </w:rPr>
              <w:t>Spondyloarthropathy and Reiter’s syndrome [</w:t>
            </w:r>
            <w:r w:rsidR="00BA7A34">
              <w:rPr>
                <w:rFonts w:ascii="Arial" w:hAnsi="Arial" w:cs="Arial"/>
                <w:sz w:val="16"/>
                <w:szCs w:val="16"/>
              </w:rPr>
              <w:t>91-95</w:t>
            </w:r>
            <w:r w:rsidRPr="00701F9A">
              <w:rPr>
                <w:rFonts w:ascii="Arial" w:hAnsi="Arial" w:cs="Arial"/>
                <w:sz w:val="16"/>
                <w:szCs w:val="16"/>
              </w:rPr>
              <w:t>].</w:t>
            </w:r>
          </w:p>
        </w:tc>
        <w:tc>
          <w:tcPr>
            <w:tcW w:w="1984" w:type="dxa"/>
          </w:tcPr>
          <w:p w:rsidR="00931663" w:rsidRPr="00701F9A" w:rsidRDefault="000E191F" w:rsidP="00BA7A34">
            <w:pPr>
              <w:rPr>
                <w:rFonts w:ascii="Arial" w:hAnsi="Arial" w:cs="Arial"/>
                <w:sz w:val="16"/>
                <w:szCs w:val="16"/>
              </w:rPr>
            </w:pPr>
            <w:r>
              <w:rPr>
                <w:rFonts w:ascii="Arial" w:hAnsi="Arial" w:cs="Arial"/>
                <w:sz w:val="16"/>
                <w:szCs w:val="16"/>
              </w:rPr>
              <w:t xml:space="preserve">Review reported </w:t>
            </w:r>
            <w:r w:rsidR="00BA7A34">
              <w:rPr>
                <w:rFonts w:ascii="Arial" w:hAnsi="Arial" w:cs="Arial"/>
                <w:sz w:val="16"/>
                <w:szCs w:val="16"/>
              </w:rPr>
              <w:t>published use in 27 patients [95</w:t>
            </w:r>
            <w:r>
              <w:rPr>
                <w:rFonts w:ascii="Arial" w:hAnsi="Arial" w:cs="Arial"/>
                <w:sz w:val="16"/>
                <w:szCs w:val="16"/>
              </w:rPr>
              <w:t>]</w:t>
            </w:r>
            <w:r w:rsidR="00653401" w:rsidRPr="00701F9A">
              <w:rPr>
                <w:rFonts w:ascii="Arial" w:hAnsi="Arial" w:cs="Arial"/>
                <w:sz w:val="16"/>
                <w:szCs w:val="16"/>
              </w:rPr>
              <w:t xml:space="preserve"> </w:t>
            </w:r>
            <w:r>
              <w:rPr>
                <w:rFonts w:ascii="Arial" w:hAnsi="Arial" w:cs="Arial"/>
                <w:sz w:val="16"/>
                <w:szCs w:val="16"/>
              </w:rPr>
              <w:t>L</w:t>
            </w:r>
            <w:r w:rsidR="00BA7A34">
              <w:rPr>
                <w:rFonts w:ascii="Arial" w:hAnsi="Arial" w:cs="Arial"/>
                <w:sz w:val="16"/>
                <w:szCs w:val="16"/>
              </w:rPr>
              <w:t>argest series was 8 patients [93</w:t>
            </w:r>
            <w:r>
              <w:rPr>
                <w:rFonts w:ascii="Arial" w:hAnsi="Arial" w:cs="Arial"/>
                <w:sz w:val="16"/>
                <w:szCs w:val="16"/>
              </w:rPr>
              <w:t>], all with CD4+ cell count &gt; 200 cells /mm</w:t>
            </w:r>
            <w:r>
              <w:rPr>
                <w:rFonts w:ascii="Arial" w:hAnsi="Arial" w:cs="Arial"/>
                <w:sz w:val="16"/>
                <w:szCs w:val="16"/>
                <w:vertAlign w:val="superscript"/>
              </w:rPr>
              <w:t>3</w:t>
            </w:r>
            <w:r>
              <w:rPr>
                <w:rFonts w:ascii="Arial" w:hAnsi="Arial" w:cs="Arial"/>
                <w:sz w:val="16"/>
                <w:szCs w:val="16"/>
              </w:rPr>
              <w:t xml:space="preserve"> and viral load &lt; 60,000 copies/ml. No patients experienced HIV progression or opportunistic infections over 48 months follow-up. </w:t>
            </w:r>
            <w:r w:rsidR="00653401" w:rsidRPr="00701F9A">
              <w:rPr>
                <w:rFonts w:ascii="Arial" w:hAnsi="Arial" w:cs="Arial"/>
                <w:sz w:val="16"/>
                <w:szCs w:val="16"/>
              </w:rPr>
              <w:t>In one case report, the patient experienced frequent secondary infections which required discontinuation after 4 months (CD4&lt;50)</w:t>
            </w:r>
            <w:r w:rsidR="00BA7A34">
              <w:rPr>
                <w:rFonts w:ascii="Arial" w:hAnsi="Arial" w:cs="Arial"/>
                <w:sz w:val="16"/>
                <w:szCs w:val="16"/>
              </w:rPr>
              <w:t xml:space="preserve"> [92</w:t>
            </w:r>
            <w:r>
              <w:rPr>
                <w:rFonts w:ascii="Arial" w:hAnsi="Arial" w:cs="Arial"/>
                <w:sz w:val="16"/>
                <w:szCs w:val="16"/>
              </w:rPr>
              <w:t>]</w:t>
            </w:r>
            <w:r w:rsidR="00653401" w:rsidRPr="00701F9A">
              <w:rPr>
                <w:rFonts w:ascii="Arial" w:hAnsi="Arial" w:cs="Arial"/>
                <w:sz w:val="16"/>
                <w:szCs w:val="16"/>
              </w:rPr>
              <w:t xml:space="preserve">. There are few long term data published presently but one patient, co-infected with HIV and Hepatitis C was successfully treated with infliximab over 11 years </w:t>
            </w:r>
            <w:r w:rsidR="00653401" w:rsidRPr="00701F9A">
              <w:rPr>
                <w:rFonts w:ascii="Arial" w:hAnsi="Arial" w:cs="Arial"/>
                <w:sz w:val="16"/>
                <w:szCs w:val="16"/>
              </w:rPr>
              <w:lastRenderedPageBreak/>
              <w:t>of follow-up without serious infection [</w:t>
            </w:r>
            <w:r>
              <w:rPr>
                <w:rFonts w:ascii="Arial" w:hAnsi="Arial" w:cs="Arial"/>
                <w:sz w:val="16"/>
                <w:szCs w:val="16"/>
              </w:rPr>
              <w:t>9</w:t>
            </w:r>
            <w:r w:rsidR="00BA7A34">
              <w:rPr>
                <w:rFonts w:ascii="Arial" w:hAnsi="Arial" w:cs="Arial"/>
                <w:sz w:val="16"/>
                <w:szCs w:val="16"/>
              </w:rPr>
              <w:t>4</w:t>
            </w:r>
            <w:r w:rsidR="00653401" w:rsidRPr="00701F9A">
              <w:rPr>
                <w:rFonts w:ascii="Arial" w:hAnsi="Arial" w:cs="Arial"/>
                <w:sz w:val="16"/>
                <w:szCs w:val="16"/>
              </w:rPr>
              <w:t>].</w:t>
            </w:r>
          </w:p>
        </w:tc>
        <w:tc>
          <w:tcPr>
            <w:tcW w:w="1418" w:type="dxa"/>
          </w:tcPr>
          <w:p w:rsidR="00931663" w:rsidRPr="00701F9A" w:rsidRDefault="000E191F" w:rsidP="000E191F">
            <w:pPr>
              <w:rPr>
                <w:rFonts w:ascii="Arial" w:hAnsi="Arial" w:cs="Arial"/>
                <w:sz w:val="16"/>
                <w:szCs w:val="16"/>
              </w:rPr>
            </w:pPr>
            <w:r>
              <w:rPr>
                <w:rFonts w:ascii="Arial" w:hAnsi="Arial" w:cs="Arial"/>
                <w:sz w:val="16"/>
                <w:szCs w:val="16"/>
              </w:rPr>
              <w:lastRenderedPageBreak/>
              <w:t xml:space="preserve">Infectious complications seen in 4/27 (15%) of patients. </w:t>
            </w:r>
            <w:r w:rsidR="00653401" w:rsidRPr="00701F9A">
              <w:rPr>
                <w:rFonts w:ascii="Arial" w:hAnsi="Arial" w:cs="Arial"/>
                <w:sz w:val="16"/>
                <w:szCs w:val="16"/>
              </w:rPr>
              <w:t>Particular caution over screening for TB in patients with HIV considered for anti-TNF</w:t>
            </w:r>
            <w:r>
              <w:rPr>
                <w:rFonts w:ascii="Arial" w:hAnsi="Arial" w:cs="Arial"/>
                <w:sz w:val="16"/>
                <w:szCs w:val="16"/>
              </w:rPr>
              <w:t>ɑ</w:t>
            </w:r>
            <w:r w:rsidR="00653401" w:rsidRPr="00701F9A">
              <w:rPr>
                <w:rFonts w:ascii="Arial" w:hAnsi="Arial" w:cs="Arial"/>
                <w:sz w:val="16"/>
                <w:szCs w:val="16"/>
              </w:rPr>
              <w:t xml:space="preserve"> therapy</w:t>
            </w:r>
            <w:r>
              <w:rPr>
                <w:rFonts w:ascii="Arial" w:hAnsi="Arial" w:cs="Arial"/>
                <w:sz w:val="16"/>
                <w:szCs w:val="16"/>
              </w:rPr>
              <w:t>. Used safely in three patients.</w:t>
            </w:r>
          </w:p>
        </w:tc>
      </w:tr>
      <w:tr w:rsidR="000E191F" w:rsidTr="001828EF">
        <w:tc>
          <w:tcPr>
            <w:tcW w:w="2031" w:type="dxa"/>
          </w:tcPr>
          <w:p w:rsidR="00931663" w:rsidRPr="00701F9A" w:rsidRDefault="00931663">
            <w:pPr>
              <w:rPr>
                <w:rFonts w:ascii="Arial" w:hAnsi="Arial" w:cs="Arial"/>
                <w:sz w:val="16"/>
                <w:szCs w:val="16"/>
              </w:rPr>
            </w:pPr>
            <w:r w:rsidRPr="00701F9A">
              <w:rPr>
                <w:rFonts w:ascii="Arial" w:hAnsi="Arial" w:cs="Arial"/>
                <w:sz w:val="16"/>
                <w:szCs w:val="16"/>
              </w:rPr>
              <w:lastRenderedPageBreak/>
              <w:t>Rituximab</w:t>
            </w:r>
          </w:p>
        </w:tc>
        <w:tc>
          <w:tcPr>
            <w:tcW w:w="2046" w:type="dxa"/>
          </w:tcPr>
          <w:p w:rsidR="00931663" w:rsidRPr="00701F9A" w:rsidRDefault="00931663">
            <w:pPr>
              <w:rPr>
                <w:rFonts w:ascii="Arial" w:hAnsi="Arial" w:cs="Arial"/>
                <w:sz w:val="16"/>
                <w:szCs w:val="16"/>
              </w:rPr>
            </w:pPr>
          </w:p>
        </w:tc>
        <w:tc>
          <w:tcPr>
            <w:tcW w:w="1985" w:type="dxa"/>
          </w:tcPr>
          <w:p w:rsidR="00931663" w:rsidRPr="00701F9A" w:rsidRDefault="0086477D" w:rsidP="00BA7A34">
            <w:pPr>
              <w:rPr>
                <w:rFonts w:ascii="Arial" w:hAnsi="Arial" w:cs="Arial"/>
                <w:sz w:val="16"/>
                <w:szCs w:val="16"/>
              </w:rPr>
            </w:pPr>
            <w:r>
              <w:rPr>
                <w:rFonts w:ascii="Arial" w:hAnsi="Arial" w:cs="Arial"/>
                <w:sz w:val="16"/>
                <w:szCs w:val="16"/>
              </w:rPr>
              <w:t xml:space="preserve">Widely used as part of lymphoma treatment. </w:t>
            </w:r>
            <w:r w:rsidRPr="0086477D">
              <w:rPr>
                <w:rFonts w:ascii="Arial" w:hAnsi="Arial" w:cs="Arial"/>
                <w:sz w:val="16"/>
                <w:szCs w:val="16"/>
              </w:rPr>
              <w:t>Two studies of rituximab monotherapy in HIV-associated multicentric Castleman disease showed no increased risk of infection but a potential for reactivation of Kaposi sarcoma</w:t>
            </w:r>
            <w:r w:rsidR="00BA7A34">
              <w:rPr>
                <w:rFonts w:ascii="Arial" w:hAnsi="Arial" w:cs="Arial"/>
                <w:sz w:val="16"/>
                <w:szCs w:val="16"/>
              </w:rPr>
              <w:t xml:space="preserve"> [97-98</w:t>
            </w:r>
            <w:r>
              <w:rPr>
                <w:rFonts w:ascii="Arial" w:hAnsi="Arial" w:cs="Arial"/>
                <w:sz w:val="16"/>
                <w:szCs w:val="16"/>
              </w:rPr>
              <w:t xml:space="preserve">]. </w:t>
            </w:r>
            <w:r w:rsidRPr="0086477D">
              <w:rPr>
                <w:rFonts w:ascii="Arial" w:hAnsi="Arial" w:cs="Arial"/>
                <w:sz w:val="16"/>
                <w:szCs w:val="16"/>
              </w:rPr>
              <w:t>HIV viral load and absolute CD4 counts were not affected during therapy</w:t>
            </w:r>
            <w:r w:rsidR="00BA7A34">
              <w:rPr>
                <w:rFonts w:ascii="Arial" w:hAnsi="Arial" w:cs="Arial"/>
                <w:sz w:val="16"/>
                <w:szCs w:val="16"/>
              </w:rPr>
              <w:t xml:space="preserve"> [98</w:t>
            </w:r>
            <w:r>
              <w:rPr>
                <w:rFonts w:ascii="Arial" w:hAnsi="Arial" w:cs="Arial"/>
                <w:sz w:val="16"/>
                <w:szCs w:val="16"/>
              </w:rPr>
              <w:t>]. Successful and safe use t</w:t>
            </w:r>
            <w:r w:rsidR="00BA7A34">
              <w:rPr>
                <w:rFonts w:ascii="Arial" w:hAnsi="Arial" w:cs="Arial"/>
                <w:sz w:val="16"/>
                <w:szCs w:val="16"/>
              </w:rPr>
              <w:t>o induce pemphigus remission [96</w:t>
            </w:r>
            <w:r>
              <w:rPr>
                <w:rFonts w:ascii="Arial" w:hAnsi="Arial" w:cs="Arial"/>
                <w:sz w:val="16"/>
                <w:szCs w:val="16"/>
              </w:rPr>
              <w:t>].</w:t>
            </w:r>
          </w:p>
        </w:tc>
        <w:tc>
          <w:tcPr>
            <w:tcW w:w="1984" w:type="dxa"/>
          </w:tcPr>
          <w:p w:rsidR="00931663" w:rsidRPr="00701F9A" w:rsidRDefault="00D56D00">
            <w:pPr>
              <w:rPr>
                <w:rFonts w:ascii="Arial" w:hAnsi="Arial" w:cs="Arial"/>
                <w:sz w:val="16"/>
                <w:szCs w:val="16"/>
              </w:rPr>
            </w:pPr>
            <w:r>
              <w:rPr>
                <w:rFonts w:ascii="Arial" w:hAnsi="Arial" w:cs="Arial"/>
                <w:sz w:val="16"/>
                <w:szCs w:val="16"/>
              </w:rPr>
              <w:t>No recognised drug interactions. Theoretical risk of haematological toxicity with zidovudine</w:t>
            </w:r>
          </w:p>
        </w:tc>
        <w:tc>
          <w:tcPr>
            <w:tcW w:w="1418" w:type="dxa"/>
          </w:tcPr>
          <w:p w:rsidR="00931663" w:rsidRPr="00701F9A" w:rsidRDefault="0086477D" w:rsidP="0086477D">
            <w:pPr>
              <w:rPr>
                <w:rFonts w:ascii="Arial" w:hAnsi="Arial" w:cs="Arial"/>
                <w:sz w:val="16"/>
                <w:szCs w:val="16"/>
              </w:rPr>
            </w:pPr>
            <w:r>
              <w:rPr>
                <w:rFonts w:ascii="Arial" w:hAnsi="Arial" w:cs="Arial"/>
                <w:sz w:val="16"/>
                <w:szCs w:val="16"/>
              </w:rPr>
              <w:t>Caution: HIV associated with increased risk of PML. Used safely in 1 patient who had received previously for lymphoma.</w:t>
            </w:r>
          </w:p>
        </w:tc>
      </w:tr>
    </w:tbl>
    <w:p w:rsidR="00931663" w:rsidRDefault="00931663"/>
    <w:sectPr w:rsidR="00931663">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CC1" w:rsidRDefault="007E7CC1">
      <w:pPr>
        <w:spacing w:after="0" w:line="240" w:lineRule="auto"/>
      </w:pPr>
      <w:r>
        <w:separator/>
      </w:r>
    </w:p>
  </w:endnote>
  <w:endnote w:type="continuationSeparator" w:id="0">
    <w:p w:rsidR="007E7CC1" w:rsidRDefault="007E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53412"/>
      <w:docPartObj>
        <w:docPartGallery w:val="Page Numbers (Bottom of Page)"/>
        <w:docPartUnique/>
      </w:docPartObj>
    </w:sdtPr>
    <w:sdtEndPr>
      <w:rPr>
        <w:noProof/>
      </w:rPr>
    </w:sdtEndPr>
    <w:sdtContent>
      <w:p w:rsidR="00FD6EA6" w:rsidRDefault="001B3EDB">
        <w:pPr>
          <w:pStyle w:val="Footer"/>
          <w:jc w:val="right"/>
        </w:pPr>
        <w:r>
          <w:fldChar w:fldCharType="begin"/>
        </w:r>
        <w:r>
          <w:instrText xml:space="preserve"> PAGE   \* MERGEFORMAT </w:instrText>
        </w:r>
        <w:r>
          <w:fldChar w:fldCharType="separate"/>
        </w:r>
        <w:r w:rsidR="002D14E7">
          <w:rPr>
            <w:noProof/>
          </w:rPr>
          <w:t>1</w:t>
        </w:r>
        <w:r>
          <w:rPr>
            <w:noProof/>
          </w:rPr>
          <w:fldChar w:fldCharType="end"/>
        </w:r>
      </w:p>
    </w:sdtContent>
  </w:sdt>
  <w:p w:rsidR="00FD6EA6" w:rsidRDefault="007C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CC1" w:rsidRDefault="007E7CC1">
      <w:pPr>
        <w:spacing w:after="0" w:line="240" w:lineRule="auto"/>
      </w:pPr>
      <w:r>
        <w:separator/>
      </w:r>
    </w:p>
  </w:footnote>
  <w:footnote w:type="continuationSeparator" w:id="0">
    <w:p w:rsidR="007E7CC1" w:rsidRDefault="007E7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BDE"/>
    <w:multiLevelType w:val="hybridMultilevel"/>
    <w:tmpl w:val="2C0C32AC"/>
    <w:lvl w:ilvl="0" w:tplc="B366DA1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51"/>
    <w:rsid w:val="000245AB"/>
    <w:rsid w:val="000607F4"/>
    <w:rsid w:val="00070130"/>
    <w:rsid w:val="000E191F"/>
    <w:rsid w:val="001828EF"/>
    <w:rsid w:val="001B208B"/>
    <w:rsid w:val="001B3EDB"/>
    <w:rsid w:val="00200E5E"/>
    <w:rsid w:val="00284944"/>
    <w:rsid w:val="002D14E7"/>
    <w:rsid w:val="002D566C"/>
    <w:rsid w:val="004320AD"/>
    <w:rsid w:val="00456E82"/>
    <w:rsid w:val="0047128A"/>
    <w:rsid w:val="005747CB"/>
    <w:rsid w:val="005A53F6"/>
    <w:rsid w:val="005E4E22"/>
    <w:rsid w:val="00653401"/>
    <w:rsid w:val="00655464"/>
    <w:rsid w:val="00670D70"/>
    <w:rsid w:val="00672001"/>
    <w:rsid w:val="006E0878"/>
    <w:rsid w:val="006F0E62"/>
    <w:rsid w:val="00701F9A"/>
    <w:rsid w:val="00773474"/>
    <w:rsid w:val="0078641E"/>
    <w:rsid w:val="007C5080"/>
    <w:rsid w:val="007E08A0"/>
    <w:rsid w:val="007E7CC1"/>
    <w:rsid w:val="008148B1"/>
    <w:rsid w:val="0086477D"/>
    <w:rsid w:val="008C3BEF"/>
    <w:rsid w:val="00931663"/>
    <w:rsid w:val="00941A92"/>
    <w:rsid w:val="0097659F"/>
    <w:rsid w:val="009771A8"/>
    <w:rsid w:val="00A45EFB"/>
    <w:rsid w:val="00AD0F0C"/>
    <w:rsid w:val="00B9258F"/>
    <w:rsid w:val="00BA7A34"/>
    <w:rsid w:val="00BB1E92"/>
    <w:rsid w:val="00BC2B22"/>
    <w:rsid w:val="00D51351"/>
    <w:rsid w:val="00D56D00"/>
    <w:rsid w:val="00D73ADA"/>
    <w:rsid w:val="00DA02A8"/>
    <w:rsid w:val="00E27CCF"/>
    <w:rsid w:val="00FC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351"/>
    <w:pPr>
      <w:ind w:left="720"/>
      <w:contextualSpacing/>
    </w:pPr>
  </w:style>
  <w:style w:type="table" w:styleId="TableGrid">
    <w:name w:val="Table Grid"/>
    <w:basedOn w:val="TableNormal"/>
    <w:uiPriority w:val="59"/>
    <w:rsid w:val="00773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3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474"/>
  </w:style>
  <w:style w:type="character" w:styleId="Hyperlink">
    <w:name w:val="Hyperlink"/>
    <w:basedOn w:val="DefaultParagraphFont"/>
    <w:uiPriority w:val="99"/>
    <w:unhideWhenUsed/>
    <w:rsid w:val="008647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351"/>
    <w:pPr>
      <w:ind w:left="720"/>
      <w:contextualSpacing/>
    </w:pPr>
  </w:style>
  <w:style w:type="table" w:styleId="TableGrid">
    <w:name w:val="Table Grid"/>
    <w:basedOn w:val="TableNormal"/>
    <w:uiPriority w:val="59"/>
    <w:rsid w:val="00773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3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474"/>
  </w:style>
  <w:style w:type="character" w:styleId="Hyperlink">
    <w:name w:val="Hyperlink"/>
    <w:basedOn w:val="DefaultParagraphFont"/>
    <w:uiPriority w:val="99"/>
    <w:unhideWhenUsed/>
    <w:rsid w:val="008647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Drake</cp:lastModifiedBy>
  <cp:revision>2</cp:revision>
  <dcterms:created xsi:type="dcterms:W3CDTF">2016-07-29T14:46:00Z</dcterms:created>
  <dcterms:modified xsi:type="dcterms:W3CDTF">2016-07-29T14:46:00Z</dcterms:modified>
</cp:coreProperties>
</file>