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C7DED" w14:textId="77777777" w:rsidR="00C31272" w:rsidRPr="00C1096C" w:rsidRDefault="00C31272" w:rsidP="00C31272">
      <w:pPr>
        <w:rPr>
          <w:rFonts w:ascii="Arial" w:hAnsi="Arial" w:cs="Arial"/>
          <w:b/>
        </w:rPr>
      </w:pPr>
      <w:r w:rsidRPr="00C1096C">
        <w:rPr>
          <w:rFonts w:ascii="Arial" w:hAnsi="Arial" w:cs="Arial"/>
          <w:b/>
        </w:rPr>
        <w:t>Quantity and quality of interaction between staff and older patients in UK hospital wards: a descriptive study</w:t>
      </w:r>
    </w:p>
    <w:p w14:paraId="6087AE22" w14:textId="77777777" w:rsidR="00C31272" w:rsidRPr="00C1096C" w:rsidRDefault="00C31272" w:rsidP="00C31272">
      <w:pPr>
        <w:rPr>
          <w:rFonts w:ascii="Arial" w:hAnsi="Arial" w:cs="Arial"/>
        </w:rPr>
      </w:pPr>
    </w:p>
    <w:p w14:paraId="66540580" w14:textId="77777777" w:rsidR="00C31272" w:rsidRPr="00C1096C" w:rsidRDefault="00C31272" w:rsidP="00C31272">
      <w:pPr>
        <w:rPr>
          <w:rFonts w:ascii="Arial" w:hAnsi="Arial" w:cs="Arial"/>
        </w:rPr>
      </w:pPr>
      <w:r w:rsidRPr="00C1096C">
        <w:rPr>
          <w:rFonts w:ascii="Arial" w:hAnsi="Arial" w:cs="Arial"/>
        </w:rPr>
        <w:t>Hannah Ruth Barker (MSc, BN, RN)</w:t>
      </w:r>
    </w:p>
    <w:p w14:paraId="4063EB2C" w14:textId="77777777" w:rsidR="00C31272" w:rsidRPr="00C1096C" w:rsidRDefault="00C31272" w:rsidP="00C31272">
      <w:pPr>
        <w:rPr>
          <w:rFonts w:ascii="Arial" w:hAnsi="Arial" w:cs="Arial"/>
        </w:rPr>
      </w:pPr>
      <w:r w:rsidRPr="00C1096C">
        <w:rPr>
          <w:rFonts w:ascii="Arial" w:hAnsi="Arial" w:cs="Arial"/>
        </w:rPr>
        <w:t>Faculty of Health Sciences, University of Southampton</w:t>
      </w:r>
    </w:p>
    <w:p w14:paraId="5441D17F" w14:textId="77777777" w:rsidR="00C31272" w:rsidRPr="00C1096C" w:rsidRDefault="00C31272" w:rsidP="00C31272">
      <w:pPr>
        <w:rPr>
          <w:rStyle w:val="Hyperlink"/>
          <w:rFonts w:ascii="Arial" w:hAnsi="Arial" w:cs="Arial"/>
        </w:rPr>
      </w:pPr>
      <w:hyperlink r:id="rId8" w:history="1">
        <w:r w:rsidRPr="00C1096C">
          <w:rPr>
            <w:rStyle w:val="Hyperlink"/>
            <w:rFonts w:ascii="Arial" w:hAnsi="Arial" w:cs="Arial"/>
          </w:rPr>
          <w:t>h.r.barker@soton.ac.uk</w:t>
        </w:r>
      </w:hyperlink>
      <w:r w:rsidRPr="00C1096C">
        <w:rPr>
          <w:rStyle w:val="Hyperlink"/>
          <w:rFonts w:ascii="Arial" w:hAnsi="Arial" w:cs="Arial"/>
        </w:rPr>
        <w:t xml:space="preserve"> </w:t>
      </w:r>
    </w:p>
    <w:p w14:paraId="7C0EDF28" w14:textId="77777777" w:rsidR="00C31272" w:rsidRPr="00C1096C" w:rsidRDefault="00C31272" w:rsidP="00C31272">
      <w:pPr>
        <w:rPr>
          <w:rStyle w:val="Hyperlink"/>
          <w:rFonts w:ascii="Arial" w:hAnsi="Arial" w:cs="Arial"/>
        </w:rPr>
      </w:pPr>
      <w:r w:rsidRPr="00C1096C">
        <w:rPr>
          <w:rStyle w:val="Hyperlink"/>
          <w:rFonts w:ascii="Arial" w:hAnsi="Arial" w:cs="Arial"/>
          <w:color w:val="000000" w:themeColor="text1"/>
        </w:rPr>
        <w:t>02380597924</w:t>
      </w:r>
    </w:p>
    <w:p w14:paraId="6194028E" w14:textId="77777777" w:rsidR="00C31272" w:rsidRPr="00C1096C" w:rsidRDefault="00C31272" w:rsidP="00C31272">
      <w:pPr>
        <w:rPr>
          <w:rStyle w:val="Hyperlink"/>
          <w:rFonts w:ascii="Arial" w:hAnsi="Arial" w:cs="Arial"/>
          <w:color w:val="000000" w:themeColor="text1"/>
        </w:rPr>
      </w:pPr>
      <w:r w:rsidRPr="00C1096C">
        <w:rPr>
          <w:rStyle w:val="Hyperlink"/>
          <w:rFonts w:ascii="Arial" w:hAnsi="Arial" w:cs="Arial"/>
          <w:color w:val="000000" w:themeColor="text1"/>
        </w:rPr>
        <w:t>Building 67, Faculty of Health Sciences</w:t>
      </w:r>
    </w:p>
    <w:p w14:paraId="0632F9B3" w14:textId="77777777" w:rsidR="00C31272" w:rsidRPr="00C1096C" w:rsidRDefault="00C31272" w:rsidP="00C31272">
      <w:pPr>
        <w:rPr>
          <w:rStyle w:val="Hyperlink"/>
          <w:rFonts w:ascii="Arial" w:hAnsi="Arial" w:cs="Arial"/>
          <w:color w:val="000000" w:themeColor="text1"/>
        </w:rPr>
      </w:pPr>
      <w:r w:rsidRPr="00C1096C">
        <w:rPr>
          <w:rStyle w:val="Hyperlink"/>
          <w:rFonts w:ascii="Arial" w:hAnsi="Arial" w:cs="Arial"/>
          <w:color w:val="000000" w:themeColor="text1"/>
        </w:rPr>
        <w:t>University of Southampton</w:t>
      </w:r>
    </w:p>
    <w:p w14:paraId="6CA20205" w14:textId="77777777" w:rsidR="00C31272" w:rsidRPr="00C1096C" w:rsidRDefault="00C31272" w:rsidP="00C31272">
      <w:pPr>
        <w:rPr>
          <w:rStyle w:val="Hyperlink"/>
          <w:rFonts w:ascii="Arial" w:hAnsi="Arial" w:cs="Arial"/>
          <w:color w:val="000000" w:themeColor="text1"/>
        </w:rPr>
      </w:pPr>
      <w:r w:rsidRPr="00C1096C">
        <w:rPr>
          <w:rStyle w:val="Hyperlink"/>
          <w:rFonts w:ascii="Arial" w:hAnsi="Arial" w:cs="Arial"/>
          <w:color w:val="000000" w:themeColor="text1"/>
        </w:rPr>
        <w:t>Highfield</w:t>
      </w:r>
    </w:p>
    <w:p w14:paraId="1E346A49" w14:textId="77777777" w:rsidR="00C31272" w:rsidRPr="00C1096C" w:rsidRDefault="00C31272" w:rsidP="00C31272">
      <w:pPr>
        <w:rPr>
          <w:rFonts w:ascii="Arial" w:hAnsi="Arial" w:cs="Arial"/>
        </w:rPr>
      </w:pPr>
      <w:r w:rsidRPr="00C1096C">
        <w:rPr>
          <w:rStyle w:val="Hyperlink"/>
          <w:rFonts w:ascii="Arial" w:hAnsi="Arial" w:cs="Arial"/>
          <w:color w:val="000000" w:themeColor="text1"/>
        </w:rPr>
        <w:t>SO17 1BJ</w:t>
      </w:r>
    </w:p>
    <w:p w14:paraId="5BDE3EB8" w14:textId="77777777" w:rsidR="00C31272" w:rsidRPr="00C1096C" w:rsidRDefault="00C31272" w:rsidP="00C31272">
      <w:pPr>
        <w:rPr>
          <w:rFonts w:ascii="Arial" w:hAnsi="Arial" w:cs="Arial"/>
          <w:color w:val="000000" w:themeColor="text1"/>
        </w:rPr>
      </w:pPr>
    </w:p>
    <w:p w14:paraId="78190EA1" w14:textId="77777777" w:rsidR="00C31272" w:rsidRPr="00C1096C" w:rsidRDefault="00C31272" w:rsidP="00C31272">
      <w:pPr>
        <w:pStyle w:val="Heading1"/>
        <w:spacing w:before="0" w:line="288" w:lineRule="atLeast"/>
        <w:rPr>
          <w:rFonts w:ascii="Arial" w:hAnsi="Arial" w:cs="Arial"/>
          <w:b/>
          <w:color w:val="0C4964"/>
          <w:sz w:val="24"/>
          <w:szCs w:val="24"/>
        </w:rPr>
      </w:pPr>
      <w:r w:rsidRPr="00C1096C">
        <w:rPr>
          <w:rFonts w:ascii="Arial" w:hAnsi="Arial" w:cs="Arial"/>
          <w:color w:val="000000" w:themeColor="text1"/>
          <w:sz w:val="24"/>
          <w:szCs w:val="24"/>
        </w:rPr>
        <w:t>Professor Peter Griffiths (PhD, BA, RN, FEANS, FHEA)</w:t>
      </w:r>
      <w:r w:rsidRPr="00C1096C">
        <w:rPr>
          <w:rFonts w:ascii="Arial" w:hAnsi="Arial" w:cs="Arial"/>
          <w:color w:val="0C4964"/>
          <w:sz w:val="24"/>
          <w:szCs w:val="24"/>
        </w:rPr>
        <w:t xml:space="preserve"> </w:t>
      </w:r>
    </w:p>
    <w:p w14:paraId="74532501" w14:textId="77777777" w:rsidR="00C31272" w:rsidRDefault="00C31272" w:rsidP="00C31272">
      <w:pPr>
        <w:rPr>
          <w:rFonts w:ascii="Arial" w:hAnsi="Arial" w:cs="Arial"/>
        </w:rPr>
      </w:pPr>
      <w:r w:rsidRPr="00C1096C">
        <w:rPr>
          <w:rFonts w:ascii="Arial" w:hAnsi="Arial" w:cs="Arial"/>
        </w:rPr>
        <w:t>Faculty of Health Sciences, University of Southampton</w:t>
      </w:r>
    </w:p>
    <w:p w14:paraId="34BF9492" w14:textId="77777777" w:rsidR="00C31272" w:rsidRPr="00C1096C" w:rsidRDefault="00C31272" w:rsidP="00C31272">
      <w:pPr>
        <w:rPr>
          <w:rFonts w:ascii="Arial" w:hAnsi="Arial" w:cs="Arial"/>
        </w:rPr>
      </w:pPr>
      <w:hyperlink r:id="rId9" w:history="1">
        <w:r w:rsidRPr="00C1096C">
          <w:rPr>
            <w:rStyle w:val="Hyperlink"/>
            <w:rFonts w:ascii="Arial" w:hAnsi="Arial" w:cs="Arial"/>
          </w:rPr>
          <w:t>Peter.griffiths@soton.ac.uk</w:t>
        </w:r>
      </w:hyperlink>
    </w:p>
    <w:p w14:paraId="34B36C99" w14:textId="77777777" w:rsidR="00C31272" w:rsidRPr="00C1096C" w:rsidRDefault="00C31272" w:rsidP="00C31272">
      <w:pPr>
        <w:rPr>
          <w:rFonts w:ascii="Arial" w:hAnsi="Arial" w:cs="Arial"/>
        </w:rPr>
      </w:pPr>
    </w:p>
    <w:p w14:paraId="6259EEF7" w14:textId="77777777" w:rsidR="00C31272" w:rsidRPr="00C1096C" w:rsidRDefault="00C31272" w:rsidP="00C31272">
      <w:pPr>
        <w:rPr>
          <w:rFonts w:ascii="Arial" w:hAnsi="Arial" w:cs="Arial"/>
        </w:rPr>
      </w:pPr>
      <w:r w:rsidRPr="00C1096C">
        <w:rPr>
          <w:rFonts w:ascii="Arial" w:hAnsi="Arial" w:cs="Arial"/>
        </w:rPr>
        <w:t>Ines Mesa-Eguiagaray (MSc, BSc)</w:t>
      </w:r>
    </w:p>
    <w:p w14:paraId="2F315B37" w14:textId="77777777" w:rsidR="00C31272" w:rsidRPr="00C1096C" w:rsidRDefault="00C31272" w:rsidP="00C31272">
      <w:pPr>
        <w:rPr>
          <w:rFonts w:ascii="Arial" w:hAnsi="Arial" w:cs="Arial"/>
        </w:rPr>
      </w:pPr>
      <w:r w:rsidRPr="00C1096C">
        <w:rPr>
          <w:rFonts w:ascii="Arial" w:hAnsi="Arial" w:cs="Arial"/>
        </w:rPr>
        <w:t>Faculty of Medicine , University of Southampton</w:t>
      </w:r>
    </w:p>
    <w:p w14:paraId="13850C86" w14:textId="77777777" w:rsidR="00C31272" w:rsidRPr="00C1096C" w:rsidRDefault="00C31272" w:rsidP="00C31272">
      <w:pPr>
        <w:rPr>
          <w:rFonts w:ascii="Arial" w:hAnsi="Arial" w:cs="Arial"/>
        </w:rPr>
      </w:pPr>
      <w:hyperlink r:id="rId10" w:history="1">
        <w:r w:rsidRPr="00C1096C">
          <w:rPr>
            <w:rStyle w:val="Hyperlink"/>
            <w:rFonts w:ascii="Arial" w:hAnsi="Arial" w:cs="Arial"/>
          </w:rPr>
          <w:t>I.Mesa-Eguiagaray@soton.ac.uk</w:t>
        </w:r>
      </w:hyperlink>
    </w:p>
    <w:p w14:paraId="723E255A" w14:textId="77777777" w:rsidR="00C31272" w:rsidRPr="00C1096C" w:rsidRDefault="00C31272" w:rsidP="00C31272">
      <w:pPr>
        <w:rPr>
          <w:rFonts w:ascii="Arial" w:hAnsi="Arial" w:cs="Arial"/>
        </w:rPr>
      </w:pPr>
    </w:p>
    <w:p w14:paraId="552BE222" w14:textId="77777777" w:rsidR="00C31272" w:rsidRPr="00C1096C" w:rsidRDefault="00C31272" w:rsidP="00C31272">
      <w:pPr>
        <w:rPr>
          <w:rFonts w:ascii="Arial" w:hAnsi="Arial" w:cs="Arial"/>
        </w:rPr>
      </w:pPr>
      <w:r w:rsidRPr="00C1096C">
        <w:rPr>
          <w:rFonts w:ascii="Arial" w:hAnsi="Arial" w:cs="Arial"/>
        </w:rPr>
        <w:t>Dr Ruth Pickering (PhD, MSc)</w:t>
      </w:r>
    </w:p>
    <w:p w14:paraId="0F8F16AF" w14:textId="77777777" w:rsidR="00C31272" w:rsidRPr="00C1096C" w:rsidRDefault="00C31272" w:rsidP="00C31272">
      <w:pPr>
        <w:rPr>
          <w:rFonts w:ascii="Arial" w:hAnsi="Arial" w:cs="Arial"/>
        </w:rPr>
      </w:pPr>
      <w:r w:rsidRPr="00C1096C">
        <w:rPr>
          <w:rFonts w:ascii="Arial" w:hAnsi="Arial" w:cs="Arial"/>
        </w:rPr>
        <w:t xml:space="preserve">Faculty of Medicine , University of Southampton </w:t>
      </w:r>
    </w:p>
    <w:p w14:paraId="7F65F35D" w14:textId="77777777" w:rsidR="00C31272" w:rsidRPr="00C1096C" w:rsidRDefault="00C31272" w:rsidP="00C31272">
      <w:pPr>
        <w:rPr>
          <w:rFonts w:ascii="Arial" w:hAnsi="Arial" w:cs="Arial"/>
        </w:rPr>
      </w:pPr>
      <w:hyperlink r:id="rId11" w:history="1">
        <w:r w:rsidRPr="00C1096C">
          <w:rPr>
            <w:rStyle w:val="Hyperlink"/>
            <w:rFonts w:ascii="Arial" w:hAnsi="Arial" w:cs="Arial"/>
          </w:rPr>
          <w:t>rmp@soton.ac.uk</w:t>
        </w:r>
      </w:hyperlink>
    </w:p>
    <w:p w14:paraId="0536350B" w14:textId="77777777" w:rsidR="00C31272" w:rsidRPr="00C1096C" w:rsidRDefault="00C31272" w:rsidP="00C31272">
      <w:pPr>
        <w:rPr>
          <w:rFonts w:ascii="Arial" w:hAnsi="Arial" w:cs="Arial"/>
        </w:rPr>
      </w:pPr>
    </w:p>
    <w:p w14:paraId="0B9D9D06" w14:textId="77777777" w:rsidR="00C31272" w:rsidRPr="00C1096C" w:rsidRDefault="00C31272" w:rsidP="00C31272">
      <w:pPr>
        <w:rPr>
          <w:rFonts w:ascii="Arial" w:hAnsi="Arial" w:cs="Arial"/>
        </w:rPr>
      </w:pPr>
      <w:r w:rsidRPr="00C1096C">
        <w:rPr>
          <w:rFonts w:ascii="Arial" w:hAnsi="Arial" w:cs="Arial"/>
        </w:rPr>
        <w:t>Dr Lisa Gould (PhD, BSc)</w:t>
      </w:r>
    </w:p>
    <w:p w14:paraId="389DA13C" w14:textId="77777777" w:rsidR="00C31272" w:rsidRPr="00C1096C" w:rsidRDefault="00C31272" w:rsidP="00C31272">
      <w:pPr>
        <w:rPr>
          <w:rFonts w:ascii="Arial" w:hAnsi="Arial" w:cs="Arial"/>
        </w:rPr>
      </w:pPr>
      <w:r w:rsidRPr="00C1096C">
        <w:rPr>
          <w:rFonts w:ascii="Arial" w:hAnsi="Arial" w:cs="Arial"/>
        </w:rPr>
        <w:t>Faculty of Health Sciences, University of Southampton</w:t>
      </w:r>
    </w:p>
    <w:p w14:paraId="123F3B2A" w14:textId="77777777" w:rsidR="00C31272" w:rsidRPr="00C1096C" w:rsidRDefault="00C31272" w:rsidP="00C31272">
      <w:pPr>
        <w:rPr>
          <w:rFonts w:ascii="Arial" w:hAnsi="Arial" w:cs="Arial"/>
        </w:rPr>
      </w:pPr>
      <w:hyperlink r:id="rId12" w:history="1">
        <w:r w:rsidRPr="00C1096C">
          <w:rPr>
            <w:rStyle w:val="Hyperlink"/>
            <w:rFonts w:ascii="Arial" w:hAnsi="Arial" w:cs="Arial"/>
          </w:rPr>
          <w:t>l.j.gould@soton.ac.uk</w:t>
        </w:r>
      </w:hyperlink>
    </w:p>
    <w:p w14:paraId="1ECD6EDC" w14:textId="77777777" w:rsidR="00C31272" w:rsidRPr="00C1096C" w:rsidRDefault="00C31272" w:rsidP="00C31272">
      <w:pPr>
        <w:rPr>
          <w:rFonts w:ascii="Arial" w:hAnsi="Arial" w:cs="Arial"/>
          <w:color w:val="000000" w:themeColor="text1"/>
        </w:rPr>
      </w:pPr>
    </w:p>
    <w:p w14:paraId="4A22B507" w14:textId="77777777" w:rsidR="00C31272" w:rsidRPr="00C1096C" w:rsidRDefault="00C31272" w:rsidP="00C31272">
      <w:pPr>
        <w:pStyle w:val="Heading1"/>
        <w:spacing w:before="0" w:line="288" w:lineRule="atLeast"/>
        <w:rPr>
          <w:rFonts w:ascii="Arial" w:hAnsi="Arial" w:cs="Arial"/>
          <w:b/>
          <w:color w:val="000000" w:themeColor="text1"/>
          <w:sz w:val="24"/>
          <w:szCs w:val="24"/>
        </w:rPr>
      </w:pPr>
      <w:r w:rsidRPr="00C1096C">
        <w:rPr>
          <w:rFonts w:ascii="Arial" w:hAnsi="Arial" w:cs="Arial"/>
          <w:color w:val="000000" w:themeColor="text1"/>
          <w:sz w:val="24"/>
          <w:szCs w:val="24"/>
        </w:rPr>
        <w:t>Professor Jackie Bridges (PhD, MSN, B.Nurs (Hons), RN, PG Cert)</w:t>
      </w:r>
    </w:p>
    <w:p w14:paraId="3087B5D8" w14:textId="77777777" w:rsidR="00C31272" w:rsidRPr="00C1096C" w:rsidRDefault="00C31272" w:rsidP="00C31272">
      <w:pPr>
        <w:rPr>
          <w:rFonts w:ascii="Arial" w:hAnsi="Arial" w:cs="Arial"/>
        </w:rPr>
      </w:pPr>
      <w:r w:rsidRPr="00C1096C">
        <w:rPr>
          <w:rFonts w:ascii="Arial" w:hAnsi="Arial" w:cs="Arial"/>
        </w:rPr>
        <w:t>Faculty of Health Sciences, University of Southampton</w:t>
      </w:r>
    </w:p>
    <w:p w14:paraId="6157F350" w14:textId="77777777" w:rsidR="00C31272" w:rsidRPr="00C1096C" w:rsidRDefault="00C31272" w:rsidP="00C31272">
      <w:pPr>
        <w:rPr>
          <w:rFonts w:ascii="Arial" w:hAnsi="Arial" w:cs="Arial"/>
        </w:rPr>
      </w:pPr>
      <w:hyperlink r:id="rId13" w:history="1">
        <w:r w:rsidRPr="00C1096C">
          <w:rPr>
            <w:rStyle w:val="Hyperlink"/>
            <w:rFonts w:ascii="Arial" w:hAnsi="Arial" w:cs="Arial"/>
          </w:rPr>
          <w:t>Jackie.bridges@soton.ac.uk</w:t>
        </w:r>
      </w:hyperlink>
    </w:p>
    <w:p w14:paraId="061E27B9" w14:textId="77777777" w:rsidR="00C31272" w:rsidRPr="00C1096C" w:rsidRDefault="00C31272" w:rsidP="00C31272">
      <w:pPr>
        <w:rPr>
          <w:rFonts w:ascii="Arial" w:hAnsi="Arial" w:cs="Arial"/>
        </w:rPr>
      </w:pPr>
    </w:p>
    <w:p w14:paraId="1FEEC1ED" w14:textId="77777777" w:rsidR="00C31272" w:rsidRDefault="00C31272">
      <w:pPr>
        <w:spacing w:after="200" w:line="276" w:lineRule="auto"/>
        <w:rPr>
          <w:rFonts w:cs="Arial"/>
          <w:b/>
        </w:rPr>
      </w:pPr>
      <w:r>
        <w:rPr>
          <w:rFonts w:cs="Arial"/>
          <w:b/>
        </w:rPr>
        <w:br w:type="page"/>
      </w:r>
    </w:p>
    <w:p w14:paraId="0B0F7120" w14:textId="4DE687A6" w:rsidR="007C7D13" w:rsidRPr="00820559" w:rsidRDefault="006D0DFB" w:rsidP="009D606C">
      <w:pPr>
        <w:rPr>
          <w:rFonts w:cs="Arial"/>
          <w:b/>
        </w:rPr>
      </w:pPr>
      <w:r w:rsidRPr="00820559">
        <w:rPr>
          <w:rFonts w:cs="Arial"/>
          <w:b/>
        </w:rPr>
        <w:lastRenderedPageBreak/>
        <w:t>Quantity</w:t>
      </w:r>
      <w:r w:rsidR="00386F2E" w:rsidRPr="00820559">
        <w:rPr>
          <w:rFonts w:cs="Arial"/>
          <w:b/>
        </w:rPr>
        <w:t xml:space="preserve"> and q</w:t>
      </w:r>
      <w:r w:rsidR="00900602" w:rsidRPr="00820559">
        <w:rPr>
          <w:rFonts w:cs="Arial"/>
          <w:b/>
        </w:rPr>
        <w:t>uality</w:t>
      </w:r>
      <w:r w:rsidR="007C7D13" w:rsidRPr="00820559">
        <w:rPr>
          <w:rFonts w:cs="Arial"/>
          <w:b/>
        </w:rPr>
        <w:t xml:space="preserve"> of interaction between </w:t>
      </w:r>
      <w:r w:rsidR="009D606C" w:rsidRPr="00820559">
        <w:rPr>
          <w:rFonts w:cs="Arial"/>
          <w:b/>
        </w:rPr>
        <w:t>staff</w:t>
      </w:r>
      <w:r w:rsidR="007C7D13" w:rsidRPr="00820559">
        <w:rPr>
          <w:rFonts w:cs="Arial"/>
          <w:b/>
        </w:rPr>
        <w:t xml:space="preserve"> and </w:t>
      </w:r>
      <w:r w:rsidR="00D53087" w:rsidRPr="00820559">
        <w:rPr>
          <w:rFonts w:cs="Arial"/>
          <w:b/>
        </w:rPr>
        <w:t xml:space="preserve">older </w:t>
      </w:r>
      <w:r w:rsidR="00900602" w:rsidRPr="00820559">
        <w:rPr>
          <w:rFonts w:cs="Arial"/>
          <w:b/>
        </w:rPr>
        <w:t>patients in UK hospital wards: a descriptive study</w:t>
      </w:r>
    </w:p>
    <w:p w14:paraId="4C42AC10" w14:textId="77777777" w:rsidR="00994AA1" w:rsidRPr="00820559" w:rsidRDefault="00994AA1" w:rsidP="007C7D13">
      <w:pPr>
        <w:rPr>
          <w:b/>
        </w:rPr>
      </w:pPr>
    </w:p>
    <w:p w14:paraId="34CFB103" w14:textId="6AD16545" w:rsidR="00994AA1" w:rsidRPr="00820559" w:rsidRDefault="00994AA1" w:rsidP="00980198">
      <w:pPr>
        <w:rPr>
          <w:b/>
        </w:rPr>
      </w:pPr>
      <w:r w:rsidRPr="00820559">
        <w:rPr>
          <w:b/>
        </w:rPr>
        <w:t>Abstract</w:t>
      </w:r>
      <w:r w:rsidR="00B7463D" w:rsidRPr="00820559">
        <w:rPr>
          <w:b/>
        </w:rPr>
        <w:t xml:space="preserve"> </w:t>
      </w:r>
    </w:p>
    <w:p w14:paraId="1EC699B5" w14:textId="77777777" w:rsidR="00994AA1" w:rsidRPr="00820559" w:rsidRDefault="00994AA1" w:rsidP="007C7D13">
      <w:pPr>
        <w:rPr>
          <w:b/>
        </w:rPr>
      </w:pPr>
    </w:p>
    <w:p w14:paraId="44037185" w14:textId="77777777" w:rsidR="00994AA1" w:rsidRPr="00820559" w:rsidRDefault="00994AA1" w:rsidP="00191840">
      <w:pPr>
        <w:rPr>
          <w:color w:val="000000"/>
        </w:rPr>
      </w:pPr>
      <w:r w:rsidRPr="00820559">
        <w:rPr>
          <w:color w:val="000000"/>
          <w:lang w:val="en-US"/>
        </w:rPr>
        <w:t xml:space="preserve">Background: </w:t>
      </w:r>
      <w:r w:rsidR="001F270D" w:rsidRPr="00820559">
        <w:rPr>
          <w:color w:val="000000"/>
          <w:lang w:val="en-US"/>
        </w:rPr>
        <w:t>The quality of staff-patient interactions underpins the overall quality of patient experience and can affect other important outcomes</w:t>
      </w:r>
      <w:r w:rsidRPr="00820559">
        <w:rPr>
          <w:color w:val="000000"/>
          <w:lang w:val="en-US"/>
        </w:rPr>
        <w:t>. However no studies have been identified that comprehensively explore both the quality and quantity of interactions in general hospital settings.</w:t>
      </w:r>
    </w:p>
    <w:p w14:paraId="5326E111" w14:textId="77777777" w:rsidR="00994AA1" w:rsidRPr="00820559" w:rsidRDefault="00994AA1" w:rsidP="00994AA1">
      <w:pPr>
        <w:rPr>
          <w:color w:val="000000"/>
        </w:rPr>
      </w:pPr>
      <w:r w:rsidRPr="00820559">
        <w:rPr>
          <w:color w:val="000000"/>
          <w:lang w:val="en-US"/>
        </w:rPr>
        <w:t> </w:t>
      </w:r>
    </w:p>
    <w:p w14:paraId="15953CA5" w14:textId="77777777" w:rsidR="00994AA1" w:rsidRPr="00820559" w:rsidRDefault="00994AA1" w:rsidP="00D73EC1">
      <w:pPr>
        <w:rPr>
          <w:color w:val="000000"/>
        </w:rPr>
      </w:pPr>
      <w:r w:rsidRPr="00820559">
        <w:rPr>
          <w:color w:val="000000"/>
          <w:lang w:val="en-US"/>
        </w:rPr>
        <w:t xml:space="preserve">Aims &amp; Objectives: To </w:t>
      </w:r>
      <w:r w:rsidR="00C87511" w:rsidRPr="00820559">
        <w:rPr>
          <w:color w:val="000000"/>
          <w:lang w:val="en-US"/>
        </w:rPr>
        <w:t xml:space="preserve">quantify and </w:t>
      </w:r>
      <w:r w:rsidRPr="00820559">
        <w:rPr>
          <w:color w:val="000000"/>
          <w:lang w:val="en-US"/>
        </w:rPr>
        <w:t xml:space="preserve">characterize the quality of staff-patient interactions and to identify </w:t>
      </w:r>
      <w:r w:rsidR="0026363E" w:rsidRPr="00820559">
        <w:rPr>
          <w:color w:val="000000"/>
          <w:lang w:val="en-US"/>
        </w:rPr>
        <w:t>factors</w:t>
      </w:r>
      <w:r w:rsidR="00D73EC1" w:rsidRPr="00820559">
        <w:rPr>
          <w:color w:val="000000"/>
          <w:lang w:val="en-US"/>
        </w:rPr>
        <w:t xml:space="preserve"> </w:t>
      </w:r>
      <w:r w:rsidRPr="00820559">
        <w:rPr>
          <w:color w:val="000000"/>
          <w:lang w:val="en-US"/>
        </w:rPr>
        <w:t>associat</w:t>
      </w:r>
      <w:r w:rsidR="0026363E" w:rsidRPr="00820559">
        <w:rPr>
          <w:color w:val="000000"/>
          <w:lang w:val="en-US"/>
        </w:rPr>
        <w:t>ed</w:t>
      </w:r>
      <w:r w:rsidRPr="00820559">
        <w:rPr>
          <w:color w:val="000000"/>
          <w:lang w:val="en-US"/>
        </w:rPr>
        <w:t xml:space="preserve"> </w:t>
      </w:r>
      <w:r w:rsidR="0026363E" w:rsidRPr="00820559">
        <w:rPr>
          <w:color w:val="000000"/>
          <w:lang w:val="en-US"/>
        </w:rPr>
        <w:t xml:space="preserve">with </w:t>
      </w:r>
      <w:r w:rsidRPr="00820559">
        <w:rPr>
          <w:color w:val="000000"/>
          <w:lang w:val="en-US"/>
        </w:rPr>
        <w:t xml:space="preserve">negative </w:t>
      </w:r>
      <w:r w:rsidR="0026363E" w:rsidRPr="00820559">
        <w:rPr>
          <w:color w:val="000000"/>
          <w:lang w:val="en-US"/>
        </w:rPr>
        <w:t xml:space="preserve">interaction </w:t>
      </w:r>
      <w:r w:rsidRPr="00820559">
        <w:rPr>
          <w:color w:val="000000"/>
          <w:lang w:val="en-US"/>
        </w:rPr>
        <w:t>ratings</w:t>
      </w:r>
      <w:r w:rsidR="0026363E" w:rsidRPr="00820559">
        <w:rPr>
          <w:color w:val="000000"/>
          <w:lang w:val="en-US"/>
        </w:rPr>
        <w:t>.</w:t>
      </w:r>
    </w:p>
    <w:p w14:paraId="194435E6" w14:textId="77777777" w:rsidR="00994AA1" w:rsidRPr="00820559" w:rsidRDefault="00994AA1" w:rsidP="00994AA1">
      <w:pPr>
        <w:rPr>
          <w:color w:val="000000"/>
        </w:rPr>
      </w:pPr>
      <w:r w:rsidRPr="00820559">
        <w:rPr>
          <w:color w:val="000000"/>
          <w:lang w:val="en-US"/>
        </w:rPr>
        <w:t> </w:t>
      </w:r>
    </w:p>
    <w:p w14:paraId="68D4759E" w14:textId="77777777" w:rsidR="0026363E" w:rsidRPr="00820559" w:rsidRDefault="00C87511" w:rsidP="00C87511">
      <w:pPr>
        <w:rPr>
          <w:color w:val="000000"/>
        </w:rPr>
      </w:pPr>
      <w:r w:rsidRPr="00820559">
        <w:rPr>
          <w:color w:val="000000"/>
        </w:rPr>
        <w:t>Setting: Data were gathered at t</w:t>
      </w:r>
      <w:r w:rsidR="0026363E" w:rsidRPr="00820559">
        <w:rPr>
          <w:color w:val="000000"/>
        </w:rPr>
        <w:t xml:space="preserve">wo acute </w:t>
      </w:r>
      <w:r w:rsidRPr="00820559">
        <w:rPr>
          <w:color w:val="000000"/>
        </w:rPr>
        <w:t xml:space="preserve">English </w:t>
      </w:r>
      <w:r w:rsidR="0026363E" w:rsidRPr="00820559">
        <w:rPr>
          <w:color w:val="000000"/>
        </w:rPr>
        <w:t xml:space="preserve">NHS hospitals between March and April 2015. Six wards </w:t>
      </w:r>
      <w:r w:rsidR="00D73EC1" w:rsidRPr="00820559">
        <w:rPr>
          <w:color w:val="000000"/>
        </w:rPr>
        <w:t xml:space="preserve">for adult patients </w:t>
      </w:r>
      <w:r w:rsidR="0026363E" w:rsidRPr="00820559">
        <w:rPr>
          <w:color w:val="000000"/>
        </w:rPr>
        <w:t>participated including medicine for older people (n=4), urology (n=1) and orthopaedics (n=1).</w:t>
      </w:r>
    </w:p>
    <w:p w14:paraId="39B13006" w14:textId="77777777" w:rsidR="0026363E" w:rsidRPr="00820559" w:rsidRDefault="0026363E" w:rsidP="00994AA1">
      <w:pPr>
        <w:rPr>
          <w:color w:val="000000"/>
        </w:rPr>
      </w:pPr>
    </w:p>
    <w:p w14:paraId="5D8C3929" w14:textId="77777777" w:rsidR="00994AA1" w:rsidRPr="00820559" w:rsidRDefault="00B2450B">
      <w:pPr>
        <w:rPr>
          <w:color w:val="000000"/>
          <w:lang w:val="en-US"/>
        </w:rPr>
      </w:pPr>
      <w:r w:rsidRPr="00820559">
        <w:rPr>
          <w:color w:val="000000"/>
          <w:lang w:val="en-US"/>
        </w:rPr>
        <w:t>M</w:t>
      </w:r>
      <w:r w:rsidR="00994AA1" w:rsidRPr="00820559">
        <w:rPr>
          <w:color w:val="000000"/>
          <w:lang w:val="en-US"/>
        </w:rPr>
        <w:t xml:space="preserve">ethods: </w:t>
      </w:r>
      <w:r w:rsidR="00C87511" w:rsidRPr="00820559">
        <w:rPr>
          <w:color w:val="000000"/>
          <w:lang w:val="en-US"/>
        </w:rPr>
        <w:t>Eligible patients o</w:t>
      </w:r>
      <w:r w:rsidR="009065A0" w:rsidRPr="00820559">
        <w:rPr>
          <w:color w:val="000000"/>
          <w:lang w:val="en-US"/>
        </w:rPr>
        <w:t>n participating wards were randomly selected for observation. Staff-patient interactions were observed using the Quality of Interactions Schedule</w:t>
      </w:r>
      <w:r w:rsidR="00994AA1" w:rsidRPr="00820559">
        <w:rPr>
          <w:color w:val="000000"/>
        </w:rPr>
        <w:t xml:space="preserve">. </w:t>
      </w:r>
      <w:r w:rsidR="0026363E" w:rsidRPr="00820559">
        <w:t xml:space="preserve">120 hours of care were observed with </w:t>
      </w:r>
      <w:r w:rsidR="00C87511" w:rsidRPr="00820559">
        <w:t xml:space="preserve">each </w:t>
      </w:r>
      <w:r w:rsidR="00D73EC1" w:rsidRPr="00820559">
        <w:t>2-</w:t>
      </w:r>
      <w:r w:rsidR="00C87511" w:rsidRPr="00820559">
        <w:t xml:space="preserve">hour observation </w:t>
      </w:r>
      <w:r w:rsidR="00D80DC7">
        <w:t>session</w:t>
      </w:r>
      <w:r w:rsidR="00D80DC7" w:rsidRPr="00820559">
        <w:t xml:space="preserve"> </w:t>
      </w:r>
      <w:r w:rsidR="0026363E" w:rsidRPr="00820559">
        <w:t>determined</w:t>
      </w:r>
      <w:r w:rsidR="00B81088" w:rsidRPr="00820559">
        <w:t xml:space="preserve"> </w:t>
      </w:r>
      <w:r w:rsidR="00C87511" w:rsidRPr="00820559">
        <w:t>from a</w:t>
      </w:r>
      <w:r w:rsidR="00B81088" w:rsidRPr="00820559">
        <w:t xml:space="preserve"> </w:t>
      </w:r>
      <w:r w:rsidR="00DF72CB" w:rsidRPr="00820559">
        <w:t xml:space="preserve">balanced </w:t>
      </w:r>
      <w:r w:rsidR="00B81088" w:rsidRPr="00820559">
        <w:t>random schedule</w:t>
      </w:r>
      <w:r w:rsidR="00C87511" w:rsidRPr="00820559">
        <w:t xml:space="preserve"> </w:t>
      </w:r>
      <w:r w:rsidR="00D73EC1" w:rsidRPr="00820559">
        <w:t>(Monday-</w:t>
      </w:r>
      <w:r w:rsidR="00DF72CB" w:rsidRPr="00820559">
        <w:t>Friday, 0</w:t>
      </w:r>
      <w:r w:rsidR="00C87511" w:rsidRPr="00820559">
        <w:t>8</w:t>
      </w:r>
      <w:r w:rsidR="00DF72CB" w:rsidRPr="00820559">
        <w:t>:</w:t>
      </w:r>
      <w:r w:rsidR="00C87511" w:rsidRPr="00820559">
        <w:t>00-22</w:t>
      </w:r>
      <w:r w:rsidR="00DF72CB" w:rsidRPr="00820559">
        <w:t>:</w:t>
      </w:r>
      <w:r w:rsidR="00C87511" w:rsidRPr="00820559">
        <w:t>00 hours)</w:t>
      </w:r>
      <w:r w:rsidR="0026363E" w:rsidRPr="00820559">
        <w:t>.</w:t>
      </w:r>
      <w:r w:rsidR="00B81088" w:rsidRPr="00820559">
        <w:rPr>
          <w:color w:val="000000"/>
        </w:rPr>
        <w:t xml:space="preserve"> </w:t>
      </w:r>
      <w:r w:rsidR="00B81088" w:rsidRPr="00820559">
        <w:rPr>
          <w:rFonts w:cs="Arial"/>
        </w:rPr>
        <w:t>Multilevel logistic regression models were used to determine factors associated with negative interactions.</w:t>
      </w:r>
      <w:r w:rsidR="00994AA1" w:rsidRPr="00820559">
        <w:rPr>
          <w:color w:val="000000"/>
          <w:lang w:val="en-US"/>
        </w:rPr>
        <w:t> </w:t>
      </w:r>
    </w:p>
    <w:p w14:paraId="6779B1B5" w14:textId="77777777" w:rsidR="00E27500" w:rsidRPr="00820559" w:rsidRDefault="00E27500" w:rsidP="00994AA1">
      <w:pPr>
        <w:rPr>
          <w:color w:val="000000"/>
        </w:rPr>
      </w:pPr>
    </w:p>
    <w:p w14:paraId="42A36876" w14:textId="77777777" w:rsidR="00EA016E" w:rsidRPr="00820559" w:rsidRDefault="00994AA1" w:rsidP="00FF5EF9">
      <w:pPr>
        <w:widowControl w:val="0"/>
        <w:autoSpaceDE w:val="0"/>
        <w:autoSpaceDN w:val="0"/>
        <w:adjustRightInd w:val="0"/>
        <w:spacing w:after="240"/>
        <w:rPr>
          <w:rFonts w:cs="Arial"/>
          <w:lang w:val="en-US" w:eastAsia="zh-CN"/>
        </w:rPr>
      </w:pPr>
      <w:r w:rsidRPr="00820559">
        <w:rPr>
          <w:color w:val="000000"/>
          <w:lang w:val="en-US"/>
        </w:rPr>
        <w:t>Results: 1554</w:t>
      </w:r>
      <w:r w:rsidR="000D238B" w:rsidRPr="00820559">
        <w:rPr>
          <w:color w:val="000000"/>
          <w:lang w:val="en-US"/>
        </w:rPr>
        <w:t xml:space="preserve"> interactions involving 133 patients</w:t>
      </w:r>
      <w:r w:rsidR="00B663C7" w:rsidRPr="00B663C7">
        <w:rPr>
          <w:color w:val="000000"/>
          <w:lang w:val="en-US"/>
        </w:rPr>
        <w:t xml:space="preserve"> </w:t>
      </w:r>
      <w:r w:rsidR="00B663C7" w:rsidRPr="00820559">
        <w:rPr>
          <w:color w:val="000000"/>
          <w:lang w:val="en-US"/>
        </w:rPr>
        <w:t>were observed</w:t>
      </w:r>
      <w:r w:rsidRPr="00820559">
        <w:rPr>
          <w:color w:val="000000"/>
          <w:lang w:val="en-US"/>
        </w:rPr>
        <w:t xml:space="preserve">. </w:t>
      </w:r>
      <w:r w:rsidR="009065A0" w:rsidRPr="00820559">
        <w:rPr>
          <w:color w:val="000000"/>
          <w:lang w:val="en-US"/>
        </w:rPr>
        <w:t>The median length of i</w:t>
      </w:r>
      <w:r w:rsidRPr="00820559">
        <w:rPr>
          <w:color w:val="000000"/>
          <w:lang w:val="en-US"/>
        </w:rPr>
        <w:t>nteraction</w:t>
      </w:r>
      <w:r w:rsidR="009065A0" w:rsidRPr="00820559">
        <w:rPr>
          <w:color w:val="000000"/>
          <w:lang w:val="en-US"/>
        </w:rPr>
        <w:t xml:space="preserve"> was 36 seconds with a mean of 6 interactions per patient per hour.</w:t>
      </w:r>
      <w:r w:rsidRPr="00820559">
        <w:rPr>
          <w:color w:val="000000"/>
          <w:lang w:val="en-US"/>
        </w:rPr>
        <w:t xml:space="preserve"> Seventy three percent of interactions were categorized as positive, 17% neutral and 10% negative. </w:t>
      </w:r>
      <w:r w:rsidR="00980198">
        <w:rPr>
          <w:color w:val="000000"/>
          <w:lang w:val="en-US"/>
        </w:rPr>
        <w:t>Forty</w:t>
      </w:r>
      <w:r w:rsidR="00D73EC1" w:rsidRPr="00820559">
        <w:rPr>
          <w:color w:val="000000"/>
          <w:lang w:val="en-US"/>
        </w:rPr>
        <w:t xml:space="preserve"> percent of patients had at least one negative interaction</w:t>
      </w:r>
      <w:r w:rsidR="00980198">
        <w:rPr>
          <w:color w:val="000000"/>
          <w:lang w:val="en-US"/>
        </w:rPr>
        <w:t xml:space="preserve"> (95% confidence interval 32% to 49%)</w:t>
      </w:r>
      <w:r w:rsidR="00D73EC1" w:rsidRPr="00820559">
        <w:rPr>
          <w:color w:val="000000"/>
          <w:lang w:val="en-US"/>
        </w:rPr>
        <w:t xml:space="preserve">. </w:t>
      </w:r>
      <w:r w:rsidR="00EA016E" w:rsidRPr="00820559">
        <w:rPr>
          <w:rFonts w:cs="Arial"/>
          <w:lang w:val="en-US" w:eastAsia="zh-CN"/>
        </w:rPr>
        <w:t xml:space="preserve">Interactions </w:t>
      </w:r>
      <w:r w:rsidR="00413F65">
        <w:rPr>
          <w:rFonts w:cs="Arial"/>
          <w:lang w:val="en-US" w:eastAsia="zh-CN"/>
        </w:rPr>
        <w:t>initiated</w:t>
      </w:r>
      <w:r w:rsidR="00413F65" w:rsidRPr="00820559">
        <w:rPr>
          <w:rFonts w:cs="Arial"/>
          <w:lang w:val="en-US" w:eastAsia="zh-CN"/>
        </w:rPr>
        <w:t xml:space="preserve"> </w:t>
      </w:r>
      <w:r w:rsidR="00EA016E" w:rsidRPr="00820559">
        <w:rPr>
          <w:rFonts w:cs="Arial"/>
          <w:lang w:val="en-US" w:eastAsia="zh-CN"/>
        </w:rPr>
        <w:t>by the patient</w:t>
      </w:r>
      <w:r w:rsidR="00250BEB" w:rsidRPr="00820559">
        <w:rPr>
          <w:rFonts w:cs="Arial"/>
          <w:lang w:val="en-US" w:eastAsia="zh-CN"/>
        </w:rPr>
        <w:t xml:space="preserve"> </w:t>
      </w:r>
      <w:r w:rsidR="00EA016E" w:rsidRPr="00820559">
        <w:rPr>
          <w:rFonts w:cs="Arial"/>
          <w:lang w:val="en-US" w:eastAsia="zh-CN"/>
        </w:rPr>
        <w:t>(</w:t>
      </w:r>
      <w:r w:rsidR="00A859B2" w:rsidRPr="00820559">
        <w:rPr>
          <w:rFonts w:cs="Arial"/>
          <w:lang w:val="en-US" w:eastAsia="zh-CN"/>
        </w:rPr>
        <w:t>a</w:t>
      </w:r>
      <w:r w:rsidR="00EA016E" w:rsidRPr="00820559">
        <w:rPr>
          <w:rFonts w:cs="Arial"/>
          <w:lang w:val="en-US" w:eastAsia="zh-CN"/>
        </w:rPr>
        <w:t>djusted Odds Ratio [OR] 5.30)</w:t>
      </w:r>
      <w:r w:rsidR="00584476">
        <w:rPr>
          <w:rFonts w:cs="Arial"/>
          <w:lang w:val="en-US" w:eastAsia="zh-CN"/>
        </w:rPr>
        <w:t>,</w:t>
      </w:r>
      <w:r w:rsidR="00B663C7">
        <w:rPr>
          <w:rFonts w:cs="Arial"/>
          <w:lang w:val="en-US" w:eastAsia="zh-CN"/>
        </w:rPr>
        <w:t xml:space="preserve"> </w:t>
      </w:r>
      <w:r w:rsidR="00EA016E" w:rsidRPr="00820559">
        <w:rPr>
          <w:rFonts w:cs="Arial"/>
          <w:lang w:val="en-US" w:eastAsia="zh-CN"/>
        </w:rPr>
        <w:t>one way communication</w:t>
      </w:r>
      <w:r w:rsidR="00250BEB" w:rsidRPr="00820559">
        <w:rPr>
          <w:rFonts w:cs="Arial"/>
          <w:lang w:val="en-US" w:eastAsia="zh-CN"/>
        </w:rPr>
        <w:t xml:space="preserve"> </w:t>
      </w:r>
      <w:r w:rsidR="00EA016E" w:rsidRPr="00820559">
        <w:rPr>
          <w:rFonts w:cs="Arial"/>
          <w:lang w:val="en-US" w:eastAsia="zh-CN"/>
        </w:rPr>
        <w:t>(</w:t>
      </w:r>
      <w:r w:rsidR="00A859B2" w:rsidRPr="00820559">
        <w:rPr>
          <w:rFonts w:cs="Arial"/>
          <w:lang w:val="en-US" w:eastAsia="zh-CN"/>
        </w:rPr>
        <w:t>adjusted</w:t>
      </w:r>
      <w:r w:rsidR="008E059E" w:rsidRPr="00820559">
        <w:rPr>
          <w:rFonts w:cs="Arial"/>
          <w:lang w:val="en-US" w:eastAsia="zh-CN"/>
        </w:rPr>
        <w:t xml:space="preserve"> </w:t>
      </w:r>
      <w:r w:rsidR="00EA016E" w:rsidRPr="00820559">
        <w:rPr>
          <w:rFonts w:cs="Arial"/>
          <w:lang w:val="en-US" w:eastAsia="zh-CN"/>
        </w:rPr>
        <w:t>OR 10.70)</w:t>
      </w:r>
      <w:r w:rsidR="00413F65">
        <w:rPr>
          <w:rFonts w:cs="Arial"/>
          <w:lang w:val="en-US" w:eastAsia="zh-CN"/>
        </w:rPr>
        <w:t>,</w:t>
      </w:r>
      <w:r w:rsidR="00EA016E" w:rsidRPr="00820559">
        <w:rPr>
          <w:rFonts w:cs="Arial"/>
          <w:lang w:val="en-US" w:eastAsia="zh-CN"/>
        </w:rPr>
        <w:t xml:space="preserve"> </w:t>
      </w:r>
      <w:r w:rsidR="00B663C7">
        <w:rPr>
          <w:rFonts w:cs="Arial"/>
          <w:lang w:val="en-US" w:eastAsia="zh-CN"/>
        </w:rPr>
        <w:t xml:space="preserve">involving </w:t>
      </w:r>
      <w:r w:rsidR="00EA016E" w:rsidRPr="00820559">
        <w:rPr>
          <w:rFonts w:cs="Arial"/>
          <w:lang w:val="en-US" w:eastAsia="zh-CN"/>
        </w:rPr>
        <w:t>two or more staff (</w:t>
      </w:r>
      <w:r w:rsidR="00A859B2" w:rsidRPr="00820559">
        <w:rPr>
          <w:rFonts w:cs="Arial"/>
          <w:lang w:val="en-US" w:eastAsia="zh-CN"/>
        </w:rPr>
        <w:t>adjusted</w:t>
      </w:r>
      <w:r w:rsidR="008E059E" w:rsidRPr="00820559">
        <w:rPr>
          <w:rFonts w:cs="Arial"/>
          <w:lang w:val="en-US" w:eastAsia="zh-CN"/>
        </w:rPr>
        <w:t xml:space="preserve"> </w:t>
      </w:r>
      <w:r w:rsidR="00EA016E" w:rsidRPr="00820559">
        <w:rPr>
          <w:rFonts w:cs="Arial"/>
          <w:lang w:val="en-US" w:eastAsia="zh-CN"/>
        </w:rPr>
        <w:t>OR 5.86</w:t>
      </w:r>
      <w:r w:rsidR="00A859B2" w:rsidRPr="00820559">
        <w:rPr>
          <w:rFonts w:cs="Arial"/>
          <w:lang w:val="en-US" w:eastAsia="zh-CN"/>
        </w:rPr>
        <w:t xml:space="preserve"> for 2 staff,</w:t>
      </w:r>
      <w:r w:rsidR="00DE36CA">
        <w:rPr>
          <w:rFonts w:cs="Arial"/>
          <w:lang w:val="en-US" w:eastAsia="zh-CN"/>
        </w:rPr>
        <w:t xml:space="preserve"> </w:t>
      </w:r>
      <w:r w:rsidR="00EA016E" w:rsidRPr="00820559">
        <w:rPr>
          <w:rFonts w:cs="Arial"/>
          <w:lang w:val="en-US" w:eastAsia="zh-CN"/>
        </w:rPr>
        <w:t>6.46</w:t>
      </w:r>
      <w:r w:rsidR="00A859B2" w:rsidRPr="00820559">
        <w:rPr>
          <w:rFonts w:cs="Arial"/>
          <w:lang w:eastAsia="zh-CN"/>
        </w:rPr>
        <w:t xml:space="preserve"> for 3+ staff</w:t>
      </w:r>
      <w:r w:rsidR="00EA016E" w:rsidRPr="00820559">
        <w:rPr>
          <w:rFonts w:cs="Arial"/>
          <w:lang w:val="en-US" w:eastAsia="zh-CN"/>
        </w:rPr>
        <w:t>)</w:t>
      </w:r>
      <w:r w:rsidR="00413F65">
        <w:rPr>
          <w:rFonts w:cs="Arial"/>
          <w:lang w:val="en-US" w:eastAsia="zh-CN"/>
        </w:rPr>
        <w:t xml:space="preserve">, </w:t>
      </w:r>
      <w:r w:rsidR="00B663C7">
        <w:rPr>
          <w:rFonts w:cs="Arial"/>
          <w:lang w:val="en-US" w:eastAsia="zh-CN"/>
        </w:rPr>
        <w:t xml:space="preserve">having </w:t>
      </w:r>
      <w:r w:rsidR="00EA016E" w:rsidRPr="00820559">
        <w:rPr>
          <w:rFonts w:cs="Arial"/>
          <w:lang w:val="en-US" w:eastAsia="zh-CN"/>
        </w:rPr>
        <w:t>a higher total number of interactions (</w:t>
      </w:r>
      <w:r w:rsidR="00A859B2" w:rsidRPr="00820559">
        <w:rPr>
          <w:rFonts w:cs="Arial"/>
          <w:lang w:val="en-US" w:eastAsia="zh-CN"/>
        </w:rPr>
        <w:t xml:space="preserve">adjusted </w:t>
      </w:r>
      <w:r w:rsidR="00EA016E" w:rsidRPr="00820559">
        <w:rPr>
          <w:rFonts w:cs="Arial"/>
          <w:lang w:val="en-US" w:eastAsia="zh-CN"/>
        </w:rPr>
        <w:t>OR 1.09 per unit increase)</w:t>
      </w:r>
      <w:r w:rsidR="00250BEB" w:rsidRPr="00820559">
        <w:rPr>
          <w:rFonts w:cs="Arial"/>
          <w:lang w:val="en-US" w:eastAsia="zh-CN"/>
        </w:rPr>
        <w:t xml:space="preserve">, </w:t>
      </w:r>
      <w:r w:rsidR="00413F65">
        <w:rPr>
          <w:rFonts w:cs="Arial"/>
          <w:lang w:val="en-US" w:eastAsia="zh-CN"/>
        </w:rPr>
        <w:t>and</w:t>
      </w:r>
      <w:r w:rsidR="00413F65" w:rsidRPr="00820559">
        <w:rPr>
          <w:rFonts w:cs="Arial"/>
          <w:lang w:val="en-US" w:eastAsia="zh-CN"/>
        </w:rPr>
        <w:t xml:space="preserve"> </w:t>
      </w:r>
      <w:r w:rsidR="00EA016E" w:rsidRPr="00820559">
        <w:rPr>
          <w:rFonts w:cs="Arial"/>
          <w:lang w:val="en-US" w:eastAsia="zh-CN"/>
        </w:rPr>
        <w:t>specific types of interaction content were associated with increased odds of negative interaction (p&lt;0.05).</w:t>
      </w:r>
      <w:r w:rsidR="000D238B" w:rsidRPr="00820559">
        <w:rPr>
          <w:rFonts w:cs="Arial"/>
          <w:lang w:val="en-US" w:eastAsia="zh-CN"/>
        </w:rPr>
        <w:t xml:space="preserve"> </w:t>
      </w:r>
      <w:r w:rsidR="00584476">
        <w:rPr>
          <w:rFonts w:cs="Arial"/>
          <w:lang w:val="en-US" w:eastAsia="zh-CN"/>
        </w:rPr>
        <w:t>In the full multivariable model there</w:t>
      </w:r>
      <w:r w:rsidR="000D238B" w:rsidRPr="00820559">
        <w:rPr>
          <w:rFonts w:cs="Arial"/>
          <w:lang w:val="en-US" w:eastAsia="zh-CN"/>
        </w:rPr>
        <w:t xml:space="preserve"> was no significant association with </w:t>
      </w:r>
      <w:r w:rsidR="00D73EC1" w:rsidRPr="00820559">
        <w:rPr>
          <w:rFonts w:cs="Arial"/>
          <w:lang w:val="en-US" w:eastAsia="zh-CN"/>
        </w:rPr>
        <w:t xml:space="preserve">staff characteristics, </w:t>
      </w:r>
      <w:r w:rsidR="000D238B" w:rsidRPr="00820559">
        <w:rPr>
          <w:rFonts w:cs="Arial"/>
          <w:lang w:val="en-US" w:eastAsia="zh-CN"/>
        </w:rPr>
        <w:t>skill mix or staffing levels</w:t>
      </w:r>
      <w:r w:rsidR="00814E43">
        <w:rPr>
          <w:rFonts w:cs="Arial"/>
          <w:lang w:val="en-US" w:eastAsia="zh-CN"/>
        </w:rPr>
        <w:t>.</w:t>
      </w:r>
      <w:r w:rsidR="00584476">
        <w:rPr>
          <w:rFonts w:cs="Arial"/>
          <w:lang w:val="en-US" w:eastAsia="zh-CN"/>
        </w:rPr>
        <w:t xml:space="preserve"> </w:t>
      </w:r>
      <w:r w:rsidR="000B514A">
        <w:rPr>
          <w:rFonts w:cs="Arial"/>
          <w:lang w:val="en-US" w:eastAsia="zh-CN"/>
        </w:rPr>
        <w:t>P</w:t>
      </w:r>
      <w:r w:rsidR="00584476">
        <w:rPr>
          <w:rFonts w:cs="Arial"/>
          <w:lang w:val="en-US" w:eastAsia="zh-CN"/>
        </w:rPr>
        <w:t xml:space="preserve">atient agitation </w:t>
      </w:r>
      <w:r w:rsidR="00814E43">
        <w:rPr>
          <w:rFonts w:cs="Arial"/>
          <w:lang w:val="en-US" w:eastAsia="zh-CN"/>
        </w:rPr>
        <w:t xml:space="preserve">at the </w:t>
      </w:r>
      <w:r w:rsidR="000B514A">
        <w:rPr>
          <w:rFonts w:cs="Arial"/>
          <w:lang w:val="en-US" w:eastAsia="zh-CN"/>
        </w:rPr>
        <w:t xml:space="preserve">outset of </w:t>
      </w:r>
      <w:r w:rsidR="00814E43">
        <w:rPr>
          <w:rFonts w:cs="Arial"/>
          <w:lang w:val="en-US" w:eastAsia="zh-CN"/>
        </w:rPr>
        <w:t xml:space="preserve">interaction </w:t>
      </w:r>
      <w:r w:rsidR="00584476">
        <w:rPr>
          <w:rFonts w:cs="Arial"/>
          <w:lang w:val="en-US" w:eastAsia="zh-CN"/>
        </w:rPr>
        <w:t xml:space="preserve">was associated </w:t>
      </w:r>
      <w:r w:rsidR="002D7700">
        <w:rPr>
          <w:rFonts w:cs="Arial"/>
          <w:lang w:val="en-US" w:eastAsia="zh-CN"/>
        </w:rPr>
        <w:t xml:space="preserve">with </w:t>
      </w:r>
      <w:r w:rsidR="00584476">
        <w:rPr>
          <w:rFonts w:cs="Arial"/>
          <w:lang w:val="en-US" w:eastAsia="zh-CN"/>
        </w:rPr>
        <w:t>increased odds of negative interaction in a reduced model</w:t>
      </w:r>
      <w:r w:rsidR="000D238B" w:rsidRPr="00820559">
        <w:rPr>
          <w:rFonts w:cs="Arial"/>
          <w:lang w:val="en-US" w:eastAsia="zh-CN"/>
        </w:rPr>
        <w:t xml:space="preserve">. </w:t>
      </w:r>
      <w:r w:rsidR="00FF5EF9">
        <w:rPr>
          <w:rFonts w:cs="Arial"/>
          <w:lang w:val="en-US" w:eastAsia="zh-CN"/>
        </w:rPr>
        <w:t xml:space="preserve"> There was no significant association with gender, age or cognitive impairment. </w:t>
      </w:r>
      <w:r w:rsidR="000D238B" w:rsidRPr="00820559">
        <w:rPr>
          <w:rFonts w:cs="Arial"/>
          <w:lang w:val="en-US" w:eastAsia="zh-CN"/>
        </w:rPr>
        <w:t>There was sub</w:t>
      </w:r>
      <w:r w:rsidR="00D73EC1" w:rsidRPr="00820559">
        <w:rPr>
          <w:rFonts w:cs="Arial"/>
          <w:lang w:val="en-US" w:eastAsia="zh-CN"/>
        </w:rPr>
        <w:t>stantially more variation at</w:t>
      </w:r>
      <w:r w:rsidR="000D238B" w:rsidRPr="00820559">
        <w:rPr>
          <w:rFonts w:cs="Arial"/>
          <w:lang w:val="en-US" w:eastAsia="zh-CN"/>
        </w:rPr>
        <w:t xml:space="preserve"> ward level (variance component 1.76) and observation </w:t>
      </w:r>
      <w:r w:rsidR="00D73EC1" w:rsidRPr="00820559">
        <w:rPr>
          <w:rFonts w:cs="Arial"/>
          <w:lang w:val="en-US" w:eastAsia="zh-CN"/>
        </w:rPr>
        <w:t>session level (3.49) than at</w:t>
      </w:r>
      <w:r w:rsidR="000D238B" w:rsidRPr="00820559">
        <w:rPr>
          <w:rFonts w:cs="Arial"/>
          <w:lang w:val="en-US" w:eastAsia="zh-CN"/>
        </w:rPr>
        <w:t xml:space="preserve"> patient level (0.09).</w:t>
      </w:r>
    </w:p>
    <w:p w14:paraId="11EB4C70" w14:textId="77777777" w:rsidR="00994AA1" w:rsidRDefault="00994AA1" w:rsidP="00D73EC1">
      <w:pPr>
        <w:rPr>
          <w:color w:val="000000"/>
          <w:lang w:val="en-US"/>
        </w:rPr>
      </w:pPr>
      <w:r w:rsidRPr="00820559">
        <w:rPr>
          <w:color w:val="000000"/>
          <w:lang w:val="en-US"/>
        </w:rPr>
        <w:t xml:space="preserve">Conclusion: These findings present a unique insight into the quality and quantity of </w:t>
      </w:r>
      <w:r w:rsidR="00D73EC1" w:rsidRPr="00820559">
        <w:rPr>
          <w:color w:val="000000"/>
          <w:lang w:val="en-US"/>
        </w:rPr>
        <w:t xml:space="preserve">staff-patient </w:t>
      </w:r>
      <w:r w:rsidRPr="00820559">
        <w:rPr>
          <w:color w:val="000000"/>
          <w:lang w:val="en-US"/>
        </w:rPr>
        <w:t xml:space="preserve">interactions </w:t>
      </w:r>
      <w:r w:rsidR="00D73EC1" w:rsidRPr="00820559">
        <w:rPr>
          <w:color w:val="000000"/>
          <w:lang w:val="en-US"/>
        </w:rPr>
        <w:t>in acute care</w:t>
      </w:r>
      <w:r w:rsidRPr="00820559">
        <w:rPr>
          <w:color w:val="000000"/>
          <w:lang w:val="en-US"/>
        </w:rPr>
        <w:t xml:space="preserve">. While a high proportion of interactions were positive, </w:t>
      </w:r>
      <w:r w:rsidR="00D73EC1" w:rsidRPr="00820559">
        <w:rPr>
          <w:color w:val="000000"/>
          <w:lang w:val="en-US"/>
        </w:rPr>
        <w:t xml:space="preserve">findings indicate that there is scope for improvement. Future research should focus on further exploring factors associated with negative interactions, such as workload and ward culture. </w:t>
      </w:r>
    </w:p>
    <w:p w14:paraId="7E26F3A9" w14:textId="77777777" w:rsidR="00110F5B" w:rsidRDefault="00110F5B" w:rsidP="00D73EC1">
      <w:pPr>
        <w:rPr>
          <w:color w:val="000000"/>
          <w:lang w:val="en-US"/>
        </w:rPr>
      </w:pPr>
    </w:p>
    <w:p w14:paraId="375E944E" w14:textId="77777777" w:rsidR="00110F5B" w:rsidRDefault="00110F5B" w:rsidP="00D73EC1">
      <w:pPr>
        <w:rPr>
          <w:color w:val="000000"/>
          <w:lang w:val="en-US"/>
        </w:rPr>
      </w:pPr>
    </w:p>
    <w:p w14:paraId="426C3C31" w14:textId="77777777" w:rsidR="00110F5B" w:rsidRPr="00820559" w:rsidRDefault="00110F5B" w:rsidP="00D73EC1">
      <w:pPr>
        <w:rPr>
          <w:color w:val="000000"/>
        </w:rPr>
      </w:pPr>
    </w:p>
    <w:p w14:paraId="0AE028CD" w14:textId="77777777" w:rsidR="00994AA1" w:rsidRPr="00820559" w:rsidRDefault="00994AA1" w:rsidP="007C7D13">
      <w:pPr>
        <w:rPr>
          <w:b/>
        </w:rPr>
      </w:pPr>
    </w:p>
    <w:p w14:paraId="5489F838" w14:textId="77777777" w:rsidR="007C7D13" w:rsidRPr="00820559" w:rsidRDefault="00426BE9" w:rsidP="007C7D13">
      <w:pPr>
        <w:rPr>
          <w:b/>
        </w:rPr>
      </w:pPr>
      <w:r w:rsidRPr="00820559">
        <w:rPr>
          <w:b/>
        </w:rPr>
        <w:lastRenderedPageBreak/>
        <w:t xml:space="preserve">1. </w:t>
      </w:r>
      <w:r w:rsidR="007C7D13" w:rsidRPr="00820559">
        <w:rPr>
          <w:b/>
        </w:rPr>
        <w:t>Introduction</w:t>
      </w:r>
    </w:p>
    <w:p w14:paraId="4C045B94" w14:textId="77777777" w:rsidR="007C7D13" w:rsidRPr="00820559" w:rsidRDefault="007C7D13" w:rsidP="007C7D13">
      <w:pPr>
        <w:rPr>
          <w:rFonts w:cs="Arial"/>
        </w:rPr>
      </w:pPr>
    </w:p>
    <w:p w14:paraId="5E3A116F" w14:textId="77777777" w:rsidR="007F2583" w:rsidRPr="00820559" w:rsidRDefault="00666237" w:rsidP="009B46D8">
      <w:pPr>
        <w:widowControl w:val="0"/>
        <w:autoSpaceDE w:val="0"/>
        <w:autoSpaceDN w:val="0"/>
        <w:adjustRightInd w:val="0"/>
        <w:spacing w:after="240"/>
        <w:rPr>
          <w:rFonts w:cs="Arial"/>
        </w:rPr>
      </w:pPr>
      <w:r w:rsidRPr="00820559">
        <w:rPr>
          <w:rFonts w:cs="Arial"/>
        </w:rPr>
        <w:t>C</w:t>
      </w:r>
      <w:r w:rsidR="00900602" w:rsidRPr="00820559">
        <w:rPr>
          <w:rFonts w:cs="Arial"/>
        </w:rPr>
        <w:t xml:space="preserve">onsiderable attention </w:t>
      </w:r>
      <w:r w:rsidRPr="00820559">
        <w:rPr>
          <w:rFonts w:cs="Arial"/>
        </w:rPr>
        <w:t xml:space="preserve">has been paid </w:t>
      </w:r>
      <w:r w:rsidR="00900602" w:rsidRPr="00820559">
        <w:rPr>
          <w:rFonts w:cs="Arial"/>
        </w:rPr>
        <w:t xml:space="preserve">in recent years to the </w:t>
      </w:r>
      <w:r w:rsidR="006D0DFB" w:rsidRPr="00820559">
        <w:rPr>
          <w:rFonts w:cs="Arial"/>
        </w:rPr>
        <w:t>quantity</w:t>
      </w:r>
      <w:r w:rsidR="006B77B4" w:rsidRPr="00820559">
        <w:rPr>
          <w:rFonts w:cs="Arial"/>
        </w:rPr>
        <w:t xml:space="preserve"> and </w:t>
      </w:r>
      <w:r w:rsidR="00900602" w:rsidRPr="00820559">
        <w:rPr>
          <w:rFonts w:cs="Arial"/>
        </w:rPr>
        <w:t xml:space="preserve">quality of interactions between </w:t>
      </w:r>
      <w:r w:rsidR="009D606C" w:rsidRPr="00820559">
        <w:rPr>
          <w:rFonts w:cs="Arial"/>
        </w:rPr>
        <w:t>staff</w:t>
      </w:r>
      <w:r w:rsidR="00900602" w:rsidRPr="00820559">
        <w:rPr>
          <w:rFonts w:cs="Arial"/>
        </w:rPr>
        <w:t xml:space="preserve"> and older patients in acute hospital settings. In the UK, </w:t>
      </w:r>
      <w:r w:rsidR="00E66666" w:rsidRPr="00820559">
        <w:rPr>
          <w:rFonts w:cs="Arial"/>
        </w:rPr>
        <w:t xml:space="preserve">retrospective analyses </w:t>
      </w:r>
      <w:r w:rsidR="00900602" w:rsidRPr="00820559">
        <w:rPr>
          <w:rFonts w:cs="Arial"/>
        </w:rPr>
        <w:t xml:space="preserve">of care failures </w:t>
      </w:r>
      <w:r w:rsidR="00594067" w:rsidRPr="00820559">
        <w:rPr>
          <w:rFonts w:cs="Arial"/>
        </w:rPr>
        <w:t>suggest</w:t>
      </w:r>
      <w:r w:rsidR="00900602" w:rsidRPr="00820559">
        <w:rPr>
          <w:rFonts w:cs="Arial"/>
        </w:rPr>
        <w:t xml:space="preserve"> that interactions between </w:t>
      </w:r>
      <w:r w:rsidR="00594067" w:rsidRPr="00820559">
        <w:rPr>
          <w:rFonts w:cs="Arial"/>
        </w:rPr>
        <w:t xml:space="preserve">patients and </w:t>
      </w:r>
      <w:r w:rsidR="00900602" w:rsidRPr="00820559">
        <w:rPr>
          <w:rFonts w:cs="Arial"/>
        </w:rPr>
        <w:t>staff</w:t>
      </w:r>
      <w:r w:rsidR="009D606C" w:rsidRPr="00820559">
        <w:rPr>
          <w:rFonts w:cs="Arial"/>
        </w:rPr>
        <w:t>, particularly nurses,</w:t>
      </w:r>
      <w:r w:rsidR="00E66666" w:rsidRPr="00820559">
        <w:rPr>
          <w:rFonts w:cs="Arial"/>
        </w:rPr>
        <w:t xml:space="preserve"> we</w:t>
      </w:r>
      <w:r w:rsidR="00900602" w:rsidRPr="00820559">
        <w:rPr>
          <w:rFonts w:cs="Arial"/>
        </w:rPr>
        <w:t xml:space="preserve">re </w:t>
      </w:r>
      <w:r w:rsidR="00386F2E" w:rsidRPr="00820559">
        <w:rPr>
          <w:rFonts w:cs="Arial"/>
        </w:rPr>
        <w:t>of low quality and frequency, undermining quality of care and patient experiences</w:t>
      </w:r>
      <w:r w:rsidR="006B77B4" w:rsidRPr="00820559">
        <w:rPr>
          <w:rFonts w:cs="Arial"/>
        </w:rPr>
        <w:t xml:space="preserve"> </w:t>
      </w:r>
      <w:r w:rsidR="00F84CBB" w:rsidRPr="00820559">
        <w:rPr>
          <w:rFonts w:cs="Arial"/>
        </w:rPr>
        <w:fldChar w:fldCharType="begin" w:fldLock="1"/>
      </w:r>
      <w:r w:rsidR="00902D49">
        <w:rPr>
          <w:rFonts w:cs="Arial"/>
        </w:rPr>
        <w:instrText>ADDIN CSL_CITATION { "citationItems" : [ { "id" : "ITEM-1", "itemData" : { "author" : [ { "dropping-particle" : "", "family" : "Care Quality Commission", "given" : "", "non-dropping-particle" : "", "parse-names" : false, "suffix" : "" } ], "id" : "ITEM-1", "issued" : { "date-parts" : [ [ "2015" ] ] }, "publisher-place" : "Care Quality Commission and NHS", "title" : "National NHS patient survey programme National results from the 2014 Inpatient Survey", "type" : "report" }, "uris" : [ "http://www.mendeley.com/documents/?uuid=015bbe93-7505-451c-9f61-767d64123710" ] }, { "id" : "ITEM-2", "itemData" : { "DOI" : "10.1111/j.1748-3743.2012.00326.x", "ISBN" : "4420784830", "ISSN" : "17483735", "PMID" : "22531048", "abstract" : "BACKGROUND: Few empirical studies have directly examined the relationship between staff experiences of providing healthcare and patient experience. Present concerns over the care of older people in UK acute hospitals - and the reported attitudes of staff in such settings - highlight an important area of study. AIMS AND OBJECTIVES. To examine the links between staff experience of work and patient experience of care in a 'Medicine for Older People' (MfOP) service in England.\\n\\nMETHODS: A mixed methods case study undertaken over 8 months incorporating a 149-item staff survey (66/192 - 34% response rate), a 48-item patient survey (26/111 - 23%), 18 staff interviews, 18 patient and carer interviews and 41 hours of non-participant observation.\\n\\nRESULTS: Variation in patient experience is significantly influenced by staff work experiences. A high-demand/low-control work environment, poor staffing, ward leadership and co-worker relationships can each add to the inherent difficulties staff face when caring for acutely ill older people. Staff seek to alleviate the impact of such difficulties by finding personal satisfaction from caring for 'the poppets'; those patients they enjoy caring for and for whom they feel able to 'make a difference'. Other patients - noting dehumanising aspects of their care - felt like 'parcels'. Patients are aware of being seen by staff as 'difficult' or 'demanding' and seek to manage their relationships with nursing staff accordingly.\\n\\nCONCLUSIONS: The work experiences of staff in a MfOP service impacted directly on patient care experience. Poor ward and patient care climates often lead staff to seek job satisfaction through caring for 'poppets', leaving less favoured - and often more complex patients - to receive less personalised care. Implications for practice. Investment in staff well-being and ward climate is essential for the consistent delivery of high-quality care for older people in acute settings.", "author" : [ { "dropping-particle" : "", "family" : "Maben", "given" : "Jill", "non-dropping-particle" : "", "parse-names" : false, "suffix" : "" }, { "dropping-particle" : "", "family" : "Adams", "given" : "Mary", "non-dropping-particle" : "", "parse-names" : false, "suffix" : "" }, { "dropping-particle" : "", "family" : "Peccei", "given" : "Riccardo", "non-dropping-particle" : "", "parse-names" : false, "suffix" : "" }, { "dropping-particle" : "", "family" : "Murrells", "given" : "Trevor", "non-dropping-particle" : "", "parse-names" : false, "suffix" : "" }, { "dropping-particle" : "", "family" : "Robert", "given" : "Glenn", "non-dropping-particle" : "", "parse-names" : false, "suffix" : "" } ], "container-title" : "International Journal of Older People Nursing", "id" : "ITEM-2", "issued" : { "date-parts" : [ [ "2012" ] ] }, "page" : "83-94", "title" : "'Poppets and parcels': The links between staff experience of work and acutely ill older peoples' experience of hospital care", "type" : "article-journal", "volume" : "7" }, "uris" : [ "http://www.mendeley.com/documents/?uuid=baf1a3a6-d882-421b-bc89-90832edbd9c3" ] }, { "id" : "ITEM-3", "itemData" : { "author" : [ { "dropping-particle" : "", "family" : "Francis", "given" : "R.", "non-dropping-particle" : "", "parse-names" : false, "suffix" : "" } ], "id" : "ITEM-3", "issued" : { "date-parts" : [ [ "2013" ] ] }, "publisher-place" : "London: The Stationery Office", "title" : "Report of the Mid Staffordshire NHS Foundation Trust Public Inquiry", "type" : "report" }, "uris" : [ "http://www.mendeley.com/documents/?uuid=d44ef27b-efc1-4c7c-b922-552fc972302a" ] } ], "mendeley" : { "formattedCitation" : "(Care Quality Commission, 2015; Francis, 2013; Maben et al., 2012a)", "plainTextFormattedCitation" : "(Care Quality Commission, 2015; Francis, 2013; Maben et al., 2012a)", "previouslyFormattedCitation" : "(Care Quality Commission, 2015; Francis, 2013; Maben et al., 2012a)" }, "properties" : { "noteIndex" : 0 }, "schema" : "https://github.com/citation-style-language/schema/raw/master/csl-citation.json" }</w:instrText>
      </w:r>
      <w:r w:rsidR="00F84CBB" w:rsidRPr="00820559">
        <w:rPr>
          <w:rFonts w:cs="Arial"/>
        </w:rPr>
        <w:fldChar w:fldCharType="separate"/>
      </w:r>
      <w:r w:rsidR="00902D49" w:rsidRPr="00902D49">
        <w:rPr>
          <w:rFonts w:cs="Arial"/>
          <w:noProof/>
        </w:rPr>
        <w:t>(Care Quality Commission, 2015; Francis, 2013; Maben et al., 2012a)</w:t>
      </w:r>
      <w:r w:rsidR="00F84CBB" w:rsidRPr="00820559">
        <w:rPr>
          <w:rFonts w:cs="Arial"/>
        </w:rPr>
        <w:fldChar w:fldCharType="end"/>
      </w:r>
      <w:r w:rsidR="00F47E96" w:rsidRPr="00820559">
        <w:rPr>
          <w:rFonts w:cs="Arial"/>
        </w:rPr>
        <w:t xml:space="preserve">. </w:t>
      </w:r>
      <w:r w:rsidR="00386F2E" w:rsidRPr="00820559">
        <w:rPr>
          <w:rFonts w:cs="Arial"/>
        </w:rPr>
        <w:t>F</w:t>
      </w:r>
      <w:r w:rsidR="006B77B4" w:rsidRPr="00820559">
        <w:rPr>
          <w:rFonts w:cs="Arial"/>
        </w:rPr>
        <w:t xml:space="preserve">indings from enquiries into these care failures </w:t>
      </w:r>
      <w:r w:rsidR="007B1BD0" w:rsidRPr="00820559">
        <w:rPr>
          <w:rFonts w:cs="Arial"/>
        </w:rPr>
        <w:t xml:space="preserve">have been accompanied by </w:t>
      </w:r>
      <w:r w:rsidR="006B77B4" w:rsidRPr="00820559">
        <w:rPr>
          <w:rFonts w:cs="Arial"/>
        </w:rPr>
        <w:t>a crisis of public confidence in the ability of nurses in general to be compassionate</w:t>
      </w:r>
      <w:r w:rsidR="007B1BD0" w:rsidRPr="00820559">
        <w:rPr>
          <w:rFonts w:cs="Arial"/>
        </w:rPr>
        <w:t xml:space="preserve"> </w:t>
      </w:r>
      <w:r w:rsidR="007B1BD0" w:rsidRPr="00820559">
        <w:rPr>
          <w:rFonts w:cs="Arial"/>
        </w:rPr>
        <w:fldChar w:fldCharType="begin" w:fldLock="1"/>
      </w:r>
      <w:r w:rsidR="00902D49">
        <w:rPr>
          <w:rFonts w:cs="Arial"/>
        </w:rPr>
        <w:instrText>ADDIN CSL_CITATION { "citationItems" : [ { "id" : "ITEM-1", "itemData" : { "ISBN" : "9781908782274", "abstract" : "This report from the independent Willis Commission on Nursing Education explores how pre-registration nursing education in the UK can create and maintain a workforce of competent, compassionate nurses fit to deliver future health and social care services. It also looks at the support that newly qualified nurses need to deliver high quality care. The report says graduate nurses have played and will continue to play a key role in driving up standards. Patientcentred care should be the golden thread that runs through all nursing education. The focus must be on helping service users, carers and families to manage their own conditions and maintain their health, and involving them wherever possible in education recruitment, programme design and delivery. Nurses and their organizations must stand up to be counted, it says, to restore professional pride and provide leadership and solutions to the challenges of poor care and a decline in public confidence. Their influence on the next generation of nurses is crucial at this critical moment in the profession\u2019s history.", "author" : [ { "dropping-particle" : "", "family" : "Report of the Willis Commission", "given" : "", "non-dropping-particle" : "", "parse-names" : false, "suffix" : "" } ], "id" : "ITEM-1", "issued" : { "date-parts" : [ [ "2012" ] ] }, "number-of-pages" : "55", "publisher-place" : "Royal College of Nursing: London", "title" : "Quality with Compassion: the future of nursing education", "type" : "book" }, "uris" : [ "http://www.mendeley.com/documents/?uuid=ffb10cb4-3dfa-42aa-98eb-fcaa920eb70e" ] }, { "id" : "ITEM-2", "itemData" : { "ISBN" : "9780956513816", "author" : [ { "dropping-particle" : "", "family" : "Report by the Prime Minister's Commission on the Future of Nursing and Midwifery in England", "given" : "", "non-dropping-particle" : "", "parse-names" : false, "suffix" : "" } ], "id" : "ITEM-2", "issued" : { "date-parts" : [ [ "2010" ] ] }, "publisher-place" : "Crown Copyright: London", "title" : "Front Line Care", "type" : "book" }, "uris" : [ "http://www.mendeley.com/documents/?uuid=f6facc3c-9406-4417-ba50-cf8930f37dc7" ] }, { "id" : "ITEM-3", "itemData" : { "ISBN" : "095559913X", "author" : [ { "dropping-particle" : "", "family" : "Maben", "given" : "Jill", "non-dropping-particle" : "", "parse-names" : false, "suffix" : "" }, { "dropping-particle" : "", "family" : "Griffiths", "given" : "Peter", "non-dropping-particle" : "", "parse-names" : false, "suffix" : "" } ], "id" : "ITEM-3", "issued" : { "date-parts" : [ [ "2008" ] ] }, "number-of-pages" : "30", "publisher-place" : "King's College London: London", "title" : "Nurses in Society: Starting the Debate", "type" : "report" }, "uris" : [ "http://www.mendeley.com/documents/?uuid=72ae28c7-45bd-41b5-92e4-aab002f2f573" ] } ], "mendeley" : { "formattedCitation" : "(Maben and Griffiths, 2008; Report by the Prime Minister\u2019s Commission on the Future of Nursing and Midwifery in England, 2010; Report of the Willis Commission, 2012)", "plainTextFormattedCitation" : "(Maben and Griffiths, 2008; Report by the Prime Minister\u2019s Commission on the Future of Nursing and Midwifery in England, 2010; Report of the Willis Commission, 2012)", "previouslyFormattedCitation" : "(Maben and Griffiths, 2008; Report by the Prime Minister\u2019s Commission on the Future of Nursing and Midwifery in England, 2010; Report of the Willis Commission, 2012)" }, "properties" : { "noteIndex" : 0 }, "schema" : "https://github.com/citation-style-language/schema/raw/master/csl-citation.json" }</w:instrText>
      </w:r>
      <w:r w:rsidR="007B1BD0" w:rsidRPr="00820559">
        <w:rPr>
          <w:rFonts w:cs="Arial"/>
        </w:rPr>
        <w:fldChar w:fldCharType="separate"/>
      </w:r>
      <w:r w:rsidR="00902D49" w:rsidRPr="00902D49">
        <w:rPr>
          <w:rFonts w:cs="Arial"/>
          <w:noProof/>
        </w:rPr>
        <w:t>(Maben and Griffiths, 2008; Report by the Prime Minister’s Commission on the Future of Nursing and Midwifery in England, 2010; Report of the Willis Commission, 2012)</w:t>
      </w:r>
      <w:r w:rsidR="007B1BD0" w:rsidRPr="00820559">
        <w:rPr>
          <w:rFonts w:cs="Arial"/>
        </w:rPr>
        <w:fldChar w:fldCharType="end"/>
      </w:r>
      <w:r w:rsidR="006B77B4" w:rsidRPr="00820559">
        <w:rPr>
          <w:rFonts w:cs="Arial"/>
        </w:rPr>
        <w:t>. A variety of reforms have resulted across the health service, such as changes to nursing education and recruitment</w:t>
      </w:r>
      <w:r w:rsidR="007B1BD0" w:rsidRPr="00820559">
        <w:rPr>
          <w:rFonts w:cs="Arial"/>
        </w:rPr>
        <w:t xml:space="preserve"> </w:t>
      </w:r>
      <w:r w:rsidR="007B1BD0" w:rsidRPr="00820559">
        <w:rPr>
          <w:rFonts w:cs="Arial"/>
        </w:rPr>
        <w:fldChar w:fldCharType="begin" w:fldLock="1"/>
      </w:r>
      <w:r w:rsidR="00902D49">
        <w:rPr>
          <w:rFonts w:cs="Arial"/>
        </w:rPr>
        <w:instrText>ADDIN CSL_CITATION { "citationItems" : [ { "id" : "ITEM-1", "itemData" : { "author" : [ { "dropping-particle" : "", "family" : "Department of Health", "given" : "", "non-dropping-particle" : "", "parse-names" : false, "suffix" : "" } ], "id" : "ITEM-1", "issued" : { "date-parts" : [ [ "2013" ] ] }, "number-of-pages" : "40", "publisher-place" : "Department of Health: London", "title" : "Delivering high quality, effective, compassionate care: Developing the right people with the right skills and the right values: A mandate from the Government to Health Education England: April 2013 to March 2015", "type" : "report" }, "uris" : [ "http://www.mendeley.com/documents/?uuid=47f3bb52-9d5c-42d8-bac4-2106284605ac" ] }, { "id" : "ITEM-2", "itemData" : { "ISBN" : "9781908782274", "abstract" : "This report from the independent Willis Commission on Nursing Education explores how pre-registration nursing education in the UK can create and maintain a workforce of competent, compassionate nurses fit to deliver future health and social care services. It also looks at the support that newly qualified nurses need to deliver high quality care. The report says graduate nurses have played and will continue to play a key role in driving up standards. Patientcentred care should be the golden thread that runs through all nursing education. The focus must be on helping service users, carers and families to manage their own conditions and maintain their health, and involving them wherever possible in education recruitment, programme design and delivery. Nurses and their organizations must stand up to be counted, it says, to restore professional pride and provide leadership and solutions to the challenges of poor care and a decline in public confidence. Their influence on the next generation of nurses is crucial at this critical moment in the profession\u2019s history.", "author" : [ { "dropping-particle" : "", "family" : "Report of the Willis Commission", "given" : "", "non-dropping-particle" : "", "parse-names" : false, "suffix" : "" } ], "id" : "ITEM-2", "issued" : { "date-parts" : [ [ "2012" ] ] }, "number-of-pages" : "55", "publisher-place" : "Royal College of Nursing: London", "title" : "Quality with Compassion: the future of nursing education", "type" : "book" }, "uris" : [ "http://www.mendeley.com/documents/?uuid=ffb10cb4-3dfa-42aa-98eb-fcaa920eb70e" ] } ], "mendeley" : { "formattedCitation" : "(Department of Health, 2013a; Report of the Willis Commission, 2012)", "plainTextFormattedCitation" : "(Department of Health, 2013a; Report of the Willis Commission, 2012)", "previouslyFormattedCitation" : "(Department of Health, 2013a; Report of the Willis Commission, 2012)" }, "properties" : { "noteIndex" : 0 }, "schema" : "https://github.com/citation-style-language/schema/raw/master/csl-citation.json" }</w:instrText>
      </w:r>
      <w:r w:rsidR="007B1BD0" w:rsidRPr="00820559">
        <w:rPr>
          <w:rFonts w:cs="Arial"/>
        </w:rPr>
        <w:fldChar w:fldCharType="separate"/>
      </w:r>
      <w:r w:rsidR="00902D49" w:rsidRPr="00902D49">
        <w:rPr>
          <w:rFonts w:cs="Arial"/>
          <w:noProof/>
        </w:rPr>
        <w:t>(Department of Health, 2013a; Report of the Willis Commission, 2012)</w:t>
      </w:r>
      <w:r w:rsidR="007B1BD0" w:rsidRPr="00820559">
        <w:rPr>
          <w:rFonts w:cs="Arial"/>
        </w:rPr>
        <w:fldChar w:fldCharType="end"/>
      </w:r>
      <w:r w:rsidR="006B77B4" w:rsidRPr="00820559">
        <w:rPr>
          <w:rFonts w:cs="Arial"/>
        </w:rPr>
        <w:t xml:space="preserve">. </w:t>
      </w:r>
      <w:r w:rsidR="00114170" w:rsidRPr="00820559">
        <w:rPr>
          <w:rFonts w:cs="Arial"/>
        </w:rPr>
        <w:t xml:space="preserve">While the UK care failures have </w:t>
      </w:r>
      <w:r w:rsidR="009B46D8" w:rsidRPr="00820559">
        <w:rPr>
          <w:rFonts w:cs="Arial"/>
        </w:rPr>
        <w:t>ha</w:t>
      </w:r>
      <w:r w:rsidR="00114170" w:rsidRPr="00820559">
        <w:rPr>
          <w:rFonts w:cs="Arial"/>
        </w:rPr>
        <w:t>d particular prominence, evidence suggests that concerns about the frequency and quality of interactions between nursing staff and patients are shared internationally</w:t>
      </w:r>
      <w:r w:rsidR="007B1BD0" w:rsidRPr="00820559">
        <w:rPr>
          <w:rFonts w:cs="Arial"/>
        </w:rPr>
        <w:t xml:space="preserve"> </w:t>
      </w:r>
      <w:r w:rsidR="007B1BD0" w:rsidRPr="00820559">
        <w:rPr>
          <w:rFonts w:cs="Arial"/>
        </w:rPr>
        <w:fldChar w:fldCharType="begin" w:fldLock="1"/>
      </w:r>
      <w:r w:rsidR="00902D49">
        <w:rPr>
          <w:rFonts w:cs="Arial"/>
        </w:rPr>
        <w:instrText>ADDIN CSL_CITATION { "citationItems" : [ { "id" : "ITEM-1", "itemData" : { "DOI" : "10.1016/j.ijnurstu.2007.09.013", "ISSN" : "00207489", "PMID" : "18241868", "author" : [ { "dropping-particle" : "", "family" : "Corbin", "given" : "J.", "non-dropping-particle" : "", "parse-names" : false, "suffix" : "" } ], "container-title" : "International Journal of Nursing Studies", "id" : "ITEM-1", "issued" : { "date-parts" : [ [ "2008" ] ] }, "page" : "163-165", "title" : "Is caring a lost art in nursing?", "type" : "article-journal", "volume" : "45" }, "uris" : [ "http://www.mendeley.com/documents/?uuid=cedb785f-f063-4213-9bf1-9e16994b9984" ] }, { "id" : "ITEM-2", "itemData" : { "DOI" : "10.1186/1472-6963-13-156", "ISBN" : "1472-6963 (Electronic)\\r1472-6963 (Linking)", "ISSN" : "1472-6963", "PMID" : "23631468", "abstract" : "BACKGROUND: Patient neglect is an issue of increasing public concern in Europe and North America, yet remains poorly understood. This is the first systematic review on the nature, frequency and causes of patient neglect as distinct from patient safety topics such as medical error.\\n\\nMETHOD: The Pubmed, Science Direct, and Medline databases were searched in order to identify research studies investigating patient neglect. Ten articles and four government reports met the inclusion criteria of reporting primary data on the occurrence or causes of patient neglect. Qualitative and quantitative data extraction investigated (1) the definition of patient neglect, (2) the forms of behaviour associated with neglect, (3) the reported frequency of neglect, and (4) the causes of neglect.\\n\\nRESULTS: Patient neglect is found to have two aspects. First, procedure neglect, which refers to failures of healthcare staff to achieve objective standards of care. Second, caring neglect, which refers to behaviours that lead patients and observers to believe that staff have uncaring attitudes. The perceived frequency of neglectful behaviour varies by observer. Patients and their family members are more likely to report neglect than healthcare staff, and nurses are more likely to report on the neglectful behaviours of other nurses than on their own behaviour. The causes of patient neglect frequently relate to organisational factors (e.g. high workloads that constrain the behaviours of healthcare staff, burnout), and the relationship between carers and patients.\\n\\nCONCLUSION: A social psychology-based conceptual model is developed to explain the occurrence and nature of patient neglect. This model will facilitate investigations of i) differences between patients and healthcare staff in how they perceive neglect, ii) the association with patient neglect and health outcomes, iii) the relative importance of system and organisational factors in causing neglect, and iv) the design of interventions and health policy to reduce patient neglect.", "author" : [ { "dropping-particle" : "", "family" : "Reader", "given" : "Tom W", "non-dropping-particle" : "", "parse-names" : false, "suffix" : "" }, { "dropping-particle" : "", "family" : "Gillespie", "given" : "Alex", "non-dropping-particle" : "", "parse-names" : false, "suffix" : "" } ], "container-title" : "BMC health services research", "id" : "ITEM-2", "issue" : "156", "issued" : { "date-parts" : [ [ "2013" ] ] }, "page" : "1-15", "publisher" : "BMC Health Services Research", "title" : "Patient neglect in healthcare institutions: a systematic review and conceptual model.", "type" : "article-journal", "volume" : "13" }, "uris" : [ "http://www.mendeley.com/documents/?uuid=e6a7de42-f4de-43e6-9f8d-56a5788d2875" ] }, { "id" : "ITEM-3", "itemData" : { "DOI" : "10.1016/j.gerinurse.2013.11.006", "ISSN" : "01974572", "author" : [ { "dropping-particle" : "", "family" : "Kagan", "given" : "Sarah H.", "non-dropping-particle" : "", "parse-names" : false, "suffix" : "" } ], "container-title" : "Geriatric Nursing", "id" : "ITEM-3", "issued" : { "date-parts" : [ [ "2014" ] ] }, "page" : "69-70", "title" : "Compassion", "type" : "article-journal", "volume" : "35" }, "uris" : [ "http://www.mendeley.com/documents/?uuid=6e0770be-b954-4490-8984-7a2092f0d871" ] } ], "mendeley" : { "formattedCitation" : "(Corbin, 2008; Kagan, 2014; Reader and Gillespie, 2013)", "plainTextFormattedCitation" : "(Corbin, 2008; Kagan, 2014; Reader and Gillespie, 2013)", "previouslyFormattedCitation" : "(Corbin, 2008; Kagan, 2014; Reader and Gillespie, 2013)" }, "properties" : { "noteIndex" : 0 }, "schema" : "https://github.com/citation-style-language/schema/raw/master/csl-citation.json" }</w:instrText>
      </w:r>
      <w:r w:rsidR="007B1BD0" w:rsidRPr="00820559">
        <w:rPr>
          <w:rFonts w:cs="Arial"/>
        </w:rPr>
        <w:fldChar w:fldCharType="separate"/>
      </w:r>
      <w:r w:rsidR="00902D49" w:rsidRPr="00902D49">
        <w:rPr>
          <w:rFonts w:cs="Arial"/>
          <w:noProof/>
        </w:rPr>
        <w:t>(Corbin, 2008; Kagan, 2014; Reader and Gillespie, 2013)</w:t>
      </w:r>
      <w:r w:rsidR="007B1BD0" w:rsidRPr="00820559">
        <w:rPr>
          <w:rFonts w:cs="Arial"/>
        </w:rPr>
        <w:fldChar w:fldCharType="end"/>
      </w:r>
      <w:r w:rsidR="007B1BD0" w:rsidRPr="00820559">
        <w:rPr>
          <w:rFonts w:cs="Arial"/>
        </w:rPr>
        <w:t>.</w:t>
      </w:r>
      <w:r w:rsidR="00114170" w:rsidRPr="00820559">
        <w:rPr>
          <w:rFonts w:cs="Arial"/>
          <w:color w:val="000000" w:themeColor="text1"/>
        </w:rPr>
        <w:t xml:space="preserve"> </w:t>
      </w:r>
      <w:r w:rsidR="006B77B4" w:rsidRPr="00820559">
        <w:rPr>
          <w:rFonts w:cs="Arial"/>
        </w:rPr>
        <w:t xml:space="preserve">However, </w:t>
      </w:r>
      <w:r w:rsidR="00386F2E" w:rsidRPr="00820559">
        <w:rPr>
          <w:rFonts w:cs="Arial"/>
        </w:rPr>
        <w:t xml:space="preserve">surprisingly little is known about the </w:t>
      </w:r>
      <w:r w:rsidR="006D0DFB" w:rsidRPr="00820559">
        <w:rPr>
          <w:rFonts w:cs="Arial"/>
        </w:rPr>
        <w:t>quantity</w:t>
      </w:r>
      <w:r w:rsidR="00386F2E" w:rsidRPr="00820559">
        <w:rPr>
          <w:rFonts w:cs="Arial"/>
        </w:rPr>
        <w:t xml:space="preserve"> and quality of interactions between staff and patients outside of settings in which care failures have been identified and studied. This paper presents findings based on observations of staff-patient interactions in six hospital wa</w:t>
      </w:r>
      <w:r w:rsidR="00B824BC" w:rsidRPr="00820559">
        <w:rPr>
          <w:rFonts w:cs="Arial"/>
        </w:rPr>
        <w:t>rds in two National H</w:t>
      </w:r>
      <w:r w:rsidR="00386F2E" w:rsidRPr="00820559">
        <w:rPr>
          <w:rFonts w:cs="Arial"/>
        </w:rPr>
        <w:t>ealth Servi</w:t>
      </w:r>
      <w:r w:rsidR="00B824BC" w:rsidRPr="00820559">
        <w:rPr>
          <w:rFonts w:cs="Arial"/>
        </w:rPr>
        <w:t>ce (NHS) h</w:t>
      </w:r>
      <w:r w:rsidR="00386F2E" w:rsidRPr="00820559">
        <w:rPr>
          <w:rFonts w:cs="Arial"/>
        </w:rPr>
        <w:t>ospitals</w:t>
      </w:r>
      <w:r w:rsidR="00B824BC" w:rsidRPr="00820559">
        <w:rPr>
          <w:rFonts w:cs="Arial"/>
        </w:rPr>
        <w:t>.</w:t>
      </w:r>
    </w:p>
    <w:p w14:paraId="74BBB2E7" w14:textId="77777777" w:rsidR="007C7D13" w:rsidRPr="00820559" w:rsidRDefault="002276B2" w:rsidP="00666237">
      <w:pPr>
        <w:rPr>
          <w:rFonts w:cs="Arial"/>
          <w:lang w:val="en-US"/>
        </w:rPr>
      </w:pPr>
      <w:r w:rsidRPr="00820559">
        <w:rPr>
          <w:rFonts w:cs="Arial"/>
        </w:rPr>
        <w:t>When people come into hospital, the quality of</w:t>
      </w:r>
      <w:r w:rsidR="00666237" w:rsidRPr="00820559">
        <w:rPr>
          <w:rFonts w:cs="Arial"/>
        </w:rPr>
        <w:t xml:space="preserve"> their</w:t>
      </w:r>
      <w:r w:rsidRPr="00820559">
        <w:rPr>
          <w:rFonts w:cs="Arial"/>
        </w:rPr>
        <w:t xml:space="preserve"> interactions </w:t>
      </w:r>
      <w:r w:rsidR="00594067" w:rsidRPr="00820559">
        <w:rPr>
          <w:rFonts w:cs="Arial"/>
        </w:rPr>
        <w:t>with</w:t>
      </w:r>
      <w:r w:rsidRPr="00820559">
        <w:rPr>
          <w:rFonts w:cs="Arial"/>
        </w:rPr>
        <w:t xml:space="preserve"> staff is key to shaping experiences during their stay.  </w:t>
      </w:r>
      <w:r w:rsidR="00594067" w:rsidRPr="00820559">
        <w:rPr>
          <w:rFonts w:cs="Arial"/>
        </w:rPr>
        <w:t>For example, o</w:t>
      </w:r>
      <w:r w:rsidR="00C93E4B" w:rsidRPr="00820559">
        <w:rPr>
          <w:rFonts w:cs="Arial"/>
        </w:rPr>
        <w:t xml:space="preserve">lder people want nurses and others to use interactions to maintain identity (“see who I am”), to create community (“connect with me”) and to share decision making (“involve me”)’ </w:t>
      </w:r>
      <w:r w:rsidR="00C93E4B" w:rsidRPr="00820559">
        <w:rPr>
          <w:rFonts w:cs="Arial"/>
        </w:rPr>
        <w:fldChar w:fldCharType="begin" w:fldLock="1"/>
      </w:r>
      <w:r w:rsidR="00902D49">
        <w:rPr>
          <w:rFonts w:cs="Arial"/>
        </w:rPr>
        <w:instrText>ADDIN CSL_CITATION { "citationItems" : [ { "id" : "ITEM-1", "itemData" : { "DOI" : "10.1016/j.ijnurstu.2009.09.009", "ISBN" : "0020-7489", "ISSN" : "00207489", "PMID" : "19854441", "abstract" : "Objective: To explore older people's and their relatives' views on and experiences of acute health care. Design: Systematic procedures were used for study selection and data extraction and analysis. A comparative thematic approach to synthesis was taken with a number of features adopted from the literature on meta-ethnography. Data sources: Worldwide grey and published literature written in English between January 1999 and June 2008 identified from databases: CINAHL, Medline, British Nursing Index, EMBASE Psychiatry, International Bibliography of the Social Sciences, PsychINFO, and AgeInfo. Review methods: We conducted a systematic review and synthesis of qualitative studies describing older patients' and/or their relatives' experiences of care in acute hospital settings. 42 primary studies and 1 systematic review met the inclusion criteria. Results: A number of themes emerged. The quality of technical care is often taken for granted by older patients, and good or bad experiences are described more in terms of relational aspects of care. Older patients in hospital may feel worthless, fearful or not in control of what happens, especially if they have impaired cognition, or communication difficulties. Three key features of care consistently mediated these negative feelings and were linked to more positive experiences: \"creating communities: connect with me\", \"maintaining identity: see who I am\" and \"sharing decision-making: include me\". Conclusion: These findings highlight the perspectives of older people and their relatives on the delivery of personalized and dignified care in acute settings. They lend support to previous calls for relationship-centred approaches to care and provide a useful experience-based framework for practice for those involved in care for older people. ?? 2009 Elsevier Ltd. All rights reserved.", "author" : [ { "dropping-particle" : "", "family" : "Bridges", "given" : "Jackie", "non-dropping-particle" : "", "parse-names" : false, "suffix" : "" }, { "dropping-particle" : "", "family" : "Flatley", "given" : "Mary", "non-dropping-particle" : "", "parse-names" : false, "suffix" : "" }, { "dropping-particle" : "", "family" : "Meyer", "given" : "Julienne", "non-dropping-particle" : "", "parse-names" : false, "suffix" : "" } ], "container-title" : "International Journal of Nursing Studies", "id" : "ITEM-1", "issued" : { "date-parts" : [ [ "2010" ] ] }, "page" : "89-107", "title" : "Older people's and relatives' experiences in acute care settings: Systematic review and synthesis of qualitative studies", "type" : "article-journal", "volume" : "47" }, "uris" : [ "http://www.mendeley.com/documents/?uuid=910a9b24-771a-4425-a1f0-cd42b7c49ca4" ] } ], "mendeley" : { "formattedCitation" : "(Bridges et al., 2010)", "plainTextFormattedCitation" : "(Bridges et al., 2010)", "previouslyFormattedCitation" : "(Bridges et al., 2010)" }, "properties" : { "noteIndex" : 0 }, "schema" : "https://github.com/citation-style-language/schema/raw/master/csl-citation.json" }</w:instrText>
      </w:r>
      <w:r w:rsidR="00C93E4B" w:rsidRPr="00820559">
        <w:rPr>
          <w:rFonts w:cs="Arial"/>
        </w:rPr>
        <w:fldChar w:fldCharType="separate"/>
      </w:r>
      <w:r w:rsidR="00902D49" w:rsidRPr="00902D49">
        <w:rPr>
          <w:rFonts w:cs="Arial"/>
          <w:noProof/>
        </w:rPr>
        <w:t>(Bridges et al., 2010)</w:t>
      </w:r>
      <w:r w:rsidR="00C93E4B" w:rsidRPr="00820559">
        <w:rPr>
          <w:rFonts w:cs="Arial"/>
        </w:rPr>
        <w:fldChar w:fldCharType="end"/>
      </w:r>
      <w:r w:rsidR="00C93E4B" w:rsidRPr="00820559">
        <w:rPr>
          <w:rFonts w:cs="Arial"/>
        </w:rPr>
        <w:t xml:space="preserve">. </w:t>
      </w:r>
      <w:r w:rsidR="004D23D4" w:rsidRPr="00820559">
        <w:rPr>
          <w:rFonts w:cs="Arial"/>
          <w:lang w:val="en-US"/>
        </w:rPr>
        <w:t>There may also be wider benefits to high quality interactions beyond patient experience. For instance, n</w:t>
      </w:r>
      <w:r w:rsidR="00C93E4B" w:rsidRPr="00820559">
        <w:rPr>
          <w:rFonts w:cs="Arial"/>
          <w:lang w:val="en-US"/>
        </w:rPr>
        <w:t xml:space="preserve">urses </w:t>
      </w:r>
      <w:r w:rsidR="00543F68" w:rsidRPr="00820559">
        <w:rPr>
          <w:rFonts w:cs="Arial"/>
          <w:lang w:val="en-US"/>
        </w:rPr>
        <w:t xml:space="preserve">aim to </w:t>
      </w:r>
      <w:r w:rsidR="004D23D4" w:rsidRPr="00820559">
        <w:rPr>
          <w:rFonts w:cs="Arial"/>
          <w:lang w:val="en-US"/>
        </w:rPr>
        <w:t>use their relationships</w:t>
      </w:r>
      <w:r w:rsidR="00FE1817" w:rsidRPr="00820559">
        <w:rPr>
          <w:rFonts w:cs="Arial"/>
          <w:lang w:val="en-US"/>
        </w:rPr>
        <w:t xml:space="preserve"> with patients to provide tailored care, comfort and support, including supporting informed decision-making, and assessing responses to treatments</w:t>
      </w:r>
      <w:r w:rsidR="004D23D4" w:rsidRPr="00820559">
        <w:rPr>
          <w:rFonts w:cs="Arial"/>
          <w:lang w:val="en-US"/>
        </w:rPr>
        <w:t>, suggesting a clinically therapeutic potential to interactions</w:t>
      </w:r>
      <w:r w:rsidR="00F84CBB" w:rsidRPr="00820559">
        <w:rPr>
          <w:rFonts w:cs="Arial"/>
          <w:lang w:val="en-US"/>
        </w:rPr>
        <w:t xml:space="preserve"> </w:t>
      </w:r>
      <w:r w:rsidR="00F84CBB" w:rsidRPr="00820559">
        <w:rPr>
          <w:rFonts w:cs="Arial"/>
          <w:lang w:val="en-US"/>
        </w:rPr>
        <w:fldChar w:fldCharType="begin" w:fldLock="1"/>
      </w:r>
      <w:r w:rsidR="00902D49">
        <w:rPr>
          <w:rFonts w:cs="Arial"/>
          <w:lang w:val="en-US"/>
        </w:rPr>
        <w:instrText>ADDIN CSL_CITATION { "citationItems" : [ { "id" : "ITEM-1", "itemData" : { "DOI" : "10.1111/jan.12050", "ISBN" : "1351-5578", "ISSN" : "03092402", "PMID" : "23163719", "abstract" : "Aims: To synthesize evidence and knowledge from published research about nurses' experiences of nurse-patient relationships with adult patients in general, acute inpatient hospital settings.\r\n\r\nBackground: While primary research on nurses' experiences has been reported, it has not been previously synthesized. Design: Meta-ethnography. Data sources: Published literature from Australia, Europe, and North America, written in English between January 1999\u2013October 2009 was identified from databases: CINAHL, Medline, British Nursing Index and PsycINFO.\r\n\r\nReview methods: Qualitative studies describing nurses' experiences of the nurse-patient relationship in acute hospital settings were reviewed and synthesized using the meta-ethnographic method.\r\n\r\nResults: Sixteen primary studies (18 papers) were appraised as high quality and met the inclusion criteria. The findings show that while nurses aspire to develop therapeutic relationships with patients, the organizational setting at a unit level is strongly associated with nurses' capacity to build and sustain these relationships. The organizational conditions of critical care settings appear best suited to forming therapeutic relationships, while nurses working on general wards are more likely to report moral distress resulting from delivering unsatisfactory care. General ward nurses can then withdraw from attempting to emotionally engage with patients.\r\n\r\nConclusion: The findings of this meta-ethnography draw together the evidence from several qualitative studies and articulate how the organizational setting at a unit level can strongly influence nurses' capacity to build and sustain therapeutic relationships with patients. Service improvements need to focus on how to optimize the organizational conditions that support nurses in their relational work with patients.", "author" : [ { "dropping-particle" : "", "family" : "Bridges", "given" : "Jackie", "non-dropping-particle" : "", "parse-names" : false, "suffix" : "" }, { "dropping-particle" : "", "family" : "Nicholson", "given" : "Caroline", "non-dropping-particle" : "", "parse-names" : false, "suffix" : "" }, { "dropping-particle" : "", "family" : "Maben", "given" : "Jill", "non-dropping-particle" : "", "parse-names" : false, "suffix" : "" }, { "dropping-particle" : "", "family" : "Pope", "given" : "Catherine", "non-dropping-particle" : "", "parse-names" : false, "suffix" : "" }, { "dropping-particle" : "", "family" : "Flatley", "given" : "Mary", "non-dropping-particle" : "", "parse-names" : false, "suffix" : "" }, { "dropping-particle" : "", "family" : "Wilkinson", "given" : "Charlotte", "non-dropping-particle" : "", "parse-names" : false, "suffix" : "" }, { "dropping-particle" : "", "family" : "Meyer", "given" : "Julienne", "non-dropping-particle" : "", "parse-names" : false, "suffix" : "" }, { "dropping-particle" : "", "family" : "Tziggili", "given" : "Maria", "non-dropping-particle" : "", "parse-names" : false, "suffix" : "" } ], "container-title" : "Journal of Advanced Nursing", "id" : "ITEM-1", "issued" : { "date-parts" : [ [ "2013" ] ] }, "page" : "760-772", "title" : "Capacity for care: Meta-ethnography of acute care nurses' experiences of the nurse-patient relationship", "type" : "article-journal", "volume" : "69" }, "uris" : [ "http://www.mendeley.com/documents/?uuid=7db3b617-04e7-4259-b540-9c65bf6d4304" ] } ], "mendeley" : { "formattedCitation" : "(Bridges et al., 2013)", "plainTextFormattedCitation" : "(Bridges et al., 2013)", "previouslyFormattedCitation" : "(Bridges et al., 2013)" }, "properties" : { "noteIndex" : 0 }, "schema" : "https://github.com/citation-style-language/schema/raw/master/csl-citation.json" }</w:instrText>
      </w:r>
      <w:r w:rsidR="00F84CBB" w:rsidRPr="00820559">
        <w:rPr>
          <w:rFonts w:cs="Arial"/>
          <w:lang w:val="en-US"/>
        </w:rPr>
        <w:fldChar w:fldCharType="separate"/>
      </w:r>
      <w:r w:rsidR="00902D49" w:rsidRPr="00902D49">
        <w:rPr>
          <w:rFonts w:cs="Arial"/>
          <w:noProof/>
          <w:lang w:val="en-US"/>
        </w:rPr>
        <w:t>(Bridges et al., 2013)</w:t>
      </w:r>
      <w:r w:rsidR="00F84CBB" w:rsidRPr="00820559">
        <w:rPr>
          <w:rFonts w:cs="Arial"/>
          <w:lang w:val="en-US"/>
        </w:rPr>
        <w:fldChar w:fldCharType="end"/>
      </w:r>
      <w:r w:rsidR="00FE1817" w:rsidRPr="00820559">
        <w:rPr>
          <w:rFonts w:cs="Arial"/>
          <w:lang w:val="en-US"/>
        </w:rPr>
        <w:t xml:space="preserve">. </w:t>
      </w:r>
      <w:r w:rsidR="004D23D4" w:rsidRPr="00820559">
        <w:rPr>
          <w:rFonts w:cs="Arial"/>
          <w:lang w:val="en-US"/>
        </w:rPr>
        <w:t>Further</w:t>
      </w:r>
      <w:r w:rsidR="007B1BD0" w:rsidRPr="00820559">
        <w:rPr>
          <w:rFonts w:cs="Arial"/>
          <w:lang w:val="en-US"/>
        </w:rPr>
        <w:t>more</w:t>
      </w:r>
      <w:r w:rsidR="00543F68" w:rsidRPr="00820559">
        <w:rPr>
          <w:rFonts w:cs="Arial"/>
          <w:lang w:val="en-US"/>
        </w:rPr>
        <w:t xml:space="preserve">, the links that have recently </w:t>
      </w:r>
      <w:r w:rsidR="004D23D4" w:rsidRPr="00820559">
        <w:rPr>
          <w:rFonts w:cs="Arial"/>
          <w:lang w:val="en-US"/>
        </w:rPr>
        <w:t>been indicated</w:t>
      </w:r>
      <w:r w:rsidR="00543F68" w:rsidRPr="00820559">
        <w:rPr>
          <w:rFonts w:cs="Arial"/>
          <w:lang w:val="en-US"/>
        </w:rPr>
        <w:t xml:space="preserve"> between positive experience, patient safety and clinical effectiveness, suggest that quality of interactions may impact on a wider range of important outcomes</w:t>
      </w:r>
      <w:r w:rsidR="007B1BD0" w:rsidRPr="00820559">
        <w:rPr>
          <w:rFonts w:cs="Arial"/>
          <w:lang w:val="en-US"/>
        </w:rPr>
        <w:t xml:space="preserve"> such as adherence to recommended medication and treatments or technical quality of care delivery </w:t>
      </w:r>
      <w:r w:rsidR="00B173BB" w:rsidRPr="00820559">
        <w:rPr>
          <w:rFonts w:cs="Arial"/>
          <w:lang w:val="en-US"/>
        </w:rPr>
        <w:fldChar w:fldCharType="begin" w:fldLock="1"/>
      </w:r>
      <w:r w:rsidR="00902D49">
        <w:rPr>
          <w:rFonts w:cs="Arial"/>
          <w:lang w:val="en-US"/>
        </w:rPr>
        <w:instrText>ADDIN CSL_CITATION { "citationItems" : [ { "id" : "ITEM-1", "itemData" : { "DOI" : "10.1136/bmjopen-2012-001570", "ISSN" : "2044-6055", "PMID" : "23293244", "abstract" : "Objective To explore evidence on the links between patient experience and clinical safety and effectiveness outcomes.Design Systematic review.Setting A wide range of settings within primary and secondary care including hospitals and primary care centres.Participants A wide range of demographic groups and age groups.Primary and secondary outcome measures A broad range of patient safety and clinical effectiveness outcomes including mortality, physical symptoms, length of stay and adherence to treatment.Results This study, summarising evidence from 55 studies, indicates consistent positive associations between patient experience, patient safety and clinical effectiveness for a wide range of disease areas, settings, outcome measures and study designs. It demonstrates positive associations between patient experience and self-rated and objectively measured health outcomes; adherence to recommended clinical practice and medication; preventive care (such as health-promoting behaviour, use of screening services and immunisation); and resource use (such as hospitalisation, length of stay and primary-care visits). There is some evidence of positive associations between patient experience and measures of the technical quality of care and adverse events. Overall, it was more common to find positive associations between patient experience and patient safety and clinical effectiveness than no associations.Conclusions The data presented display that patient experience is positively associated with clinical effectiveness and patient safety, and support the case for the inclusion of patient experience as one of the central pillars of quality in healthcare. It supports the argument that the three dimensions of quality should be looked at as a group and not in isolation. Clinicians should resist sidelining patient experience as too subjective or mood-oriented, divorced from the real clinical work of measuring safety and effectiveness.", "author" : [ { "dropping-particle" : "", "family" : "Doyle", "given" : "Cathal", "non-dropping-particle" : "", "parse-names" : false, "suffix" : "" }, { "dropping-particle" : "", "family" : "Lennox", "given" : "Laura", "non-dropping-particle" : "", "parse-names" : false, "suffix" : "" }, { "dropping-particle" : "", "family" : "Bell", "given" : "Derek", "non-dropping-particle" : "", "parse-names" : false, "suffix" : "" } ], "container-title" : "BMJ Open", "id" : "ITEM-1", "issue" : "1", "issued" : { "date-parts" : [ [ "2013" ] ] }, "page" : "1-18", "title" : "A systematic review of evidence on the links between patient experience and clinical safety and effectiveness", "type" : "article-journal", "volume" : "3" }, "uris" : [ "http://www.mendeley.com/documents/?uuid=d03f7c90-5533-48dd-b9ec-89fcda010004" ] } ], "mendeley" : { "formattedCitation" : "(Doyle et al., 2013)", "plainTextFormattedCitation" : "(Doyle et al., 2013)", "previouslyFormattedCitation" : "(Doyle et al., 2013)" }, "properties" : { "noteIndex" : 0 }, "schema" : "https://github.com/citation-style-language/schema/raw/master/csl-citation.json" }</w:instrText>
      </w:r>
      <w:r w:rsidR="00B173BB" w:rsidRPr="00820559">
        <w:rPr>
          <w:rFonts w:cs="Arial"/>
          <w:lang w:val="en-US"/>
        </w:rPr>
        <w:fldChar w:fldCharType="separate"/>
      </w:r>
      <w:r w:rsidR="00902D49" w:rsidRPr="00902D49">
        <w:rPr>
          <w:rFonts w:cs="Arial"/>
          <w:noProof/>
          <w:lang w:val="en-US"/>
        </w:rPr>
        <w:t>(Doyle et al., 2013)</w:t>
      </w:r>
      <w:r w:rsidR="00B173BB" w:rsidRPr="00820559">
        <w:rPr>
          <w:rFonts w:cs="Arial"/>
          <w:lang w:val="en-US"/>
        </w:rPr>
        <w:fldChar w:fldCharType="end"/>
      </w:r>
      <w:r w:rsidR="007C7D13" w:rsidRPr="00820559">
        <w:rPr>
          <w:rFonts w:cs="Arial"/>
          <w:lang w:val="en-US"/>
        </w:rPr>
        <w:t xml:space="preserve">. </w:t>
      </w:r>
    </w:p>
    <w:p w14:paraId="5FCB311E" w14:textId="77777777" w:rsidR="007C7D13" w:rsidRPr="00820559" w:rsidRDefault="007C7D13" w:rsidP="007C7D13">
      <w:pPr>
        <w:rPr>
          <w:rFonts w:cs="Arial"/>
          <w:lang w:val="en-US"/>
        </w:rPr>
      </w:pPr>
    </w:p>
    <w:p w14:paraId="112826A4" w14:textId="77777777" w:rsidR="00313279" w:rsidRPr="00820559" w:rsidRDefault="00022AB9" w:rsidP="00666237">
      <w:pPr>
        <w:autoSpaceDE w:val="0"/>
        <w:autoSpaceDN w:val="0"/>
        <w:adjustRightInd w:val="0"/>
        <w:rPr>
          <w:rFonts w:cs="Arial"/>
          <w:lang w:val="en-US"/>
        </w:rPr>
      </w:pPr>
      <w:r w:rsidRPr="00820559">
        <w:rPr>
          <w:rFonts w:cs="Arial"/>
          <w:lang w:val="en-US"/>
        </w:rPr>
        <w:t xml:space="preserve">Few studies offer a clear indication of how common the problems regarding staff-patient interactions are. </w:t>
      </w:r>
      <w:r w:rsidR="009D606C" w:rsidRPr="00820559">
        <w:rPr>
          <w:rFonts w:cs="Arial"/>
          <w:lang w:val="en-US"/>
        </w:rPr>
        <w:t xml:space="preserve">Many that </w:t>
      </w:r>
      <w:r w:rsidRPr="00820559">
        <w:rPr>
          <w:rFonts w:cs="Arial"/>
          <w:lang w:val="en-US"/>
        </w:rPr>
        <w:t>report on staff-patient interactions give retrospective global evaluations using questionnaire</w:t>
      </w:r>
      <w:r w:rsidR="00666237" w:rsidRPr="00820559">
        <w:rPr>
          <w:rFonts w:cs="Arial"/>
          <w:lang w:val="en-US"/>
        </w:rPr>
        <w:t>s</w:t>
      </w:r>
      <w:r w:rsidRPr="00820559">
        <w:rPr>
          <w:rFonts w:cs="Arial"/>
          <w:lang w:val="en-US"/>
        </w:rPr>
        <w:t xml:space="preserve">. </w:t>
      </w:r>
      <w:r w:rsidR="009D606C" w:rsidRPr="00820559">
        <w:rPr>
          <w:rFonts w:cs="Arial"/>
          <w:lang w:val="en-US"/>
        </w:rPr>
        <w:t xml:space="preserve">For instance, The 2014 NHS inpatient survey involving 59,000 inpatients showed that </w:t>
      </w:r>
      <w:r w:rsidR="009D606C" w:rsidRPr="00820559">
        <w:rPr>
          <w:rFonts w:cs="Arial"/>
        </w:rPr>
        <w:t xml:space="preserve">24% of inpatients could not find a member of the hospital staff to talk to about their worries and fears, and 13% did not get enough emotional support from hospital staff </w:t>
      </w:r>
      <w:r w:rsidR="009D606C" w:rsidRPr="00820559">
        <w:rPr>
          <w:rFonts w:cs="Arial"/>
        </w:rPr>
        <w:fldChar w:fldCharType="begin" w:fldLock="1"/>
      </w:r>
      <w:r w:rsidR="00902D49">
        <w:rPr>
          <w:rFonts w:cs="Arial"/>
        </w:rPr>
        <w:instrText>ADDIN CSL_CITATION { "citationItems" : [ { "id" : "ITEM-1", "itemData" : { "author" : [ { "dropping-particle" : "", "family" : "Care Quality Commission", "given" : "", "non-dropping-particle" : "", "parse-names" : false, "suffix" : "" } ], "id" : "ITEM-1", "issued" : { "date-parts" : [ [ "2015" ] ] }, "publisher-place" : "Care Quality Commission and NHS", "title" : "National NHS patient survey programme National results from the 2014 Inpatient Survey", "type" : "report" }, "uris" : [ "http://www.mendeley.com/documents/?uuid=015bbe93-7505-451c-9f61-767d64123710" ] } ], "mendeley" : { "formattedCitation" : "(Care Quality Commission, 2015)", "plainTextFormattedCitation" : "(Care Quality Commission, 2015)", "previouslyFormattedCitation" : "(Care Quality Commission, 2015)" }, "properties" : { "noteIndex" : 0 }, "schema" : "https://github.com/citation-style-language/schema/raw/master/csl-citation.json" }</w:instrText>
      </w:r>
      <w:r w:rsidR="009D606C" w:rsidRPr="00820559">
        <w:rPr>
          <w:rFonts w:cs="Arial"/>
        </w:rPr>
        <w:fldChar w:fldCharType="separate"/>
      </w:r>
      <w:r w:rsidR="00902D49" w:rsidRPr="00902D49">
        <w:rPr>
          <w:rFonts w:cs="Arial"/>
          <w:noProof/>
        </w:rPr>
        <w:t>(Care Quality Commission, 2015)</w:t>
      </w:r>
      <w:r w:rsidR="009D606C" w:rsidRPr="00820559">
        <w:rPr>
          <w:rFonts w:cs="Arial"/>
        </w:rPr>
        <w:fldChar w:fldCharType="end"/>
      </w:r>
      <w:r w:rsidR="009D606C" w:rsidRPr="00820559">
        <w:rPr>
          <w:rFonts w:cs="Arial"/>
        </w:rPr>
        <w:t xml:space="preserve">. </w:t>
      </w:r>
      <w:r w:rsidR="009D606C" w:rsidRPr="00820559">
        <w:rPr>
          <w:rFonts w:cs="Arial"/>
          <w:lang w:val="en-US"/>
        </w:rPr>
        <w:t>Measures such as the NHS survey</w:t>
      </w:r>
      <w:r w:rsidRPr="00820559">
        <w:rPr>
          <w:rFonts w:cs="Arial"/>
          <w:lang w:val="en-US"/>
        </w:rPr>
        <w:t xml:space="preserve"> offer a partial view because not everyone can participate, memories may be inaccurate and </w:t>
      </w:r>
      <w:r w:rsidR="009D606C" w:rsidRPr="00820559">
        <w:rPr>
          <w:rFonts w:cs="Arial"/>
          <w:lang w:val="en-US"/>
        </w:rPr>
        <w:t>respondents</w:t>
      </w:r>
      <w:r w:rsidRPr="00820559">
        <w:rPr>
          <w:rFonts w:cs="Arial"/>
          <w:lang w:val="en-US"/>
        </w:rPr>
        <w:t xml:space="preserve"> cannot give a clear view of the frequency of negative experience. </w:t>
      </w:r>
    </w:p>
    <w:p w14:paraId="4C5F13C8" w14:textId="77777777" w:rsidR="00313279" w:rsidRPr="00820559" w:rsidRDefault="00313279" w:rsidP="00313279">
      <w:pPr>
        <w:autoSpaceDE w:val="0"/>
        <w:autoSpaceDN w:val="0"/>
        <w:adjustRightInd w:val="0"/>
        <w:rPr>
          <w:rFonts w:cs="Arial"/>
          <w:lang w:val="en-US"/>
        </w:rPr>
      </w:pPr>
    </w:p>
    <w:p w14:paraId="7686ADF4" w14:textId="77777777" w:rsidR="0086078E" w:rsidRPr="00820559" w:rsidRDefault="00313279" w:rsidP="00BF3942">
      <w:pPr>
        <w:autoSpaceDE w:val="0"/>
        <w:autoSpaceDN w:val="0"/>
        <w:adjustRightInd w:val="0"/>
        <w:rPr>
          <w:rFonts w:cs="Arial"/>
        </w:rPr>
      </w:pPr>
      <w:r w:rsidRPr="00820559">
        <w:rPr>
          <w:rFonts w:cs="Arial"/>
          <w:lang w:val="en-US"/>
        </w:rPr>
        <w:t>Given the limitations of questionnaire method</w:t>
      </w:r>
      <w:r w:rsidR="00594067" w:rsidRPr="00820559">
        <w:rPr>
          <w:rFonts w:cs="Arial"/>
          <w:lang w:val="en-US"/>
        </w:rPr>
        <w:t xml:space="preserve">s, which tend to exclude some of </w:t>
      </w:r>
      <w:r w:rsidRPr="00820559">
        <w:rPr>
          <w:rFonts w:cs="Arial"/>
          <w:lang w:val="en-US"/>
        </w:rPr>
        <w:t>the groups that may be most vulnerable to the impact of negative interactions</w:t>
      </w:r>
      <w:r w:rsidR="00594067" w:rsidRPr="00820559">
        <w:rPr>
          <w:rFonts w:cs="Arial"/>
          <w:lang w:val="en-US"/>
        </w:rPr>
        <w:t xml:space="preserve"> such as those with cognitive impairment</w:t>
      </w:r>
      <w:r w:rsidRPr="00820559">
        <w:rPr>
          <w:rFonts w:cs="Arial"/>
          <w:lang w:val="en-US"/>
        </w:rPr>
        <w:t xml:space="preserve">, observational methods may be a more </w:t>
      </w:r>
      <w:r w:rsidR="00BF3942" w:rsidRPr="00820559">
        <w:rPr>
          <w:rFonts w:cs="Arial"/>
          <w:lang w:val="en-US"/>
        </w:rPr>
        <w:t xml:space="preserve">appropriate </w:t>
      </w:r>
      <w:r w:rsidRPr="00820559">
        <w:rPr>
          <w:rFonts w:cs="Arial"/>
          <w:lang w:val="en-US"/>
        </w:rPr>
        <w:t xml:space="preserve">method to measure the quantity and quality of interactions in general hospital care </w:t>
      </w:r>
      <w:r w:rsidRPr="00820559">
        <w:rPr>
          <w:rFonts w:cs="Arial"/>
          <w:lang w:val="en-US"/>
        </w:rPr>
        <w:fldChar w:fldCharType="begin" w:fldLock="1"/>
      </w:r>
      <w:r w:rsidR="00902D49">
        <w:rPr>
          <w:rFonts w:cs="Arial"/>
          <w:lang w:val="en-US"/>
        </w:rPr>
        <w:instrText>ADDIN CSL_CITATION { "citationItems" : [ { "id" : "ITEM-1", "itemData" : { "DOI" : "10.1136/bmjqs-2013-001961", "ISSN" : "2044-5423", "PMID" : "23868868", "author" : [ { "dropping-particle" : "", "family" : "Goldberg", "given" : "Sarah E", "non-dropping-particle" : "", "parse-names" : false, "suffix" : "" }, { "dropping-particle" : "", "family" : "Harwood", "given" : "Rowan H", "non-dropping-particle" : "", "parse-names" : false, "suffix" : "" } ], "container-title" : "BMJ quality &amp; safety", "id" : "ITEM-1", "issue" : "12", "issued" : { "date-parts" : [ [ "2013" ] ] }, "page" : "977-980", "title" : "Experience of general hospital care in older patients with cognitive impairment: are we measuring the most vulnerable patients' experience?", "type" : "article-journal", "volume" : "22" }, "uris" : [ "http://www.mendeley.com/documents/?uuid=131f8ef4-94e3-41aa-abd2-d42f9f387997" ] } ], "mendeley" : { "formattedCitation" : "(Goldberg and Harwood, 2013)", "plainTextFormattedCitation" : "(Goldberg and Harwood, 2013)", "previouslyFormattedCitation" : "(Goldberg and Harwood, 2013)" }, "properties" : { "noteIndex" : 0 }, "schema" : "https://github.com/citation-style-language/schema/raw/master/csl-citation.json" }</w:instrText>
      </w:r>
      <w:r w:rsidRPr="00820559">
        <w:rPr>
          <w:rFonts w:cs="Arial"/>
          <w:lang w:val="en-US"/>
        </w:rPr>
        <w:fldChar w:fldCharType="separate"/>
      </w:r>
      <w:r w:rsidR="00902D49" w:rsidRPr="00902D49">
        <w:rPr>
          <w:rFonts w:cs="Arial"/>
          <w:noProof/>
          <w:lang w:val="en-US"/>
        </w:rPr>
        <w:t xml:space="preserve">(Goldberg and </w:t>
      </w:r>
      <w:r w:rsidR="00902D49" w:rsidRPr="00902D49">
        <w:rPr>
          <w:rFonts w:cs="Arial"/>
          <w:noProof/>
          <w:lang w:val="en-US"/>
        </w:rPr>
        <w:lastRenderedPageBreak/>
        <w:t>Harwood, 2013)</w:t>
      </w:r>
      <w:r w:rsidRPr="00820559">
        <w:rPr>
          <w:rFonts w:cs="Arial"/>
          <w:lang w:val="en-US"/>
        </w:rPr>
        <w:fldChar w:fldCharType="end"/>
      </w:r>
      <w:r w:rsidRPr="00820559">
        <w:rPr>
          <w:rFonts w:cs="Arial"/>
          <w:lang w:val="en-US"/>
        </w:rPr>
        <w:t xml:space="preserve">. </w:t>
      </w:r>
      <w:r w:rsidR="007C7D13" w:rsidRPr="00820559">
        <w:rPr>
          <w:rFonts w:cs="Arial"/>
          <w:lang w:val="en-US"/>
        </w:rPr>
        <w:t xml:space="preserve">A review of the care of older people in </w:t>
      </w:r>
      <w:r w:rsidR="00241768" w:rsidRPr="00820559">
        <w:rPr>
          <w:rFonts w:cs="Arial"/>
          <w:lang w:val="en-US"/>
        </w:rPr>
        <w:t xml:space="preserve">11 </w:t>
      </w:r>
      <w:r w:rsidR="007C7D13" w:rsidRPr="00820559">
        <w:rPr>
          <w:rFonts w:cs="Arial"/>
          <w:lang w:val="en-US"/>
        </w:rPr>
        <w:t xml:space="preserve">acute hospitals </w:t>
      </w:r>
      <w:r w:rsidR="00241768" w:rsidRPr="00820559">
        <w:rPr>
          <w:rFonts w:cs="Arial"/>
          <w:lang w:val="en-US"/>
        </w:rPr>
        <w:t>in</w:t>
      </w:r>
      <w:r w:rsidR="00E37CC7">
        <w:rPr>
          <w:rFonts w:cs="Arial"/>
          <w:lang w:val="en-US"/>
        </w:rPr>
        <w:t xml:space="preserve"> Northern Ireland reported </w:t>
      </w:r>
      <w:r w:rsidR="007C7D13" w:rsidRPr="00820559">
        <w:rPr>
          <w:rFonts w:cs="Arial"/>
          <w:lang w:val="en-US"/>
        </w:rPr>
        <w:t xml:space="preserve">that </w:t>
      </w:r>
      <w:r w:rsidR="00241768" w:rsidRPr="00820559">
        <w:rPr>
          <w:rFonts w:cs="Arial"/>
          <w:lang w:val="en-US"/>
        </w:rPr>
        <w:t xml:space="preserve">67% of </w:t>
      </w:r>
      <w:r w:rsidR="00340FA7" w:rsidRPr="00820559">
        <w:rPr>
          <w:rFonts w:cs="Arial"/>
          <w:lang w:val="en-US"/>
        </w:rPr>
        <w:t>1836</w:t>
      </w:r>
      <w:r w:rsidR="00241768" w:rsidRPr="00820559">
        <w:rPr>
          <w:rFonts w:cs="Arial"/>
          <w:lang w:val="en-US"/>
        </w:rPr>
        <w:t xml:space="preserve"> interactions </w:t>
      </w:r>
      <w:r w:rsidR="00594067" w:rsidRPr="00820559">
        <w:rPr>
          <w:rFonts w:cs="Arial"/>
          <w:lang w:val="en-US"/>
        </w:rPr>
        <w:t xml:space="preserve">observed </w:t>
      </w:r>
      <w:r w:rsidR="00241768" w:rsidRPr="00820559">
        <w:rPr>
          <w:rFonts w:cs="Arial"/>
          <w:lang w:val="en-US"/>
        </w:rPr>
        <w:t xml:space="preserve">were </w:t>
      </w:r>
      <w:r w:rsidR="00594067" w:rsidRPr="00820559">
        <w:rPr>
          <w:rFonts w:cs="Arial"/>
          <w:lang w:val="en-US"/>
        </w:rPr>
        <w:t xml:space="preserve">rated as </w:t>
      </w:r>
      <w:r w:rsidR="00241768" w:rsidRPr="00820559">
        <w:rPr>
          <w:rFonts w:cs="Arial"/>
          <w:lang w:val="en-US"/>
        </w:rPr>
        <w:t xml:space="preserve">positive and </w:t>
      </w:r>
      <w:r w:rsidR="007C7D13" w:rsidRPr="00820559">
        <w:rPr>
          <w:rFonts w:cs="Arial"/>
          <w:lang w:val="en-US"/>
        </w:rPr>
        <w:t xml:space="preserve">7% </w:t>
      </w:r>
      <w:r w:rsidR="00340FA7" w:rsidRPr="00820559">
        <w:rPr>
          <w:rFonts w:cs="Arial"/>
          <w:lang w:val="en-US"/>
        </w:rPr>
        <w:t>were</w:t>
      </w:r>
      <w:r w:rsidR="007C7D13" w:rsidRPr="00820559">
        <w:rPr>
          <w:rFonts w:cs="Arial"/>
          <w:lang w:val="en-US"/>
        </w:rPr>
        <w:t xml:space="preserve"> </w:t>
      </w:r>
      <w:r w:rsidR="00594067" w:rsidRPr="00820559">
        <w:rPr>
          <w:rFonts w:cs="Arial"/>
          <w:lang w:val="en-US"/>
        </w:rPr>
        <w:t xml:space="preserve">rated </w:t>
      </w:r>
      <w:r w:rsidR="007C7D13" w:rsidRPr="00820559">
        <w:rPr>
          <w:rFonts w:cs="Arial"/>
          <w:lang w:val="en-US"/>
        </w:rPr>
        <w:t>negative</w:t>
      </w:r>
      <w:r w:rsidR="0022487B" w:rsidRPr="00820559">
        <w:rPr>
          <w:rFonts w:cs="Arial"/>
          <w:lang w:val="en-US"/>
        </w:rPr>
        <w:t xml:space="preserve"> </w:t>
      </w:r>
      <w:r w:rsidR="0022487B" w:rsidRPr="00820559">
        <w:rPr>
          <w:rFonts w:cs="Arial"/>
          <w:lang w:val="en-US"/>
        </w:rPr>
        <w:fldChar w:fldCharType="begin" w:fldLock="1"/>
      </w:r>
      <w:r w:rsidR="00902D49">
        <w:rPr>
          <w:rFonts w:cs="Arial"/>
          <w:lang w:val="en-US"/>
        </w:rPr>
        <w:instrText>ADDIN CSL_CITATION { "citationItems" : [ { "id" : "ITEM-1", "itemData" : { "author" : [ { "dropping-particle" : "", "family" : "The Regulation and Quality Improvement Authority", "given" : "", "non-dropping-particle" : "", "parse-names" : false, "suffix" : "" } ], "id" : "ITEM-1", "issued" : { "date-parts" : [ [ "2015" ] ] }, "number-of-pages" : "1-68", "publisher-place" : "The Regulation and Quality Improvement Authority: Belfast", "title" : "The Regulation and Quality Improvement Authority Review of the Care of Older People in Acute Hospitals Overview Report", "type" : "report" }, "uris" : [ "http://www.mendeley.com/documents/?uuid=4330a52f-35e0-4ed9-b867-b0d50332fc76" ] } ], "mendeley" : { "formattedCitation" : "(The Regulation and Quality Improvement Authority, 2015)", "plainTextFormattedCitation" : "(The Regulation and Quality Improvement Authority, 2015)", "previouslyFormattedCitation" : "(The Regulation and Quality Improvement Authority, 2015)" }, "properties" : { "noteIndex" : 0 }, "schema" : "https://github.com/citation-style-language/schema/raw/master/csl-citation.json" }</w:instrText>
      </w:r>
      <w:r w:rsidR="0022487B" w:rsidRPr="00820559">
        <w:rPr>
          <w:rFonts w:cs="Arial"/>
          <w:lang w:val="en-US"/>
        </w:rPr>
        <w:fldChar w:fldCharType="separate"/>
      </w:r>
      <w:r w:rsidR="00902D49" w:rsidRPr="00902D49">
        <w:rPr>
          <w:rFonts w:cs="Arial"/>
          <w:noProof/>
          <w:lang w:val="en-US"/>
        </w:rPr>
        <w:t>(The Regulation and Quality Improvement Authority, 2015)</w:t>
      </w:r>
      <w:r w:rsidR="0022487B" w:rsidRPr="00820559">
        <w:rPr>
          <w:rFonts w:cs="Arial"/>
          <w:lang w:val="en-US"/>
        </w:rPr>
        <w:fldChar w:fldCharType="end"/>
      </w:r>
      <w:r w:rsidR="007C7D13" w:rsidRPr="00820559">
        <w:rPr>
          <w:rFonts w:cs="Arial"/>
          <w:lang w:val="en-US"/>
        </w:rPr>
        <w:t xml:space="preserve">. </w:t>
      </w:r>
      <w:r w:rsidR="00241768" w:rsidRPr="00820559">
        <w:rPr>
          <w:rFonts w:cs="Arial"/>
          <w:lang w:val="en-US"/>
        </w:rPr>
        <w:t xml:space="preserve">While assessments </w:t>
      </w:r>
      <w:r w:rsidR="002C62C5" w:rsidRPr="00820559">
        <w:rPr>
          <w:rFonts w:cs="Arial"/>
          <w:lang w:val="en-US"/>
        </w:rPr>
        <w:t xml:space="preserve">of interaction quality </w:t>
      </w:r>
      <w:r w:rsidR="00241768" w:rsidRPr="00820559">
        <w:rPr>
          <w:rFonts w:cs="Arial"/>
          <w:lang w:val="en-US"/>
        </w:rPr>
        <w:t>were made using the validated Qu</w:t>
      </w:r>
      <w:r w:rsidR="00F84CBB" w:rsidRPr="00820559">
        <w:rPr>
          <w:rFonts w:cs="Arial"/>
          <w:lang w:val="en-US"/>
        </w:rPr>
        <w:t xml:space="preserve">ality of Interactions Schedule </w:t>
      </w:r>
      <w:r w:rsidR="00F84CBB" w:rsidRPr="00820559">
        <w:rPr>
          <w:rFonts w:cs="Arial"/>
          <w:lang w:val="en-US"/>
        </w:rPr>
        <w:fldChar w:fldCharType="begin" w:fldLock="1"/>
      </w:r>
      <w:r w:rsidR="00902D49">
        <w:rPr>
          <w:rFonts w:cs="Arial"/>
          <w:lang w:val="en-US"/>
        </w:rPr>
        <w:instrText>ADDIN CSL_CITATION { "citationItems" : [ { "id" : "ITEM-1", "itemData" : { "author" : [ { "dropping-particle" : "", "family" : "The Regulation and Quality Improvement Authority", "given" : "", "non-dropping-particle" : "", "parse-names" : false, "suffix" : "" } ], "id" : "ITEM-1", "issued" : { "date-parts" : [ [ "2015" ] ] }, "number-of-pages" : "1-68", "publisher-place" : "The Regulation and Quality Improvement Authority: Belfast", "title" : "The Regulation and Quality Improvement Authority Review of the Care of Older People in Acute Hospitals Overview Report", "type" : "report" }, "uris" : [ "http://www.mendeley.com/documents/?uuid=4330a52f-35e0-4ed9-b867-b0d50332fc76" ] } ], "mendeley" : { "formattedCitation" : "(The Regulation and Quality Improvement Authority, 2015)", "plainTextFormattedCitation" : "(The Regulation and Quality Improvement Authority, 2015)", "previouslyFormattedCitation" : "(The Regulation and Quality Improvement Authority, 2015)" }, "properties" : { "noteIndex" : 0 }, "schema" : "https://github.com/citation-style-language/schema/raw/master/csl-citation.json" }</w:instrText>
      </w:r>
      <w:r w:rsidR="00F84CBB" w:rsidRPr="00820559">
        <w:rPr>
          <w:rFonts w:cs="Arial"/>
          <w:lang w:val="en-US"/>
        </w:rPr>
        <w:fldChar w:fldCharType="separate"/>
      </w:r>
      <w:r w:rsidR="00902D49" w:rsidRPr="00902D49">
        <w:rPr>
          <w:rFonts w:cs="Arial"/>
          <w:noProof/>
          <w:lang w:val="en-US"/>
        </w:rPr>
        <w:t>(The Regulation and Quality Improvement Authority, 2015)</w:t>
      </w:r>
      <w:r w:rsidR="00F84CBB" w:rsidRPr="00820559">
        <w:rPr>
          <w:rFonts w:cs="Arial"/>
          <w:lang w:val="en-US"/>
        </w:rPr>
        <w:fldChar w:fldCharType="end"/>
      </w:r>
      <w:r w:rsidR="0086078E" w:rsidRPr="00820559">
        <w:rPr>
          <w:rFonts w:cs="Arial"/>
          <w:lang w:val="en-US"/>
        </w:rPr>
        <w:t xml:space="preserve"> the sampling method and</w:t>
      </w:r>
      <w:r w:rsidR="002C62C5" w:rsidRPr="00820559">
        <w:rPr>
          <w:rFonts w:cs="Arial"/>
          <w:lang w:val="en-US"/>
        </w:rPr>
        <w:t xml:space="preserve"> context </w:t>
      </w:r>
      <w:r w:rsidR="0086078E" w:rsidRPr="00820559">
        <w:rPr>
          <w:rFonts w:cs="Arial"/>
          <w:lang w:val="en-US"/>
        </w:rPr>
        <w:t>are unclear</w:t>
      </w:r>
      <w:r w:rsidR="002C62C5" w:rsidRPr="00820559">
        <w:rPr>
          <w:rFonts w:cs="Arial"/>
          <w:lang w:val="en-US"/>
        </w:rPr>
        <w:t xml:space="preserve">. </w:t>
      </w:r>
      <w:r w:rsidR="00591D68" w:rsidRPr="00820559">
        <w:rPr>
          <w:rFonts w:cs="Arial"/>
          <w:lang w:val="en-US"/>
        </w:rPr>
        <w:t xml:space="preserve">A number of studies focusing on the nurse as the unit of analysis indicated that the amount of direct contact time was low, but no data were gathered on interaction quality </w:t>
      </w:r>
      <w:r w:rsidR="00591D68" w:rsidRPr="00820559">
        <w:rPr>
          <w:rFonts w:cs="Arial"/>
          <w:lang w:val="en-US"/>
        </w:rPr>
        <w:fldChar w:fldCharType="begin" w:fldLock="1"/>
      </w:r>
      <w:r w:rsidR="00902D49">
        <w:rPr>
          <w:rFonts w:cs="Arial"/>
          <w:lang w:val="en-US"/>
        </w:rPr>
        <w:instrText>ADDIN CSL_CITATION { "citationItems" : [ { "id" : "ITEM-1", "itemData" : { "author" : [ { "dropping-particle" : "", "family" : "Westbrook", "given" : "J.", "non-dropping-particle" : "", "parse-names" : false, "suffix" : "" }, { "dropping-particle" : "", "family" : "Duffield", "given" : "C.", "non-dropping-particle" : "", "parse-names" : false, "suffix" : "" }, { "dropping-particle" : "", "family" : "Li", "given" : "L.", "non-dropping-particle" : "", "parse-names" : false, "suffix" : "" }, { "dropping-particle" : "", "family" : "Creswick", "given" : "N.", "non-dropping-particle" : "", "parse-names" : false, "suffix" : "" } ], "container-title" : "BMC Health Services Research", "id" : "ITEM-1", "issue" : "319", "issued" : { "date-parts" : [ [ "2011" ] ] }, "page" : "1-12", "title" : "How much time do nurses have for patients? a longitudinal study quantifying hospital nurses' patterns of task time distribution and interactions with health professionals", "type" : "article-journal", "volume" : "11" }, "uris" : [ "http://www.mendeley.com/documents/?uuid=8a1e9e76-1ea1-486e-a531-a6900b21f43b" ] } ], "mendeley" : { "formattedCitation" : "(Westbrook et al., 2011)", "plainTextFormattedCitation" : "(Westbrook et al., 2011)", "previouslyFormattedCitation" : "(Westbrook et al., 2011)" }, "properties" : { "noteIndex" : 0 }, "schema" : "https://github.com/citation-style-language/schema/raw/master/csl-citation.json" }</w:instrText>
      </w:r>
      <w:r w:rsidR="00591D68" w:rsidRPr="00820559">
        <w:rPr>
          <w:rFonts w:cs="Arial"/>
          <w:lang w:val="en-US"/>
        </w:rPr>
        <w:fldChar w:fldCharType="separate"/>
      </w:r>
      <w:r w:rsidR="00902D49" w:rsidRPr="00902D49">
        <w:rPr>
          <w:rFonts w:cs="Arial"/>
          <w:noProof/>
          <w:lang w:val="en-US"/>
        </w:rPr>
        <w:t>(Westbrook et al., 2011)</w:t>
      </w:r>
      <w:r w:rsidR="00591D68" w:rsidRPr="00820559">
        <w:rPr>
          <w:rFonts w:cs="Arial"/>
          <w:lang w:val="en-US"/>
        </w:rPr>
        <w:fldChar w:fldCharType="end"/>
      </w:r>
      <w:r w:rsidR="00591D68" w:rsidRPr="00820559">
        <w:rPr>
          <w:rFonts w:cs="Arial"/>
          <w:lang w:val="en-US"/>
        </w:rPr>
        <w:t>. N</w:t>
      </w:r>
      <w:r w:rsidR="00E66666" w:rsidRPr="00820559">
        <w:rPr>
          <w:rFonts w:cs="Arial"/>
        </w:rPr>
        <w:t>o studies have been identified that comprehensively explore</w:t>
      </w:r>
      <w:r w:rsidR="00EB1E28" w:rsidRPr="00820559">
        <w:rPr>
          <w:rFonts w:cs="Arial"/>
        </w:rPr>
        <w:t xml:space="preserve"> both</w:t>
      </w:r>
      <w:r w:rsidR="00E66666" w:rsidRPr="00820559">
        <w:rPr>
          <w:rFonts w:cs="Arial"/>
        </w:rPr>
        <w:t xml:space="preserve"> the quality and quantity of interactions</w:t>
      </w:r>
      <w:r w:rsidR="00BC57A9" w:rsidRPr="00820559">
        <w:rPr>
          <w:rFonts w:cs="Arial"/>
        </w:rPr>
        <w:t xml:space="preserve"> with the patient as the unit of analysis</w:t>
      </w:r>
      <w:r w:rsidR="00E66666" w:rsidRPr="00820559">
        <w:rPr>
          <w:rFonts w:cs="Arial"/>
        </w:rPr>
        <w:t xml:space="preserve"> in general hospital settings, an important gap given the degree of attention this issue is attracting in the UK and beyond.</w:t>
      </w:r>
      <w:r w:rsidR="00E27500" w:rsidRPr="00820559">
        <w:rPr>
          <w:rFonts w:cs="Arial"/>
        </w:rPr>
        <w:t xml:space="preserve"> </w:t>
      </w:r>
    </w:p>
    <w:p w14:paraId="27CC62BA" w14:textId="77777777" w:rsidR="0086078E" w:rsidRPr="00820559" w:rsidRDefault="0086078E" w:rsidP="00BF3942">
      <w:pPr>
        <w:autoSpaceDE w:val="0"/>
        <w:autoSpaceDN w:val="0"/>
        <w:adjustRightInd w:val="0"/>
        <w:rPr>
          <w:rFonts w:cs="Arial"/>
        </w:rPr>
      </w:pPr>
    </w:p>
    <w:p w14:paraId="37D0FD50" w14:textId="6E306974" w:rsidR="004A64C5" w:rsidRPr="00820559" w:rsidRDefault="00245188" w:rsidP="00245188">
      <w:pPr>
        <w:rPr>
          <w:rFonts w:eastAsiaTheme="minorHAnsi" w:cs="Arial"/>
          <w:bCs/>
        </w:rPr>
      </w:pPr>
      <w:r>
        <w:rPr>
          <w:rFonts w:eastAsiaTheme="minorHAnsi" w:cs="Arial"/>
          <w:bCs/>
        </w:rPr>
        <w:t xml:space="preserve">The study aims to address the important gap identified. </w:t>
      </w:r>
      <w:r w:rsidR="004A64C5" w:rsidRPr="00820559">
        <w:rPr>
          <w:rFonts w:eastAsiaTheme="minorHAnsi" w:cs="Arial"/>
          <w:bCs/>
        </w:rPr>
        <w:t>The specific objectives were:</w:t>
      </w:r>
    </w:p>
    <w:p w14:paraId="6792C811" w14:textId="77777777" w:rsidR="004A64C5" w:rsidRPr="00820559" w:rsidRDefault="004A64C5" w:rsidP="004A64C5">
      <w:pPr>
        <w:rPr>
          <w:rFonts w:eastAsiaTheme="minorHAnsi" w:cs="Arial"/>
          <w:bCs/>
        </w:rPr>
      </w:pPr>
    </w:p>
    <w:p w14:paraId="0512247F" w14:textId="77777777" w:rsidR="004A64C5" w:rsidRPr="00820559" w:rsidRDefault="004A64C5" w:rsidP="004A64C5">
      <w:pPr>
        <w:pStyle w:val="ListParagraph"/>
        <w:widowControl w:val="0"/>
        <w:numPr>
          <w:ilvl w:val="0"/>
          <w:numId w:val="5"/>
        </w:numPr>
        <w:autoSpaceDE w:val="0"/>
        <w:autoSpaceDN w:val="0"/>
        <w:adjustRightInd w:val="0"/>
        <w:spacing w:after="240"/>
        <w:rPr>
          <w:rFonts w:cs="Arial"/>
          <w:lang w:val="en-US" w:eastAsia="zh-CN"/>
        </w:rPr>
      </w:pPr>
      <w:r w:rsidRPr="00820559">
        <w:rPr>
          <w:rFonts w:cs="Arial"/>
          <w:lang w:val="en-US" w:eastAsia="zh-CN"/>
        </w:rPr>
        <w:t>To identify the frequency and length of staff-patient interactions</w:t>
      </w:r>
    </w:p>
    <w:p w14:paraId="240EDA54" w14:textId="77777777" w:rsidR="004A64C5" w:rsidRPr="00820559" w:rsidRDefault="004A64C5" w:rsidP="004A64C5">
      <w:pPr>
        <w:pStyle w:val="ListParagraph"/>
        <w:widowControl w:val="0"/>
        <w:numPr>
          <w:ilvl w:val="0"/>
          <w:numId w:val="5"/>
        </w:numPr>
        <w:autoSpaceDE w:val="0"/>
        <w:autoSpaceDN w:val="0"/>
        <w:adjustRightInd w:val="0"/>
        <w:spacing w:after="240"/>
        <w:rPr>
          <w:rFonts w:cs="Arial"/>
          <w:lang w:val="en-US" w:eastAsia="zh-CN"/>
        </w:rPr>
      </w:pPr>
      <w:r w:rsidRPr="00820559">
        <w:rPr>
          <w:rFonts w:cs="Arial"/>
          <w:lang w:val="en-US" w:eastAsia="zh-CN"/>
        </w:rPr>
        <w:t>To characterise the quality of staff-patient interactions</w:t>
      </w:r>
    </w:p>
    <w:p w14:paraId="68DA9936" w14:textId="77777777" w:rsidR="004A64C5" w:rsidRPr="00820559" w:rsidRDefault="004A64C5" w:rsidP="004A64C5">
      <w:pPr>
        <w:pStyle w:val="ListParagraph"/>
        <w:widowControl w:val="0"/>
        <w:numPr>
          <w:ilvl w:val="0"/>
          <w:numId w:val="5"/>
        </w:numPr>
        <w:autoSpaceDE w:val="0"/>
        <w:autoSpaceDN w:val="0"/>
        <w:adjustRightInd w:val="0"/>
        <w:spacing w:after="240"/>
        <w:rPr>
          <w:rFonts w:cs="Arial"/>
          <w:lang w:val="en-US" w:eastAsia="zh-CN"/>
        </w:rPr>
      </w:pPr>
      <w:r w:rsidRPr="00820559">
        <w:rPr>
          <w:rFonts w:cs="Arial"/>
          <w:lang w:val="en-US" w:eastAsia="zh-CN"/>
        </w:rPr>
        <w:t>To identify associations between negative interactions and patient characteristics, staffing characteristics, interaction characteristics and observation session characteristics.</w:t>
      </w:r>
    </w:p>
    <w:p w14:paraId="437ED3DB" w14:textId="77777777" w:rsidR="00F84CBB" w:rsidRDefault="00F84CBB" w:rsidP="00F84CBB">
      <w:pPr>
        <w:rPr>
          <w:rFonts w:eastAsiaTheme="minorHAnsi" w:cs="Arial"/>
          <w:b/>
        </w:rPr>
      </w:pPr>
      <w:r w:rsidRPr="00820559">
        <w:rPr>
          <w:rFonts w:eastAsiaTheme="minorHAnsi" w:cs="Arial"/>
          <w:b/>
        </w:rPr>
        <w:t>2. Methods</w:t>
      </w:r>
    </w:p>
    <w:p w14:paraId="63E565CA" w14:textId="77777777" w:rsidR="00B4446B" w:rsidRPr="00820559" w:rsidRDefault="00B4446B" w:rsidP="00F84CBB">
      <w:pPr>
        <w:rPr>
          <w:rFonts w:eastAsiaTheme="minorHAnsi" w:cs="Arial"/>
          <w:b/>
        </w:rPr>
      </w:pPr>
    </w:p>
    <w:p w14:paraId="337D61FB" w14:textId="42E68180" w:rsidR="00F84CBB" w:rsidRPr="00820559" w:rsidRDefault="00245188" w:rsidP="00F84CBB">
      <w:pPr>
        <w:rPr>
          <w:rFonts w:eastAsiaTheme="minorHAnsi" w:cs="Arial"/>
          <w:bCs/>
          <w:i/>
        </w:rPr>
      </w:pPr>
      <w:r>
        <w:rPr>
          <w:rFonts w:eastAsiaTheme="minorHAnsi" w:cs="Arial"/>
          <w:bCs/>
        </w:rPr>
        <w:t>Data were collected</w:t>
      </w:r>
      <w:r w:rsidRPr="00820559">
        <w:rPr>
          <w:rFonts w:eastAsiaTheme="minorHAnsi" w:cs="Arial"/>
          <w:bCs/>
        </w:rPr>
        <w:t xml:space="preserve"> as part of a feasibility study </w:t>
      </w:r>
      <w:r>
        <w:rPr>
          <w:rFonts w:eastAsiaTheme="minorHAnsi" w:cs="Arial"/>
          <w:bCs/>
        </w:rPr>
        <w:t xml:space="preserve">to </w:t>
      </w:r>
      <w:r w:rsidRPr="00820559">
        <w:rPr>
          <w:rFonts w:eastAsiaTheme="minorHAnsi" w:cs="Arial"/>
          <w:bCs/>
        </w:rPr>
        <w:t>develop</w:t>
      </w:r>
      <w:r>
        <w:rPr>
          <w:rFonts w:eastAsiaTheme="minorHAnsi" w:cs="Arial"/>
          <w:bCs/>
        </w:rPr>
        <w:t xml:space="preserve"> and</w:t>
      </w:r>
      <w:r w:rsidRPr="00820559">
        <w:rPr>
          <w:rFonts w:eastAsiaTheme="minorHAnsi" w:cs="Arial"/>
          <w:bCs/>
        </w:rPr>
        <w:t xml:space="preserve"> </w:t>
      </w:r>
      <w:r>
        <w:rPr>
          <w:rFonts w:eastAsiaTheme="minorHAnsi" w:cs="Arial"/>
          <w:bCs/>
        </w:rPr>
        <w:t xml:space="preserve">evaluate </w:t>
      </w:r>
      <w:r w:rsidRPr="00820559">
        <w:rPr>
          <w:rFonts w:eastAsiaTheme="minorHAnsi" w:cs="Arial"/>
          <w:bCs/>
        </w:rPr>
        <w:t>a compassionate care intervention for ward nursing</w:t>
      </w:r>
      <w:r>
        <w:rPr>
          <w:rFonts w:eastAsiaTheme="minorHAnsi" w:cs="Arial"/>
          <w:bCs/>
        </w:rPr>
        <w:t xml:space="preserve"> teams</w:t>
      </w:r>
      <w:r w:rsidRPr="00820559">
        <w:rPr>
          <w:rFonts w:eastAsiaTheme="minorHAnsi" w:cs="Arial"/>
          <w:bCs/>
        </w:rPr>
        <w:t xml:space="preserve"> </w:t>
      </w:r>
      <w:r w:rsidRPr="00820559">
        <w:rPr>
          <w:rFonts w:eastAsiaTheme="minorHAnsi" w:cs="Arial"/>
          <w:bCs/>
        </w:rPr>
        <w:fldChar w:fldCharType="begin" w:fldLock="1"/>
      </w:r>
      <w:r>
        <w:rPr>
          <w:rFonts w:eastAsiaTheme="minorHAnsi" w:cs="Arial"/>
          <w:bCs/>
        </w:rPr>
        <w:instrText>ADDIN CSL_CITATION { "citationItems" : [ { "id" : "ITEM-1", "itemData" : { "URL" : "http://www.nets.nihr.ac.uk/__data/assets/pdf_file/0010/128665/PRO-13-07-48.pdf", "accessed" : { "date-parts" : [ [ "2015", "8", "13" ] ] }, "author" : [ { "dropping-particle" : "al", "family" : "Bridges", "given" : "J. et", "non-dropping-particle" : "", "parse-names" : false, "suffix" : "" } ], "id" : "ITEM-1", "issued" : { "date-parts" : [ [ "2014" ] ] }, "page" : "1-22", "title" : "Creating Learning Environments for Compassionate Care (CLECC): a feasibility study: detailed project description", "type" : "webpage" }, "uris" : [ "http://www.mendeley.com/documents/?uuid=7a80229f-731b-4b66-9121-5f921e124c8e" ] }, { "id" : "ITEM-2", "itemData" : { "DOI" : "10.1111/opn.12055", "author" : [ { "dropping-particle" : "", "family" : "Bridges", "given" : "Jackie", "non-dropping-particle" : "", "parse-names" : false, "suffix" : "" }, { "dropping-particle" : "", "family" : "Fuller", "given" : "Alison", "non-dropping-particle" : "", "parse-names" : false, "suffix" : "" } ], "container-title" : "International Journal of Older People Nursing", "id" : "ITEM-2", "issue" : "1", "issued" : { "date-parts" : [ [ "2014" ] ] }, "page" : "48-58", "title" : "Creating learning environments for compassionate care : a programme to promote compassionate care by health and social teams", "type" : "article-journal", "volume" : "10" }, "uris" : [ "http://www.mendeley.com/documents/?uuid=7f6c6663-a6d8-47cf-a9e8-649a78af083c" ] } ], "mendeley" : { "formattedCitation" : "(Bridges, 2014; Bridges and Fuller, 2014)", "plainTextFormattedCitation" : "(Bridges, 2014; Bridges and Fuller, 2014)", "previouslyFormattedCitation" : "(Bridges, 2014; Bridges and Fuller, 2014)" }, "properties" : { "noteIndex" : 0 }, "schema" : "https://github.com/citation-style-language/schema/raw/master/csl-citation.json" }</w:instrText>
      </w:r>
      <w:r w:rsidRPr="00820559">
        <w:rPr>
          <w:rFonts w:eastAsiaTheme="minorHAnsi" w:cs="Arial"/>
          <w:bCs/>
        </w:rPr>
        <w:fldChar w:fldCharType="separate"/>
      </w:r>
      <w:r w:rsidRPr="00902D49">
        <w:rPr>
          <w:rFonts w:eastAsiaTheme="minorHAnsi" w:cs="Arial"/>
          <w:bCs/>
          <w:noProof/>
        </w:rPr>
        <w:t>(Bridges, 2014; Bridges and Fuller, 2014)</w:t>
      </w:r>
      <w:r w:rsidRPr="00820559">
        <w:rPr>
          <w:rFonts w:eastAsiaTheme="minorHAnsi" w:cs="Arial"/>
          <w:bCs/>
        </w:rPr>
        <w:fldChar w:fldCharType="end"/>
      </w:r>
      <w:r w:rsidRPr="00820559">
        <w:rPr>
          <w:rFonts w:eastAsiaTheme="minorHAnsi" w:cs="Arial"/>
          <w:bCs/>
        </w:rPr>
        <w:t>.</w:t>
      </w:r>
      <w:r>
        <w:rPr>
          <w:rFonts w:eastAsiaTheme="minorHAnsi" w:cs="Arial"/>
          <w:bCs/>
        </w:rPr>
        <w:t xml:space="preserve"> </w:t>
      </w:r>
      <w:r w:rsidRPr="00820559">
        <w:rPr>
          <w:rFonts w:eastAsiaTheme="minorHAnsi" w:cs="Arial"/>
          <w:bCs/>
        </w:rPr>
        <w:t>The data presented here were collected during the baseline phase of the study</w:t>
      </w:r>
      <w:r w:rsidR="00831D1F">
        <w:rPr>
          <w:rFonts w:eastAsiaTheme="minorHAnsi" w:cs="Arial"/>
          <w:bCs/>
        </w:rPr>
        <w:t xml:space="preserve"> using a descriptive design.</w:t>
      </w:r>
      <w:r w:rsidRPr="00820559">
        <w:rPr>
          <w:rFonts w:eastAsiaTheme="minorHAnsi" w:cs="Arial"/>
          <w:bCs/>
        </w:rPr>
        <w:t xml:space="preserve"> </w:t>
      </w:r>
    </w:p>
    <w:p w14:paraId="3A4E2B71" w14:textId="77777777" w:rsidR="00B4446B" w:rsidRDefault="00B4446B" w:rsidP="00F84CBB">
      <w:pPr>
        <w:rPr>
          <w:rFonts w:cs="Arial"/>
          <w:i/>
        </w:rPr>
      </w:pPr>
    </w:p>
    <w:p w14:paraId="6C24B4D8" w14:textId="77777777" w:rsidR="00F84CBB" w:rsidRPr="00820559" w:rsidRDefault="00F84CBB" w:rsidP="00F84CBB">
      <w:pPr>
        <w:rPr>
          <w:rFonts w:cs="Arial"/>
          <w:i/>
        </w:rPr>
      </w:pPr>
      <w:r w:rsidRPr="00820559">
        <w:rPr>
          <w:rFonts w:cs="Arial"/>
          <w:i/>
        </w:rPr>
        <w:t xml:space="preserve">2.1 Setting </w:t>
      </w:r>
      <w:r w:rsidR="006859EF" w:rsidRPr="00820559">
        <w:rPr>
          <w:rFonts w:cs="Arial"/>
          <w:i/>
        </w:rPr>
        <w:t>and sample</w:t>
      </w:r>
    </w:p>
    <w:p w14:paraId="573ABA6E" w14:textId="77777777" w:rsidR="00F84CBB" w:rsidRPr="00820559" w:rsidRDefault="00F84CBB" w:rsidP="00F84CBB">
      <w:pPr>
        <w:rPr>
          <w:rFonts w:cs="Arial"/>
        </w:rPr>
      </w:pPr>
    </w:p>
    <w:p w14:paraId="030EE076" w14:textId="77777777" w:rsidR="00F84CBB" w:rsidRPr="00820559" w:rsidRDefault="00DF72CB" w:rsidP="00350BC8">
      <w:pPr>
        <w:rPr>
          <w:rFonts w:cs="Arial"/>
        </w:rPr>
      </w:pPr>
      <w:r w:rsidRPr="00820559">
        <w:rPr>
          <w:rFonts w:cs="Arial"/>
        </w:rPr>
        <w:t>Data were</w:t>
      </w:r>
      <w:r w:rsidR="0086078E" w:rsidRPr="00820559">
        <w:rPr>
          <w:rFonts w:cs="Arial"/>
        </w:rPr>
        <w:t xml:space="preserve"> collected in t</w:t>
      </w:r>
      <w:r w:rsidR="004B1752" w:rsidRPr="00820559">
        <w:rPr>
          <w:rFonts w:cs="Arial"/>
        </w:rPr>
        <w:t>wo acute NHS hospitals in England between March and April 2015</w:t>
      </w:r>
      <w:r w:rsidR="00E350B5" w:rsidRPr="00820559">
        <w:rPr>
          <w:rFonts w:cs="Arial"/>
        </w:rPr>
        <w:t>.</w:t>
      </w:r>
      <w:r w:rsidR="00F84CBB" w:rsidRPr="00820559">
        <w:rPr>
          <w:rFonts w:cs="Arial"/>
        </w:rPr>
        <w:t xml:space="preserve"> </w:t>
      </w:r>
      <w:r w:rsidR="0086078E" w:rsidRPr="00820559">
        <w:rPr>
          <w:rFonts w:cs="Arial"/>
        </w:rPr>
        <w:t>M</w:t>
      </w:r>
      <w:r w:rsidR="006859EF" w:rsidRPr="00820559">
        <w:rPr>
          <w:rFonts w:cs="Arial"/>
        </w:rPr>
        <w:t>anagers of seven medical and surgical wards with high proportions of older in</w:t>
      </w:r>
      <w:r w:rsidR="00273F8A" w:rsidRPr="00820559">
        <w:rPr>
          <w:rFonts w:cs="Arial"/>
        </w:rPr>
        <w:t>-</w:t>
      </w:r>
      <w:r w:rsidR="006859EF" w:rsidRPr="00820559">
        <w:rPr>
          <w:rFonts w:cs="Arial"/>
        </w:rPr>
        <w:t xml:space="preserve">patients were invited to </w:t>
      </w:r>
      <w:r w:rsidR="006D5EA7" w:rsidRPr="00820559">
        <w:rPr>
          <w:rFonts w:cs="Arial"/>
        </w:rPr>
        <w:t>include their ward in the study</w:t>
      </w:r>
      <w:r w:rsidR="0086078E" w:rsidRPr="00820559">
        <w:rPr>
          <w:rFonts w:cs="Arial"/>
        </w:rPr>
        <w:t>. Six wards</w:t>
      </w:r>
      <w:r w:rsidR="006859EF" w:rsidRPr="00820559">
        <w:rPr>
          <w:rFonts w:cs="Arial"/>
        </w:rPr>
        <w:t xml:space="preserve"> participate</w:t>
      </w:r>
      <w:r w:rsidR="0086078E" w:rsidRPr="00820559">
        <w:rPr>
          <w:rFonts w:cs="Arial"/>
        </w:rPr>
        <w:t>d</w:t>
      </w:r>
      <w:r w:rsidR="00E350B5" w:rsidRPr="00820559">
        <w:rPr>
          <w:rFonts w:cs="Arial"/>
        </w:rPr>
        <w:t>: medicine for older people (n=4), urology (n=1) and orthopaedics (n=1).</w:t>
      </w:r>
      <w:r w:rsidR="006859EF" w:rsidRPr="00820559">
        <w:rPr>
          <w:rFonts w:cs="Arial"/>
        </w:rPr>
        <w:t xml:space="preserve"> </w:t>
      </w:r>
      <w:r w:rsidR="008875B6" w:rsidRPr="00820559">
        <w:rPr>
          <w:rFonts w:cs="Arial"/>
        </w:rPr>
        <w:t xml:space="preserve">Each ward had between 28 and 32 beds. </w:t>
      </w:r>
      <w:r w:rsidR="00AE7E90" w:rsidRPr="00820559">
        <w:rPr>
          <w:rFonts w:cs="Arial"/>
        </w:rPr>
        <w:t>We excluded patients identified by the nurse in charge as palliat</w:t>
      </w:r>
      <w:r w:rsidR="00E37CC7">
        <w:rPr>
          <w:rFonts w:cs="Arial"/>
        </w:rPr>
        <w:t>ive</w:t>
      </w:r>
      <w:r w:rsidR="00AE7E90" w:rsidRPr="00820559">
        <w:rPr>
          <w:rFonts w:cs="Arial"/>
        </w:rPr>
        <w:t xml:space="preserve">, </w:t>
      </w:r>
      <w:r w:rsidR="00E37CC7" w:rsidRPr="00820559">
        <w:rPr>
          <w:rFonts w:cs="Arial"/>
        </w:rPr>
        <w:t>critical</w:t>
      </w:r>
      <w:r w:rsidR="00E37CC7">
        <w:rPr>
          <w:rFonts w:cs="Arial"/>
        </w:rPr>
        <w:t>ly</w:t>
      </w:r>
      <w:r w:rsidR="00AE7E90" w:rsidRPr="00820559">
        <w:rPr>
          <w:rFonts w:cs="Arial"/>
        </w:rPr>
        <w:t xml:space="preserve"> ill or reverse barrier nurs</w:t>
      </w:r>
      <w:r w:rsidR="00E37CC7">
        <w:rPr>
          <w:rFonts w:cs="Arial"/>
        </w:rPr>
        <w:t>ed</w:t>
      </w:r>
      <w:r w:rsidR="00AE7E90" w:rsidRPr="00820559">
        <w:rPr>
          <w:rFonts w:cs="Arial"/>
        </w:rPr>
        <w:t>. All other patients were eligible for inclusion in the study.</w:t>
      </w:r>
    </w:p>
    <w:p w14:paraId="6CC5C1D1" w14:textId="77777777" w:rsidR="00571555" w:rsidRPr="00820559" w:rsidRDefault="00571555" w:rsidP="00AE7E90">
      <w:pPr>
        <w:rPr>
          <w:rFonts w:cs="Arial"/>
        </w:rPr>
      </w:pPr>
    </w:p>
    <w:p w14:paraId="79A95C8C" w14:textId="77777777" w:rsidR="00571555" w:rsidRPr="00820559" w:rsidRDefault="0086078E" w:rsidP="00A859B2">
      <w:pPr>
        <w:rPr>
          <w:rFonts w:cs="Arial"/>
        </w:rPr>
      </w:pPr>
      <w:r w:rsidRPr="00820559">
        <w:rPr>
          <w:rFonts w:cs="Arial"/>
        </w:rPr>
        <w:t>Observations were undertaken in r</w:t>
      </w:r>
      <w:r w:rsidR="00571555" w:rsidRPr="00820559">
        <w:rPr>
          <w:rFonts w:cs="Arial"/>
        </w:rPr>
        <w:t xml:space="preserve">andomly generated time slots for ten two-hour sessions </w:t>
      </w:r>
      <w:r w:rsidR="0086584D" w:rsidRPr="00820559">
        <w:rPr>
          <w:rFonts w:cs="Arial"/>
        </w:rPr>
        <w:t xml:space="preserve">on each ward </w:t>
      </w:r>
      <w:r w:rsidR="00571555" w:rsidRPr="00820559">
        <w:rPr>
          <w:rFonts w:cs="Arial"/>
        </w:rPr>
        <w:t xml:space="preserve">over a </w:t>
      </w:r>
      <w:r w:rsidR="0086584D" w:rsidRPr="00820559">
        <w:rPr>
          <w:rFonts w:cs="Arial"/>
        </w:rPr>
        <w:t>three</w:t>
      </w:r>
      <w:r w:rsidR="00571555" w:rsidRPr="00820559">
        <w:rPr>
          <w:rFonts w:cs="Arial"/>
        </w:rPr>
        <w:t xml:space="preserve"> week period (Monday-Friday, 08:00-22:00</w:t>
      </w:r>
      <w:r w:rsidRPr="00820559">
        <w:rPr>
          <w:rFonts w:cs="Arial"/>
        </w:rPr>
        <w:t>)</w:t>
      </w:r>
      <w:r w:rsidR="00B924BD" w:rsidRPr="00820559">
        <w:rPr>
          <w:rFonts w:cs="Arial"/>
        </w:rPr>
        <w:t xml:space="preserve">, there were </w:t>
      </w:r>
      <w:r w:rsidR="00A859B2" w:rsidRPr="00820559">
        <w:rPr>
          <w:rFonts w:cs="Arial"/>
        </w:rPr>
        <w:t>60</w:t>
      </w:r>
      <w:r w:rsidR="00B924BD" w:rsidRPr="00820559">
        <w:rPr>
          <w:rFonts w:cs="Arial"/>
        </w:rPr>
        <w:t xml:space="preserve"> observation </w:t>
      </w:r>
      <w:r w:rsidR="00A859B2" w:rsidRPr="00820559">
        <w:rPr>
          <w:rFonts w:cs="Arial"/>
        </w:rPr>
        <w:t>sessions</w:t>
      </w:r>
      <w:r w:rsidR="00B924BD" w:rsidRPr="00820559">
        <w:rPr>
          <w:rFonts w:cs="Arial"/>
        </w:rPr>
        <w:t xml:space="preserve"> in total</w:t>
      </w:r>
      <w:r w:rsidR="0077400E" w:rsidRPr="00820559">
        <w:rPr>
          <w:rFonts w:cs="Arial"/>
        </w:rPr>
        <w:t>. Observation sessions were balanced between wards and time of day</w:t>
      </w:r>
      <w:r w:rsidR="00571555" w:rsidRPr="00820559">
        <w:rPr>
          <w:rFonts w:cs="Arial"/>
        </w:rPr>
        <w:t>.</w:t>
      </w:r>
      <w:r w:rsidRPr="00820559">
        <w:rPr>
          <w:rFonts w:cs="Arial"/>
        </w:rPr>
        <w:t xml:space="preserve"> For each observation session,</w:t>
      </w:r>
      <w:r w:rsidR="00571555" w:rsidRPr="00820559">
        <w:rPr>
          <w:rFonts w:cs="Arial"/>
        </w:rPr>
        <w:t xml:space="preserve"> </w:t>
      </w:r>
      <w:r w:rsidRPr="00820559">
        <w:rPr>
          <w:rFonts w:cs="Arial"/>
        </w:rPr>
        <w:t>a</w:t>
      </w:r>
      <w:r w:rsidR="00571555" w:rsidRPr="00820559">
        <w:rPr>
          <w:rFonts w:cs="Arial"/>
        </w:rPr>
        <w:t xml:space="preserve"> random number generator was used to identify an index patient who was then approached and invited to take part in the study. If the patient agreed to take part</w:t>
      </w:r>
      <w:r w:rsidR="00780C1A" w:rsidRPr="00820559">
        <w:rPr>
          <w:rFonts w:cs="Arial"/>
        </w:rPr>
        <w:t>, other patients in their vicinity were also approached and invited</w:t>
      </w:r>
      <w:r w:rsidR="00BC57A9" w:rsidRPr="00820559">
        <w:rPr>
          <w:rFonts w:cs="Arial"/>
        </w:rPr>
        <w:t>.</w:t>
      </w:r>
      <w:r w:rsidR="00FC6AEB" w:rsidRPr="00820559">
        <w:rPr>
          <w:rFonts w:cs="Arial"/>
        </w:rPr>
        <w:t xml:space="preserve"> </w:t>
      </w:r>
      <w:r w:rsidR="00780C1A" w:rsidRPr="00820559">
        <w:rPr>
          <w:rFonts w:cs="Arial"/>
        </w:rPr>
        <w:t>If the index patient declined to take part, a new index patient was selected</w:t>
      </w:r>
      <w:r w:rsidRPr="00820559">
        <w:rPr>
          <w:rFonts w:cs="Arial"/>
        </w:rPr>
        <w:t>.</w:t>
      </w:r>
      <w:r w:rsidR="00780C1A" w:rsidRPr="00820559">
        <w:rPr>
          <w:rFonts w:cs="Arial"/>
        </w:rPr>
        <w:t xml:space="preserve"> </w:t>
      </w:r>
      <w:r w:rsidRPr="00820559">
        <w:rPr>
          <w:rFonts w:cs="Arial"/>
        </w:rPr>
        <w:t>T</w:t>
      </w:r>
      <w:r w:rsidR="005719FD" w:rsidRPr="00820559">
        <w:rPr>
          <w:rFonts w:cs="Arial"/>
        </w:rPr>
        <w:t>his process continued</w:t>
      </w:r>
      <w:r w:rsidR="00780C1A" w:rsidRPr="00820559">
        <w:rPr>
          <w:rFonts w:cs="Arial"/>
        </w:rPr>
        <w:t xml:space="preserve"> until an index patient agreed to participate</w:t>
      </w:r>
      <w:r w:rsidR="0086584D" w:rsidRPr="00820559">
        <w:rPr>
          <w:rFonts w:cs="Arial"/>
        </w:rPr>
        <w:t>.</w:t>
      </w:r>
    </w:p>
    <w:p w14:paraId="71504DBC" w14:textId="77777777" w:rsidR="00F84CBB" w:rsidRPr="00820559" w:rsidRDefault="00F84CBB" w:rsidP="00F84CBB">
      <w:pPr>
        <w:rPr>
          <w:rFonts w:cs="Arial"/>
          <w:i/>
        </w:rPr>
      </w:pPr>
    </w:p>
    <w:p w14:paraId="30C30E46" w14:textId="77777777" w:rsidR="00F84CBB" w:rsidRPr="00820559" w:rsidRDefault="00302395" w:rsidP="00F84CBB">
      <w:pPr>
        <w:rPr>
          <w:rFonts w:cs="Arial"/>
        </w:rPr>
      </w:pPr>
      <w:r w:rsidRPr="00820559">
        <w:rPr>
          <w:rFonts w:cs="Arial"/>
          <w:i/>
        </w:rPr>
        <w:t xml:space="preserve">2.2 </w:t>
      </w:r>
      <w:r w:rsidR="006859EF" w:rsidRPr="00820559">
        <w:rPr>
          <w:rFonts w:cs="Arial"/>
          <w:i/>
        </w:rPr>
        <w:t>Data collection</w:t>
      </w:r>
    </w:p>
    <w:p w14:paraId="46075956" w14:textId="77777777" w:rsidR="00F84CBB" w:rsidRPr="00820559" w:rsidRDefault="00F84CBB" w:rsidP="00F84CBB">
      <w:pPr>
        <w:rPr>
          <w:rFonts w:cs="Arial"/>
        </w:rPr>
      </w:pPr>
    </w:p>
    <w:p w14:paraId="22FB2424" w14:textId="77777777" w:rsidR="0086078E" w:rsidRPr="00820559" w:rsidRDefault="00965739" w:rsidP="00191840">
      <w:pPr>
        <w:rPr>
          <w:rFonts w:cs="Arial"/>
        </w:rPr>
      </w:pPr>
      <w:r w:rsidRPr="00820559">
        <w:rPr>
          <w:rFonts w:cs="Arial"/>
        </w:rPr>
        <w:lastRenderedPageBreak/>
        <w:t>The quality of interactions was measured using the Quality of Interactions Schedule (Q</w:t>
      </w:r>
      <w:r w:rsidR="00031686" w:rsidRPr="00820559">
        <w:rPr>
          <w:rFonts w:cs="Arial"/>
        </w:rPr>
        <w:t>u</w:t>
      </w:r>
      <w:r w:rsidRPr="00820559">
        <w:rPr>
          <w:rFonts w:cs="Arial"/>
        </w:rPr>
        <w:t xml:space="preserve">IS) </w:t>
      </w:r>
      <w:r w:rsidRPr="00820559">
        <w:rPr>
          <w:rFonts w:cs="Arial"/>
        </w:rPr>
        <w:fldChar w:fldCharType="begin" w:fldLock="1"/>
      </w:r>
      <w:r w:rsidR="00902D49">
        <w:rPr>
          <w:rFonts w:cs="Arial"/>
        </w:rPr>
        <w:instrText>ADDIN CSL_CITATION { "citationItems" : [ { "id" : "ITEM-1", "itemData" : { "author" : [ { "dropping-particle" : "", "family" : "Dean", "given" : "R.", "non-dropping-particle" : "", "parse-names" : false, "suffix" : "" }, { "dropping-particle" : "", "family" : "Proudfoot", "given" : "R.", "non-dropping-particle" : "", "parse-names" : false, "suffix" : "" }, { "dropping-particle" : "", "family" : "Lindesay", "given" : "J.", "non-dropping-particle" : "", "parse-names" : false, "suffix" : "" } ], "container-title" : "International journal of geriatric psychiatry", "id" : "ITEM-1", "issued" : { "date-parts" : [ [ "1993" ] ] }, "note" : "p822 for results", "page" : "819-826", "title" : "The Quality of Interactions Schedule (QUIS): Development, Reliability and Use in the Evaluation of Two Domus Units", "type" : "article-journal", "volume" : "8" }, "uris" : [ "http://www.mendeley.com/documents/?uuid=bb7c83c1-7b2a-4404-827b-785178c9e6c5" ] } ], "mendeley" : { "formattedCitation" : "(Dean et al., 1993)", "plainTextFormattedCitation" : "(Dean et al., 1993)", "previouslyFormattedCitation" : "(Dean et al., 1993)" }, "properties" : { "noteIndex" : 0 }, "schema" : "https://github.com/citation-style-language/schema/raw/master/csl-citation.json" }</w:instrText>
      </w:r>
      <w:r w:rsidRPr="00820559">
        <w:rPr>
          <w:rFonts w:cs="Arial"/>
        </w:rPr>
        <w:fldChar w:fldCharType="separate"/>
      </w:r>
      <w:r w:rsidR="00902D49" w:rsidRPr="00902D49">
        <w:rPr>
          <w:rFonts w:cs="Arial"/>
          <w:noProof/>
        </w:rPr>
        <w:t>(Dean et al., 1993)</w:t>
      </w:r>
      <w:r w:rsidRPr="00820559">
        <w:rPr>
          <w:rFonts w:cs="Arial"/>
        </w:rPr>
        <w:fldChar w:fldCharType="end"/>
      </w:r>
      <w:r w:rsidRPr="00820559">
        <w:rPr>
          <w:rFonts w:cs="Arial"/>
        </w:rPr>
        <w:t>, an observation-based tool that has been used in a number of studies in NHS acute care settings</w:t>
      </w:r>
      <w:r w:rsidR="00FC6AEB" w:rsidRPr="00820559">
        <w:rPr>
          <w:rFonts w:cs="Arial"/>
        </w:rPr>
        <w:t xml:space="preserve">. </w:t>
      </w:r>
      <w:r w:rsidR="000322A5" w:rsidRPr="00820559">
        <w:rPr>
          <w:rFonts w:cs="Arial"/>
        </w:rPr>
        <w:t>Interactions between staff and patients are coded as positive social, positive care, neutral, negative protective and negative restrictive</w:t>
      </w:r>
      <w:r w:rsidR="002D3835" w:rsidRPr="00820559">
        <w:rPr>
          <w:rFonts w:cs="Arial"/>
        </w:rPr>
        <w:t xml:space="preserve"> (</w:t>
      </w:r>
      <w:r w:rsidR="005048FD">
        <w:rPr>
          <w:rFonts w:cs="Arial"/>
        </w:rPr>
        <w:t>t</w:t>
      </w:r>
      <w:r w:rsidR="002D3835" w:rsidRPr="00820559">
        <w:rPr>
          <w:rFonts w:cs="Arial"/>
        </w:rPr>
        <w:t>able 1)</w:t>
      </w:r>
      <w:r w:rsidR="000322A5" w:rsidRPr="00820559">
        <w:rPr>
          <w:rFonts w:cs="Arial"/>
        </w:rPr>
        <w:t xml:space="preserve">. </w:t>
      </w:r>
      <w:r w:rsidR="0086078E" w:rsidRPr="00820559">
        <w:rPr>
          <w:rFonts w:cs="Arial"/>
        </w:rPr>
        <w:t xml:space="preserve">The QuIS has been shown to be </w:t>
      </w:r>
      <w:r w:rsidRPr="00820559">
        <w:rPr>
          <w:rFonts w:cs="Arial"/>
        </w:rPr>
        <w:t xml:space="preserve">sensitive to change in service quality </w:t>
      </w:r>
      <w:r w:rsidR="00F47E96" w:rsidRPr="00820559">
        <w:rPr>
          <w:rFonts w:cs="Arial"/>
        </w:rPr>
        <w:fldChar w:fldCharType="begin" w:fldLock="1"/>
      </w:r>
      <w:r w:rsidR="00902D49">
        <w:rPr>
          <w:rFonts w:cs="Arial"/>
        </w:rPr>
        <w:instrText>ADDIN CSL_CITATION { "citationItems" : [ { "id" : "ITEM-1", "itemData" : { "author" : [ { "dropping-particle" : "", "family" : "Dean", "given" : "R.", "non-dropping-particle" : "", "parse-names" : false, "suffix" : "" }, { "dropping-particle" : "", "family" : "Briggs", "given" : "K.", "non-dropping-particle" : "", "parse-names" : false, "suffix" : "" } ], "container-title" : "International journal of geriatric psychiatry", "id" : "ITEM-1", "issued" : { "date-parts" : [ [ "1993" ] ] }, "page" : "807-817", "title" : "The domus philosophy: A prospective evaluation of two residential units for the elderly mentally ill", "type" : "article-journal", "volume" : "8" }, "uris" : [ "http://www.mendeley.com/documents/?uuid=6bd97b4c-3024-47da-9a6a-df8afbde460a" ] }, { "id" : "ITEM-2", "itemData" : { "author" : [ { "dropping-particle" : "", "family" : "Wewers", "given" : "ME.", "non-dropping-particle" : "", "parse-names" : false, "suffix" : "" }, { "dropping-particle" : "", "family" : "Muijen", "given" : "M.", "non-dropping-particle" : "", "parse-names" : false, "suffix" : "" }, { "dropping-particle" : "", "family" : "Dean", "given" : "R.", "non-dropping-particle" : "", "parse-names" : false, "suffix" : "" }, { "dropping-particle" : "", "family" : "Cooney", "given" : "M.", "non-dropping-particle" : "", "parse-names" : false, "suffix" : "" } ], "container-title" : "Heart and Lung", "id" : "ITEM-2", "issued" : { "date-parts" : [ [ "1994" ] ] }, "page" : "151-156", "title" : "A nurse-delivered smoking cessation intervention among hospitalized postperative patients - influence of a smoking related diagnosis: A pilot study", "type" : "article-journal", "volume" : "23" }, "uris" : [ "http://www.mendeley.com/documents/?uuid=513d3ebb-cf8c-453d-972e-c58c207cf651" ] }, { "id" : "ITEM-3", "itemData" : { "ISSN" : "0963-8237", "abstract" : "The nature of dementia is such that traditional methods of gaining users' views regarding services (interviews, questionnaires, focus groups) cannot be regarded as reliable. Thus, evaluations of care usually include observation of users behaviour and/or the care process. Observational methods employed have varied from study to study but most often attempt to quantify type and levels of residents' activity. Most evaluations are cross-sectional in design and bear witness to the fact that people with dementia living in long-stay settings spend long periods doing nothing. More recent observational techniques such as the Quality of Interactions Scale (QUIS, Dean et al., 1993) and Dementia Care Mapping (Kitwood &amp; Bredin, 1993) attempt to consider the quality as well as the quantity of activity. The latter sets standards of excellence in dementia care but its practical use in improving standards is yet to be fully proven.", "author" : [ { "dropping-particle" : "", "family" : "Brooker", "given" : "D", "non-dropping-particle" : "", "parse-names" : false, "suffix" : "" } ], "container-title" : "Journal of Mental Health", "id" : "ITEM-3", "issued" : { "date-parts" : [ [ "1995" ] ] }, "page" : "145-156", "title" : "Looking at them, looking at me. A review of observational studies into the quality of institutional care for elderly people with dementia.", "type" : "article-journal", "volume" : "4" }, "uris" : [ "http://www.mendeley.com/documents/?uuid=48db100c-d6b6-4e8c-bb04-3cfbc4f24973" ] }, { "id" : "ITEM-4", "itemData" : { "DOI" : "10.1177/1471301214540163", "ISBN" : "1471301214", "ISSN" : "1741-2684", "PMID" : "24961999", "abstract" : "The dynamic nature of psychosocial interventions implies that trying to measure their effects using standardised clinical trial measures may not capture their full effects. Rich and valuable data during the sessions may be missed by using standard quality of life questionnaires. This paper compares observational measures in the context of recording the well-being of a person with dementia during and outside of a visual arts intervention. A literature search was conducted using systematic principles of searching, screening and retrieval to identify peer-reviewed English language evaluations of research projects using observational measures with people with dementia. Psychometric properties, strengths and weaknesses of 11 observational tools are reviewed in order to identify the most appropriate one for evaluating a visual art intervention for people with dementia. This review supports the Greater Cincinnati Chapter Well-Being Observation Tool as an appropriate measure to evaluate a visual art programme for people with dementia. The results of this review will help researchers plan projects to show the full range of effects for people with dementia for taking part in art sessions.", "author" : [ { "dropping-particle" : "", "family" : "Algar", "given" : "Katherine", "non-dropping-particle" : "", "parse-names" : false, "suffix" : "" }, { "dropping-particle" : "", "family" : "Woods", "given" : "Robert T", "non-dropping-particle" : "", "parse-names" : false, "suffix" : "" }, { "dropping-particle" : "", "family" : "Windle", "given" : "Gill", "non-dropping-particle" : "", "parse-names" : false, "suffix" : "" } ], "container-title" : "Dementia", "id" : "ITEM-4", "issue" : "0", "issued" : { "date-parts" : [ [ "2014" ] ] }, "page" : "1-26", "title" : "Measuring the quality of life and well-being of people with dementia: A review of observational measures.", "type" : "article-journal", "volume" : "0" }, "uris" : [ "http://www.mendeley.com/documents/?uuid=b1074771-87fa-4151-bfd3-0208f4ab6d8e" ] }, { "id" : "ITEM-5", "itemData" : { "author" : [ { "dropping-particle" : "", "family" : "Health Advisory Service", "given" : "", "non-dropping-particle" : "", "parse-names" : false, "suffix" : "" } ], "id" : "ITEM-5", "issued" : { "date-parts" : [ [ "1998" ] ] }, "publisher-place" : "Health Advisory Service 2000: London", "title" : "Standards of NHS hospital care for older people \"Not because they are old\" - an independent inquiry into the care of older people on acute wards in general hospitals", "type" : "report" }, "uris" : [ "http://www.mendeley.com/documents/?uuid=4216ff3e-ec63-4132-9092-05b4939152ef" ] } ], "mendeley" : { "formattedCitation" : "(Algar et al., 2014; Brooker, 1995; Dean and Briggs, 1993; Health Advisory Service, 1998; Wewers et al., 1994)", "plainTextFormattedCitation" : "(Algar et al., 2014; Brooker, 1995; Dean and Briggs, 1993; Health Advisory Service, 1998; Wewers et al., 1994)", "previouslyFormattedCitation" : "(Algar et al., 2014; Brooker, 1995; Dean and Briggs, 1993; Health Advisory Service, 1998; Wewers et al., 1994)" }, "properties" : { "noteIndex" : 0 }, "schema" : "https://github.com/citation-style-language/schema/raw/master/csl-citation.json" }</w:instrText>
      </w:r>
      <w:r w:rsidR="00F47E96" w:rsidRPr="00820559">
        <w:rPr>
          <w:rFonts w:cs="Arial"/>
        </w:rPr>
        <w:fldChar w:fldCharType="separate"/>
      </w:r>
      <w:r w:rsidR="00902D49" w:rsidRPr="00902D49">
        <w:rPr>
          <w:rFonts w:cs="Arial"/>
          <w:noProof/>
        </w:rPr>
        <w:t>(Algar et al., 2014; Brooker, 1995; Dean and Briggs, 1993; Health Advisory Service, 1998; Wewers et al., 1994)</w:t>
      </w:r>
      <w:r w:rsidR="00F47E96" w:rsidRPr="00820559">
        <w:rPr>
          <w:rFonts w:cs="Arial"/>
        </w:rPr>
        <w:fldChar w:fldCharType="end"/>
      </w:r>
      <w:r w:rsidR="00F47E96" w:rsidRPr="00820559">
        <w:rPr>
          <w:rFonts w:cs="Arial"/>
        </w:rPr>
        <w:t>.</w:t>
      </w:r>
      <w:r w:rsidRPr="002D7700">
        <w:rPr>
          <w:rFonts w:cs="Arial"/>
        </w:rPr>
        <w:t xml:space="preserve"> </w:t>
      </w:r>
      <w:r w:rsidR="001834A2" w:rsidRPr="00820559">
        <w:rPr>
          <w:rFonts w:eastAsiaTheme="majorEastAsia" w:cs="Arial"/>
        </w:rPr>
        <w:t xml:space="preserve">In long term residential settings QuIS </w:t>
      </w:r>
      <w:r w:rsidR="000322A5" w:rsidRPr="00820559">
        <w:rPr>
          <w:rFonts w:eastAsiaTheme="majorEastAsia" w:cs="Arial"/>
        </w:rPr>
        <w:t>has been show</w:t>
      </w:r>
      <w:r w:rsidR="00D91ACD" w:rsidRPr="00820559">
        <w:rPr>
          <w:rFonts w:eastAsiaTheme="majorEastAsia" w:cs="Arial"/>
        </w:rPr>
        <w:t>n</w:t>
      </w:r>
      <w:r w:rsidR="000322A5" w:rsidRPr="00820559">
        <w:rPr>
          <w:rFonts w:eastAsiaTheme="majorEastAsia" w:cs="Arial"/>
        </w:rPr>
        <w:t xml:space="preserve"> to be reliable with</w:t>
      </w:r>
      <w:r w:rsidR="001834A2" w:rsidRPr="00820559">
        <w:rPr>
          <w:rFonts w:eastAsiaTheme="majorEastAsia" w:cs="Arial"/>
        </w:rPr>
        <w:t xml:space="preserve"> kappa coefficients of above 0.75 </w:t>
      </w:r>
      <w:r w:rsidR="001834A2" w:rsidRPr="00820559">
        <w:rPr>
          <w:rFonts w:eastAsiaTheme="majorEastAsia" w:cs="Arial"/>
        </w:rPr>
        <w:fldChar w:fldCharType="begin" w:fldLock="1"/>
      </w:r>
      <w:r w:rsidR="00902D49">
        <w:rPr>
          <w:rFonts w:eastAsiaTheme="majorEastAsia" w:cs="Arial"/>
        </w:rPr>
        <w:instrText>ADDIN CSL_CITATION { "citationItems" : [ { "id" : "ITEM-1", "itemData" : { "author" : [ { "dropping-particle" : "", "family" : "Dean", "given" : "R.", "non-dropping-particle" : "", "parse-names" : false, "suffix" : "" }, { "dropping-particle" : "", "family" : "Proudfoot", "given" : "R.", "non-dropping-particle" : "", "parse-names" : false, "suffix" : "" }, { "dropping-particle" : "", "family" : "Lindesay", "given" : "J.", "non-dropping-particle" : "", "parse-names" : false, "suffix" : "" } ], "container-title" : "International journal of geriatric psychiatry", "id" : "ITEM-1", "issued" : { "date-parts" : [ [ "1993" ] ] }, "note" : "p822 for results", "page" : "819-826", "title" : "The Quality of Interactions Schedule (QUIS): Development, Reliability and Use in the Evaluation of Two Domus Units", "type" : "article-journal", "volume" : "8" }, "uris" : [ "http://www.mendeley.com/documents/?uuid=bb7c83c1-7b2a-4404-827b-785178c9e6c5" ] } ], "mendeley" : { "formattedCitation" : "(Dean et al., 1993)", "plainTextFormattedCitation" : "(Dean et al., 1993)", "previouslyFormattedCitation" : "(Dean et al., 1993)" }, "properties" : { "noteIndex" : 0 }, "schema" : "https://github.com/citation-style-language/schema/raw/master/csl-citation.json" }</w:instrText>
      </w:r>
      <w:r w:rsidR="001834A2" w:rsidRPr="00820559">
        <w:rPr>
          <w:rFonts w:eastAsiaTheme="majorEastAsia" w:cs="Arial"/>
        </w:rPr>
        <w:fldChar w:fldCharType="separate"/>
      </w:r>
      <w:r w:rsidR="00902D49" w:rsidRPr="00902D49">
        <w:rPr>
          <w:rFonts w:eastAsiaTheme="majorEastAsia" w:cs="Arial"/>
          <w:noProof/>
        </w:rPr>
        <w:t>(Dean et al., 1993)</w:t>
      </w:r>
      <w:r w:rsidR="001834A2" w:rsidRPr="00820559">
        <w:rPr>
          <w:rFonts w:eastAsiaTheme="majorEastAsia" w:cs="Arial"/>
        </w:rPr>
        <w:fldChar w:fldCharType="end"/>
      </w:r>
      <w:r w:rsidR="001834A2" w:rsidRPr="00820559">
        <w:rPr>
          <w:rFonts w:eastAsiaTheme="majorEastAsia" w:cs="Arial"/>
        </w:rPr>
        <w:t xml:space="preserve">. Concurrent validity </w:t>
      </w:r>
      <w:r w:rsidR="000322A5" w:rsidRPr="00820559">
        <w:rPr>
          <w:rFonts w:eastAsiaTheme="majorEastAsia" w:cs="Arial"/>
        </w:rPr>
        <w:t>has been</w:t>
      </w:r>
      <w:r w:rsidR="001834A2" w:rsidRPr="00820559">
        <w:rPr>
          <w:rFonts w:eastAsiaTheme="majorEastAsia" w:cs="Arial"/>
        </w:rPr>
        <w:t xml:space="preserve"> </w:t>
      </w:r>
      <w:r w:rsidR="00031686" w:rsidRPr="00820559">
        <w:rPr>
          <w:rFonts w:eastAsiaTheme="majorEastAsia" w:cs="Arial"/>
        </w:rPr>
        <w:t xml:space="preserve">demonstrated </w:t>
      </w:r>
      <w:r w:rsidR="00E37CC7">
        <w:rPr>
          <w:rFonts w:eastAsiaTheme="majorEastAsia" w:cs="Arial"/>
        </w:rPr>
        <w:t xml:space="preserve">by the association of </w:t>
      </w:r>
      <w:r w:rsidR="001834A2" w:rsidRPr="00820559">
        <w:rPr>
          <w:rFonts w:eastAsiaTheme="majorEastAsia" w:cs="Arial"/>
        </w:rPr>
        <w:t xml:space="preserve"> increase</w:t>
      </w:r>
      <w:r w:rsidR="00E37CC7">
        <w:rPr>
          <w:rFonts w:eastAsiaTheme="majorEastAsia" w:cs="Arial"/>
        </w:rPr>
        <w:t>d</w:t>
      </w:r>
      <w:r w:rsidR="001834A2" w:rsidRPr="00820559">
        <w:rPr>
          <w:rFonts w:eastAsiaTheme="majorEastAsia" w:cs="Arial"/>
        </w:rPr>
        <w:t xml:space="preserve"> quantity and quality of interactions experienced by residents with improvements in ratings of residents’ cognitive impairment, observed depression</w:t>
      </w:r>
      <w:r w:rsidR="00E37CC7">
        <w:rPr>
          <w:rFonts w:eastAsiaTheme="majorEastAsia" w:cs="Arial"/>
        </w:rPr>
        <w:t>,</w:t>
      </w:r>
      <w:r w:rsidR="001834A2" w:rsidRPr="00820559">
        <w:rPr>
          <w:rFonts w:eastAsiaTheme="majorEastAsia" w:cs="Arial"/>
        </w:rPr>
        <w:t xml:space="preserve"> and functional capacities </w:t>
      </w:r>
      <w:r w:rsidR="001834A2" w:rsidRPr="00820559">
        <w:rPr>
          <w:rFonts w:eastAsiaTheme="majorEastAsia" w:cs="Arial"/>
        </w:rPr>
        <w:fldChar w:fldCharType="begin" w:fldLock="1"/>
      </w:r>
      <w:r w:rsidR="00902D49">
        <w:rPr>
          <w:rFonts w:eastAsiaTheme="majorEastAsia" w:cs="Arial"/>
        </w:rPr>
        <w:instrText>ADDIN CSL_CITATION { "citationItems" : [ { "id" : "ITEM-1", "itemData" : { "author" : [ { "dropping-particle" : "", "family" : "Dean", "given" : "R.", "non-dropping-particle" : "", "parse-names" : false, "suffix" : "" }, { "dropping-particle" : "", "family" : "Briggs", "given" : "K.", "non-dropping-particle" : "", "parse-names" : false, "suffix" : "" } ], "container-title" : "International journal of geriatric psychiatry", "id" : "ITEM-1", "issued" : { "date-parts" : [ [ "1993" ] ] }, "page" : "807-817", "title" : "The domus philosophy: A prospective evaluation of two residential units for the elderly mentally ill", "type" : "article-journal", "volume" : "8" }, "uris" : [ "http://www.mendeley.com/documents/?uuid=6bd97b4c-3024-47da-9a6a-df8afbde460a" ] } ], "mendeley" : { "formattedCitation" : "(Dean and Briggs, 1993)", "plainTextFormattedCitation" : "(Dean and Briggs, 1993)", "previouslyFormattedCitation" : "(Dean and Briggs, 1993)" }, "properties" : { "noteIndex" : 0 }, "schema" : "https://github.com/citation-style-language/schema/raw/master/csl-citation.json" }</w:instrText>
      </w:r>
      <w:r w:rsidR="001834A2" w:rsidRPr="00820559">
        <w:rPr>
          <w:rFonts w:eastAsiaTheme="majorEastAsia" w:cs="Arial"/>
        </w:rPr>
        <w:fldChar w:fldCharType="separate"/>
      </w:r>
      <w:r w:rsidR="00902D49" w:rsidRPr="00902D49">
        <w:rPr>
          <w:rFonts w:eastAsiaTheme="majorEastAsia" w:cs="Arial"/>
          <w:noProof/>
        </w:rPr>
        <w:t>(Dean and Briggs, 1993)</w:t>
      </w:r>
      <w:r w:rsidR="001834A2" w:rsidRPr="00820559">
        <w:rPr>
          <w:rFonts w:eastAsiaTheme="majorEastAsia" w:cs="Arial"/>
        </w:rPr>
        <w:fldChar w:fldCharType="end"/>
      </w:r>
      <w:r w:rsidR="001834A2" w:rsidRPr="00820559">
        <w:rPr>
          <w:rFonts w:eastAsiaTheme="majorEastAsia" w:cs="Arial"/>
        </w:rPr>
        <w:t xml:space="preserve">. </w:t>
      </w:r>
      <w:r w:rsidRPr="00820559">
        <w:rPr>
          <w:rFonts w:cs="Arial"/>
        </w:rPr>
        <w:t>Q</w:t>
      </w:r>
      <w:r w:rsidR="00031686" w:rsidRPr="00820559">
        <w:rPr>
          <w:rFonts w:cs="Arial"/>
        </w:rPr>
        <w:t>u</w:t>
      </w:r>
      <w:r w:rsidRPr="00820559">
        <w:rPr>
          <w:rFonts w:cs="Arial"/>
        </w:rPr>
        <w:t xml:space="preserve">IS was originally designed for long term settings, and so </w:t>
      </w:r>
      <w:r w:rsidR="00366738" w:rsidRPr="00820559">
        <w:rPr>
          <w:rFonts w:cs="Arial"/>
        </w:rPr>
        <w:t xml:space="preserve">prior to the current study </w:t>
      </w:r>
      <w:r w:rsidRPr="00820559">
        <w:rPr>
          <w:rFonts w:cs="Arial"/>
        </w:rPr>
        <w:t xml:space="preserve">a protocol was developed </w:t>
      </w:r>
      <w:r w:rsidR="00366738" w:rsidRPr="00820559">
        <w:rPr>
          <w:rFonts w:cs="Arial"/>
        </w:rPr>
        <w:t xml:space="preserve">for </w:t>
      </w:r>
      <w:r w:rsidRPr="00820559">
        <w:rPr>
          <w:rFonts w:cs="Arial"/>
        </w:rPr>
        <w:t xml:space="preserve">use by the research team to guide its application in acute settings, including a definition of what constituted the beginning and end of an interaction and how to </w:t>
      </w:r>
      <w:r w:rsidR="00366738" w:rsidRPr="00820559">
        <w:rPr>
          <w:rFonts w:cs="Arial"/>
        </w:rPr>
        <w:t>decide between</w:t>
      </w:r>
      <w:r w:rsidRPr="00820559">
        <w:rPr>
          <w:rFonts w:cs="Arial"/>
        </w:rPr>
        <w:t xml:space="preserve"> the different ratings (see </w:t>
      </w:r>
      <w:r w:rsidR="005048FD">
        <w:rPr>
          <w:rFonts w:cs="Arial"/>
        </w:rPr>
        <w:t>t</w:t>
      </w:r>
      <w:r w:rsidRPr="00820559">
        <w:rPr>
          <w:rFonts w:cs="Arial"/>
        </w:rPr>
        <w:t xml:space="preserve">able 1) </w:t>
      </w:r>
      <w:r w:rsidRPr="00820559">
        <w:rPr>
          <w:rFonts w:cs="Arial"/>
        </w:rPr>
        <w:fldChar w:fldCharType="begin" w:fldLock="1"/>
      </w:r>
      <w:r w:rsidR="00902D49">
        <w:rPr>
          <w:rFonts w:cs="Arial"/>
        </w:rPr>
        <w:instrText>ADDIN CSL_CITATION { "citationItems" : [ { "id" : "ITEM-1", "itemData" : { "author" : [ { "dropping-particle" : "", "family" : "McLean", "given" : "C.", "non-dropping-particle" : "", "parse-names" : false, "suffix" : "" }, { "dropping-particle" : "", "family" : "Griffiths", "given" : "P.", "non-dropping-particle" : "", "parse-names" : false, "suffix" : "" }, { "dropping-particle" : "", "family" : "Bridges", "given" : "J.", "non-dropping-particle" : "", "parse-names" : false, "suffix" : "" } ], "id" : "ITEM-1", "issued" : { "date-parts" : [ [ "2014" ] ] }, "publisher-place" : "Southampton", "title" : "A feasibility study to develop the Quality of Interactions Schedule (QuIS) for use as an outcome measure in acute hospital care", "type" : "report" }, "uris" : [ "http://www.mendeley.com/documents/?uuid=de355a37-b3bc-457a-bb48-8105b2490610" ] } ], "mendeley" : { "formattedCitation" : "(McLean et al., 2014)", "plainTextFormattedCitation" : "(McLean et al., 2014)", "previouslyFormattedCitation" : "(McLean et al., 2014)" }, "properties" : { "noteIndex" : 0 }, "schema" : "https://github.com/citation-style-language/schema/raw/master/csl-citation.json" }</w:instrText>
      </w:r>
      <w:r w:rsidRPr="00820559">
        <w:rPr>
          <w:rFonts w:cs="Arial"/>
        </w:rPr>
        <w:fldChar w:fldCharType="separate"/>
      </w:r>
      <w:r w:rsidR="00902D49" w:rsidRPr="00902D49">
        <w:rPr>
          <w:rFonts w:cs="Arial"/>
          <w:noProof/>
        </w:rPr>
        <w:t>(McLean et al., 2014)</w:t>
      </w:r>
      <w:r w:rsidRPr="00820559">
        <w:rPr>
          <w:rFonts w:cs="Arial"/>
        </w:rPr>
        <w:fldChar w:fldCharType="end"/>
      </w:r>
      <w:r w:rsidRPr="00820559">
        <w:rPr>
          <w:rFonts w:cs="Arial"/>
        </w:rPr>
        <w:t xml:space="preserve">. </w:t>
      </w:r>
      <w:r w:rsidR="0086078E" w:rsidRPr="00820559">
        <w:rPr>
          <w:rFonts w:eastAsiaTheme="majorEastAsia" w:cs="Arial"/>
        </w:rPr>
        <w:t>Inter</w:t>
      </w:r>
      <w:r w:rsidR="00366738" w:rsidRPr="00820559">
        <w:rPr>
          <w:rFonts w:eastAsiaTheme="majorEastAsia" w:cs="Arial"/>
        </w:rPr>
        <w:noBreakHyphen/>
      </w:r>
      <w:r w:rsidR="0086078E" w:rsidRPr="00820559">
        <w:rPr>
          <w:rFonts w:eastAsiaTheme="majorEastAsia" w:cs="Arial"/>
        </w:rPr>
        <w:t xml:space="preserve">rater reliability testing was conducted </w:t>
      </w:r>
      <w:r w:rsidR="00DD40D2" w:rsidRPr="00820559">
        <w:rPr>
          <w:rFonts w:eastAsiaTheme="majorEastAsia" w:cs="Arial"/>
        </w:rPr>
        <w:t xml:space="preserve">on acute care </w:t>
      </w:r>
      <w:r w:rsidR="0086078E" w:rsidRPr="00820559">
        <w:rPr>
          <w:rFonts w:eastAsiaTheme="majorEastAsia" w:cs="Arial"/>
        </w:rPr>
        <w:t xml:space="preserve">recruited opportunistically. </w:t>
      </w:r>
      <w:r w:rsidR="00DD40D2" w:rsidRPr="00820559">
        <w:rPr>
          <w:rFonts w:cs="Arial"/>
          <w:lang w:val="en-US" w:eastAsia="zh-CN"/>
        </w:rPr>
        <w:t>Kappa for Qu</w:t>
      </w:r>
      <w:r w:rsidR="0086078E" w:rsidRPr="00820559">
        <w:rPr>
          <w:rFonts w:cs="Arial"/>
          <w:lang w:val="en-US" w:eastAsia="zh-CN"/>
        </w:rPr>
        <w:t>IS rating was</w:t>
      </w:r>
      <w:r w:rsidR="0086078E" w:rsidRPr="00820559">
        <w:rPr>
          <w:lang w:val="en-US" w:eastAsia="zh-CN"/>
        </w:rPr>
        <w:t xml:space="preserve"> </w:t>
      </w:r>
      <w:r w:rsidR="00366738" w:rsidRPr="00820559">
        <w:rPr>
          <w:lang w:val="en-US" w:eastAsia="zh-CN"/>
        </w:rPr>
        <w:t xml:space="preserve">found to be </w:t>
      </w:r>
      <w:r w:rsidR="0086078E" w:rsidRPr="00820559">
        <w:t>0.6</w:t>
      </w:r>
      <w:r w:rsidR="00366738" w:rsidRPr="00820559">
        <w:t>1</w:t>
      </w:r>
      <w:r w:rsidR="00DD40D2" w:rsidRPr="00820559">
        <w:t>,</w:t>
      </w:r>
      <w:r w:rsidR="00443FC5" w:rsidRPr="00820559" w:rsidDel="00443FC5">
        <w:t xml:space="preserve"> </w:t>
      </w:r>
      <w:r w:rsidR="00443FC5" w:rsidRPr="00820559">
        <w:t>in</w:t>
      </w:r>
      <w:r w:rsidR="0086078E" w:rsidRPr="00820559">
        <w:t>dicating good agreement</w:t>
      </w:r>
      <w:r w:rsidR="0086078E" w:rsidRPr="00820559">
        <w:rPr>
          <w:rFonts w:eastAsiaTheme="majorEastAsia" w:cs="Arial"/>
        </w:rPr>
        <w:t xml:space="preserve">. </w:t>
      </w:r>
    </w:p>
    <w:p w14:paraId="17A64223" w14:textId="77777777" w:rsidR="00DD40D2" w:rsidRPr="00820559" w:rsidRDefault="00DD40D2" w:rsidP="00DD40D2">
      <w:pPr>
        <w:rPr>
          <w:rFonts w:cs="Arial"/>
        </w:rPr>
      </w:pPr>
    </w:p>
    <w:p w14:paraId="6043F003" w14:textId="77777777" w:rsidR="00C64FE9" w:rsidRPr="00820559" w:rsidRDefault="000322A5" w:rsidP="00D142DA">
      <w:pPr>
        <w:rPr>
          <w:rFonts w:cs="Arial"/>
        </w:rPr>
      </w:pPr>
      <w:r w:rsidRPr="00820559">
        <w:rPr>
          <w:rFonts w:cs="Arial"/>
        </w:rPr>
        <w:t xml:space="preserve">Data gathered included the quality, length and frequency of all interactions between participating patients and staff during </w:t>
      </w:r>
      <w:r w:rsidR="00366738" w:rsidRPr="00820559">
        <w:rPr>
          <w:rFonts w:cs="Arial"/>
        </w:rPr>
        <w:t>each</w:t>
      </w:r>
      <w:r w:rsidRPr="00820559">
        <w:rPr>
          <w:rFonts w:cs="Arial"/>
        </w:rPr>
        <w:t xml:space="preserve"> observation session. Contextual data were also gathered on the session (number of patients on the ward, staffing levels and skill mix), on the patients (age, gender, evidence of cognitive impairment</w:t>
      </w:r>
      <w:r w:rsidR="00FF5EF9">
        <w:rPr>
          <w:rFonts w:cs="Arial"/>
        </w:rPr>
        <w:t>, agitation at outset of interaction</w:t>
      </w:r>
      <w:r w:rsidRPr="00820559">
        <w:rPr>
          <w:rFonts w:cs="Arial"/>
        </w:rPr>
        <w:t xml:space="preserve">) and </w:t>
      </w:r>
      <w:r w:rsidR="00366738" w:rsidRPr="00820559">
        <w:rPr>
          <w:rFonts w:cs="Arial"/>
        </w:rPr>
        <w:t xml:space="preserve">on individual </w:t>
      </w:r>
      <w:r w:rsidRPr="00820559">
        <w:rPr>
          <w:rFonts w:cs="Arial"/>
        </w:rPr>
        <w:t>interaction</w:t>
      </w:r>
      <w:r w:rsidR="00366738" w:rsidRPr="00820559">
        <w:rPr>
          <w:rFonts w:cs="Arial"/>
        </w:rPr>
        <w:t>s</w:t>
      </w:r>
      <w:r w:rsidRPr="00820559">
        <w:rPr>
          <w:rFonts w:cs="Arial"/>
        </w:rPr>
        <w:t xml:space="preserve"> (including number of staff, staff type, and</w:t>
      </w:r>
      <w:r w:rsidR="00D142DA">
        <w:rPr>
          <w:rFonts w:cs="Arial"/>
        </w:rPr>
        <w:t xml:space="preserve"> content</w:t>
      </w:r>
      <w:r w:rsidRPr="00820559">
        <w:rPr>
          <w:rFonts w:cs="Arial"/>
        </w:rPr>
        <w:t xml:space="preserve"> of interaction</w:t>
      </w:r>
      <w:r w:rsidR="00D142DA">
        <w:rPr>
          <w:rFonts w:cs="Arial"/>
        </w:rPr>
        <w:t xml:space="preserve"> into seven types as detailed in table 3</w:t>
      </w:r>
      <w:r w:rsidRPr="00820559">
        <w:rPr>
          <w:rFonts w:cs="Arial"/>
        </w:rPr>
        <w:t xml:space="preserve">). The platform used for data collection was the Quality of Interactions Tool (QI Tool), a tablet-based interface that enables users to enter data in real-time for subsequent wireless upload to an encrypted central database. </w:t>
      </w:r>
      <w:r w:rsidR="00F84CBB" w:rsidRPr="00820559">
        <w:rPr>
          <w:rFonts w:cs="Arial"/>
        </w:rPr>
        <w:t xml:space="preserve">Data </w:t>
      </w:r>
      <w:r w:rsidR="0086584D" w:rsidRPr="00820559">
        <w:rPr>
          <w:rFonts w:cs="Arial"/>
        </w:rPr>
        <w:t xml:space="preserve">were gathered </w:t>
      </w:r>
      <w:r w:rsidR="00C64FE9" w:rsidRPr="00820559">
        <w:rPr>
          <w:rFonts w:cs="Arial"/>
        </w:rPr>
        <w:t xml:space="preserve">through direct observation </w:t>
      </w:r>
      <w:r w:rsidR="00B7469B" w:rsidRPr="00820559">
        <w:rPr>
          <w:rFonts w:cs="Arial"/>
        </w:rPr>
        <w:t xml:space="preserve">of interactions between patients and staff. Single researchers located themselves </w:t>
      </w:r>
      <w:r w:rsidR="00273F8A" w:rsidRPr="00820559">
        <w:rPr>
          <w:rFonts w:cs="Arial"/>
        </w:rPr>
        <w:t xml:space="preserve">in a discrete location near enough to the patient(s) to be able to see and hear interactions. </w:t>
      </w:r>
      <w:r w:rsidR="005F149B" w:rsidRPr="00820559">
        <w:rPr>
          <w:rFonts w:cs="Arial"/>
        </w:rPr>
        <w:t>If curtains were draw</w:t>
      </w:r>
      <w:r w:rsidR="00055632" w:rsidRPr="00820559">
        <w:rPr>
          <w:rFonts w:cs="Arial"/>
        </w:rPr>
        <w:t>n</w:t>
      </w:r>
      <w:r w:rsidR="005F149B" w:rsidRPr="00820559">
        <w:rPr>
          <w:rFonts w:cs="Arial"/>
        </w:rPr>
        <w:t xml:space="preserve"> researchers</w:t>
      </w:r>
      <w:r w:rsidR="00FC6AEB" w:rsidRPr="00820559">
        <w:rPr>
          <w:rFonts w:cs="Arial"/>
        </w:rPr>
        <w:t xml:space="preserve"> stayed</w:t>
      </w:r>
      <w:r w:rsidR="005F149B" w:rsidRPr="00820559">
        <w:rPr>
          <w:rFonts w:cs="Arial"/>
        </w:rPr>
        <w:t xml:space="preserve"> within hearing distance</w:t>
      </w:r>
      <w:r w:rsidRPr="00820559">
        <w:rPr>
          <w:rFonts w:cs="Arial"/>
        </w:rPr>
        <w:t xml:space="preserve"> but did not enter</w:t>
      </w:r>
      <w:r w:rsidR="005F149B" w:rsidRPr="00820559">
        <w:rPr>
          <w:rFonts w:cs="Arial"/>
        </w:rPr>
        <w:t xml:space="preserve"> in order to uphold the privacy and dignity of the patient. </w:t>
      </w:r>
      <w:r w:rsidR="00C64FE9" w:rsidRPr="00820559">
        <w:rPr>
          <w:rFonts w:cs="Arial"/>
        </w:rPr>
        <w:t>Five researchers were i</w:t>
      </w:r>
      <w:r w:rsidR="00557271" w:rsidRPr="00820559">
        <w:rPr>
          <w:rFonts w:cs="Arial"/>
        </w:rPr>
        <w:t>nvolved in collecting data.  E</w:t>
      </w:r>
      <w:r w:rsidR="004D762B" w:rsidRPr="00820559">
        <w:rPr>
          <w:rFonts w:cs="Arial"/>
        </w:rPr>
        <w:t xml:space="preserve">ach attended a </w:t>
      </w:r>
      <w:r w:rsidR="00FC6AEB" w:rsidRPr="00820559">
        <w:rPr>
          <w:rFonts w:cs="Arial"/>
        </w:rPr>
        <w:t>seven-hour</w:t>
      </w:r>
      <w:r w:rsidR="00C64FE9" w:rsidRPr="00820559">
        <w:rPr>
          <w:rFonts w:cs="Arial"/>
        </w:rPr>
        <w:t xml:space="preserve"> </w:t>
      </w:r>
      <w:r w:rsidR="004D762B" w:rsidRPr="00820559">
        <w:rPr>
          <w:rFonts w:cs="Arial"/>
        </w:rPr>
        <w:t>classroom training session</w:t>
      </w:r>
      <w:r w:rsidR="00C64FE9" w:rsidRPr="00820559">
        <w:rPr>
          <w:rFonts w:cs="Arial"/>
        </w:rPr>
        <w:t xml:space="preserve"> and </w:t>
      </w:r>
      <w:r w:rsidR="004D762B" w:rsidRPr="00820559">
        <w:rPr>
          <w:rFonts w:cs="Arial"/>
        </w:rPr>
        <w:t>four hours of ward-based direct observation training</w:t>
      </w:r>
      <w:r w:rsidR="00C64FE9" w:rsidRPr="00820559">
        <w:rPr>
          <w:rFonts w:cs="Arial"/>
        </w:rPr>
        <w:t xml:space="preserve">. </w:t>
      </w:r>
    </w:p>
    <w:p w14:paraId="295B7EE1" w14:textId="77777777" w:rsidR="001834A2" w:rsidRPr="00820559" w:rsidRDefault="001834A2" w:rsidP="00F84CBB">
      <w:pPr>
        <w:rPr>
          <w:rFonts w:cs="Arial"/>
        </w:rPr>
      </w:pPr>
    </w:p>
    <w:p w14:paraId="361F44C5" w14:textId="77777777" w:rsidR="00F84CBB" w:rsidRPr="00820559" w:rsidRDefault="00302395" w:rsidP="00F84CBB">
      <w:pPr>
        <w:rPr>
          <w:rFonts w:cs="Arial"/>
          <w:i/>
        </w:rPr>
      </w:pPr>
      <w:r w:rsidRPr="00820559">
        <w:rPr>
          <w:rFonts w:cs="Arial"/>
          <w:i/>
        </w:rPr>
        <w:t>2.</w:t>
      </w:r>
      <w:r w:rsidR="00443FC5" w:rsidRPr="00820559">
        <w:rPr>
          <w:rFonts w:cs="Arial"/>
          <w:i/>
        </w:rPr>
        <w:t xml:space="preserve">3 </w:t>
      </w:r>
      <w:r w:rsidR="00F84CBB" w:rsidRPr="00820559">
        <w:rPr>
          <w:rFonts w:cs="Arial"/>
          <w:i/>
        </w:rPr>
        <w:t>Data analysis</w:t>
      </w:r>
    </w:p>
    <w:p w14:paraId="689E1AE5" w14:textId="77777777" w:rsidR="00F84CBB" w:rsidRPr="00820559" w:rsidRDefault="00F84CBB" w:rsidP="00F84CBB">
      <w:pPr>
        <w:rPr>
          <w:rFonts w:cs="Arial"/>
          <w:i/>
        </w:rPr>
      </w:pPr>
    </w:p>
    <w:p w14:paraId="65542215" w14:textId="212B6ABE" w:rsidR="009338F1" w:rsidRPr="00820559" w:rsidRDefault="00A1255E" w:rsidP="003F3B11">
      <w:pPr>
        <w:rPr>
          <w:rFonts w:cs="Arial"/>
        </w:rPr>
      </w:pPr>
      <w:r w:rsidRPr="00820559">
        <w:rPr>
          <w:rFonts w:cs="Arial"/>
        </w:rPr>
        <w:t xml:space="preserve">Exploratory data analyses were performed to check the data and identify inconsistencies. Descriptive statistics </w:t>
      </w:r>
      <w:r w:rsidR="003F3B11" w:rsidRPr="00820559">
        <w:rPr>
          <w:rFonts w:cs="Arial"/>
        </w:rPr>
        <w:t xml:space="preserve">for </w:t>
      </w:r>
      <w:r w:rsidRPr="00820559">
        <w:rPr>
          <w:rFonts w:cs="Arial"/>
        </w:rPr>
        <w:t>patient and interaction characteristics were calculated. Frequencies and percentages were computed to describe the type of interaction and QuIS ratings.</w:t>
      </w:r>
      <w:r w:rsidR="00980198">
        <w:rPr>
          <w:rFonts w:cs="Arial"/>
        </w:rPr>
        <w:t xml:space="preserve"> Amongst patients with a full two hours of observation, the percentage with at least one negative (either protective or restrictive) was calculated and presented with a 95% confidence interval (CI).</w:t>
      </w:r>
    </w:p>
    <w:p w14:paraId="445EEE99" w14:textId="77777777" w:rsidR="00A1255E" w:rsidRPr="00820559" w:rsidRDefault="00A1255E" w:rsidP="00A1255E">
      <w:pPr>
        <w:rPr>
          <w:rFonts w:cs="Arial"/>
        </w:rPr>
      </w:pPr>
    </w:p>
    <w:p w14:paraId="08F430E9" w14:textId="0DBA50DE" w:rsidR="00443FC5" w:rsidRPr="00820559" w:rsidRDefault="003F3B11" w:rsidP="007363E5">
      <w:pPr>
        <w:rPr>
          <w:rFonts w:cs="Arial"/>
        </w:rPr>
      </w:pPr>
      <w:r w:rsidRPr="00820559">
        <w:rPr>
          <w:rFonts w:cs="Arial"/>
        </w:rPr>
        <w:t>A</w:t>
      </w:r>
      <w:r w:rsidR="00A1255E" w:rsidRPr="00820559">
        <w:rPr>
          <w:rFonts w:cs="Arial"/>
        </w:rPr>
        <w:t xml:space="preserve"> four level mixed-effects logistic regression model was fitted to investigate the effect of the predict</w:t>
      </w:r>
      <w:r w:rsidRPr="00820559">
        <w:rPr>
          <w:rFonts w:cs="Arial"/>
        </w:rPr>
        <w:t xml:space="preserve">ive </w:t>
      </w:r>
      <w:r w:rsidR="00EA0674">
        <w:rPr>
          <w:rFonts w:cs="Arial"/>
        </w:rPr>
        <w:t>variables</w:t>
      </w:r>
      <w:r w:rsidR="00EA0674" w:rsidRPr="00820559">
        <w:rPr>
          <w:rFonts w:cs="Arial"/>
        </w:rPr>
        <w:t xml:space="preserve"> </w:t>
      </w:r>
      <w:r w:rsidR="00A1255E" w:rsidRPr="00820559">
        <w:rPr>
          <w:rFonts w:cs="Arial"/>
        </w:rPr>
        <w:t xml:space="preserve">on </w:t>
      </w:r>
      <w:r w:rsidRPr="00820559">
        <w:rPr>
          <w:rFonts w:cs="Arial"/>
        </w:rPr>
        <w:t xml:space="preserve">the </w:t>
      </w:r>
      <w:r w:rsidR="00EA0674">
        <w:rPr>
          <w:rFonts w:cs="Arial"/>
        </w:rPr>
        <w:t>probability</w:t>
      </w:r>
      <w:r w:rsidR="00EA0674" w:rsidRPr="00820559">
        <w:rPr>
          <w:rFonts w:cs="Arial"/>
        </w:rPr>
        <w:t xml:space="preserve"> </w:t>
      </w:r>
      <w:r w:rsidRPr="00820559">
        <w:rPr>
          <w:rFonts w:cs="Arial"/>
        </w:rPr>
        <w:t xml:space="preserve">of an interaction being rated as </w:t>
      </w:r>
      <w:r w:rsidR="00A1255E" w:rsidRPr="00820559">
        <w:rPr>
          <w:rFonts w:cs="Arial"/>
        </w:rPr>
        <w:t xml:space="preserve">negative </w:t>
      </w:r>
      <w:r w:rsidRPr="00820559">
        <w:rPr>
          <w:rFonts w:cs="Arial"/>
        </w:rPr>
        <w:t>(protective and restrictive combined)</w:t>
      </w:r>
      <w:r w:rsidR="00A1255E" w:rsidRPr="00820559">
        <w:rPr>
          <w:rFonts w:cs="Arial"/>
        </w:rPr>
        <w:t>.</w:t>
      </w:r>
      <w:r w:rsidR="009338F1">
        <w:rPr>
          <w:rFonts w:cs="Arial"/>
        </w:rPr>
        <w:t xml:space="preserve"> </w:t>
      </w:r>
      <w:r w:rsidR="001E6C7E" w:rsidRPr="004046AE">
        <w:rPr>
          <w:rFonts w:cs="Arial"/>
          <w:color w:val="000000" w:themeColor="text1"/>
        </w:rPr>
        <w:t>The</w:t>
      </w:r>
      <w:r w:rsidR="001E6C7E" w:rsidRPr="00820559">
        <w:rPr>
          <w:rFonts w:cs="Arial"/>
        </w:rPr>
        <w:t xml:space="preserve"> individual interactions recorded between patients and staff were considered as the</w:t>
      </w:r>
      <w:r w:rsidRPr="00820559">
        <w:rPr>
          <w:rFonts w:cs="Arial"/>
        </w:rPr>
        <w:t xml:space="preserve"> lowest level of the model</w:t>
      </w:r>
      <w:r w:rsidR="001E6C7E" w:rsidRPr="00820559">
        <w:rPr>
          <w:rFonts w:cs="Arial"/>
        </w:rPr>
        <w:t>. Patient, observation session and ward were included in the model as random effects</w:t>
      </w:r>
      <w:r w:rsidRPr="00820559">
        <w:rPr>
          <w:rFonts w:cs="Arial"/>
        </w:rPr>
        <w:t xml:space="preserve"> making up the higher three levels of the </w:t>
      </w:r>
      <w:r w:rsidRPr="00820559">
        <w:rPr>
          <w:rFonts w:cs="Arial"/>
        </w:rPr>
        <w:lastRenderedPageBreak/>
        <w:t>model</w:t>
      </w:r>
      <w:r w:rsidR="001E6C7E" w:rsidRPr="00820559">
        <w:rPr>
          <w:rFonts w:cs="Arial"/>
        </w:rPr>
        <w:t xml:space="preserve">. </w:t>
      </w:r>
      <w:r w:rsidR="00A1255E" w:rsidRPr="00820559">
        <w:rPr>
          <w:rFonts w:cs="Arial"/>
        </w:rPr>
        <w:t xml:space="preserve">Predictive </w:t>
      </w:r>
      <w:r w:rsidR="00EA0674">
        <w:rPr>
          <w:rFonts w:cs="Arial"/>
        </w:rPr>
        <w:t>variables</w:t>
      </w:r>
      <w:r w:rsidR="00EA0674" w:rsidRPr="00820559">
        <w:rPr>
          <w:rFonts w:cs="Arial"/>
        </w:rPr>
        <w:t xml:space="preserve"> </w:t>
      </w:r>
      <w:r w:rsidR="00A1255E" w:rsidRPr="00820559">
        <w:rPr>
          <w:rFonts w:cs="Arial"/>
        </w:rPr>
        <w:t>were included as fixed effects and presented</w:t>
      </w:r>
      <w:r w:rsidRPr="00820559">
        <w:rPr>
          <w:rFonts w:cs="Arial"/>
        </w:rPr>
        <w:t xml:space="preserve"> as odds ratios (OR) with 95% CI</w:t>
      </w:r>
      <w:r w:rsidR="00EA0674">
        <w:rPr>
          <w:rFonts w:cs="Arial"/>
        </w:rPr>
        <w:t>. Models were fitted including each predictive variable as a fixed effect on its own (Model A), all predictive variables (Model B) and a selection of predictive variables (Model C).</w:t>
      </w:r>
      <w:r w:rsidR="001C6E49" w:rsidRPr="00820559">
        <w:rPr>
          <w:rFonts w:cs="Arial"/>
        </w:rPr>
        <w:t xml:space="preserve"> </w:t>
      </w:r>
      <w:r w:rsidRPr="00820559">
        <w:rPr>
          <w:rFonts w:cs="Arial"/>
        </w:rPr>
        <w:t xml:space="preserve">Terms were deemed statistically significant at the 5% level by virtue of the 95%CI around an OR including the value 1.00 or not. </w:t>
      </w:r>
      <w:r w:rsidR="00A1255E" w:rsidRPr="00820559">
        <w:rPr>
          <w:rFonts w:cs="Arial"/>
        </w:rPr>
        <w:t>Models were estimated using the command xtmelogit in Stata 11.0 (StataCorp.2009.Stata Statistical Software:</w:t>
      </w:r>
      <w:r w:rsidR="00D80DC7">
        <w:rPr>
          <w:rFonts w:cs="Arial"/>
        </w:rPr>
        <w:t xml:space="preserve"> </w:t>
      </w:r>
      <w:r w:rsidR="00A1255E" w:rsidRPr="00820559">
        <w:rPr>
          <w:rFonts w:cs="Arial"/>
        </w:rPr>
        <w:t>Release 11. College Station, TX: StataCorp LP).</w:t>
      </w:r>
      <w:r w:rsidR="00027CAB" w:rsidRPr="00820559">
        <w:rPr>
          <w:rFonts w:cs="Arial"/>
        </w:rPr>
        <w:t xml:space="preserve"> </w:t>
      </w:r>
      <w:r w:rsidR="000D238B" w:rsidRPr="00820559">
        <w:rPr>
          <w:rFonts w:eastAsiaTheme="majorEastAsia" w:cs="Arial"/>
        </w:rPr>
        <w:t xml:space="preserve">Agreement was </w:t>
      </w:r>
      <w:r w:rsidR="00443FC5" w:rsidRPr="00820559">
        <w:rPr>
          <w:rFonts w:eastAsiaTheme="majorEastAsia" w:cs="Arial"/>
        </w:rPr>
        <w:t>assessed by calculating the Intra-class correlation</w:t>
      </w:r>
      <w:r w:rsidRPr="00820559">
        <w:rPr>
          <w:rFonts w:eastAsiaTheme="majorEastAsia" w:cs="Arial"/>
        </w:rPr>
        <w:t xml:space="preserve"> (ICC)</w:t>
      </w:r>
      <w:r w:rsidR="00443FC5" w:rsidRPr="00820559">
        <w:rPr>
          <w:rFonts w:eastAsiaTheme="majorEastAsia" w:cs="Arial"/>
        </w:rPr>
        <w:t xml:space="preserve"> for the number of interactions observed.</w:t>
      </w:r>
      <w:r w:rsidR="00443FC5" w:rsidRPr="00820559">
        <w:rPr>
          <w:rFonts w:cs="Arial"/>
        </w:rPr>
        <w:t xml:space="preserve"> </w:t>
      </w:r>
      <w:r w:rsidRPr="00820559">
        <w:rPr>
          <w:rFonts w:cs="Arial"/>
        </w:rPr>
        <w:t>ICCs for a</w:t>
      </w:r>
      <w:r w:rsidR="00443FC5" w:rsidRPr="00820559">
        <w:rPr>
          <w:rFonts w:cs="Arial"/>
        </w:rPr>
        <w:t xml:space="preserve">greement in the number of ratings recorded for each category, between the two observers, was also calculated. </w:t>
      </w:r>
      <w:r w:rsidR="007D400E">
        <w:rPr>
          <w:rFonts w:cs="Arial"/>
        </w:rPr>
        <w:t xml:space="preserve">ICCs were calculated using the one way </w:t>
      </w:r>
      <w:bookmarkStart w:id="0" w:name="_GoBack"/>
      <w:bookmarkEnd w:id="0"/>
      <w:r w:rsidR="007D400E">
        <w:rPr>
          <w:rFonts w:cs="Arial"/>
        </w:rPr>
        <w:t xml:space="preserve">random model for a single measure in command reliability in SPSS. </w:t>
      </w:r>
    </w:p>
    <w:p w14:paraId="1B051F82" w14:textId="77777777" w:rsidR="00A1255E" w:rsidRPr="00820559" w:rsidRDefault="00A1255E" w:rsidP="00A1255E">
      <w:pPr>
        <w:rPr>
          <w:rFonts w:cs="Arial"/>
        </w:rPr>
      </w:pPr>
    </w:p>
    <w:p w14:paraId="2E966EEE" w14:textId="77777777" w:rsidR="00F84CBB" w:rsidRPr="00820559" w:rsidRDefault="00F84CBB" w:rsidP="00F84CBB">
      <w:pPr>
        <w:rPr>
          <w:rFonts w:cs="Arial"/>
          <w:i/>
        </w:rPr>
      </w:pPr>
      <w:r w:rsidRPr="00820559">
        <w:rPr>
          <w:rFonts w:cs="Arial"/>
          <w:i/>
        </w:rPr>
        <w:t>2.</w:t>
      </w:r>
      <w:r w:rsidR="00E37CC7">
        <w:rPr>
          <w:rFonts w:cs="Arial"/>
          <w:i/>
        </w:rPr>
        <w:t>4</w:t>
      </w:r>
      <w:r w:rsidRPr="00820559">
        <w:rPr>
          <w:rFonts w:cs="Arial"/>
          <w:i/>
        </w:rPr>
        <w:t xml:space="preserve"> Ethics</w:t>
      </w:r>
    </w:p>
    <w:p w14:paraId="5C2A7CD9" w14:textId="77777777" w:rsidR="00721FB4" w:rsidRPr="00820559" w:rsidRDefault="00721FB4" w:rsidP="00721FB4">
      <w:pPr>
        <w:rPr>
          <w:rFonts w:cs="Arial"/>
        </w:rPr>
      </w:pPr>
    </w:p>
    <w:p w14:paraId="6504693F" w14:textId="77777777" w:rsidR="00FC6AEB" w:rsidRPr="00820559" w:rsidRDefault="00AC42FA" w:rsidP="00E37CC7">
      <w:pPr>
        <w:widowControl w:val="0"/>
        <w:autoSpaceDE w:val="0"/>
        <w:autoSpaceDN w:val="0"/>
        <w:adjustRightInd w:val="0"/>
        <w:spacing w:after="240"/>
        <w:rPr>
          <w:rFonts w:cs="Arial"/>
          <w:lang w:val="en-US" w:eastAsia="zh-CN"/>
        </w:rPr>
      </w:pPr>
      <w:r w:rsidRPr="00820559">
        <w:rPr>
          <w:rFonts w:cs="Arial"/>
          <w:iCs/>
          <w:lang w:eastAsia="zh-CN"/>
        </w:rPr>
        <w:t>P</w:t>
      </w:r>
      <w:r w:rsidR="00443FC5" w:rsidRPr="00820559">
        <w:rPr>
          <w:rFonts w:cs="Arial"/>
          <w:iCs/>
          <w:lang w:eastAsia="zh-CN"/>
        </w:rPr>
        <w:t xml:space="preserve">rocedures </w:t>
      </w:r>
      <w:r w:rsidRPr="00820559">
        <w:rPr>
          <w:rFonts w:cs="Arial"/>
          <w:iCs/>
          <w:lang w:eastAsia="zh-CN"/>
        </w:rPr>
        <w:t xml:space="preserve">were </w:t>
      </w:r>
      <w:r w:rsidR="00443FC5" w:rsidRPr="00820559">
        <w:rPr>
          <w:rFonts w:cs="Arial"/>
          <w:iCs/>
          <w:lang w:eastAsia="zh-CN"/>
        </w:rPr>
        <w:t>in place to ensure that the principles of the Mental Capacity Act (2005)</w:t>
      </w:r>
      <w:r w:rsidR="005E219E">
        <w:rPr>
          <w:rFonts w:cs="Arial"/>
          <w:iCs/>
          <w:lang w:eastAsia="zh-CN"/>
        </w:rPr>
        <w:fldChar w:fldCharType="begin" w:fldLock="1"/>
      </w:r>
      <w:r w:rsidR="00902D49">
        <w:rPr>
          <w:rFonts w:cs="Arial"/>
          <w:iCs/>
          <w:lang w:eastAsia="zh-CN"/>
        </w:rPr>
        <w:instrText>ADDIN CSL_CITATION { "citationItems" : [ { "id" : "ITEM-1", "itemData" : { "author" : [ { "dropping-particle" : "", "family" : "Department for Constitutional Affairs", "given" : "", "non-dropping-particle" : "", "parse-names" : false, "suffix" : "" } ], "id" : "ITEM-1", "issued" : { "date-parts" : [ [ "2007" ] ] }, "publisher-place" : "London: The Stationery Office", "title" : "Mental Capacity Act 2005 Code of Practice.", "type" : "report" }, "uris" : [ "http://www.mendeley.com/documents/?uuid=1d3d1a2f-2cf0-4576-9cbc-ffc134c6f817" ] } ], "mendeley" : { "formattedCitation" : "(Department for Constitutional Affairs, 2007)", "plainTextFormattedCitation" : "(Department for Constitutional Affairs, 2007)", "previouslyFormattedCitation" : "(Department for Constitutional Affairs, 2007)" }, "properties" : { "noteIndex" : 0 }, "schema" : "https://github.com/citation-style-language/schema/raw/master/csl-citation.json" }</w:instrText>
      </w:r>
      <w:r w:rsidR="005E219E">
        <w:rPr>
          <w:rFonts w:cs="Arial"/>
          <w:iCs/>
          <w:lang w:eastAsia="zh-CN"/>
        </w:rPr>
        <w:fldChar w:fldCharType="separate"/>
      </w:r>
      <w:r w:rsidR="00902D49" w:rsidRPr="00902D49">
        <w:rPr>
          <w:rFonts w:cs="Arial"/>
          <w:iCs/>
          <w:noProof/>
          <w:lang w:eastAsia="zh-CN"/>
        </w:rPr>
        <w:t>(Department for Constitutional Affairs, 2007)</w:t>
      </w:r>
      <w:r w:rsidR="005E219E">
        <w:rPr>
          <w:rFonts w:cs="Arial"/>
          <w:iCs/>
          <w:lang w:eastAsia="zh-CN"/>
        </w:rPr>
        <w:fldChar w:fldCharType="end"/>
      </w:r>
      <w:r w:rsidR="00443FC5" w:rsidRPr="00820559">
        <w:rPr>
          <w:rFonts w:cs="Arial"/>
          <w:iCs/>
          <w:lang w:eastAsia="zh-CN"/>
        </w:rPr>
        <w:t xml:space="preserve"> were adhered to. </w:t>
      </w:r>
      <w:r w:rsidR="00443FC5" w:rsidRPr="00820559">
        <w:rPr>
          <w:rFonts w:cs="Arial"/>
        </w:rPr>
        <w:t xml:space="preserve">Personal consultees were consulted if an individual patient was assessed as lacking mental capacity to decide about </w:t>
      </w:r>
      <w:r w:rsidRPr="00820559">
        <w:rPr>
          <w:rFonts w:cs="Arial"/>
        </w:rPr>
        <w:t xml:space="preserve">whether or not to take </w:t>
      </w:r>
      <w:r w:rsidR="00443FC5" w:rsidRPr="00820559">
        <w:rPr>
          <w:rFonts w:cs="Arial"/>
        </w:rPr>
        <w:t xml:space="preserve">part in the </w:t>
      </w:r>
      <w:r w:rsidRPr="00820559">
        <w:rPr>
          <w:rFonts w:cs="Arial"/>
        </w:rPr>
        <w:t>study</w:t>
      </w:r>
      <w:r w:rsidR="00443FC5" w:rsidRPr="00820559">
        <w:rPr>
          <w:rFonts w:cs="Arial"/>
        </w:rPr>
        <w:t>. Any staff, including non-nursing staff, who interacted with recruited patients during the observation sessions were included, unless they declined to participate</w:t>
      </w:r>
      <w:r w:rsidR="00443FC5" w:rsidRPr="00820559">
        <w:rPr>
          <w:rFonts w:cs="Arial"/>
          <w:b/>
          <w:bCs/>
          <w:lang w:val="en-US" w:eastAsia="zh-CN"/>
        </w:rPr>
        <w:t xml:space="preserve">. </w:t>
      </w:r>
      <w:r w:rsidR="00721FB4" w:rsidRPr="00820559">
        <w:rPr>
          <w:rFonts w:cs="Arial"/>
        </w:rPr>
        <w:t>Ethic</w:t>
      </w:r>
      <w:r w:rsidR="00A84045" w:rsidRPr="00820559">
        <w:rPr>
          <w:rFonts w:cs="Arial"/>
        </w:rPr>
        <w:t xml:space="preserve">al approval for the study </w:t>
      </w:r>
      <w:r w:rsidR="00721FB4" w:rsidRPr="00820559">
        <w:rPr>
          <w:rFonts w:cs="Arial"/>
        </w:rPr>
        <w:t xml:space="preserve">was granted </w:t>
      </w:r>
      <w:r w:rsidR="004C7514" w:rsidRPr="00820559">
        <w:rPr>
          <w:rFonts w:cs="Arial"/>
        </w:rPr>
        <w:t>by</w:t>
      </w:r>
      <w:r w:rsidR="00721FB4" w:rsidRPr="00820559">
        <w:rPr>
          <w:rFonts w:cs="Arial"/>
        </w:rPr>
        <w:t xml:space="preserve"> the </w:t>
      </w:r>
      <w:r w:rsidR="004C7514" w:rsidRPr="00820559">
        <w:rPr>
          <w:rFonts w:cs="Arial"/>
        </w:rPr>
        <w:t>Social Care Research Ethics Committee</w:t>
      </w:r>
      <w:r w:rsidR="008127A9" w:rsidRPr="00820559">
        <w:rPr>
          <w:rFonts w:cs="Arial"/>
        </w:rPr>
        <w:t xml:space="preserve"> for England: study reference number</w:t>
      </w:r>
      <w:r w:rsidR="00721FB4" w:rsidRPr="00820559">
        <w:rPr>
          <w:rFonts w:cs="Arial"/>
        </w:rPr>
        <w:t xml:space="preserve"> </w:t>
      </w:r>
      <w:r w:rsidR="00721FB4" w:rsidRPr="00820559">
        <w:rPr>
          <w:rFonts w:cs="Arial"/>
          <w:lang w:val="en-US" w:eastAsia="zh-CN"/>
        </w:rPr>
        <w:t>14/SC/1313</w:t>
      </w:r>
      <w:r w:rsidR="008127A9" w:rsidRPr="00820559">
        <w:rPr>
          <w:rFonts w:cs="Arial"/>
          <w:lang w:val="en-US" w:eastAsia="zh-CN"/>
        </w:rPr>
        <w:t xml:space="preserve">. </w:t>
      </w:r>
      <w:r w:rsidR="00F702E8" w:rsidRPr="00820559">
        <w:rPr>
          <w:rFonts w:cs="Arial"/>
          <w:lang w:val="en-US" w:eastAsia="zh-CN"/>
        </w:rPr>
        <w:t xml:space="preserve"> </w:t>
      </w:r>
    </w:p>
    <w:p w14:paraId="75467C9C" w14:textId="77777777" w:rsidR="007E0238" w:rsidRPr="00820559" w:rsidRDefault="007E0238" w:rsidP="003C67E2">
      <w:pPr>
        <w:widowControl w:val="0"/>
        <w:autoSpaceDE w:val="0"/>
        <w:autoSpaceDN w:val="0"/>
        <w:adjustRightInd w:val="0"/>
        <w:spacing w:after="240"/>
        <w:rPr>
          <w:rFonts w:cs="Arial"/>
          <w:b/>
          <w:bCs/>
          <w:lang w:val="en-US" w:eastAsia="zh-CN"/>
        </w:rPr>
      </w:pPr>
      <w:r w:rsidRPr="00820559">
        <w:rPr>
          <w:rFonts w:cs="Arial"/>
          <w:b/>
          <w:bCs/>
          <w:lang w:val="en-US" w:eastAsia="zh-CN"/>
        </w:rPr>
        <w:t>Results</w:t>
      </w:r>
    </w:p>
    <w:p w14:paraId="2C276E00" w14:textId="77777777" w:rsidR="001E1573" w:rsidRDefault="00F702E8" w:rsidP="001E1573">
      <w:pPr>
        <w:widowControl w:val="0"/>
        <w:autoSpaceDE w:val="0"/>
        <w:autoSpaceDN w:val="0"/>
        <w:adjustRightInd w:val="0"/>
        <w:spacing w:after="240"/>
        <w:rPr>
          <w:lang w:val="en-US"/>
        </w:rPr>
      </w:pPr>
      <w:r w:rsidRPr="00820559">
        <w:t>The care of 133 patients was observed over 120 hours of planned observation.</w:t>
      </w:r>
      <w:r w:rsidR="001E1573" w:rsidRPr="001E1573">
        <w:rPr>
          <w:rFonts w:cs="Arial"/>
          <w:lang w:val="en-US" w:eastAsia="zh-CN"/>
        </w:rPr>
        <w:t xml:space="preserve"> </w:t>
      </w:r>
      <w:r w:rsidR="001E1573" w:rsidRPr="00820559">
        <w:rPr>
          <w:rFonts w:cs="Arial"/>
          <w:lang w:val="en-US" w:eastAsia="zh-CN"/>
        </w:rPr>
        <w:t>The intra-class correlation coefficient for the number of interactions recorded by paired observers was 0.94 (95% CI 0.67 to 0.99, P&lt;0.001).</w:t>
      </w:r>
      <w:r w:rsidR="001E1573" w:rsidRPr="001E1573">
        <w:rPr>
          <w:rFonts w:cs="Arial"/>
          <w:lang w:val="en-US" w:eastAsia="zh-CN"/>
        </w:rPr>
        <w:t xml:space="preserve"> </w:t>
      </w:r>
      <w:r w:rsidRPr="00820559">
        <w:rPr>
          <w:lang w:val="en-US"/>
        </w:rPr>
        <w:t xml:space="preserve"> </w:t>
      </w:r>
      <w:r w:rsidR="001E1573" w:rsidRPr="00820559">
        <w:rPr>
          <w:lang w:val="en-US"/>
        </w:rPr>
        <w:t xml:space="preserve">During this time there were </w:t>
      </w:r>
      <w:r w:rsidR="001E1573" w:rsidRPr="00820559">
        <w:t>1554 interactions recorded</w:t>
      </w:r>
      <w:r w:rsidR="00902D49">
        <w:t>.</w:t>
      </w:r>
    </w:p>
    <w:p w14:paraId="7FB3BD41" w14:textId="77777777" w:rsidR="001E6C7E" w:rsidRDefault="001E1573" w:rsidP="001E1573">
      <w:pPr>
        <w:widowControl w:val="0"/>
        <w:autoSpaceDE w:val="0"/>
        <w:autoSpaceDN w:val="0"/>
        <w:adjustRightInd w:val="0"/>
        <w:spacing w:after="240"/>
        <w:rPr>
          <w:lang w:val="en-US"/>
        </w:rPr>
      </w:pPr>
      <w:r>
        <w:rPr>
          <w:lang w:val="en-US"/>
        </w:rPr>
        <w:t xml:space="preserve">Patients and interactions: </w:t>
      </w:r>
      <w:r w:rsidR="00F702E8" w:rsidRPr="00820559">
        <w:rPr>
          <w:lang w:val="en-US"/>
        </w:rPr>
        <w:t xml:space="preserve">The mean patient age was 83 years (range 18-101 years). </w:t>
      </w:r>
      <w:r w:rsidRPr="00820559">
        <w:rPr>
          <w:lang w:val="en-US"/>
        </w:rPr>
        <w:t xml:space="preserve">Seventy nine per cent were female (n=105). </w:t>
      </w:r>
      <w:r w:rsidR="00F702E8" w:rsidRPr="00820559">
        <w:rPr>
          <w:lang w:val="en-US"/>
        </w:rPr>
        <w:t>Thirty-one percent (n=</w:t>
      </w:r>
      <w:r w:rsidR="002540B6" w:rsidRPr="00820559">
        <w:rPr>
          <w:lang w:val="en-US"/>
        </w:rPr>
        <w:t xml:space="preserve">41) </w:t>
      </w:r>
      <w:r w:rsidR="00F702E8" w:rsidRPr="00820559">
        <w:rPr>
          <w:lang w:val="en-US"/>
        </w:rPr>
        <w:t xml:space="preserve">of patients </w:t>
      </w:r>
      <w:r w:rsidR="002540B6" w:rsidRPr="00820559">
        <w:rPr>
          <w:lang w:val="en-US"/>
        </w:rPr>
        <w:t>had</w:t>
      </w:r>
      <w:r w:rsidR="00F702E8" w:rsidRPr="00820559">
        <w:rPr>
          <w:lang w:val="en-US"/>
        </w:rPr>
        <w:t xml:space="preserve"> evidence of cognitive impairment</w:t>
      </w:r>
      <w:r w:rsidR="001E6C7E" w:rsidRPr="00820559">
        <w:rPr>
          <w:lang w:val="en-US"/>
        </w:rPr>
        <w:t xml:space="preserve">. </w:t>
      </w:r>
      <w:r w:rsidRPr="00980198">
        <w:rPr>
          <w:rFonts w:cs="Arial"/>
          <w:lang w:val="en-US" w:eastAsia="zh-CN"/>
        </w:rPr>
        <w:t>The</w:t>
      </w:r>
      <w:r w:rsidRPr="00DD44CF">
        <w:rPr>
          <w:rFonts w:cs="Arial"/>
          <w:lang w:val="en-US" w:eastAsia="zh-CN"/>
        </w:rPr>
        <w:t xml:space="preserve"> proportion of positive interactions was the same for patients with / without cognitive impairment.</w:t>
      </w:r>
      <w:r w:rsidRPr="001E1573">
        <w:rPr>
          <w:lang w:val="en-US"/>
        </w:rPr>
        <w:t xml:space="preserve"> </w:t>
      </w:r>
      <w:r>
        <w:rPr>
          <w:lang w:val="en-US"/>
        </w:rPr>
        <w:t>T</w:t>
      </w:r>
      <w:r w:rsidRPr="00820559">
        <w:rPr>
          <w:lang w:val="en-US"/>
        </w:rPr>
        <w:t xml:space="preserve">he patient was not agitated at the outset of most interactions (n=1491, 96%). </w:t>
      </w:r>
    </w:p>
    <w:p w14:paraId="2D705CDA" w14:textId="77777777" w:rsidR="001E1573" w:rsidRDefault="001E1573" w:rsidP="001E1573">
      <w:pPr>
        <w:widowControl w:val="0"/>
        <w:autoSpaceDE w:val="0"/>
        <w:autoSpaceDN w:val="0"/>
        <w:adjustRightInd w:val="0"/>
        <w:spacing w:after="240"/>
        <w:rPr>
          <w:lang w:val="en-US"/>
        </w:rPr>
      </w:pPr>
      <w:r>
        <w:rPr>
          <w:lang w:val="en-US"/>
        </w:rPr>
        <w:t xml:space="preserve">Length of interaction: </w:t>
      </w:r>
      <w:r w:rsidRPr="00820559">
        <w:rPr>
          <w:lang w:val="en-US"/>
        </w:rPr>
        <w:t>There was a mean of six interactions per patient per hour (range 1 to 20) (</w:t>
      </w:r>
      <w:r>
        <w:rPr>
          <w:lang w:val="en-US"/>
        </w:rPr>
        <w:t>t</w:t>
      </w:r>
      <w:r w:rsidRPr="00820559">
        <w:rPr>
          <w:lang w:val="en-US"/>
        </w:rPr>
        <w:t xml:space="preserve">able 2). The mean length of interaction was 101 seconds with a median of 36 seconds (range 0 to 2337 seconds, or 0 to 39 minutes). </w:t>
      </w:r>
    </w:p>
    <w:p w14:paraId="4AA6E2F3" w14:textId="77777777" w:rsidR="001E1573" w:rsidRDefault="001E1573" w:rsidP="001E1573">
      <w:pPr>
        <w:widowControl w:val="0"/>
        <w:autoSpaceDE w:val="0"/>
        <w:autoSpaceDN w:val="0"/>
        <w:adjustRightInd w:val="0"/>
        <w:spacing w:after="240"/>
        <w:rPr>
          <w:rFonts w:cs="Arial"/>
          <w:lang w:val="en-US" w:eastAsia="zh-CN"/>
        </w:rPr>
      </w:pPr>
      <w:r>
        <w:rPr>
          <w:rFonts w:cs="Arial"/>
          <w:lang w:val="en-US" w:eastAsia="zh-CN"/>
        </w:rPr>
        <w:t>Interaction rating: Sixty percent of</w:t>
      </w:r>
      <w:r w:rsidRPr="00820559">
        <w:rPr>
          <w:rFonts w:cs="Arial"/>
          <w:lang w:val="en-US" w:eastAsia="zh-CN"/>
        </w:rPr>
        <w:t xml:space="preserve"> interactions (n=927) were rated as positive care. In addition, 13% (n=204) of interactions attracted the rating of positive social. Ten per cent (n=156) of interactions were classified as negative, of which over half 6% (n=97) were given the lowest rating of negative restrictive</w:t>
      </w:r>
      <w:r>
        <w:rPr>
          <w:rFonts w:cs="Arial"/>
          <w:lang w:val="en-US" w:eastAsia="zh-CN"/>
        </w:rPr>
        <w:t>. Forty</w:t>
      </w:r>
      <w:r w:rsidRPr="00DD44CF">
        <w:rPr>
          <w:rFonts w:cs="Calibri"/>
          <w:lang w:val="en-US" w:eastAsia="zh-CN"/>
        </w:rPr>
        <w:t xml:space="preserve"> percent</w:t>
      </w:r>
      <w:r>
        <w:rPr>
          <w:rFonts w:cs="Calibri"/>
          <w:lang w:val="en-US" w:eastAsia="zh-CN"/>
        </w:rPr>
        <w:t xml:space="preserve"> (47; 95% CI 32% to 49%)</w:t>
      </w:r>
      <w:r w:rsidRPr="00DD44CF">
        <w:rPr>
          <w:rFonts w:cs="Calibri"/>
          <w:lang w:val="en-US" w:eastAsia="zh-CN"/>
        </w:rPr>
        <w:t xml:space="preserve"> of patients</w:t>
      </w:r>
      <w:r>
        <w:rPr>
          <w:rFonts w:cs="Calibri"/>
          <w:lang w:val="en-US" w:eastAsia="zh-CN"/>
        </w:rPr>
        <w:t xml:space="preserve"> with two hours of observation (n=117)</w:t>
      </w:r>
      <w:r w:rsidRPr="00DD44CF">
        <w:rPr>
          <w:rFonts w:cs="Calibri"/>
          <w:lang w:val="en-US" w:eastAsia="zh-CN"/>
        </w:rPr>
        <w:t xml:space="preserve"> had at least one negative interaction.</w:t>
      </w:r>
      <w:r w:rsidRPr="00820559">
        <w:rPr>
          <w:rFonts w:cs="Arial"/>
          <w:lang w:val="en-US" w:eastAsia="zh-CN"/>
        </w:rPr>
        <w:t xml:space="preserve"> </w:t>
      </w:r>
    </w:p>
    <w:p w14:paraId="7F5D5040" w14:textId="77777777" w:rsidR="008F1660" w:rsidRDefault="008F1660" w:rsidP="008F1660">
      <w:pPr>
        <w:widowControl w:val="0"/>
        <w:autoSpaceDE w:val="0"/>
        <w:autoSpaceDN w:val="0"/>
        <w:adjustRightInd w:val="0"/>
        <w:spacing w:after="240"/>
        <w:rPr>
          <w:lang w:val="en-US"/>
        </w:rPr>
      </w:pPr>
      <w:r>
        <w:rPr>
          <w:lang w:val="en-US"/>
        </w:rPr>
        <w:t>Initiation of interactions: Eighty-one percent of</w:t>
      </w:r>
      <w:r w:rsidRPr="00820559">
        <w:rPr>
          <w:lang w:val="en-US"/>
        </w:rPr>
        <w:t xml:space="preserve"> interactions were initiated by staff rather than patients (n=1262) and </w:t>
      </w:r>
      <w:r>
        <w:rPr>
          <w:lang w:val="en-US"/>
        </w:rPr>
        <w:t>m</w:t>
      </w:r>
      <w:r w:rsidRPr="00820559">
        <w:rPr>
          <w:lang w:val="en-US"/>
        </w:rPr>
        <w:t xml:space="preserve">ost were two-way interactions, that is the patient and staff member(s) were involved (n=1322, 85%). Interactions typically </w:t>
      </w:r>
      <w:r>
        <w:rPr>
          <w:lang w:val="en-US"/>
        </w:rPr>
        <w:t>occurred with</w:t>
      </w:r>
      <w:r w:rsidRPr="00820559">
        <w:rPr>
          <w:lang w:val="en-US"/>
        </w:rPr>
        <w:t xml:space="preserve"> no visitors </w:t>
      </w:r>
      <w:r w:rsidRPr="00820559">
        <w:rPr>
          <w:lang w:val="en-US"/>
        </w:rPr>
        <w:lastRenderedPageBreak/>
        <w:t>present (n=1454, 94%)</w:t>
      </w:r>
      <w:r>
        <w:rPr>
          <w:lang w:val="en-US"/>
        </w:rPr>
        <w:t>.</w:t>
      </w:r>
    </w:p>
    <w:p w14:paraId="39DCAE7F" w14:textId="77777777" w:rsidR="001E1573" w:rsidRPr="008F1660" w:rsidRDefault="008F1660" w:rsidP="008F1660">
      <w:pPr>
        <w:widowControl w:val="0"/>
        <w:autoSpaceDE w:val="0"/>
        <w:autoSpaceDN w:val="0"/>
        <w:adjustRightInd w:val="0"/>
        <w:spacing w:after="240"/>
        <w:rPr>
          <w:rFonts w:cs="Arial"/>
          <w:lang w:val="en-US" w:eastAsia="zh-CN"/>
        </w:rPr>
      </w:pPr>
      <w:r>
        <w:rPr>
          <w:lang w:val="en-US"/>
        </w:rPr>
        <w:t xml:space="preserve">Type of interaction: </w:t>
      </w:r>
      <w:r w:rsidRPr="00820559">
        <w:rPr>
          <w:rFonts w:cs="Arial"/>
          <w:lang w:val="en-US" w:eastAsia="zh-CN"/>
        </w:rPr>
        <w:t>Twenty-eight percent (n=439) of interactions were classed as functional (including delivery of food and drink, bed-making, documentation and patient transfer), 25% (n=383) were focused on communication, and 22% (n=345) were focused on delivery of personal care (table 3).</w:t>
      </w:r>
    </w:p>
    <w:p w14:paraId="621F12BB" w14:textId="77777777" w:rsidR="00392BD5" w:rsidRPr="00902D49" w:rsidRDefault="00392BD5" w:rsidP="001E1573">
      <w:pPr>
        <w:widowControl w:val="0"/>
        <w:autoSpaceDE w:val="0"/>
        <w:autoSpaceDN w:val="0"/>
        <w:adjustRightInd w:val="0"/>
        <w:spacing w:after="240"/>
        <w:rPr>
          <w:rFonts w:cs="Arial"/>
          <w:lang w:val="en-US" w:eastAsia="zh-CN"/>
        </w:rPr>
      </w:pPr>
      <w:r>
        <w:rPr>
          <w:lang w:val="en-US"/>
        </w:rPr>
        <w:t xml:space="preserve">Staff and interactions: </w:t>
      </w:r>
      <w:r w:rsidR="00921BA7" w:rsidRPr="00820559">
        <w:rPr>
          <w:lang w:val="en-US"/>
        </w:rPr>
        <w:t>On average 4.5 registered nurses</w:t>
      </w:r>
      <w:r w:rsidR="00595DE8" w:rsidRPr="00820559">
        <w:rPr>
          <w:lang w:val="en-US"/>
        </w:rPr>
        <w:t xml:space="preserve"> (RN)</w:t>
      </w:r>
      <w:r w:rsidR="00921BA7" w:rsidRPr="00820559">
        <w:rPr>
          <w:lang w:val="en-US"/>
        </w:rPr>
        <w:t xml:space="preserve"> and 3.8 health care assistants </w:t>
      </w:r>
      <w:r w:rsidR="00380E89" w:rsidRPr="00820559">
        <w:rPr>
          <w:lang w:val="en-US"/>
        </w:rPr>
        <w:t xml:space="preserve">(HCA) </w:t>
      </w:r>
      <w:r w:rsidR="00921BA7" w:rsidRPr="00820559">
        <w:rPr>
          <w:lang w:val="en-US"/>
        </w:rPr>
        <w:t xml:space="preserve">were </w:t>
      </w:r>
      <w:r w:rsidR="0077400E" w:rsidRPr="00820559">
        <w:rPr>
          <w:lang w:val="en-US"/>
        </w:rPr>
        <w:t xml:space="preserve">present on the ward at the start of </w:t>
      </w:r>
      <w:r w:rsidR="00AC42FA" w:rsidRPr="00820559">
        <w:rPr>
          <w:lang w:val="en-US"/>
        </w:rPr>
        <w:t xml:space="preserve">an </w:t>
      </w:r>
      <w:r w:rsidR="0077400E" w:rsidRPr="00820559">
        <w:rPr>
          <w:lang w:val="en-US"/>
        </w:rPr>
        <w:t>observation session</w:t>
      </w:r>
      <w:r w:rsidR="009B58C0" w:rsidRPr="00820559">
        <w:rPr>
          <w:lang w:val="en-US"/>
        </w:rPr>
        <w:t xml:space="preserve">, </w:t>
      </w:r>
      <w:r w:rsidR="00D91ACD" w:rsidRPr="00820559">
        <w:rPr>
          <w:lang w:val="en-US"/>
        </w:rPr>
        <w:t>with</w:t>
      </w:r>
      <w:r w:rsidR="00921BA7" w:rsidRPr="00820559">
        <w:rPr>
          <w:lang w:val="en-US"/>
        </w:rPr>
        <w:t xml:space="preserve"> a mean of 3.5 patients per </w:t>
      </w:r>
      <w:r w:rsidR="00595DE8" w:rsidRPr="00820559">
        <w:rPr>
          <w:lang w:val="en-US"/>
        </w:rPr>
        <w:t xml:space="preserve">RN </w:t>
      </w:r>
      <w:r w:rsidR="00CB3D10" w:rsidRPr="00820559">
        <w:rPr>
          <w:lang w:val="en-US"/>
        </w:rPr>
        <w:t>+</w:t>
      </w:r>
      <w:r w:rsidR="00595DE8" w:rsidRPr="00820559">
        <w:rPr>
          <w:lang w:val="en-US"/>
        </w:rPr>
        <w:t xml:space="preserve"> HCA </w:t>
      </w:r>
      <w:r w:rsidR="00921BA7" w:rsidRPr="00820559">
        <w:rPr>
          <w:lang w:val="en-US"/>
        </w:rPr>
        <w:t>(range 1</w:t>
      </w:r>
      <w:r w:rsidR="00AC42FA" w:rsidRPr="00820559">
        <w:rPr>
          <w:lang w:val="en-US"/>
        </w:rPr>
        <w:t xml:space="preserve"> to </w:t>
      </w:r>
      <w:r w:rsidR="00921BA7" w:rsidRPr="00820559">
        <w:rPr>
          <w:lang w:val="en-US"/>
        </w:rPr>
        <w:t>5.7)</w:t>
      </w:r>
      <w:r w:rsidR="0077400E" w:rsidRPr="00820559">
        <w:rPr>
          <w:lang w:val="en-US"/>
        </w:rPr>
        <w:t xml:space="preserve"> (table </w:t>
      </w:r>
      <w:r w:rsidR="004F2402" w:rsidRPr="00820559">
        <w:rPr>
          <w:lang w:val="en-US"/>
        </w:rPr>
        <w:t>2</w:t>
      </w:r>
      <w:r w:rsidR="0077400E" w:rsidRPr="00820559">
        <w:rPr>
          <w:lang w:val="en-US"/>
        </w:rPr>
        <w:t>)</w:t>
      </w:r>
      <w:r w:rsidR="00921BA7" w:rsidRPr="00820559">
        <w:rPr>
          <w:lang w:val="en-US"/>
        </w:rPr>
        <w:t xml:space="preserve">. </w:t>
      </w:r>
      <w:r w:rsidRPr="00820559">
        <w:rPr>
          <w:rFonts w:cs="Arial"/>
          <w:lang w:val="en-US" w:eastAsia="zh-CN"/>
        </w:rPr>
        <w:t xml:space="preserve">Registered nurses were involved in the largest proportion of interactions (n=596, 38%) followed by HCAs (n=572, 37%) (table 4). </w:t>
      </w:r>
      <w:r w:rsidR="001E1573" w:rsidRPr="001E1573">
        <w:rPr>
          <w:rFonts w:cs="Arial"/>
          <w:lang w:val="en-US" w:eastAsia="zh-CN"/>
        </w:rPr>
        <w:t xml:space="preserve"> </w:t>
      </w:r>
      <w:r w:rsidR="001E1573" w:rsidRPr="00DD44CF">
        <w:rPr>
          <w:rFonts w:cs="Arial"/>
          <w:lang w:val="en-US" w:eastAsia="zh-CN"/>
        </w:rPr>
        <w:t>Quality of interactions between patients and registered nurses a</w:t>
      </w:r>
      <w:r w:rsidR="001E1573">
        <w:rPr>
          <w:rFonts w:cs="Arial"/>
          <w:lang w:val="en-US" w:eastAsia="zh-CN"/>
        </w:rPr>
        <w:t xml:space="preserve">nd HCAs appeared to be similar; </w:t>
      </w:r>
      <w:r w:rsidR="001E1573" w:rsidRPr="00DD44CF">
        <w:rPr>
          <w:rFonts w:cs="Arial"/>
          <w:lang w:val="en-US" w:eastAsia="zh-CN"/>
        </w:rPr>
        <w:t>Seventy six percent of interactions involving registered nurses were rated as positive compared to 80% for HCAs (</w:t>
      </w:r>
      <w:r w:rsidR="001E1573">
        <w:rPr>
          <w:rFonts w:cs="Arial"/>
          <w:lang w:val="en-US" w:eastAsia="zh-CN"/>
        </w:rPr>
        <w:t>t</w:t>
      </w:r>
      <w:r w:rsidR="001E1573" w:rsidRPr="00DD44CF">
        <w:rPr>
          <w:rFonts w:cs="Arial"/>
          <w:lang w:val="en-US" w:eastAsia="zh-CN"/>
        </w:rPr>
        <w:t xml:space="preserve">able </w:t>
      </w:r>
      <w:r w:rsidR="001E1573" w:rsidRPr="00980198">
        <w:rPr>
          <w:rFonts w:cs="Arial"/>
          <w:lang w:val="en-US" w:eastAsia="zh-CN"/>
        </w:rPr>
        <w:t>4)</w:t>
      </w:r>
      <w:r w:rsidR="001E1573" w:rsidRPr="002D7700">
        <w:rPr>
          <w:rStyle w:val="CommentReference"/>
          <w:sz w:val="24"/>
          <w:szCs w:val="24"/>
        </w:rPr>
        <w:t xml:space="preserve">. </w:t>
      </w:r>
      <w:r w:rsidR="001E1573">
        <w:rPr>
          <w:lang w:val="en-US"/>
        </w:rPr>
        <w:t xml:space="preserve">Ninety-one percent of interactions </w:t>
      </w:r>
      <w:r w:rsidR="001E1573" w:rsidRPr="00820559">
        <w:rPr>
          <w:lang w:val="en-US"/>
        </w:rPr>
        <w:t>involved just one member of staff (n=1420).</w:t>
      </w:r>
    </w:p>
    <w:p w14:paraId="5D1E6C8B" w14:textId="77777777" w:rsidR="00C4263F" w:rsidRPr="00DD44CF" w:rsidRDefault="00392BD5" w:rsidP="001E1573">
      <w:pPr>
        <w:widowControl w:val="0"/>
        <w:autoSpaceDE w:val="0"/>
        <w:autoSpaceDN w:val="0"/>
        <w:adjustRightInd w:val="0"/>
        <w:spacing w:after="240"/>
        <w:rPr>
          <w:rFonts w:cs="Arial"/>
          <w:lang w:val="en-US" w:eastAsia="zh-CN"/>
        </w:rPr>
      </w:pPr>
      <w:r>
        <w:rPr>
          <w:rFonts w:cs="Arial"/>
          <w:lang w:val="en-US" w:eastAsia="zh-CN"/>
        </w:rPr>
        <w:t xml:space="preserve">Wards and session level: </w:t>
      </w:r>
      <w:r w:rsidR="00D91E07" w:rsidRPr="00DD44CF">
        <w:rPr>
          <w:rFonts w:cs="Arial"/>
          <w:lang w:val="en-US" w:eastAsia="zh-CN"/>
        </w:rPr>
        <w:t>Wide v</w:t>
      </w:r>
      <w:r w:rsidR="0078751E" w:rsidRPr="00DD44CF">
        <w:rPr>
          <w:rFonts w:cs="Arial"/>
          <w:lang w:val="en-US" w:eastAsia="zh-CN"/>
        </w:rPr>
        <w:t>ariation between wards is evident</w:t>
      </w:r>
      <w:r w:rsidR="00F93087" w:rsidRPr="00DD44CF">
        <w:rPr>
          <w:rFonts w:cs="Arial"/>
          <w:lang w:val="en-US" w:eastAsia="zh-CN"/>
        </w:rPr>
        <w:t xml:space="preserve">, with negative </w:t>
      </w:r>
      <w:r w:rsidR="00191840">
        <w:rPr>
          <w:rFonts w:cs="Arial"/>
          <w:lang w:val="en-US" w:eastAsia="zh-CN"/>
        </w:rPr>
        <w:t xml:space="preserve">restrictive </w:t>
      </w:r>
      <w:r w:rsidR="00F93087" w:rsidRPr="00DD44CF">
        <w:rPr>
          <w:rFonts w:cs="Arial"/>
          <w:lang w:val="en-US" w:eastAsia="zh-CN"/>
        </w:rPr>
        <w:t>ratings ranging from 3</w:t>
      </w:r>
      <w:r w:rsidR="00AC42FA" w:rsidRPr="00DD44CF">
        <w:rPr>
          <w:rFonts w:cs="Arial"/>
          <w:lang w:val="en-US" w:eastAsia="zh-CN"/>
        </w:rPr>
        <w:t xml:space="preserve"> to </w:t>
      </w:r>
      <w:r w:rsidR="00F93087" w:rsidRPr="00DD44CF">
        <w:rPr>
          <w:rFonts w:cs="Arial"/>
          <w:lang w:val="en-US" w:eastAsia="zh-CN"/>
        </w:rPr>
        <w:t>18%</w:t>
      </w:r>
      <w:r w:rsidR="00D91E07" w:rsidRPr="00DD44CF">
        <w:rPr>
          <w:rFonts w:cs="Arial"/>
          <w:lang w:val="en-US" w:eastAsia="zh-CN"/>
        </w:rPr>
        <w:t xml:space="preserve"> of interactions on individual wards</w:t>
      </w:r>
      <w:r w:rsidR="00F93087" w:rsidRPr="00DD44CF">
        <w:rPr>
          <w:rFonts w:cs="Arial"/>
          <w:lang w:val="en-US" w:eastAsia="zh-CN"/>
        </w:rPr>
        <w:t xml:space="preserve">. </w:t>
      </w:r>
      <w:r w:rsidR="00D91E07" w:rsidRPr="00DD44CF">
        <w:rPr>
          <w:rFonts w:cs="Arial"/>
          <w:lang w:val="en-US" w:eastAsia="zh-CN"/>
        </w:rPr>
        <w:t>P</w:t>
      </w:r>
      <w:r w:rsidR="00BA46A0" w:rsidRPr="00DD44CF">
        <w:rPr>
          <w:rFonts w:cs="Arial"/>
          <w:lang w:val="en-US" w:eastAsia="zh-CN"/>
        </w:rPr>
        <w:t xml:space="preserve">ositive ratings (positive social and positive care combined) </w:t>
      </w:r>
      <w:r w:rsidR="00D91E07" w:rsidRPr="00DD44CF">
        <w:rPr>
          <w:rFonts w:cs="Arial"/>
          <w:lang w:val="en-US" w:eastAsia="zh-CN"/>
        </w:rPr>
        <w:t xml:space="preserve">on individual wards </w:t>
      </w:r>
      <w:r w:rsidR="00BA46A0" w:rsidRPr="00DD44CF">
        <w:rPr>
          <w:rFonts w:cs="Arial"/>
          <w:lang w:val="en-US" w:eastAsia="zh-CN"/>
        </w:rPr>
        <w:t>ranged from 65</w:t>
      </w:r>
      <w:r w:rsidR="00AC42FA" w:rsidRPr="00DD44CF">
        <w:rPr>
          <w:rFonts w:cs="Arial"/>
          <w:lang w:val="en-US" w:eastAsia="zh-CN"/>
        </w:rPr>
        <w:t xml:space="preserve"> to </w:t>
      </w:r>
      <w:r w:rsidR="00BA46A0" w:rsidRPr="00DD44CF">
        <w:rPr>
          <w:rFonts w:cs="Arial"/>
          <w:lang w:val="en-US" w:eastAsia="zh-CN"/>
        </w:rPr>
        <w:t xml:space="preserve">82%. </w:t>
      </w:r>
    </w:p>
    <w:p w14:paraId="7336FDD0" w14:textId="45A15F9B" w:rsidR="00E940EB" w:rsidRPr="00DD44CF" w:rsidRDefault="00E940EB" w:rsidP="00945C38">
      <w:pPr>
        <w:widowControl w:val="0"/>
        <w:autoSpaceDE w:val="0"/>
        <w:autoSpaceDN w:val="0"/>
        <w:adjustRightInd w:val="0"/>
        <w:spacing w:after="240"/>
        <w:rPr>
          <w:rFonts w:cs="Arial"/>
          <w:lang w:val="en-US" w:eastAsia="zh-CN"/>
        </w:rPr>
      </w:pPr>
      <w:r w:rsidRPr="00DD44CF">
        <w:rPr>
          <w:rFonts w:cs="Arial"/>
          <w:lang w:val="en-US" w:eastAsia="zh-CN"/>
        </w:rPr>
        <w:t xml:space="preserve">In the </w:t>
      </w:r>
      <w:r w:rsidR="00EA0674">
        <w:rPr>
          <w:rFonts w:cs="Arial"/>
          <w:lang w:val="en-US" w:eastAsia="zh-CN"/>
        </w:rPr>
        <w:t xml:space="preserve">initial multilevel model (Model A) </w:t>
      </w:r>
      <w:r w:rsidRPr="00DD44CF">
        <w:rPr>
          <w:rFonts w:cs="Arial"/>
          <w:lang w:val="en-US" w:eastAsia="zh-CN"/>
        </w:rPr>
        <w:t>logistic model</w:t>
      </w:r>
      <w:r w:rsidR="006B5BD3" w:rsidRPr="00DD44CF">
        <w:rPr>
          <w:rFonts w:cs="Arial"/>
          <w:lang w:val="en-US" w:eastAsia="zh-CN"/>
        </w:rPr>
        <w:t xml:space="preserve"> </w:t>
      </w:r>
      <w:r w:rsidR="00AC42FA" w:rsidRPr="00DD44CF">
        <w:rPr>
          <w:rFonts w:cs="Arial"/>
          <w:lang w:val="en-US" w:eastAsia="zh-CN"/>
        </w:rPr>
        <w:t>of predictors of a negative</w:t>
      </w:r>
      <w:r w:rsidR="00191840">
        <w:rPr>
          <w:rFonts w:cs="Arial"/>
          <w:lang w:val="en-US" w:eastAsia="zh-CN"/>
        </w:rPr>
        <w:t xml:space="preserve"> (combined protective and restrictive)</w:t>
      </w:r>
      <w:r w:rsidR="00AC42FA" w:rsidRPr="00DD44CF">
        <w:rPr>
          <w:rFonts w:cs="Arial"/>
          <w:lang w:val="en-US" w:eastAsia="zh-CN"/>
        </w:rPr>
        <w:t xml:space="preserve"> interaction </w:t>
      </w:r>
      <w:r w:rsidR="006B5BD3" w:rsidRPr="00DD44CF">
        <w:rPr>
          <w:rFonts w:cs="Arial"/>
          <w:lang w:val="en-US" w:eastAsia="zh-CN"/>
        </w:rPr>
        <w:t>(table 5</w:t>
      </w:r>
      <w:r w:rsidR="00511A43" w:rsidRPr="00DD44CF">
        <w:rPr>
          <w:rFonts w:cs="Arial"/>
          <w:lang w:val="en-US" w:eastAsia="zh-CN"/>
        </w:rPr>
        <w:t>)</w:t>
      </w:r>
      <w:r w:rsidRPr="00DD44CF">
        <w:rPr>
          <w:rFonts w:cs="Arial"/>
          <w:lang w:val="en-US" w:eastAsia="zh-CN"/>
        </w:rPr>
        <w:t xml:space="preserve"> increasing age, agitation</w:t>
      </w:r>
      <w:r w:rsidR="000B514A">
        <w:rPr>
          <w:rFonts w:cs="Arial"/>
          <w:lang w:val="en-US" w:eastAsia="zh-CN"/>
        </w:rPr>
        <w:t xml:space="preserve"> at outset of interaction</w:t>
      </w:r>
      <w:r w:rsidRPr="00DD44CF">
        <w:rPr>
          <w:rFonts w:cs="Arial"/>
          <w:lang w:val="en-US" w:eastAsia="zh-CN"/>
        </w:rPr>
        <w:t>, interactions initiated by the patient,</w:t>
      </w:r>
      <w:r w:rsidR="00D91E07" w:rsidRPr="00DD44CF">
        <w:rPr>
          <w:rFonts w:cs="Arial"/>
          <w:lang w:val="en-US" w:eastAsia="zh-CN"/>
        </w:rPr>
        <w:t xml:space="preserve"> one way communication, having two</w:t>
      </w:r>
      <w:r w:rsidRPr="00DD44CF">
        <w:rPr>
          <w:rFonts w:cs="Arial"/>
          <w:lang w:val="en-US" w:eastAsia="zh-CN"/>
        </w:rPr>
        <w:t xml:space="preserve"> staff involved and a higher total number of interactions as well as some specific types of interaction content were associated with</w:t>
      </w:r>
      <w:r w:rsidR="00AC42FA" w:rsidRPr="00DD44CF">
        <w:rPr>
          <w:rFonts w:cs="Arial"/>
          <w:lang w:val="en-US" w:eastAsia="zh-CN"/>
        </w:rPr>
        <w:t xml:space="preserve"> statistically significantly</w:t>
      </w:r>
      <w:r w:rsidRPr="00DD44CF">
        <w:rPr>
          <w:rFonts w:cs="Arial"/>
          <w:lang w:val="en-US" w:eastAsia="zh-CN"/>
        </w:rPr>
        <w:t xml:space="preserve"> increased odds of negative interaction</w:t>
      </w:r>
      <w:r w:rsidR="00AC42FA" w:rsidRPr="00DD44CF">
        <w:rPr>
          <w:rFonts w:cs="Arial"/>
          <w:lang w:val="en-US" w:eastAsia="zh-CN"/>
        </w:rPr>
        <w:t xml:space="preserve">. </w:t>
      </w:r>
      <w:r w:rsidR="00EA0674">
        <w:rPr>
          <w:rFonts w:cs="Arial"/>
          <w:lang w:val="en-US" w:eastAsia="zh-CN"/>
        </w:rPr>
        <w:t xml:space="preserve">For example, as patient age increases by 1 year, the odds of having a negative interaction will increase by 5%. </w:t>
      </w:r>
      <w:r w:rsidR="00AC42FA" w:rsidRPr="00DD44CF">
        <w:rPr>
          <w:rFonts w:cs="Arial"/>
          <w:lang w:val="en-US" w:eastAsia="zh-CN"/>
        </w:rPr>
        <w:t>The p</w:t>
      </w:r>
      <w:r w:rsidRPr="00DD44CF">
        <w:rPr>
          <w:rFonts w:cs="Arial"/>
          <w:lang w:val="en-US" w:eastAsia="zh-CN"/>
        </w:rPr>
        <w:t>resence of a visitor reduced the odds of a negative interaction</w:t>
      </w:r>
      <w:r w:rsidR="00945C38" w:rsidRPr="00DD44CF">
        <w:rPr>
          <w:rFonts w:cs="Arial"/>
          <w:lang w:val="en-US" w:eastAsia="zh-CN"/>
        </w:rPr>
        <w:t>.</w:t>
      </w:r>
      <w:r w:rsidRPr="00DD44CF">
        <w:rPr>
          <w:rFonts w:cs="Arial"/>
          <w:lang w:val="en-US" w:eastAsia="zh-CN"/>
        </w:rPr>
        <w:t xml:space="preserve"> </w:t>
      </w:r>
      <w:r w:rsidR="00945C38" w:rsidRPr="00DD44CF">
        <w:rPr>
          <w:rFonts w:cs="Arial"/>
          <w:lang w:val="en-US" w:eastAsia="zh-CN"/>
        </w:rPr>
        <w:t xml:space="preserve">There was a trend to </w:t>
      </w:r>
      <w:r w:rsidR="00527854" w:rsidRPr="00DD44CF">
        <w:rPr>
          <w:rFonts w:cs="Arial"/>
          <w:lang w:val="en-US" w:eastAsia="zh-CN"/>
        </w:rPr>
        <w:t xml:space="preserve">marginally </w:t>
      </w:r>
      <w:r w:rsidR="00AC42FA" w:rsidRPr="00DD44CF">
        <w:rPr>
          <w:rFonts w:cs="Arial"/>
          <w:lang w:val="en-US" w:eastAsia="zh-CN"/>
        </w:rPr>
        <w:t>reduced odds</w:t>
      </w:r>
      <w:r w:rsidR="00945C38" w:rsidRPr="00DD44CF">
        <w:rPr>
          <w:rFonts w:cs="Arial"/>
          <w:lang w:val="en-US" w:eastAsia="zh-CN"/>
        </w:rPr>
        <w:t xml:space="preserve"> for interactions involving a HCA</w:t>
      </w:r>
      <w:r w:rsidR="00AC42FA" w:rsidRPr="00DD44CF">
        <w:rPr>
          <w:rFonts w:cs="Arial"/>
          <w:lang w:val="en-US" w:eastAsia="zh-CN"/>
        </w:rPr>
        <w:t xml:space="preserve"> in comparison to </w:t>
      </w:r>
      <w:r w:rsidR="00945C38" w:rsidRPr="00DD44CF">
        <w:rPr>
          <w:rFonts w:cs="Arial"/>
          <w:lang w:val="en-US" w:eastAsia="zh-CN"/>
        </w:rPr>
        <w:t>those</w:t>
      </w:r>
      <w:r w:rsidR="00527854" w:rsidRPr="00DD44CF">
        <w:rPr>
          <w:rFonts w:cs="Arial"/>
          <w:lang w:val="en-US" w:eastAsia="zh-CN"/>
        </w:rPr>
        <w:t xml:space="preserve"> </w:t>
      </w:r>
      <w:r w:rsidR="00AC42FA" w:rsidRPr="00DD44CF">
        <w:rPr>
          <w:rFonts w:cs="Arial"/>
          <w:lang w:val="en-US" w:eastAsia="zh-CN"/>
        </w:rPr>
        <w:t xml:space="preserve">involving </w:t>
      </w:r>
      <w:r w:rsidR="00527854" w:rsidRPr="00DD44CF">
        <w:rPr>
          <w:rFonts w:cs="Arial"/>
          <w:lang w:val="en-US" w:eastAsia="zh-CN"/>
        </w:rPr>
        <w:t>registered nurses</w:t>
      </w:r>
      <w:r w:rsidR="00945C38" w:rsidRPr="00DD44CF">
        <w:rPr>
          <w:rFonts w:cs="Arial"/>
          <w:lang w:val="en-US" w:eastAsia="zh-CN"/>
        </w:rPr>
        <w:t>,</w:t>
      </w:r>
      <w:r w:rsidR="00527854" w:rsidRPr="00DD44CF">
        <w:rPr>
          <w:rFonts w:cs="Arial"/>
          <w:lang w:val="en-US" w:eastAsia="zh-CN"/>
        </w:rPr>
        <w:t xml:space="preserve"> </w:t>
      </w:r>
      <w:r w:rsidR="00945C38" w:rsidRPr="00DD44CF">
        <w:rPr>
          <w:rFonts w:cs="Arial"/>
          <w:lang w:val="en-US" w:eastAsia="zh-CN"/>
        </w:rPr>
        <w:t>amongst interactions with only one member of staff present</w:t>
      </w:r>
      <w:r w:rsidR="00527854" w:rsidRPr="00DD44CF">
        <w:rPr>
          <w:rFonts w:cs="Arial"/>
          <w:lang w:val="en-US" w:eastAsia="zh-CN"/>
        </w:rPr>
        <w:t xml:space="preserve">. </w:t>
      </w:r>
      <w:r w:rsidRPr="00DD44CF">
        <w:rPr>
          <w:rFonts w:cs="Arial"/>
          <w:lang w:val="en-US" w:eastAsia="zh-CN"/>
        </w:rPr>
        <w:t xml:space="preserve">Although </w:t>
      </w:r>
      <w:r w:rsidR="00112DCB" w:rsidRPr="00DD44CF">
        <w:rPr>
          <w:rFonts w:cs="Arial"/>
          <w:lang w:val="en-US" w:eastAsia="zh-CN"/>
        </w:rPr>
        <w:t xml:space="preserve">a </w:t>
      </w:r>
      <w:r w:rsidRPr="00DD44CF">
        <w:rPr>
          <w:rFonts w:cs="Arial"/>
          <w:lang w:val="en-US" w:eastAsia="zh-CN"/>
        </w:rPr>
        <w:t>higher number of patient</w:t>
      </w:r>
      <w:r w:rsidR="00945C38" w:rsidRPr="00DD44CF">
        <w:rPr>
          <w:rFonts w:cs="Arial"/>
          <w:lang w:val="en-US" w:eastAsia="zh-CN"/>
        </w:rPr>
        <w:t>s</w:t>
      </w:r>
      <w:r w:rsidRPr="00DD44CF">
        <w:rPr>
          <w:rFonts w:cs="Arial"/>
          <w:lang w:val="en-US" w:eastAsia="zh-CN"/>
        </w:rPr>
        <w:t xml:space="preserve"> per nurse was associated with increased odds of negative </w:t>
      </w:r>
      <w:r w:rsidR="00527854" w:rsidRPr="00DD44CF">
        <w:rPr>
          <w:rFonts w:cs="Arial"/>
          <w:lang w:val="en-US" w:eastAsia="zh-CN"/>
        </w:rPr>
        <w:t>interaction</w:t>
      </w:r>
      <w:r w:rsidRPr="00DD44CF">
        <w:rPr>
          <w:rFonts w:cs="Arial"/>
          <w:lang w:val="en-US" w:eastAsia="zh-CN"/>
        </w:rPr>
        <w:t xml:space="preserve"> this was not </w:t>
      </w:r>
      <w:r w:rsidR="00527854" w:rsidRPr="00DD44CF">
        <w:rPr>
          <w:rFonts w:cs="Arial"/>
          <w:lang w:val="en-US" w:eastAsia="zh-CN"/>
        </w:rPr>
        <w:t>statistically</w:t>
      </w:r>
      <w:r w:rsidRPr="00DD44CF">
        <w:rPr>
          <w:rFonts w:cs="Arial"/>
          <w:lang w:val="en-US" w:eastAsia="zh-CN"/>
        </w:rPr>
        <w:t xml:space="preserve"> significant. </w:t>
      </w:r>
      <w:r w:rsidR="00527854" w:rsidRPr="00DD44CF">
        <w:rPr>
          <w:rFonts w:cs="Arial"/>
          <w:lang w:val="en-US" w:eastAsia="zh-CN"/>
        </w:rPr>
        <w:t xml:space="preserve">Similarly while a skill mix with a higher proportion of registered nurses was associated with reduced odds of negative interaction this was not statistically significant. </w:t>
      </w:r>
    </w:p>
    <w:p w14:paraId="1FB4154B" w14:textId="522FA252" w:rsidR="00704147" w:rsidRDefault="00527854">
      <w:pPr>
        <w:widowControl w:val="0"/>
        <w:autoSpaceDE w:val="0"/>
        <w:autoSpaceDN w:val="0"/>
        <w:adjustRightInd w:val="0"/>
        <w:spacing w:after="240"/>
        <w:rPr>
          <w:rFonts w:cs="Arial"/>
          <w:lang w:val="en-US" w:eastAsia="zh-CN"/>
        </w:rPr>
      </w:pPr>
      <w:r w:rsidRPr="00DD44CF">
        <w:rPr>
          <w:rFonts w:cs="Arial"/>
          <w:lang w:val="en-US" w:eastAsia="zh-CN"/>
        </w:rPr>
        <w:t xml:space="preserve">In </w:t>
      </w:r>
      <w:r w:rsidR="00EA0674">
        <w:rPr>
          <w:rFonts w:cs="Arial"/>
          <w:lang w:val="en-US" w:eastAsia="zh-CN"/>
        </w:rPr>
        <w:t>Model B</w:t>
      </w:r>
      <w:r w:rsidR="006B5BD3" w:rsidRPr="00DD44CF">
        <w:rPr>
          <w:rFonts w:cs="Arial"/>
          <w:lang w:val="en-US" w:eastAsia="zh-CN"/>
        </w:rPr>
        <w:t xml:space="preserve"> (table 5</w:t>
      </w:r>
      <w:r w:rsidR="00511A43" w:rsidRPr="00DD44CF">
        <w:rPr>
          <w:rFonts w:cs="Arial"/>
          <w:lang w:val="en-US" w:eastAsia="zh-CN"/>
        </w:rPr>
        <w:t>)</w:t>
      </w:r>
      <w:r w:rsidRPr="00DD44CF">
        <w:rPr>
          <w:rFonts w:cs="Arial"/>
          <w:lang w:val="en-US" w:eastAsia="zh-CN"/>
        </w:rPr>
        <w:t xml:space="preserve"> only interactions initiated by the patient</w:t>
      </w:r>
      <w:r w:rsidR="008E059E" w:rsidRPr="00DD44CF">
        <w:rPr>
          <w:rFonts w:cs="Arial"/>
          <w:lang w:val="en-US" w:eastAsia="zh-CN"/>
        </w:rPr>
        <w:t xml:space="preserve"> </w:t>
      </w:r>
      <w:r w:rsidRPr="00DD44CF">
        <w:rPr>
          <w:rFonts w:cs="Arial"/>
          <w:lang w:val="en-US" w:eastAsia="zh-CN"/>
        </w:rPr>
        <w:t>(</w:t>
      </w:r>
      <w:r w:rsidR="00945C38" w:rsidRPr="00DD44CF">
        <w:rPr>
          <w:rFonts w:cs="Arial"/>
          <w:lang w:val="en-US" w:eastAsia="zh-CN"/>
        </w:rPr>
        <w:t xml:space="preserve">adjusted </w:t>
      </w:r>
      <w:r w:rsidR="008E059E" w:rsidRPr="00DD44CF">
        <w:rPr>
          <w:rFonts w:cs="Arial"/>
          <w:lang w:val="en-US" w:eastAsia="zh-CN"/>
        </w:rPr>
        <w:t>OR</w:t>
      </w:r>
      <w:r w:rsidRPr="000B514A">
        <w:rPr>
          <w:rStyle w:val="FootnoteReference"/>
        </w:rPr>
        <w:footnoteReference w:id="1"/>
      </w:r>
      <w:r w:rsidRPr="00DD44CF">
        <w:rPr>
          <w:rFonts w:cs="Arial"/>
          <w:lang w:val="en-US" w:eastAsia="zh-CN"/>
        </w:rPr>
        <w:t xml:space="preserve"> </w:t>
      </w:r>
      <w:r w:rsidR="00945C38" w:rsidRPr="00DD44CF">
        <w:rPr>
          <w:rFonts w:cs="Arial"/>
          <w:lang w:val="en-US" w:eastAsia="zh-CN"/>
        </w:rPr>
        <w:t xml:space="preserve"> </w:t>
      </w:r>
      <w:r w:rsidR="00EA016E" w:rsidRPr="00DD44CF">
        <w:rPr>
          <w:rFonts w:cs="Arial"/>
          <w:lang w:val="en-US" w:eastAsia="zh-CN"/>
        </w:rPr>
        <w:t>5.30</w:t>
      </w:r>
      <w:r w:rsidRPr="00DD44CF">
        <w:rPr>
          <w:rFonts w:cs="Arial"/>
          <w:lang w:val="en-US" w:eastAsia="zh-CN"/>
        </w:rPr>
        <w:t>), one way communication</w:t>
      </w:r>
      <w:r w:rsidR="00945C38" w:rsidRPr="00DD44CF">
        <w:rPr>
          <w:rFonts w:cs="Arial"/>
          <w:lang w:val="en-US" w:eastAsia="zh-CN"/>
        </w:rPr>
        <w:t xml:space="preserve"> </w:t>
      </w:r>
      <w:r w:rsidRPr="00DD44CF">
        <w:rPr>
          <w:rFonts w:cs="Arial"/>
          <w:lang w:val="en-US" w:eastAsia="zh-CN"/>
        </w:rPr>
        <w:t>(</w:t>
      </w:r>
      <w:r w:rsidR="00945C38" w:rsidRPr="00DD44CF">
        <w:rPr>
          <w:rFonts w:cs="Arial"/>
          <w:lang w:val="en-US" w:eastAsia="zh-CN"/>
        </w:rPr>
        <w:t xml:space="preserve">adjusted OR </w:t>
      </w:r>
      <w:r w:rsidR="00EA016E" w:rsidRPr="00DD44CF">
        <w:rPr>
          <w:rFonts w:cs="Arial"/>
          <w:lang w:val="en-US" w:eastAsia="zh-CN"/>
        </w:rPr>
        <w:t xml:space="preserve">10.70 [5.64, 20.28]) </w:t>
      </w:r>
      <w:r w:rsidR="00D91E07" w:rsidRPr="00DD44CF">
        <w:rPr>
          <w:rFonts w:cs="Arial"/>
          <w:lang w:val="en-US" w:eastAsia="zh-CN"/>
        </w:rPr>
        <w:t>having two</w:t>
      </w:r>
      <w:r w:rsidRPr="00DD44CF">
        <w:rPr>
          <w:rFonts w:cs="Arial"/>
          <w:lang w:val="en-US" w:eastAsia="zh-CN"/>
        </w:rPr>
        <w:t xml:space="preserve"> or more staff involved (2 staff: </w:t>
      </w:r>
      <w:r w:rsidR="008E059E" w:rsidRPr="00DD44CF">
        <w:rPr>
          <w:rFonts w:cs="Arial"/>
          <w:lang w:val="en-US" w:eastAsia="zh-CN"/>
        </w:rPr>
        <w:t>adjusted OR</w:t>
      </w:r>
      <w:r w:rsidRPr="00DD44CF">
        <w:rPr>
          <w:rFonts w:cs="Arial"/>
          <w:lang w:val="en-US" w:eastAsia="zh-CN"/>
        </w:rPr>
        <w:t xml:space="preserve"> </w:t>
      </w:r>
      <w:r w:rsidR="00EA016E" w:rsidRPr="00DD44CF">
        <w:rPr>
          <w:rFonts w:cs="Arial"/>
          <w:lang w:val="en-US" w:eastAsia="zh-CN"/>
        </w:rPr>
        <w:t>5.86 [2.33, 14.74]</w:t>
      </w:r>
      <w:r w:rsidRPr="00DD44CF">
        <w:rPr>
          <w:rFonts w:cs="Arial"/>
          <w:lang w:val="en-US" w:eastAsia="zh-CN"/>
        </w:rPr>
        <w:t xml:space="preserve">; 3+ staff </w:t>
      </w:r>
      <w:r w:rsidR="008E059E" w:rsidRPr="00DD44CF">
        <w:rPr>
          <w:rFonts w:cs="Arial"/>
          <w:lang w:val="en-US" w:eastAsia="zh-CN"/>
        </w:rPr>
        <w:t xml:space="preserve"> adjusted OR</w:t>
      </w:r>
      <w:r w:rsidRPr="00DD44CF">
        <w:rPr>
          <w:rFonts w:cs="Arial"/>
          <w:lang w:val="en-US" w:eastAsia="zh-CN"/>
        </w:rPr>
        <w:t xml:space="preserve"> </w:t>
      </w:r>
      <w:r w:rsidR="00EA016E" w:rsidRPr="00DD44CF">
        <w:rPr>
          <w:rFonts w:cs="Arial"/>
          <w:lang w:val="en-US" w:eastAsia="zh-CN"/>
        </w:rPr>
        <w:t xml:space="preserve">6.46 [1.45, 28.80]) </w:t>
      </w:r>
      <w:r w:rsidRPr="00DD44CF">
        <w:rPr>
          <w:rFonts w:cs="Arial"/>
          <w:lang w:val="en-US" w:eastAsia="zh-CN"/>
        </w:rPr>
        <w:t xml:space="preserve">and a higher total number of interactions </w:t>
      </w:r>
      <w:r w:rsidR="00511A43" w:rsidRPr="00DD44CF">
        <w:rPr>
          <w:rFonts w:cs="Arial"/>
          <w:lang w:val="en-US" w:eastAsia="zh-CN"/>
        </w:rPr>
        <w:t>(</w:t>
      </w:r>
      <w:r w:rsidR="008E059E" w:rsidRPr="00DD44CF">
        <w:rPr>
          <w:rFonts w:cs="Arial"/>
          <w:lang w:val="en-US" w:eastAsia="zh-CN"/>
        </w:rPr>
        <w:t>adjusted OR</w:t>
      </w:r>
      <w:r w:rsidR="00511A43" w:rsidRPr="00DD44CF">
        <w:rPr>
          <w:rFonts w:cs="Arial"/>
          <w:lang w:val="en-US" w:eastAsia="zh-CN"/>
        </w:rPr>
        <w:t xml:space="preserve"> 1.09 per unit increase [1.03, 1.1</w:t>
      </w:r>
      <w:r w:rsidR="00EA016E" w:rsidRPr="00DD44CF">
        <w:rPr>
          <w:rFonts w:cs="Arial"/>
          <w:lang w:val="en-US" w:eastAsia="zh-CN"/>
        </w:rPr>
        <w:t>5</w:t>
      </w:r>
      <w:r w:rsidR="00511A43" w:rsidRPr="00DD44CF">
        <w:rPr>
          <w:rFonts w:cs="Arial"/>
          <w:lang w:val="en-US" w:eastAsia="zh-CN"/>
        </w:rPr>
        <w:t xml:space="preserve">]) </w:t>
      </w:r>
      <w:r w:rsidRPr="00DD44CF">
        <w:rPr>
          <w:rFonts w:cs="Arial"/>
          <w:lang w:val="en-US" w:eastAsia="zh-CN"/>
        </w:rPr>
        <w:t>plus specific types of interaction content were associated with increased odds of negative interaction.</w:t>
      </w:r>
      <w:r w:rsidR="00511A43" w:rsidRPr="00DD44CF">
        <w:rPr>
          <w:rFonts w:cs="Arial"/>
          <w:lang w:val="en-US" w:eastAsia="zh-CN"/>
        </w:rPr>
        <w:t xml:space="preserve"> I</w:t>
      </w:r>
      <w:r w:rsidR="00080172" w:rsidRPr="00DD44CF">
        <w:rPr>
          <w:rFonts w:cs="Arial"/>
          <w:lang w:val="en-US" w:eastAsia="zh-CN"/>
        </w:rPr>
        <w:t xml:space="preserve">nteraction activity </w:t>
      </w:r>
      <w:r w:rsidR="00511A43" w:rsidRPr="00DD44CF">
        <w:rPr>
          <w:rFonts w:cs="Arial"/>
          <w:lang w:val="en-US" w:eastAsia="zh-CN"/>
        </w:rPr>
        <w:t xml:space="preserve">classified as </w:t>
      </w:r>
      <w:r w:rsidR="00080172" w:rsidRPr="00DD44CF">
        <w:rPr>
          <w:rFonts w:cs="Arial"/>
          <w:lang w:val="en-US" w:eastAsia="zh-CN"/>
        </w:rPr>
        <w:t>communication</w:t>
      </w:r>
      <w:r w:rsidR="00AD0993" w:rsidRPr="00DD44CF">
        <w:rPr>
          <w:rFonts w:cs="Arial"/>
          <w:lang w:val="en-US" w:eastAsia="zh-CN"/>
        </w:rPr>
        <w:t xml:space="preserve"> (</w:t>
      </w:r>
      <w:r w:rsidR="008E059E" w:rsidRPr="00DD44CF">
        <w:rPr>
          <w:rFonts w:cs="Arial"/>
          <w:lang w:val="en-US" w:eastAsia="zh-CN"/>
        </w:rPr>
        <w:t>adjusted OR</w:t>
      </w:r>
      <w:r w:rsidR="00511A43" w:rsidRPr="00DD44CF">
        <w:rPr>
          <w:rFonts w:cs="Arial"/>
          <w:lang w:val="en-US" w:eastAsia="zh-CN"/>
        </w:rPr>
        <w:t xml:space="preserve"> </w:t>
      </w:r>
      <w:r w:rsidR="00EA016E" w:rsidRPr="00DD44CF">
        <w:rPr>
          <w:rFonts w:cs="Arial"/>
          <w:lang w:val="en-US" w:eastAsia="zh-CN"/>
        </w:rPr>
        <w:t>2.56[1.18, 5.54]</w:t>
      </w:r>
      <w:r w:rsidR="00AA6D89" w:rsidRPr="00DD44CF">
        <w:rPr>
          <w:rFonts w:cs="Arial"/>
          <w:lang w:val="en-US" w:eastAsia="zh-CN"/>
        </w:rPr>
        <w:t>)</w:t>
      </w:r>
      <w:r w:rsidR="00080172" w:rsidRPr="00DD44CF">
        <w:rPr>
          <w:rFonts w:cs="Arial"/>
          <w:lang w:val="en-US" w:eastAsia="zh-CN"/>
        </w:rPr>
        <w:t xml:space="preserve">, personal care </w:t>
      </w:r>
      <w:r w:rsidR="00AD0993" w:rsidRPr="00DD44CF">
        <w:rPr>
          <w:rFonts w:cs="Arial"/>
          <w:lang w:val="en-US" w:eastAsia="zh-CN"/>
        </w:rPr>
        <w:t>(</w:t>
      </w:r>
      <w:r w:rsidR="008E059E" w:rsidRPr="00DD44CF">
        <w:rPr>
          <w:rFonts w:cs="Arial"/>
          <w:lang w:val="en-US" w:eastAsia="zh-CN"/>
        </w:rPr>
        <w:t>adjusted OR</w:t>
      </w:r>
      <w:r w:rsidR="00511A43" w:rsidRPr="00DD44CF">
        <w:rPr>
          <w:rFonts w:cs="Arial"/>
          <w:lang w:val="en-US" w:eastAsia="zh-CN"/>
        </w:rPr>
        <w:t xml:space="preserve"> </w:t>
      </w:r>
      <w:r w:rsidR="00EA016E" w:rsidRPr="00DD44CF">
        <w:rPr>
          <w:rFonts w:cs="Arial"/>
          <w:lang w:val="en-US" w:eastAsia="zh-CN"/>
        </w:rPr>
        <w:t>4.10 [1.84, 9.14]</w:t>
      </w:r>
      <w:r w:rsidR="00AD0993" w:rsidRPr="00DD44CF">
        <w:rPr>
          <w:rFonts w:cs="Arial"/>
          <w:lang w:val="en-US" w:eastAsia="zh-CN"/>
        </w:rPr>
        <w:t xml:space="preserve">) </w:t>
      </w:r>
      <w:r w:rsidR="00002633" w:rsidRPr="00DD44CF">
        <w:rPr>
          <w:rFonts w:cs="Arial"/>
          <w:lang w:val="en-US" w:eastAsia="zh-CN"/>
        </w:rPr>
        <w:t xml:space="preserve">or </w:t>
      </w:r>
      <w:r w:rsidR="00080172" w:rsidRPr="00DD44CF">
        <w:rPr>
          <w:rFonts w:cs="Arial"/>
          <w:lang w:val="en-US" w:eastAsia="zh-CN"/>
        </w:rPr>
        <w:t>“other”</w:t>
      </w:r>
      <w:r w:rsidR="00AD0993" w:rsidRPr="00DD44CF">
        <w:rPr>
          <w:rFonts w:cs="Arial"/>
          <w:lang w:val="en-US" w:eastAsia="zh-CN"/>
        </w:rPr>
        <w:t xml:space="preserve"> (</w:t>
      </w:r>
      <w:r w:rsidR="008E059E" w:rsidRPr="00DD44CF">
        <w:rPr>
          <w:rFonts w:cs="Arial"/>
          <w:lang w:val="en-US" w:eastAsia="zh-CN"/>
        </w:rPr>
        <w:t>adjusted OR</w:t>
      </w:r>
      <w:r w:rsidR="00511A43" w:rsidRPr="00DD44CF">
        <w:rPr>
          <w:rFonts w:cs="Arial"/>
          <w:lang w:val="en-US" w:eastAsia="zh-CN"/>
        </w:rPr>
        <w:t xml:space="preserve"> </w:t>
      </w:r>
      <w:r w:rsidR="00EA016E" w:rsidRPr="00DD44CF">
        <w:rPr>
          <w:rFonts w:cs="Arial"/>
          <w:lang w:val="en-US" w:eastAsia="zh-CN"/>
        </w:rPr>
        <w:t>8.36 [2.42, 28.91]</w:t>
      </w:r>
      <w:r w:rsidR="00AD0993" w:rsidRPr="00DD44CF">
        <w:rPr>
          <w:rFonts w:cs="Arial"/>
          <w:lang w:val="en-US" w:eastAsia="zh-CN"/>
        </w:rPr>
        <w:t>)</w:t>
      </w:r>
      <w:r w:rsidR="00511A43" w:rsidRPr="00DD44CF">
        <w:rPr>
          <w:rFonts w:cs="Arial"/>
          <w:lang w:val="en-US" w:eastAsia="zh-CN"/>
        </w:rPr>
        <w:t xml:space="preserve"> were more likely to be rated negatively. </w:t>
      </w:r>
      <w:r w:rsidR="00704147">
        <w:rPr>
          <w:rFonts w:cs="Arial"/>
          <w:lang w:val="en-US" w:eastAsia="zh-CN"/>
        </w:rPr>
        <w:t>Associations with s</w:t>
      </w:r>
      <w:r w:rsidR="00704147" w:rsidRPr="00DD44CF">
        <w:rPr>
          <w:rFonts w:cs="Arial"/>
          <w:lang w:val="en-US" w:eastAsia="zh-CN"/>
        </w:rPr>
        <w:t xml:space="preserve">taffing levels or skill mix </w:t>
      </w:r>
      <w:r w:rsidR="00704147">
        <w:rPr>
          <w:rFonts w:cs="Arial"/>
          <w:lang w:val="en-US" w:eastAsia="zh-CN"/>
        </w:rPr>
        <w:t>remained non</w:t>
      </w:r>
      <w:r w:rsidR="00AF56AC">
        <w:rPr>
          <w:rFonts w:cs="Arial"/>
          <w:lang w:val="en-US" w:eastAsia="zh-CN"/>
        </w:rPr>
        <w:t>-</w:t>
      </w:r>
      <w:r w:rsidR="00704147" w:rsidRPr="00DD44CF">
        <w:rPr>
          <w:rFonts w:cs="Arial"/>
          <w:lang w:val="en-US" w:eastAsia="zh-CN"/>
        </w:rPr>
        <w:t>significant although the magnitude of the non-significant relationship for staffing was increased.</w:t>
      </w:r>
    </w:p>
    <w:p w14:paraId="5AA1941E" w14:textId="57CDB5AA" w:rsidR="00002633" w:rsidRPr="00DD44CF" w:rsidRDefault="00704147">
      <w:pPr>
        <w:widowControl w:val="0"/>
        <w:autoSpaceDE w:val="0"/>
        <w:autoSpaceDN w:val="0"/>
        <w:adjustRightInd w:val="0"/>
        <w:spacing w:after="240"/>
        <w:rPr>
          <w:rFonts w:cs="Arial"/>
          <w:lang w:val="en-US" w:eastAsia="zh-CN"/>
        </w:rPr>
      </w:pPr>
      <w:r>
        <w:rPr>
          <w:rFonts w:cs="Arial"/>
          <w:lang w:val="en-US" w:eastAsia="zh-CN"/>
        </w:rPr>
        <w:t xml:space="preserve">As a secondary analysis we estimated regression models including only patient, nurse and </w:t>
      </w:r>
      <w:r>
        <w:rPr>
          <w:rFonts w:cs="Arial"/>
          <w:lang w:val="en-US" w:eastAsia="zh-CN"/>
        </w:rPr>
        <w:lastRenderedPageBreak/>
        <w:t xml:space="preserve">session level </w:t>
      </w:r>
      <w:r w:rsidR="00AF56AC">
        <w:rPr>
          <w:rFonts w:cs="Arial"/>
          <w:lang w:val="en-US" w:eastAsia="zh-CN"/>
        </w:rPr>
        <w:t xml:space="preserve">characteristics </w:t>
      </w:r>
      <w:r>
        <w:rPr>
          <w:rFonts w:cs="Arial"/>
          <w:lang w:val="en-US" w:eastAsia="zh-CN"/>
        </w:rPr>
        <w:t>as predictors of quality of interaction (</w:t>
      </w:r>
      <w:r w:rsidR="006B5BD3" w:rsidRPr="00DD44CF">
        <w:rPr>
          <w:rFonts w:cs="Arial"/>
          <w:lang w:val="en-US" w:eastAsia="zh-CN"/>
        </w:rPr>
        <w:t xml:space="preserve">shown in table 5 as </w:t>
      </w:r>
      <w:r w:rsidR="00EA0674">
        <w:rPr>
          <w:rFonts w:cs="Arial"/>
          <w:lang w:val="en-US" w:eastAsia="zh-CN"/>
        </w:rPr>
        <w:t>Model C</w:t>
      </w:r>
      <w:r w:rsidR="006B5BD3" w:rsidRPr="00DD44CF">
        <w:rPr>
          <w:rFonts w:cs="Arial"/>
          <w:lang w:val="en-US" w:eastAsia="zh-CN"/>
        </w:rPr>
        <w:t>)</w:t>
      </w:r>
      <w:r>
        <w:rPr>
          <w:rFonts w:cs="Arial"/>
          <w:lang w:val="en-US" w:eastAsia="zh-CN"/>
        </w:rPr>
        <w:t>. In this model,</w:t>
      </w:r>
      <w:r w:rsidR="006B5BD3" w:rsidRPr="00DD44CF">
        <w:rPr>
          <w:rFonts w:cs="Arial"/>
          <w:lang w:val="en-US" w:eastAsia="zh-CN"/>
        </w:rPr>
        <w:t xml:space="preserve"> patient agitation</w:t>
      </w:r>
      <w:r w:rsidR="000B514A">
        <w:rPr>
          <w:rFonts w:cs="Arial"/>
          <w:lang w:val="en-US" w:eastAsia="zh-CN"/>
        </w:rPr>
        <w:t xml:space="preserve"> at the outset of interaction</w:t>
      </w:r>
      <w:r w:rsidR="00A62450" w:rsidRPr="00DD44CF">
        <w:rPr>
          <w:rFonts w:cs="Arial"/>
          <w:lang w:val="en-US" w:eastAsia="zh-CN"/>
        </w:rPr>
        <w:t xml:space="preserve"> (</w:t>
      </w:r>
      <w:r w:rsidR="008E059E" w:rsidRPr="00DD44CF">
        <w:rPr>
          <w:rFonts w:cs="Arial"/>
          <w:lang w:val="en-US" w:eastAsia="zh-CN"/>
        </w:rPr>
        <w:t>adjusted OR</w:t>
      </w:r>
      <w:r w:rsidR="00A62450" w:rsidRPr="00DD44CF">
        <w:rPr>
          <w:rFonts w:cs="Arial"/>
          <w:lang w:val="en-US" w:eastAsia="zh-CN"/>
        </w:rPr>
        <w:t xml:space="preserve"> 5.97 [2.23, 16.01]</w:t>
      </w:r>
      <w:r w:rsidR="00AA6D89" w:rsidRPr="00DD44CF">
        <w:rPr>
          <w:rFonts w:cs="Arial"/>
          <w:lang w:val="en-US" w:eastAsia="zh-CN"/>
        </w:rPr>
        <w:t>)</w:t>
      </w:r>
      <w:r w:rsidR="00A62450" w:rsidRPr="00DD44CF">
        <w:rPr>
          <w:rFonts w:cs="Arial"/>
          <w:lang w:val="en-US" w:eastAsia="zh-CN"/>
        </w:rPr>
        <w:t xml:space="preserve"> </w:t>
      </w:r>
      <w:r w:rsidR="00584476">
        <w:rPr>
          <w:rFonts w:cs="Arial"/>
          <w:lang w:val="en-US" w:eastAsia="zh-CN"/>
        </w:rPr>
        <w:t xml:space="preserve">was associated </w:t>
      </w:r>
      <w:r w:rsidR="00584476" w:rsidRPr="00DD44CF">
        <w:rPr>
          <w:rFonts w:cs="Arial"/>
          <w:lang w:val="en-US" w:eastAsia="zh-CN"/>
        </w:rPr>
        <w:t xml:space="preserve">with increased odds of negative interaction </w:t>
      </w:r>
      <w:r w:rsidR="006B5BD3" w:rsidRPr="00DD44CF">
        <w:rPr>
          <w:rFonts w:cs="Arial"/>
          <w:lang w:val="en-US" w:eastAsia="zh-CN"/>
        </w:rPr>
        <w:t>and having visitors present</w:t>
      </w:r>
      <w:r w:rsidR="00584476">
        <w:rPr>
          <w:rFonts w:cs="Arial"/>
          <w:lang w:val="en-US" w:eastAsia="zh-CN"/>
        </w:rPr>
        <w:t xml:space="preserve"> was associated with reduced odds of negative interaction</w:t>
      </w:r>
      <w:r w:rsidR="006B5BD3" w:rsidRPr="00DD44CF">
        <w:rPr>
          <w:rFonts w:cs="Arial"/>
          <w:lang w:val="en-US" w:eastAsia="zh-CN"/>
        </w:rPr>
        <w:t xml:space="preserve"> </w:t>
      </w:r>
      <w:r w:rsidR="00A62450" w:rsidRPr="00DD44CF">
        <w:rPr>
          <w:rFonts w:cs="Arial"/>
          <w:lang w:val="en-US" w:eastAsia="zh-CN"/>
        </w:rPr>
        <w:t>(</w:t>
      </w:r>
      <w:r w:rsidR="008E059E" w:rsidRPr="00DD44CF">
        <w:rPr>
          <w:rFonts w:cs="Arial"/>
          <w:lang w:val="en-US" w:eastAsia="zh-CN"/>
        </w:rPr>
        <w:t>adjusted OR</w:t>
      </w:r>
      <w:r w:rsidR="00A62450" w:rsidRPr="00DD44CF">
        <w:rPr>
          <w:rFonts w:cs="Arial"/>
          <w:lang w:val="en-US" w:eastAsia="zh-CN"/>
        </w:rPr>
        <w:t xml:space="preserve"> 0.24 [0.07, 0.84])</w:t>
      </w:r>
      <w:r w:rsidR="006B5BD3" w:rsidRPr="00DD44CF">
        <w:rPr>
          <w:rFonts w:cs="Arial"/>
          <w:lang w:val="en-US" w:eastAsia="zh-CN"/>
        </w:rPr>
        <w:t xml:space="preserve">.  </w:t>
      </w:r>
    </w:p>
    <w:p w14:paraId="03BC33BF" w14:textId="77777777" w:rsidR="00511A43" w:rsidRPr="00DD44CF" w:rsidRDefault="00E412AD">
      <w:pPr>
        <w:widowControl w:val="0"/>
        <w:autoSpaceDE w:val="0"/>
        <w:autoSpaceDN w:val="0"/>
        <w:adjustRightInd w:val="0"/>
        <w:spacing w:after="240"/>
        <w:rPr>
          <w:rFonts w:cs="Arial"/>
          <w:lang w:val="en-US" w:eastAsia="zh-CN"/>
        </w:rPr>
      </w:pPr>
      <w:r w:rsidRPr="00DD44CF">
        <w:rPr>
          <w:rFonts w:cs="Arial"/>
          <w:lang w:val="en-US" w:eastAsia="zh-CN"/>
        </w:rPr>
        <w:t>The estimate of variation from the</w:t>
      </w:r>
      <w:r w:rsidR="00511A43" w:rsidRPr="00DD44CF">
        <w:rPr>
          <w:rFonts w:cs="Arial"/>
          <w:lang w:val="en-US" w:eastAsia="zh-CN"/>
        </w:rPr>
        <w:t xml:space="preserve"> multi-level model was lowest at the patient level (variance component 0.</w:t>
      </w:r>
      <w:r w:rsidR="00B62A04" w:rsidRPr="00DD44CF">
        <w:rPr>
          <w:rFonts w:cs="Arial"/>
          <w:lang w:val="en-US" w:eastAsia="zh-CN"/>
        </w:rPr>
        <w:t>09</w:t>
      </w:r>
      <w:r w:rsidR="00511A43" w:rsidRPr="00DD44CF">
        <w:rPr>
          <w:rFonts w:cs="Arial"/>
          <w:lang w:val="en-US" w:eastAsia="zh-CN"/>
        </w:rPr>
        <w:t>) with substantially more variation at the ward level (variance component 1.</w:t>
      </w:r>
      <w:r w:rsidR="00B62A04" w:rsidRPr="00DD44CF">
        <w:rPr>
          <w:rFonts w:cs="Arial"/>
          <w:lang w:val="en-US" w:eastAsia="zh-CN"/>
        </w:rPr>
        <w:t>76</w:t>
      </w:r>
      <w:r w:rsidR="00511A43" w:rsidRPr="00DD44CF">
        <w:rPr>
          <w:rFonts w:cs="Arial"/>
          <w:lang w:val="en-US" w:eastAsia="zh-CN"/>
        </w:rPr>
        <w:t>)</w:t>
      </w:r>
      <w:r w:rsidRPr="00DD44CF">
        <w:rPr>
          <w:rFonts w:cs="Arial"/>
          <w:lang w:val="en-US" w:eastAsia="zh-CN"/>
        </w:rPr>
        <w:t>,</w:t>
      </w:r>
      <w:r w:rsidR="00511A43" w:rsidRPr="00DD44CF">
        <w:rPr>
          <w:rFonts w:cs="Arial"/>
          <w:lang w:val="en-US" w:eastAsia="zh-CN"/>
        </w:rPr>
        <w:t xml:space="preserve"> and </w:t>
      </w:r>
      <w:r w:rsidRPr="00DD44CF">
        <w:rPr>
          <w:rFonts w:cs="Arial"/>
          <w:lang w:val="en-US" w:eastAsia="zh-CN"/>
        </w:rPr>
        <w:t xml:space="preserve">highest variation </w:t>
      </w:r>
      <w:r w:rsidR="00511A43" w:rsidRPr="00DD44CF">
        <w:rPr>
          <w:rFonts w:cs="Arial"/>
          <w:lang w:val="en-US" w:eastAsia="zh-CN"/>
        </w:rPr>
        <w:t>at the observation session level (variance component 3.</w:t>
      </w:r>
      <w:r w:rsidR="00B62A04" w:rsidRPr="00DD44CF">
        <w:rPr>
          <w:rFonts w:cs="Arial"/>
          <w:lang w:val="en-US" w:eastAsia="zh-CN"/>
        </w:rPr>
        <w:t>49</w:t>
      </w:r>
      <w:r w:rsidR="00511A43" w:rsidRPr="00DD44CF">
        <w:rPr>
          <w:rFonts w:cs="Arial"/>
          <w:lang w:val="en-US" w:eastAsia="zh-CN"/>
        </w:rPr>
        <w:t>).</w:t>
      </w:r>
      <w:r w:rsidR="00A62450" w:rsidRPr="00DD44CF">
        <w:rPr>
          <w:rFonts w:cs="Arial"/>
          <w:lang w:val="en-US" w:eastAsia="zh-CN"/>
        </w:rPr>
        <w:t xml:space="preserve"> </w:t>
      </w:r>
      <w:r w:rsidR="00A62450" w:rsidRPr="00DD44CF">
        <w:rPr>
          <w:lang w:val="en-US"/>
        </w:rPr>
        <w:t xml:space="preserve">In the reduced multi-level model, </w:t>
      </w:r>
      <w:r w:rsidRPr="00DD44CF">
        <w:rPr>
          <w:lang w:val="en-US"/>
        </w:rPr>
        <w:t xml:space="preserve">the variance components at the ward and observation </w:t>
      </w:r>
      <w:r w:rsidR="00D80DC7">
        <w:rPr>
          <w:lang w:val="en-US"/>
        </w:rPr>
        <w:t>session</w:t>
      </w:r>
      <w:r w:rsidR="00D80DC7" w:rsidRPr="00DD44CF">
        <w:rPr>
          <w:lang w:val="en-US"/>
        </w:rPr>
        <w:t xml:space="preserve"> </w:t>
      </w:r>
      <w:r w:rsidRPr="00DD44CF">
        <w:rPr>
          <w:lang w:val="en-US"/>
        </w:rPr>
        <w:t>levels were lower</w:t>
      </w:r>
      <w:r w:rsidR="00A62450" w:rsidRPr="00DD44CF">
        <w:rPr>
          <w:lang w:val="en-US"/>
        </w:rPr>
        <w:t>.</w:t>
      </w:r>
    </w:p>
    <w:p w14:paraId="6619C8A1" w14:textId="77777777" w:rsidR="00C60421" w:rsidRPr="00DD44CF" w:rsidRDefault="00C60421" w:rsidP="001834A2">
      <w:pPr>
        <w:widowControl w:val="0"/>
        <w:autoSpaceDE w:val="0"/>
        <w:autoSpaceDN w:val="0"/>
        <w:adjustRightInd w:val="0"/>
        <w:spacing w:after="240"/>
        <w:rPr>
          <w:rFonts w:cs="Arial"/>
          <w:b/>
          <w:bCs/>
          <w:lang w:val="en-US" w:eastAsia="zh-CN"/>
        </w:rPr>
      </w:pPr>
      <w:r w:rsidRPr="00DD44CF">
        <w:rPr>
          <w:rFonts w:cs="Arial"/>
          <w:b/>
          <w:bCs/>
          <w:lang w:val="en-US" w:eastAsia="zh-CN"/>
        </w:rPr>
        <w:t>Discussion</w:t>
      </w:r>
    </w:p>
    <w:p w14:paraId="0632A2B5" w14:textId="03047D91" w:rsidR="000A245D" w:rsidRPr="00DD44CF" w:rsidRDefault="00704147" w:rsidP="00FF5EF9">
      <w:pPr>
        <w:widowControl w:val="0"/>
        <w:autoSpaceDE w:val="0"/>
        <w:autoSpaceDN w:val="0"/>
        <w:adjustRightInd w:val="0"/>
        <w:spacing w:after="240"/>
        <w:rPr>
          <w:rFonts w:cs="Arial"/>
          <w:lang w:val="en-US" w:eastAsia="zh-CN"/>
        </w:rPr>
      </w:pPr>
      <w:r>
        <w:rPr>
          <w:rFonts w:eastAsiaTheme="minorHAnsi" w:cs="Arial"/>
          <w:bCs/>
        </w:rPr>
        <w:t>Our</w:t>
      </w:r>
      <w:r w:rsidRPr="00DD44CF">
        <w:rPr>
          <w:rFonts w:eastAsiaTheme="minorHAnsi" w:cs="Arial"/>
          <w:bCs/>
        </w:rPr>
        <w:t xml:space="preserve"> </w:t>
      </w:r>
      <w:r w:rsidR="007F71EC" w:rsidRPr="00DD44CF">
        <w:rPr>
          <w:rFonts w:eastAsiaTheme="minorHAnsi" w:cs="Arial"/>
          <w:bCs/>
        </w:rPr>
        <w:t xml:space="preserve">findings </w:t>
      </w:r>
      <w:r>
        <w:rPr>
          <w:rFonts w:eastAsiaTheme="minorHAnsi" w:cs="Arial"/>
          <w:bCs/>
        </w:rPr>
        <w:t>provide a detailed description of</w:t>
      </w:r>
      <w:r w:rsidR="007F71EC" w:rsidRPr="00DD44CF">
        <w:rPr>
          <w:rFonts w:eastAsiaTheme="minorHAnsi" w:cs="Arial"/>
          <w:bCs/>
        </w:rPr>
        <w:t xml:space="preserve"> the length, frequency and quality of staff-patient interact</w:t>
      </w:r>
      <w:r w:rsidR="00F617E1" w:rsidRPr="00DD44CF">
        <w:rPr>
          <w:rFonts w:eastAsiaTheme="minorHAnsi" w:cs="Arial"/>
          <w:bCs/>
        </w:rPr>
        <w:t xml:space="preserve">ions in six UK hospital wards. </w:t>
      </w:r>
      <w:r w:rsidR="00712FEB" w:rsidRPr="00DD44CF">
        <w:rPr>
          <w:rFonts w:cs="Arial"/>
          <w:lang w:eastAsia="zh-CN"/>
        </w:rPr>
        <w:t>S</w:t>
      </w:r>
      <w:r w:rsidR="0073231C" w:rsidRPr="00DD44CF">
        <w:rPr>
          <w:rFonts w:cs="Arial"/>
          <w:lang w:val="en-US" w:eastAsia="zh-CN"/>
        </w:rPr>
        <w:t xml:space="preserve">taff-patient interactions </w:t>
      </w:r>
      <w:r w:rsidR="00712FEB" w:rsidRPr="00DD44CF">
        <w:rPr>
          <w:rFonts w:cs="Arial"/>
          <w:lang w:val="en-US" w:eastAsia="zh-CN"/>
        </w:rPr>
        <w:t>we</w:t>
      </w:r>
      <w:r w:rsidR="0073231C" w:rsidRPr="00DD44CF">
        <w:rPr>
          <w:rFonts w:cs="Arial"/>
          <w:lang w:val="en-US" w:eastAsia="zh-CN"/>
        </w:rPr>
        <w:t>re frequent but tend</w:t>
      </w:r>
      <w:r w:rsidR="00712FEB" w:rsidRPr="00DD44CF">
        <w:rPr>
          <w:rFonts w:cs="Arial"/>
          <w:lang w:val="en-US" w:eastAsia="zh-CN"/>
        </w:rPr>
        <w:t>ed</w:t>
      </w:r>
      <w:r w:rsidR="0073231C" w:rsidRPr="00DD44CF">
        <w:rPr>
          <w:rFonts w:cs="Arial"/>
          <w:lang w:val="en-US" w:eastAsia="zh-CN"/>
        </w:rPr>
        <w:t xml:space="preserve"> to be relatively short. Interactions</w:t>
      </w:r>
      <w:r w:rsidR="00712FEB" w:rsidRPr="00DD44CF">
        <w:rPr>
          <w:rFonts w:cs="Arial"/>
          <w:lang w:val="en-US" w:eastAsia="zh-CN"/>
        </w:rPr>
        <w:t xml:space="preserve"> we</w:t>
      </w:r>
      <w:r w:rsidR="0073231C" w:rsidRPr="00DD44CF">
        <w:rPr>
          <w:rFonts w:cs="Arial"/>
          <w:lang w:val="en-US" w:eastAsia="zh-CN"/>
        </w:rPr>
        <w:t xml:space="preserve">re </w:t>
      </w:r>
      <w:r w:rsidR="00712FEB" w:rsidRPr="00DD44CF">
        <w:rPr>
          <w:rFonts w:cs="Arial"/>
          <w:lang w:val="en-US" w:eastAsia="zh-CN"/>
        </w:rPr>
        <w:t xml:space="preserve">mostly </w:t>
      </w:r>
      <w:r w:rsidR="0073231C" w:rsidRPr="00DD44CF">
        <w:rPr>
          <w:rFonts w:cs="Arial"/>
          <w:lang w:val="en-US" w:eastAsia="zh-CN"/>
        </w:rPr>
        <w:t>positive, but a small yet significant proporti</w:t>
      </w:r>
      <w:r w:rsidR="00712FEB" w:rsidRPr="00DD44CF">
        <w:rPr>
          <w:rFonts w:cs="Arial"/>
          <w:lang w:val="en-US" w:eastAsia="zh-CN"/>
        </w:rPr>
        <w:t>on we</w:t>
      </w:r>
      <w:r w:rsidR="0073231C" w:rsidRPr="00DD44CF">
        <w:rPr>
          <w:rFonts w:cs="Arial"/>
          <w:lang w:val="en-US" w:eastAsia="zh-CN"/>
        </w:rPr>
        <w:t>re</w:t>
      </w:r>
      <w:r w:rsidR="00712FEB" w:rsidRPr="00DD44CF">
        <w:rPr>
          <w:rFonts w:cs="Arial"/>
          <w:lang w:val="en-US" w:eastAsia="zh-CN"/>
        </w:rPr>
        <w:t xml:space="preserve"> negative. </w:t>
      </w:r>
      <w:r w:rsidR="00980198">
        <w:rPr>
          <w:rFonts w:cs="Calibri"/>
          <w:lang w:val="en-US" w:eastAsia="zh-CN"/>
        </w:rPr>
        <w:t xml:space="preserve">Forty </w:t>
      </w:r>
      <w:r w:rsidR="00495F85" w:rsidRPr="00DD44CF">
        <w:rPr>
          <w:rFonts w:cs="Calibri"/>
          <w:lang w:val="en-US" w:eastAsia="zh-CN"/>
        </w:rPr>
        <w:t>percent</w:t>
      </w:r>
      <w:r w:rsidR="00112DCB" w:rsidRPr="00DD44CF">
        <w:rPr>
          <w:rFonts w:cs="Calibri"/>
          <w:lang w:val="en-US" w:eastAsia="zh-CN"/>
        </w:rPr>
        <w:t xml:space="preserve"> of patients had at least one negative interaction</w:t>
      </w:r>
      <w:r w:rsidR="009302A1" w:rsidRPr="00DD44CF">
        <w:rPr>
          <w:rFonts w:cs="Calibri"/>
          <w:lang w:val="en-US" w:eastAsia="zh-CN"/>
        </w:rPr>
        <w:t>.</w:t>
      </w:r>
      <w:r w:rsidR="00112DCB" w:rsidRPr="00820559">
        <w:rPr>
          <w:rFonts w:cs="Arial"/>
          <w:lang w:val="en-US" w:eastAsia="zh-CN"/>
        </w:rPr>
        <w:t xml:space="preserve"> </w:t>
      </w:r>
      <w:r w:rsidR="00712FEB" w:rsidRPr="00DD44CF">
        <w:rPr>
          <w:rFonts w:cs="Arial"/>
          <w:lang w:val="en-US" w:eastAsia="zh-CN"/>
        </w:rPr>
        <w:t>A</w:t>
      </w:r>
      <w:r w:rsidR="0073231C" w:rsidRPr="00DD44CF">
        <w:rPr>
          <w:rFonts w:cs="Arial"/>
          <w:lang w:val="en-US" w:eastAsia="zh-CN"/>
        </w:rPr>
        <w:t xml:space="preserve"> number of factors </w:t>
      </w:r>
      <w:r w:rsidR="00712FEB" w:rsidRPr="00DD44CF">
        <w:rPr>
          <w:rFonts w:cs="Arial"/>
          <w:lang w:val="en-US" w:eastAsia="zh-CN"/>
        </w:rPr>
        <w:t xml:space="preserve">were </w:t>
      </w:r>
      <w:r w:rsidR="00584476">
        <w:rPr>
          <w:rFonts w:cs="Arial"/>
          <w:lang w:val="en-US" w:eastAsia="zh-CN"/>
        </w:rPr>
        <w:t xml:space="preserve">independently </w:t>
      </w:r>
      <w:r w:rsidR="0073231C" w:rsidRPr="00DD44CF">
        <w:rPr>
          <w:rFonts w:cs="Arial"/>
          <w:lang w:val="en-US" w:eastAsia="zh-CN"/>
        </w:rPr>
        <w:t xml:space="preserve">associated with more negative interactions, including </w:t>
      </w:r>
      <w:r w:rsidR="00191840">
        <w:rPr>
          <w:rFonts w:cs="Arial"/>
          <w:lang w:val="en-US" w:eastAsia="zh-CN"/>
        </w:rPr>
        <w:t xml:space="preserve">being </w:t>
      </w:r>
      <w:r w:rsidR="00712FEB" w:rsidRPr="00DD44CF">
        <w:rPr>
          <w:rFonts w:cs="Arial"/>
          <w:lang w:val="en-US" w:eastAsia="zh-CN"/>
        </w:rPr>
        <w:t xml:space="preserve">patient-initiated, </w:t>
      </w:r>
      <w:r w:rsidR="0073231C" w:rsidRPr="00DD44CF">
        <w:rPr>
          <w:rFonts w:cs="Arial"/>
          <w:lang w:val="en-US" w:eastAsia="zh-CN"/>
        </w:rPr>
        <w:t xml:space="preserve">type of care and number of staff involved. </w:t>
      </w:r>
      <w:r w:rsidR="00FF5EF9">
        <w:rPr>
          <w:rFonts w:cs="Arial"/>
          <w:lang w:val="en-US" w:eastAsia="zh-CN"/>
        </w:rPr>
        <w:t>P</w:t>
      </w:r>
      <w:r w:rsidR="00FF5EF9" w:rsidRPr="00DD44CF">
        <w:rPr>
          <w:rFonts w:cs="Arial"/>
          <w:lang w:val="en-US" w:eastAsia="zh-CN"/>
        </w:rPr>
        <w:t>atient agitation</w:t>
      </w:r>
      <w:r w:rsidR="00FF5EF9">
        <w:rPr>
          <w:rFonts w:cs="Arial"/>
          <w:lang w:val="en-US" w:eastAsia="zh-CN"/>
        </w:rPr>
        <w:t xml:space="preserve"> at the outset of interaction was associated </w:t>
      </w:r>
      <w:r w:rsidR="00FF5EF9" w:rsidRPr="00DD44CF">
        <w:rPr>
          <w:rFonts w:cs="Arial"/>
          <w:lang w:val="en-US" w:eastAsia="zh-CN"/>
        </w:rPr>
        <w:t>with increased odds of negative interaction and having visitors present</w:t>
      </w:r>
      <w:r w:rsidR="00FF5EF9">
        <w:rPr>
          <w:rFonts w:cs="Arial"/>
          <w:lang w:val="en-US" w:eastAsia="zh-CN"/>
        </w:rPr>
        <w:t xml:space="preserve"> was associated with reduced odds of negative interaction</w:t>
      </w:r>
      <w:r w:rsidR="00584476">
        <w:rPr>
          <w:rFonts w:cs="Arial"/>
          <w:lang w:val="en-US" w:eastAsia="zh-CN"/>
        </w:rPr>
        <w:t xml:space="preserve"> but only in </w:t>
      </w:r>
      <w:r w:rsidR="00EA0674">
        <w:rPr>
          <w:rFonts w:cs="Arial"/>
          <w:lang w:val="en-US" w:eastAsia="zh-CN"/>
        </w:rPr>
        <w:t>Model C</w:t>
      </w:r>
      <w:r w:rsidR="00584476">
        <w:rPr>
          <w:rFonts w:cs="Arial"/>
          <w:lang w:val="en-US" w:eastAsia="zh-CN"/>
        </w:rPr>
        <w:t xml:space="preserve"> where no account was taken of the interaction content</w:t>
      </w:r>
      <w:r w:rsidR="00A62450" w:rsidRPr="00DD44CF">
        <w:rPr>
          <w:rFonts w:cs="Arial"/>
          <w:lang w:val="en-US" w:eastAsia="zh-CN"/>
        </w:rPr>
        <w:t xml:space="preserve">. </w:t>
      </w:r>
      <w:r w:rsidR="00712FEB" w:rsidRPr="00DD44CF">
        <w:rPr>
          <w:rFonts w:cs="Arial"/>
          <w:lang w:val="en-US" w:eastAsia="zh-CN"/>
        </w:rPr>
        <w:t>Varia</w:t>
      </w:r>
      <w:r w:rsidR="00E412AD" w:rsidRPr="00DD44CF">
        <w:rPr>
          <w:rFonts w:cs="Arial"/>
          <w:lang w:val="en-US" w:eastAsia="zh-CN"/>
        </w:rPr>
        <w:t>bility</w:t>
      </w:r>
      <w:r w:rsidR="00712FEB" w:rsidRPr="00DD44CF">
        <w:rPr>
          <w:rFonts w:cs="Arial"/>
          <w:lang w:val="en-US" w:eastAsia="zh-CN"/>
        </w:rPr>
        <w:t xml:space="preserve"> was highest at ward and session level, compared to patient level.</w:t>
      </w:r>
    </w:p>
    <w:p w14:paraId="5F98A18A" w14:textId="77777777" w:rsidR="00182432" w:rsidRPr="00DD44CF" w:rsidRDefault="007A236E" w:rsidP="00E412AD">
      <w:pPr>
        <w:widowControl w:val="0"/>
        <w:autoSpaceDE w:val="0"/>
        <w:autoSpaceDN w:val="0"/>
        <w:adjustRightInd w:val="0"/>
        <w:spacing w:after="240"/>
        <w:rPr>
          <w:rFonts w:cs="Arial"/>
          <w:lang w:val="en-US" w:eastAsia="zh-CN"/>
        </w:rPr>
      </w:pPr>
      <w:r w:rsidRPr="00DD44CF">
        <w:rPr>
          <w:rFonts w:cs="Arial"/>
          <w:lang w:val="en-US" w:eastAsia="zh-CN"/>
        </w:rPr>
        <w:t>Findings on the length and quality of interactions are broadly similar to those reported in other studies, although frequency of interaction at a patient level has not been previously reported (The Regulation and Quality Improvement Authority 2015</w:t>
      </w:r>
      <w:r w:rsidR="009302A1" w:rsidRPr="00DD44CF">
        <w:rPr>
          <w:rFonts w:cs="Arial"/>
          <w:lang w:val="en-US" w:eastAsia="zh-CN"/>
        </w:rPr>
        <w:t xml:space="preserve">, </w:t>
      </w:r>
      <w:r w:rsidRPr="00DD44CF">
        <w:rPr>
          <w:rFonts w:cs="Arial"/>
          <w:lang w:val="en-US" w:eastAsia="zh-CN"/>
        </w:rPr>
        <w:t xml:space="preserve">Westbrook et al. 2011). </w:t>
      </w:r>
      <w:r w:rsidR="00E706DE" w:rsidRPr="00DD44CF">
        <w:rPr>
          <w:rFonts w:cs="Arial"/>
          <w:lang w:val="en-US" w:eastAsia="zh-CN"/>
        </w:rPr>
        <w:t>Findings</w:t>
      </w:r>
      <w:r w:rsidR="00182432" w:rsidRPr="00DD44CF">
        <w:rPr>
          <w:rFonts w:cs="Arial"/>
          <w:lang w:val="en-US" w:eastAsia="zh-CN"/>
        </w:rPr>
        <w:t xml:space="preserve"> indicate that length of interaction is not associated with quality of interaction, suggesting that both positive and negative interactions can be accomplished in spite of short contac</w:t>
      </w:r>
      <w:r w:rsidR="00E706DE" w:rsidRPr="00DD44CF">
        <w:rPr>
          <w:rFonts w:cs="Arial"/>
          <w:lang w:val="en-US" w:eastAsia="zh-CN"/>
        </w:rPr>
        <w:t xml:space="preserve">t time. However more frequent interactions </w:t>
      </w:r>
      <w:r w:rsidR="00E412AD" w:rsidRPr="00DD44CF">
        <w:rPr>
          <w:rFonts w:cs="Arial"/>
          <w:lang w:val="en-US" w:eastAsia="zh-CN"/>
        </w:rPr>
        <w:t>were</w:t>
      </w:r>
      <w:r w:rsidR="00182432" w:rsidRPr="00DD44CF">
        <w:rPr>
          <w:rFonts w:cs="Arial"/>
          <w:lang w:val="en-US" w:eastAsia="zh-CN"/>
        </w:rPr>
        <w:t xml:space="preserve"> associated with</w:t>
      </w:r>
      <w:r w:rsidR="00E412AD" w:rsidRPr="00DD44CF">
        <w:rPr>
          <w:rFonts w:cs="Arial"/>
          <w:lang w:val="en-US" w:eastAsia="zh-CN"/>
        </w:rPr>
        <w:t xml:space="preserve"> a</w:t>
      </w:r>
      <w:r w:rsidR="00182432" w:rsidRPr="00DD44CF">
        <w:rPr>
          <w:rFonts w:cs="Arial"/>
          <w:lang w:val="en-US" w:eastAsia="zh-CN"/>
        </w:rPr>
        <w:t xml:space="preserve"> more negative experience</w:t>
      </w:r>
      <w:r w:rsidR="0044438D" w:rsidRPr="00DD44CF">
        <w:rPr>
          <w:rFonts w:cs="Arial"/>
          <w:lang w:val="en-US" w:eastAsia="zh-CN"/>
        </w:rPr>
        <w:t xml:space="preserve">. </w:t>
      </w:r>
      <w:r w:rsidR="00D91ACD" w:rsidRPr="00DD44CF">
        <w:rPr>
          <w:rFonts w:cs="Arial"/>
          <w:lang w:val="en-US" w:eastAsia="zh-CN"/>
        </w:rPr>
        <w:t>M</w:t>
      </w:r>
      <w:r w:rsidR="00182432" w:rsidRPr="00DD44CF">
        <w:rPr>
          <w:rFonts w:cs="Arial"/>
          <w:lang w:val="en-US" w:eastAsia="zh-CN"/>
        </w:rPr>
        <w:t xml:space="preserve">ore research is needed to better understand </w:t>
      </w:r>
      <w:r w:rsidR="00E412AD" w:rsidRPr="00DD44CF">
        <w:rPr>
          <w:rFonts w:cs="Arial"/>
          <w:lang w:val="en-US" w:eastAsia="zh-CN"/>
        </w:rPr>
        <w:t>these patterns</w:t>
      </w:r>
      <w:r w:rsidR="00EE675B" w:rsidRPr="00DD44CF">
        <w:rPr>
          <w:rFonts w:cs="Arial"/>
          <w:lang w:val="en-US" w:eastAsia="zh-CN"/>
        </w:rPr>
        <w:t>.</w:t>
      </w:r>
    </w:p>
    <w:p w14:paraId="7D7A1647" w14:textId="5E51E131" w:rsidR="009B26D1" w:rsidRPr="00DD44CF" w:rsidRDefault="00F617E1" w:rsidP="00FF5EF9">
      <w:pPr>
        <w:widowControl w:val="0"/>
        <w:autoSpaceDE w:val="0"/>
        <w:autoSpaceDN w:val="0"/>
        <w:adjustRightInd w:val="0"/>
        <w:spacing w:after="240"/>
        <w:rPr>
          <w:rFonts w:cs="Arial"/>
          <w:lang w:eastAsia="zh-CN"/>
        </w:rPr>
      </w:pPr>
      <w:r w:rsidRPr="00DD44CF">
        <w:rPr>
          <w:rFonts w:cs="Arial"/>
          <w:lang w:val="en-US" w:eastAsia="zh-CN"/>
        </w:rPr>
        <w:t xml:space="preserve">In contrast to other research, this study </w:t>
      </w:r>
      <w:r w:rsidR="00E706DE" w:rsidRPr="00DD44CF">
        <w:rPr>
          <w:rFonts w:cs="Arial"/>
          <w:lang w:val="en-US" w:eastAsia="zh-CN"/>
        </w:rPr>
        <w:t>did not find</w:t>
      </w:r>
      <w:r w:rsidRPr="00DD44CF">
        <w:rPr>
          <w:rFonts w:cs="Arial"/>
          <w:lang w:val="en-US" w:eastAsia="zh-CN"/>
        </w:rPr>
        <w:t xml:space="preserve"> that </w:t>
      </w:r>
      <w:r w:rsidR="006B782F" w:rsidRPr="00DD44CF">
        <w:rPr>
          <w:rFonts w:cs="Arial"/>
          <w:lang w:val="en-US" w:eastAsia="zh-CN"/>
        </w:rPr>
        <w:t>age</w:t>
      </w:r>
      <w:r w:rsidR="00A62450" w:rsidRPr="00DD44CF">
        <w:rPr>
          <w:rFonts w:cs="Arial"/>
          <w:lang w:val="en-US" w:eastAsia="zh-CN"/>
        </w:rPr>
        <w:t xml:space="preserve"> or</w:t>
      </w:r>
      <w:r w:rsidR="00B66BEB" w:rsidRPr="00DD44CF">
        <w:rPr>
          <w:rFonts w:cs="Arial"/>
          <w:lang w:val="en-US" w:eastAsia="zh-CN"/>
        </w:rPr>
        <w:t xml:space="preserve"> </w:t>
      </w:r>
      <w:r w:rsidR="006B782F" w:rsidRPr="00DD44CF">
        <w:rPr>
          <w:rFonts w:cs="Arial"/>
          <w:lang w:val="en-US" w:eastAsia="zh-CN"/>
        </w:rPr>
        <w:t>cognitive impairment increase</w:t>
      </w:r>
      <w:r w:rsidR="009302A1" w:rsidRPr="00DD44CF">
        <w:rPr>
          <w:rFonts w:cs="Arial"/>
          <w:lang w:val="en-US" w:eastAsia="zh-CN"/>
        </w:rPr>
        <w:t>d</w:t>
      </w:r>
      <w:r w:rsidR="006B782F" w:rsidRPr="00DD44CF">
        <w:rPr>
          <w:rFonts w:cs="Arial"/>
          <w:lang w:val="en-US" w:eastAsia="zh-CN"/>
        </w:rPr>
        <w:t xml:space="preserve"> the likelihood of a negative interaction</w:t>
      </w:r>
      <w:r w:rsidR="00F47E96" w:rsidRPr="00DD44CF">
        <w:rPr>
          <w:rFonts w:cs="Arial"/>
          <w:lang w:val="en-US" w:eastAsia="zh-CN"/>
        </w:rPr>
        <w:t xml:space="preserve"> </w:t>
      </w:r>
      <w:r w:rsidR="00F47E96" w:rsidRPr="00DD44CF">
        <w:rPr>
          <w:rFonts w:cs="Arial"/>
          <w:lang w:val="en-US" w:eastAsia="zh-CN"/>
        </w:rPr>
        <w:fldChar w:fldCharType="begin" w:fldLock="1"/>
      </w:r>
      <w:r w:rsidR="00902D49">
        <w:rPr>
          <w:rFonts w:cs="Arial"/>
          <w:lang w:val="en-US" w:eastAsia="zh-CN"/>
        </w:rPr>
        <w:instrText>ADDIN CSL_CITATION { "citationItems" : [ { "id" : "ITEM-1", "itemData" : { "DOI" : "10.1016/j.ijnurstu.2009.09.009", "ISBN" : "0020-7489", "ISSN" : "00207489", "PMID" : "19854441", "abstract" : "Objective: To explore older people's and their relatives' views on and experiences of acute health care. Design: Systematic procedures were used for study selection and data extraction and analysis. A comparative thematic approach to synthesis was taken with a number of features adopted from the literature on meta-ethnography. Data sources: Worldwide grey and published literature written in English between January 1999 and June 2008 identified from databases: CINAHL, Medline, British Nursing Index, EMBASE Psychiatry, International Bibliography of the Social Sciences, PsychINFO, and AgeInfo. Review methods: We conducted a systematic review and synthesis of qualitative studies describing older patients' and/or their relatives' experiences of care in acute hospital settings. 42 primary studies and 1 systematic review met the inclusion criteria. Results: A number of themes emerged. The quality of technical care is often taken for granted by older patients, and good or bad experiences are described more in terms of relational aspects of care. Older patients in hospital may feel worthless, fearful or not in control of what happens, especially if they have impaired cognition, or communication difficulties. Three key features of care consistently mediated these negative feelings and were linked to more positive experiences: \"creating communities: connect with me\", \"maintaining identity: see who I am\" and \"sharing decision-making: include me\". Conclusion: These findings highlight the perspectives of older people and their relatives on the delivery of personalized and dignified care in acute settings. They lend support to previous calls for relationship-centred approaches to care and provide a useful experience-based framework for practice for those involved in care for older people. ?? 2009 Elsevier Ltd. All rights reserved.", "author" : [ { "dropping-particle" : "", "family" : "Bridges", "given" : "Jackie", "non-dropping-particle" : "", "parse-names" : false, "suffix" : "" }, { "dropping-particle" : "", "family" : "Flatley", "given" : "Mary", "non-dropping-particle" : "", "parse-names" : false, "suffix" : "" }, { "dropping-particle" : "", "family" : "Meyer", "given" : "Julienne", "non-dropping-particle" : "", "parse-names" : false, "suffix" : "" } ], "container-title" : "International Journal of Nursing Studies", "id" : "ITEM-1", "issued" : { "date-parts" : [ [ "2010" ] ] }, "page" : "89-107", "title" : "Older people's and relatives' experiences in acute care settings: Systematic review and synthesis of qualitative studies", "type" : "article-journal", "volume" : "47" }, "uris" : [ "http://www.mendeley.com/documents/?uuid=910a9b24-771a-4425-a1f0-cd42b7c49ca4" ] }, { "id" : "ITEM-2", "itemData" : { "DOI" : "10.1111/jan.12050", "ISBN" : "1351-5578", "ISSN" : "03092402", "PMID" : "23163719", "abstract" : "Aims: To synthesize evidence and knowledge from published research about nurses' experiences of nurse-patient relationships with adult patients in general, acute inpatient hospital settings.\r\n\r\nBackground: While primary research on nurses' experiences has been reported, it has not been previously synthesized. Design: Meta-ethnography. Data sources: Published literature from Australia, Europe, and North America, written in English between January 1999\u2013October 2009 was identified from databases: CINAHL, Medline, British Nursing Index and PsycINFO.\r\n\r\nReview methods: Qualitative studies describing nurses' experiences of the nurse-patient relationship in acute hospital settings were reviewed and synthesized using the meta-ethnographic method.\r\n\r\nResults: Sixteen primary studies (18 papers) were appraised as high quality and met the inclusion criteria. The findings show that while nurses aspire to develop therapeutic relationships with patients, the organizational setting at a unit level is strongly associated with nurses' capacity to build and sustain these relationships. The organizational conditions of critical care settings appear best suited to forming therapeutic relationships, while nurses working on general wards are more likely to report moral distress resulting from delivering unsatisfactory care. General ward nurses can then withdraw from attempting to emotionally engage with patients.\r\n\r\nConclusion: The findings of this meta-ethnography draw together the evidence from several qualitative studies and articulate how the organizational setting at a unit level can strongly influence nurses' capacity to build and sustain therapeutic relationships with patients. Service improvements need to focus on how to optimize the organizational conditions that support nurses in their relational work with patients.", "author" : [ { "dropping-particle" : "", "family" : "Bridges", "given" : "Jackie", "non-dropping-particle" : "", "parse-names" : false, "suffix" : "" }, { "dropping-particle" : "", "family" : "Nicholson", "given" : "Caroline", "non-dropping-particle" : "", "parse-names" : false, "suffix" : "" }, { "dropping-particle" : "", "family" : "Maben", "given" : "Jill", "non-dropping-particle" : "", "parse-names" : false, "suffix" : "" }, { "dropping-particle" : "", "family" : "Pope", "given" : "Catherine", "non-dropping-particle" : "", "parse-names" : false, "suffix" : "" }, { "dropping-particle" : "", "family" : "Flatley", "given" : "Mary", "non-dropping-particle" : "", "parse-names" : false, "suffix" : "" }, { "dropping-particle" : "", "family" : "Wilkinson", "given" : "Charlotte", "non-dropping-particle" : "", "parse-names" : false, "suffix" : "" }, { "dropping-particle" : "", "family" : "Meyer", "given" : "Julienne", "non-dropping-particle" : "", "parse-names" : false, "suffix" : "" }, { "dropping-particle" : "", "family" : "Tziggili", "given" : "Maria", "non-dropping-particle" : "", "parse-names" : false, "suffix" : "" } ], "container-title" : "Journal of Advanced Nursing", "id" : "ITEM-2", "issued" : { "date-parts" : [ [ "2013" ] ] }, "page" : "760-772", "title" : "Capacity for care: Meta-ethnography of acute care nurses' experiences of the nurse-patient relationship", "type" : "article-journal", "volume" : "69" }, "uris" : [ "http://www.mendeley.com/documents/?uuid=7db3b617-04e7-4259-b540-9c65bf6d4304" ] }, { "id" : "ITEM-3", "itemData" : { "ISBN" : "0283-9318", "ISSN" : "0283-9318", "PMID" : "11985753", "abstract" : "Nurses caring for patients with dementia in acute care settings often lack specialized education in geriatric nursing. The acute care settings do not have an environment made for dementia care. The staff often had a high workload, which makes the situation stressful and the nurses who take care of these patients might end up in difficult situations. The aim of this study was to describe nurses' experiences of difficulties related to caring for patients with dementia in acute care settings. Interviews were performed with 12 nurses. Qualitative thematic content analyses were carried out in several steps. The results show that the nurses experienced various difficulties in meeting patients with dementia in acute care settings. This gave rise to for example frustration. Most commonly reported was lack of time to treat these patients satisfactorily. The difficulties were mostly related to the often disorderly conduct of these patients, the ethical problems that appeared in the care of these patients, and the medical care organization. The problematic situations described sometimes led to abuse and neglect of these patients.", "author" : [ { "dropping-particle" : "", "family" : "Eriksson", "given" : "Catharina", "non-dropping-particle" : "", "parse-names" : false, "suffix" : "" }, { "dropping-particle" : "", "family" : "Saveman", "given" : "Britt-Inger", "non-dropping-particle" : "", "parse-names" : false, "suffix" : "" } ], "container-title" : "Scandinavian journal of caring sciences", "id" : "ITEM-3", "issue" : "1", "issued" : { "date-parts" : [ [ "2002" ] ] }, "page" : "79-85", "title" : "Nurses' experiences of abusive/non-abusive caring for demented patients in acute care settings.", "type" : "article-journal", "volume" : "16" }, "uris" : [ "http://www.mendeley.com/documents/?uuid=a3be40f7-7455-42a1-8c31-c648566a7c74" ] }, { "id" : "ITEM-4", "itemData" : { "author" : [ { "dropping-particle" : "", "family" : "Fulmer", "given" : "T.", "non-dropping-particle" : "", "parse-names" : false, "suffix" : "" }, { "dropping-particle" : "", "family" : "Paveza", "given" : "G.", "non-dropping-particle" : "", "parse-names" : false, "suffix" : "" }, { "dropping-particle" : "", "family" : "VandeWeerd", "given" : "C.", "non-dropping-particle" : "", "parse-names" : false, "suffix" : "" } ], "container-title" : "Gerontologist", "id" : "ITEM-4", "issued" : { "date-parts" : [ [ "2005" ] ] }, "page" : "525-534", "title" : "Dyadic vulnerability and risk profiling for elder neglect", "type" : "article-journal", "volume" : "45" }, "uris" : [ "http://www.mendeley.com/documents/?uuid=77108f0a-b8b5-4af7-b26c-e9d732e2459d" ] } ], "mendeley" : { "formattedCitation" : "(Bridges et al., 2013, 2010; Eriksson and Saveman, 2002; Fulmer et al., 2005)", "plainTextFormattedCitation" : "(Bridges et al., 2013, 2010; Eriksson and Saveman, 2002; Fulmer et al., 2005)", "previouslyFormattedCitation" : "(Bridges et al., 2013, 2010; Eriksson and Saveman, 2002; Fulmer et al., 2005)" }, "properties" : { "noteIndex" : 0 }, "schema" : "https://github.com/citation-style-language/schema/raw/master/csl-citation.json" }</w:instrText>
      </w:r>
      <w:r w:rsidR="00F47E96" w:rsidRPr="00DD44CF">
        <w:rPr>
          <w:rFonts w:cs="Arial"/>
          <w:lang w:val="en-US" w:eastAsia="zh-CN"/>
        </w:rPr>
        <w:fldChar w:fldCharType="separate"/>
      </w:r>
      <w:r w:rsidR="00902D49" w:rsidRPr="004046AE">
        <w:rPr>
          <w:rFonts w:cs="Arial"/>
          <w:noProof/>
          <w:lang w:eastAsia="zh-CN"/>
        </w:rPr>
        <w:t>(Bridges et al., 2013, 2010; Eriksson and Saveman, 2002; Fulmer et al., 2005)</w:t>
      </w:r>
      <w:r w:rsidR="00F47E96" w:rsidRPr="00DD44CF">
        <w:rPr>
          <w:rFonts w:cs="Arial"/>
          <w:lang w:val="en-US" w:eastAsia="zh-CN"/>
        </w:rPr>
        <w:fldChar w:fldCharType="end"/>
      </w:r>
      <w:r w:rsidR="00F47E96" w:rsidRPr="004046AE">
        <w:rPr>
          <w:rFonts w:cs="Arial"/>
          <w:lang w:eastAsia="zh-CN"/>
        </w:rPr>
        <w:t>.</w:t>
      </w:r>
      <w:r w:rsidR="00B97121" w:rsidRPr="004046AE">
        <w:rPr>
          <w:rFonts w:cs="Arial"/>
          <w:lang w:eastAsia="zh-CN"/>
        </w:rPr>
        <w:t xml:space="preserve"> </w:t>
      </w:r>
      <w:r w:rsidR="00E706DE" w:rsidRPr="00DD44CF">
        <w:rPr>
          <w:rFonts w:cs="Arial"/>
          <w:lang w:val="en-US" w:eastAsia="zh-CN"/>
        </w:rPr>
        <w:t xml:space="preserve">Previous studies have not controlled for multiple patient and staff factors </w:t>
      </w:r>
      <w:r w:rsidR="00EE675B" w:rsidRPr="00DD44CF">
        <w:rPr>
          <w:rFonts w:cs="Arial"/>
          <w:lang w:val="en-US" w:eastAsia="zh-CN"/>
        </w:rPr>
        <w:t xml:space="preserve">and these findings clarify that </w:t>
      </w:r>
      <w:r w:rsidR="00A62450" w:rsidRPr="00DD44CF">
        <w:rPr>
          <w:rFonts w:cs="Arial"/>
          <w:lang w:val="en-US" w:eastAsia="zh-CN"/>
        </w:rPr>
        <w:t>age and cognitive impairment</w:t>
      </w:r>
      <w:r w:rsidR="00EE675B" w:rsidRPr="00DD44CF">
        <w:rPr>
          <w:rFonts w:cs="Arial"/>
          <w:lang w:val="en-US" w:eastAsia="zh-CN"/>
        </w:rPr>
        <w:t xml:space="preserve"> do not appear to be </w:t>
      </w:r>
      <w:r w:rsidR="009302A1" w:rsidRPr="00DD44CF">
        <w:rPr>
          <w:rFonts w:cs="Arial"/>
          <w:lang w:val="en-US" w:eastAsia="zh-CN"/>
        </w:rPr>
        <w:t xml:space="preserve">independently </w:t>
      </w:r>
      <w:r w:rsidR="00EE675B" w:rsidRPr="00DD44CF">
        <w:rPr>
          <w:rFonts w:cs="Arial"/>
          <w:lang w:val="en-US" w:eastAsia="zh-CN"/>
        </w:rPr>
        <w:t>ass</w:t>
      </w:r>
      <w:r w:rsidR="00495F85" w:rsidRPr="00DD44CF">
        <w:rPr>
          <w:rFonts w:cs="Arial"/>
          <w:lang w:val="en-US" w:eastAsia="zh-CN"/>
        </w:rPr>
        <w:t>ociated with interaction quality</w:t>
      </w:r>
      <w:r w:rsidR="00EE675B" w:rsidRPr="00DD44CF">
        <w:rPr>
          <w:rFonts w:cs="Arial"/>
          <w:lang w:val="en-US" w:eastAsia="zh-CN"/>
        </w:rPr>
        <w:t xml:space="preserve">. </w:t>
      </w:r>
      <w:r w:rsidR="00B97121" w:rsidRPr="00DD44CF">
        <w:rPr>
          <w:rFonts w:cs="Arial"/>
          <w:lang w:val="en-US" w:eastAsia="zh-CN"/>
        </w:rPr>
        <w:t xml:space="preserve">In </w:t>
      </w:r>
      <w:r w:rsidR="00EA0674">
        <w:rPr>
          <w:rFonts w:cs="Arial"/>
          <w:lang w:val="en-US" w:eastAsia="zh-CN"/>
        </w:rPr>
        <w:t>Model C</w:t>
      </w:r>
      <w:r w:rsidR="00B97121" w:rsidRPr="00DD44CF">
        <w:rPr>
          <w:rFonts w:cs="Arial"/>
          <w:lang w:val="en-US" w:eastAsia="zh-CN"/>
        </w:rPr>
        <w:t>, patient agitation</w:t>
      </w:r>
      <w:r w:rsidR="000B514A">
        <w:rPr>
          <w:rFonts w:cs="Arial"/>
          <w:lang w:val="en-US" w:eastAsia="zh-CN"/>
        </w:rPr>
        <w:t xml:space="preserve"> </w:t>
      </w:r>
      <w:r w:rsidR="00FF5EF9">
        <w:rPr>
          <w:rFonts w:cs="Arial"/>
          <w:lang w:val="en-US" w:eastAsia="zh-CN"/>
        </w:rPr>
        <w:t>at</w:t>
      </w:r>
      <w:r w:rsidR="000B514A">
        <w:rPr>
          <w:rFonts w:cs="Arial"/>
          <w:lang w:val="en-US" w:eastAsia="zh-CN"/>
        </w:rPr>
        <w:t xml:space="preserve"> the outset of interaction</w:t>
      </w:r>
      <w:r w:rsidR="00B97121" w:rsidRPr="00DD44CF">
        <w:rPr>
          <w:rFonts w:cs="Arial"/>
          <w:lang w:val="en-US" w:eastAsia="zh-CN"/>
        </w:rPr>
        <w:t xml:space="preserve"> was associated with higher odds of a negative interaction which adds to our understanding of which patients may be more vulnerable to negative interactions.</w:t>
      </w:r>
    </w:p>
    <w:p w14:paraId="4FB59841" w14:textId="77777777" w:rsidR="003B7F5C" w:rsidRPr="00DD44CF" w:rsidRDefault="00386537" w:rsidP="00FA5E4D">
      <w:pPr>
        <w:widowControl w:val="0"/>
        <w:autoSpaceDE w:val="0"/>
        <w:autoSpaceDN w:val="0"/>
        <w:adjustRightInd w:val="0"/>
        <w:spacing w:after="240"/>
        <w:rPr>
          <w:rFonts w:cs="Arial"/>
          <w:lang w:val="en-US" w:eastAsia="zh-CN"/>
        </w:rPr>
      </w:pPr>
      <w:r w:rsidRPr="00DD44CF">
        <w:rPr>
          <w:rFonts w:cs="Arial"/>
          <w:lang w:val="en-US" w:eastAsia="zh-CN"/>
        </w:rPr>
        <w:t>The finding that i</w:t>
      </w:r>
      <w:r w:rsidR="00352A72" w:rsidRPr="00DD44CF">
        <w:rPr>
          <w:rFonts w:cs="Arial"/>
          <w:lang w:val="en-US" w:eastAsia="zh-CN"/>
        </w:rPr>
        <w:t>nteractions focused on communication</w:t>
      </w:r>
      <w:r w:rsidR="00DB764B" w:rsidRPr="00DD44CF">
        <w:rPr>
          <w:rFonts w:cs="Arial"/>
          <w:lang w:val="en-US" w:eastAsia="zh-CN"/>
        </w:rPr>
        <w:t xml:space="preserve"> and personal care </w:t>
      </w:r>
      <w:r w:rsidR="00352A72" w:rsidRPr="00DD44CF">
        <w:rPr>
          <w:rFonts w:cs="Arial"/>
          <w:lang w:val="en-US" w:eastAsia="zh-CN"/>
        </w:rPr>
        <w:t>were associated with a higher likelihood of a negative interaction</w:t>
      </w:r>
      <w:r w:rsidRPr="00DD44CF">
        <w:rPr>
          <w:rFonts w:cs="Arial"/>
          <w:lang w:val="en-US" w:eastAsia="zh-CN"/>
        </w:rPr>
        <w:t xml:space="preserve"> </w:t>
      </w:r>
      <w:r w:rsidR="00FA5E4D" w:rsidRPr="00DD44CF">
        <w:rPr>
          <w:rFonts w:cs="Arial"/>
          <w:lang w:val="en-US" w:eastAsia="zh-CN"/>
        </w:rPr>
        <w:t xml:space="preserve">is </w:t>
      </w:r>
      <w:r w:rsidRPr="00DD44CF">
        <w:rPr>
          <w:rFonts w:cs="Arial"/>
          <w:lang w:val="en-US" w:eastAsia="zh-CN"/>
        </w:rPr>
        <w:t xml:space="preserve">noteworthy given that communication and personal care are aspects of nursing care in which positive interactions are regarded as </w:t>
      </w:r>
      <w:r w:rsidR="000D238B" w:rsidRPr="00DD44CF">
        <w:rPr>
          <w:rFonts w:cs="Arial"/>
          <w:lang w:val="en-US" w:eastAsia="zh-CN"/>
        </w:rPr>
        <w:t>essential</w:t>
      </w:r>
      <w:r w:rsidR="00A0178D" w:rsidRPr="00DD44CF">
        <w:rPr>
          <w:rFonts w:cs="Arial"/>
          <w:lang w:val="en-US" w:eastAsia="zh-CN"/>
        </w:rPr>
        <w:t xml:space="preserve"> for establishing therapeutic relationships</w:t>
      </w:r>
      <w:r w:rsidR="0033410E" w:rsidRPr="00DD44CF">
        <w:rPr>
          <w:rFonts w:cs="Arial"/>
          <w:lang w:val="en-US" w:eastAsia="zh-CN"/>
        </w:rPr>
        <w:t xml:space="preserve"> </w:t>
      </w:r>
      <w:r w:rsidR="0033410E" w:rsidRPr="00DD44CF">
        <w:rPr>
          <w:rFonts w:cs="Arial"/>
          <w:lang w:val="en-US" w:eastAsia="zh-CN"/>
        </w:rPr>
        <w:fldChar w:fldCharType="begin" w:fldLock="1"/>
      </w:r>
      <w:r w:rsidR="00902D49">
        <w:rPr>
          <w:rFonts w:cs="Arial"/>
          <w:lang w:val="en-US" w:eastAsia="zh-CN"/>
        </w:rPr>
        <w:instrText>ADDIN CSL_CITATION { "citationItems" : [ { "id" : "ITEM-1", "itemData" : { "author" : [ { "dropping-particle" : "", "family" : "Department of Health", "given" : "", "non-dropping-particle" : "", "parse-names" : false, "suffix" : "" } ], "id" : "ITEM-1", "issued" : { "date-parts" : [ [ "2012" ] ] }, "number-of-pages" : "1-29", "publisher-place" : "Department of Health: London", "title" : "Compassion in Practice", "type" : "report" }, "uris" : [ "http://www.mendeley.com/documents/?uuid=65033bea-2373-4433-b62c-d9749bb90883" ] }, { "id" : "ITEM-2", "itemData" : { "author" : [ { "dropping-particle" : "", "family" : "Deparment of Health", "given" : "", "non-dropping-particle" : "", "parse-names" : false, "suffix" : "" } ], "id" : "ITEM-2", "issued" : { "date-parts" : [ [ "2010" ] ] }, "publisher-place" : "Department of Health: London", "title" : "Essence of Care", "type" : "report" }, "uris" : [ "http://www.mendeley.com/documents/?uuid=9c05f0a1-fda0-47aa-9ac3-5312e6816b12" ] }, { "id" : "ITEM-3", "itemData" : { "author" : [ { "dropping-particle" : "", "family" : "Francis", "given" : "R.", "non-dropping-particle" : "", "parse-names" : false, "suffix" : "" } ], "id" : "ITEM-3", "issued" : { "date-parts" : [ [ "2013" ] ] }, "publisher-place" : "London: The Stationery Office", "title" : "Report of the Mid Staffordshire NHS Foundation Trust Public Inquiry", "type" : "report" }, "uris" : [ "http://www.mendeley.com/documents/?uuid=d44ef27b-efc1-4c7c-b922-552fc972302a" ] } ], "mendeley" : { "formattedCitation" : "(Deparment of Health, 2010; Department of Health, 2012; Francis, 2013)", "plainTextFormattedCitation" : "(Deparment of Health, 2010; Department of Health, 2012; Francis, 2013)", "previouslyFormattedCitation" : "(Deparment of Health, 2010; Department of Health, 2012; Francis, 2013)" }, "properties" : { "noteIndex" : 0 }, "schema" : "https://github.com/citation-style-language/schema/raw/master/csl-citation.json" }</w:instrText>
      </w:r>
      <w:r w:rsidR="0033410E" w:rsidRPr="00DD44CF">
        <w:rPr>
          <w:rFonts w:cs="Arial"/>
          <w:lang w:val="en-US" w:eastAsia="zh-CN"/>
        </w:rPr>
        <w:fldChar w:fldCharType="separate"/>
      </w:r>
      <w:r w:rsidR="00902D49" w:rsidRPr="00902D49">
        <w:rPr>
          <w:rFonts w:cs="Arial"/>
          <w:noProof/>
          <w:lang w:val="en-US" w:eastAsia="zh-CN"/>
        </w:rPr>
        <w:t>(Deparment of Health, 2010; Department of Health, 2012; Francis, 2013)</w:t>
      </w:r>
      <w:r w:rsidR="0033410E" w:rsidRPr="00DD44CF">
        <w:rPr>
          <w:rFonts w:cs="Arial"/>
          <w:lang w:val="en-US" w:eastAsia="zh-CN"/>
        </w:rPr>
        <w:fldChar w:fldCharType="end"/>
      </w:r>
      <w:r w:rsidR="0033410E" w:rsidRPr="00DD44CF">
        <w:rPr>
          <w:rFonts w:cs="Arial"/>
          <w:lang w:val="en-US" w:eastAsia="zh-CN"/>
        </w:rPr>
        <w:t>. Q</w:t>
      </w:r>
      <w:r w:rsidRPr="00DD44CF">
        <w:rPr>
          <w:rFonts w:cs="Arial"/>
          <w:lang w:val="en-US" w:eastAsia="zh-CN"/>
        </w:rPr>
        <w:t>ualitative inquiry into interactions during these aspects of care would enable greater understanding of the association</w:t>
      </w:r>
      <w:r w:rsidR="00191840">
        <w:rPr>
          <w:rFonts w:cs="Arial"/>
          <w:lang w:val="en-US" w:eastAsia="zh-CN"/>
        </w:rPr>
        <w:t xml:space="preserve"> found</w:t>
      </w:r>
      <w:r w:rsidRPr="00DD44CF">
        <w:rPr>
          <w:rFonts w:cs="Arial"/>
          <w:lang w:val="en-US" w:eastAsia="zh-CN"/>
        </w:rPr>
        <w:t xml:space="preserve"> here.</w:t>
      </w:r>
    </w:p>
    <w:p w14:paraId="049ED633" w14:textId="0638F384" w:rsidR="00BD1442" w:rsidRPr="00DD44CF" w:rsidRDefault="00B663C7" w:rsidP="00A04EBE">
      <w:pPr>
        <w:widowControl w:val="0"/>
        <w:autoSpaceDE w:val="0"/>
        <w:autoSpaceDN w:val="0"/>
        <w:adjustRightInd w:val="0"/>
        <w:spacing w:after="240"/>
        <w:rPr>
          <w:rFonts w:cs="Arial"/>
          <w:lang w:val="en-US" w:eastAsia="zh-CN"/>
        </w:rPr>
      </w:pPr>
      <w:r>
        <w:rPr>
          <w:rFonts w:cs="Arial"/>
          <w:lang w:val="en-US" w:eastAsia="zh-CN"/>
        </w:rPr>
        <w:lastRenderedPageBreak/>
        <w:t xml:space="preserve">In </w:t>
      </w:r>
      <w:r w:rsidR="00EA0674">
        <w:rPr>
          <w:rFonts w:cs="Arial"/>
          <w:lang w:val="en-US" w:eastAsia="zh-CN"/>
        </w:rPr>
        <w:t>Model C</w:t>
      </w:r>
      <w:r>
        <w:rPr>
          <w:rFonts w:cs="Arial"/>
          <w:lang w:val="en-US" w:eastAsia="zh-CN"/>
        </w:rPr>
        <w:t>,</w:t>
      </w:r>
      <w:r w:rsidR="00191840">
        <w:rPr>
          <w:rFonts w:cs="Arial"/>
          <w:lang w:val="en-US" w:eastAsia="zh-CN"/>
        </w:rPr>
        <w:t xml:space="preserve"> </w:t>
      </w:r>
      <w:r>
        <w:rPr>
          <w:rFonts w:cs="Arial"/>
          <w:lang w:val="en-US" w:eastAsia="zh-CN"/>
        </w:rPr>
        <w:t>t</w:t>
      </w:r>
      <w:r w:rsidR="00B97121" w:rsidRPr="00DD44CF">
        <w:rPr>
          <w:rFonts w:cs="Arial"/>
          <w:lang w:val="en-US" w:eastAsia="zh-CN"/>
        </w:rPr>
        <w:t>he</w:t>
      </w:r>
      <w:r w:rsidR="00B121EA" w:rsidRPr="00DD44CF">
        <w:rPr>
          <w:rFonts w:cs="Arial"/>
          <w:lang w:val="en-US" w:eastAsia="zh-CN"/>
        </w:rPr>
        <w:t xml:space="preserve"> presence of visitors </w:t>
      </w:r>
      <w:r>
        <w:rPr>
          <w:rFonts w:cs="Arial"/>
          <w:lang w:val="en-US" w:eastAsia="zh-CN"/>
        </w:rPr>
        <w:t>reduced</w:t>
      </w:r>
      <w:r w:rsidRPr="00DD44CF">
        <w:rPr>
          <w:rFonts w:cs="Arial"/>
          <w:lang w:val="en-US" w:eastAsia="zh-CN"/>
        </w:rPr>
        <w:t xml:space="preserve"> </w:t>
      </w:r>
      <w:r w:rsidR="00B121EA" w:rsidRPr="00DD44CF">
        <w:rPr>
          <w:rFonts w:cs="Arial"/>
          <w:lang w:val="en-US" w:eastAsia="zh-CN"/>
        </w:rPr>
        <w:t xml:space="preserve">the </w:t>
      </w:r>
      <w:r>
        <w:rPr>
          <w:rFonts w:cs="Arial"/>
          <w:lang w:val="en-US" w:eastAsia="zh-CN"/>
        </w:rPr>
        <w:t>odds</w:t>
      </w:r>
      <w:r w:rsidRPr="00DD44CF">
        <w:rPr>
          <w:rFonts w:cs="Arial"/>
          <w:lang w:val="en-US" w:eastAsia="zh-CN"/>
        </w:rPr>
        <w:t xml:space="preserve"> </w:t>
      </w:r>
      <w:r w:rsidR="00B121EA" w:rsidRPr="00DD44CF">
        <w:rPr>
          <w:rFonts w:cs="Arial"/>
          <w:lang w:val="en-US" w:eastAsia="zh-CN"/>
        </w:rPr>
        <w:t>of a negative interaction</w:t>
      </w:r>
      <w:r w:rsidR="003C6E4B" w:rsidRPr="00DD44CF">
        <w:rPr>
          <w:rFonts w:cs="Arial"/>
          <w:lang w:val="en-US" w:eastAsia="zh-CN"/>
        </w:rPr>
        <w:t>,</w:t>
      </w:r>
      <w:r w:rsidR="00B121EA" w:rsidRPr="00DD44CF">
        <w:rPr>
          <w:rFonts w:cs="Arial"/>
          <w:lang w:val="en-US" w:eastAsia="zh-CN"/>
        </w:rPr>
        <w:t xml:space="preserve"> </w:t>
      </w:r>
      <w:r w:rsidR="002D7700">
        <w:rPr>
          <w:rFonts w:cs="Arial"/>
          <w:lang w:val="en-US" w:eastAsia="zh-CN"/>
        </w:rPr>
        <w:t xml:space="preserve">whereas </w:t>
      </w:r>
      <w:r w:rsidR="002D7700" w:rsidRPr="00DD44CF">
        <w:rPr>
          <w:rFonts w:cs="Arial"/>
          <w:lang w:val="en-US" w:eastAsia="zh-CN"/>
        </w:rPr>
        <w:t>having</w:t>
      </w:r>
      <w:r w:rsidR="00B97121" w:rsidRPr="00DD44CF">
        <w:rPr>
          <w:rFonts w:cs="Arial"/>
          <w:lang w:val="en-US" w:eastAsia="zh-CN"/>
        </w:rPr>
        <w:t xml:space="preserve"> more than one member of staff</w:t>
      </w:r>
      <w:r w:rsidR="00B121EA" w:rsidRPr="00DD44CF">
        <w:rPr>
          <w:rFonts w:cs="Arial"/>
          <w:lang w:val="en-US" w:eastAsia="zh-CN"/>
        </w:rPr>
        <w:t xml:space="preserve"> present</w:t>
      </w:r>
      <w:r>
        <w:rPr>
          <w:rFonts w:cs="Arial"/>
          <w:lang w:val="en-US" w:eastAsia="zh-CN"/>
        </w:rPr>
        <w:t xml:space="preserve"> increased it</w:t>
      </w:r>
      <w:r w:rsidR="00B121EA" w:rsidRPr="00DD44CF">
        <w:rPr>
          <w:rFonts w:cs="Arial"/>
          <w:lang w:val="en-US" w:eastAsia="zh-CN"/>
        </w:rPr>
        <w:t xml:space="preserve">. </w:t>
      </w:r>
      <w:r w:rsidR="00B0751B" w:rsidRPr="00DD44CF">
        <w:rPr>
          <w:rFonts w:cs="Arial"/>
          <w:lang w:val="en-US" w:eastAsia="zh-CN"/>
        </w:rPr>
        <w:t xml:space="preserve">It </w:t>
      </w:r>
      <w:r w:rsidR="00FA5E4D" w:rsidRPr="00DD44CF">
        <w:rPr>
          <w:rFonts w:cs="Arial"/>
          <w:lang w:val="en-US" w:eastAsia="zh-CN"/>
        </w:rPr>
        <w:t xml:space="preserve">might </w:t>
      </w:r>
      <w:r w:rsidR="00B0751B" w:rsidRPr="00DD44CF">
        <w:rPr>
          <w:rFonts w:cs="Arial"/>
          <w:lang w:val="en-US" w:eastAsia="zh-CN"/>
        </w:rPr>
        <w:t xml:space="preserve">be </w:t>
      </w:r>
      <w:r w:rsidR="00FA5E4D" w:rsidRPr="00DD44CF">
        <w:rPr>
          <w:rFonts w:cs="Arial"/>
          <w:lang w:val="en-US" w:eastAsia="zh-CN"/>
        </w:rPr>
        <w:t xml:space="preserve">anticipated </w:t>
      </w:r>
      <w:r w:rsidR="00B0751B" w:rsidRPr="00DD44CF">
        <w:rPr>
          <w:rFonts w:cs="Arial"/>
          <w:lang w:val="en-US" w:eastAsia="zh-CN"/>
        </w:rPr>
        <w:t xml:space="preserve">that </w:t>
      </w:r>
      <w:r w:rsidR="00FA5E4D" w:rsidRPr="00DD44CF">
        <w:rPr>
          <w:rFonts w:cs="Arial"/>
          <w:lang w:val="en-US" w:eastAsia="zh-CN"/>
        </w:rPr>
        <w:t xml:space="preserve">staff </w:t>
      </w:r>
      <w:r w:rsidR="00B0751B" w:rsidRPr="00DD44CF">
        <w:rPr>
          <w:rFonts w:cs="Arial"/>
          <w:lang w:val="en-US" w:eastAsia="zh-CN"/>
        </w:rPr>
        <w:t xml:space="preserve">perform better </w:t>
      </w:r>
      <w:r w:rsidR="00B121EA" w:rsidRPr="00DD44CF">
        <w:rPr>
          <w:rFonts w:cs="Arial"/>
          <w:lang w:val="en-US" w:eastAsia="zh-CN"/>
        </w:rPr>
        <w:t xml:space="preserve">when under the observation of others </w:t>
      </w:r>
      <w:r w:rsidR="00B121EA" w:rsidRPr="00DD44CF">
        <w:rPr>
          <w:rFonts w:cs="Arial"/>
          <w:lang w:val="en-US" w:eastAsia="zh-CN"/>
        </w:rPr>
        <w:fldChar w:fldCharType="begin" w:fldLock="1"/>
      </w:r>
      <w:r w:rsidR="00902D49">
        <w:rPr>
          <w:rFonts w:cs="Arial"/>
          <w:lang w:val="en-US" w:eastAsia="zh-CN"/>
        </w:rPr>
        <w:instrText>ADDIN CSL_CITATION { "citationItems" : [ { "id" : "ITEM-1", "itemData" : { "DOI" : "doi:10.1016/S1469-0292(01)00019-x.", "author" : [ { "dropping-particle" : "", "family" : "Strauss", "given" : "B.", "non-dropping-particle" : "", "parse-names" : false, "suffix" : "" } ], "container-title" : "Psychology of Sport and Exercise", "id" : "ITEM-1", "issue" : "3", "issued" : { "date-parts" : [ [ "2002" ] ] }, "page" : "237\u2013256", "title" : "Social facilitation in motor tasks: a review of research and theory", "type" : "article-journal", "volume" : "3" }, "uris" : [ "http://www.mendeley.com/documents/?uuid=f6998aee-9b43-461a-a4d4-f5c39c6539bb" ] } ], "mendeley" : { "formattedCitation" : "(Strauss, 2002)", "plainTextFormattedCitation" : "(Strauss, 2002)", "previouslyFormattedCitation" : "(Strauss, 2002)" }, "properties" : { "noteIndex" : 0 }, "schema" : "https://github.com/citation-style-language/schema/raw/master/csl-citation.json" }</w:instrText>
      </w:r>
      <w:r w:rsidR="00B121EA" w:rsidRPr="00DD44CF">
        <w:rPr>
          <w:rFonts w:cs="Arial"/>
          <w:lang w:val="en-US" w:eastAsia="zh-CN"/>
        </w:rPr>
        <w:fldChar w:fldCharType="separate"/>
      </w:r>
      <w:r w:rsidR="00902D49" w:rsidRPr="00902D49">
        <w:rPr>
          <w:rFonts w:cs="Arial"/>
          <w:noProof/>
          <w:lang w:val="en-US" w:eastAsia="zh-CN"/>
        </w:rPr>
        <w:t>(Strauss, 2002)</w:t>
      </w:r>
      <w:r w:rsidR="00B121EA" w:rsidRPr="00DD44CF">
        <w:rPr>
          <w:rFonts w:cs="Arial"/>
          <w:lang w:val="en-US" w:eastAsia="zh-CN"/>
        </w:rPr>
        <w:fldChar w:fldCharType="end"/>
      </w:r>
      <w:r w:rsidR="00B121EA" w:rsidRPr="00DD44CF">
        <w:rPr>
          <w:rFonts w:cs="Arial"/>
          <w:lang w:val="en-US" w:eastAsia="zh-CN"/>
        </w:rPr>
        <w:t xml:space="preserve">, but these findings do not </w:t>
      </w:r>
      <w:r w:rsidR="00B97121" w:rsidRPr="00DD44CF">
        <w:rPr>
          <w:rFonts w:cs="Arial"/>
          <w:lang w:val="en-US" w:eastAsia="zh-CN"/>
        </w:rPr>
        <w:t>consistently</w:t>
      </w:r>
      <w:r w:rsidR="009302A1" w:rsidRPr="00DD44CF">
        <w:rPr>
          <w:rFonts w:cs="Arial"/>
          <w:lang w:val="en-US" w:eastAsia="zh-CN"/>
        </w:rPr>
        <w:t xml:space="preserve"> </w:t>
      </w:r>
      <w:r w:rsidR="00B121EA" w:rsidRPr="00DD44CF">
        <w:rPr>
          <w:rFonts w:cs="Arial"/>
          <w:lang w:val="en-US" w:eastAsia="zh-CN"/>
        </w:rPr>
        <w:t xml:space="preserve">support this claim. </w:t>
      </w:r>
      <w:r>
        <w:rPr>
          <w:rFonts w:cs="Arial"/>
          <w:lang w:val="en-US" w:eastAsia="zh-CN"/>
        </w:rPr>
        <w:t>It</w:t>
      </w:r>
      <w:r w:rsidR="00B121EA" w:rsidRPr="00DD44CF">
        <w:rPr>
          <w:rFonts w:cs="Arial"/>
          <w:lang w:val="en-US" w:eastAsia="zh-CN"/>
        </w:rPr>
        <w:t xml:space="preserve"> may be that staff become so used to having an audience </w:t>
      </w:r>
      <w:r w:rsidR="00B97121" w:rsidRPr="00DD44CF">
        <w:rPr>
          <w:rFonts w:cs="Arial"/>
          <w:lang w:val="en-US" w:eastAsia="zh-CN"/>
        </w:rPr>
        <w:t xml:space="preserve">of other staff </w:t>
      </w:r>
      <w:r w:rsidR="00B121EA" w:rsidRPr="00DD44CF">
        <w:rPr>
          <w:rFonts w:cs="Arial"/>
          <w:lang w:val="en-US" w:eastAsia="zh-CN"/>
        </w:rPr>
        <w:t xml:space="preserve">that </w:t>
      </w:r>
      <w:r w:rsidR="009302A1" w:rsidRPr="00DD44CF">
        <w:rPr>
          <w:rFonts w:cs="Arial"/>
          <w:lang w:val="en-US" w:eastAsia="zh-CN"/>
        </w:rPr>
        <w:t xml:space="preserve">any </w:t>
      </w:r>
      <w:r w:rsidR="00B121EA" w:rsidRPr="00DD44CF">
        <w:rPr>
          <w:rFonts w:cs="Arial"/>
          <w:lang w:val="en-US" w:eastAsia="zh-CN"/>
        </w:rPr>
        <w:t>effect of observation is muted</w:t>
      </w:r>
      <w:r w:rsidR="00B97121" w:rsidRPr="00DD44CF">
        <w:rPr>
          <w:rFonts w:cs="Arial"/>
          <w:lang w:val="en-US" w:eastAsia="zh-CN"/>
        </w:rPr>
        <w:t xml:space="preserve">, </w:t>
      </w:r>
      <w:r w:rsidR="00A04EBE">
        <w:rPr>
          <w:rFonts w:cs="Arial"/>
          <w:lang w:val="en-US" w:eastAsia="zh-CN"/>
        </w:rPr>
        <w:t xml:space="preserve">but they become more conscious of their behavior when visitors are present. </w:t>
      </w:r>
      <w:r w:rsidR="00B121EA" w:rsidRPr="00DD44CF">
        <w:rPr>
          <w:rFonts w:cs="Arial"/>
          <w:lang w:val="en-US" w:eastAsia="zh-CN"/>
        </w:rPr>
        <w:t>C</w:t>
      </w:r>
      <w:r w:rsidR="000E51DB" w:rsidRPr="00DD44CF">
        <w:rPr>
          <w:rFonts w:cs="Arial"/>
          <w:lang w:val="en-US" w:eastAsia="zh-CN"/>
        </w:rPr>
        <w:t xml:space="preserve">onversation that occurs between staff </w:t>
      </w:r>
      <w:r w:rsidR="00413707" w:rsidRPr="00DD44CF">
        <w:rPr>
          <w:rFonts w:cs="Arial"/>
          <w:lang w:val="en-US" w:eastAsia="zh-CN"/>
        </w:rPr>
        <w:t xml:space="preserve">when more than one is involved in an interaction </w:t>
      </w:r>
      <w:r w:rsidR="000E51DB" w:rsidRPr="00DD44CF">
        <w:rPr>
          <w:rFonts w:cs="Arial"/>
          <w:lang w:val="en-US" w:eastAsia="zh-CN"/>
        </w:rPr>
        <w:t xml:space="preserve">may </w:t>
      </w:r>
      <w:r w:rsidR="00413707" w:rsidRPr="00DD44CF">
        <w:rPr>
          <w:rFonts w:cs="Arial"/>
          <w:lang w:val="en-US" w:eastAsia="zh-CN"/>
        </w:rPr>
        <w:t xml:space="preserve">result in their being </w:t>
      </w:r>
      <w:r w:rsidR="000E51DB" w:rsidRPr="00DD44CF">
        <w:rPr>
          <w:rFonts w:cs="Arial"/>
          <w:lang w:val="en-US" w:eastAsia="zh-CN"/>
        </w:rPr>
        <w:t>less focus</w:t>
      </w:r>
      <w:r w:rsidR="00413707" w:rsidRPr="00DD44CF">
        <w:rPr>
          <w:rFonts w:cs="Arial"/>
          <w:lang w:val="en-US" w:eastAsia="zh-CN"/>
        </w:rPr>
        <w:t>ed</w:t>
      </w:r>
      <w:r w:rsidR="000E51DB" w:rsidRPr="00DD44CF">
        <w:rPr>
          <w:rFonts w:cs="Arial"/>
          <w:lang w:val="en-US" w:eastAsia="zh-CN"/>
        </w:rPr>
        <w:t xml:space="preserve"> on the patient.</w:t>
      </w:r>
      <w:r w:rsidR="00B121EA" w:rsidRPr="00DD44CF">
        <w:rPr>
          <w:rFonts w:cs="Arial"/>
          <w:lang w:val="en-US" w:eastAsia="zh-CN"/>
        </w:rPr>
        <w:t xml:space="preserve"> </w:t>
      </w:r>
      <w:r w:rsidR="00413707" w:rsidRPr="00DD44CF">
        <w:rPr>
          <w:rFonts w:cs="Arial"/>
          <w:lang w:val="en-US" w:eastAsia="zh-CN"/>
        </w:rPr>
        <w:t>R</w:t>
      </w:r>
      <w:r w:rsidR="00B121EA" w:rsidRPr="00DD44CF">
        <w:rPr>
          <w:rFonts w:cs="Arial"/>
          <w:lang w:val="en-US" w:eastAsia="zh-CN"/>
        </w:rPr>
        <w:t>esults from the National Inpatient Survey in England suggest that staff talking in fron</w:t>
      </w:r>
      <w:r w:rsidR="00DE29FB" w:rsidRPr="00DD44CF">
        <w:rPr>
          <w:rFonts w:cs="Arial"/>
          <w:lang w:val="en-US" w:eastAsia="zh-CN"/>
        </w:rPr>
        <w:t>t</w:t>
      </w:r>
      <w:r w:rsidR="00B121EA" w:rsidRPr="00DD44CF">
        <w:rPr>
          <w:rFonts w:cs="Arial"/>
          <w:lang w:val="en-US" w:eastAsia="zh-CN"/>
        </w:rPr>
        <w:t xml:space="preserve"> of patients as if they were not there is a relatively common complaint</w:t>
      </w:r>
      <w:r w:rsidR="00413707" w:rsidRPr="00DD44CF">
        <w:rPr>
          <w:rFonts w:cs="Arial"/>
          <w:lang w:val="en-US" w:eastAsia="zh-CN"/>
        </w:rPr>
        <w:t>, f</w:t>
      </w:r>
      <w:r w:rsidR="00A0178D" w:rsidRPr="00DD44CF">
        <w:rPr>
          <w:rFonts w:cs="Arial"/>
          <w:lang w:val="en-US" w:eastAsia="zh-CN"/>
        </w:rPr>
        <w:t xml:space="preserve">or example 19% of patients </w:t>
      </w:r>
      <w:r w:rsidR="00413707" w:rsidRPr="00DD44CF">
        <w:rPr>
          <w:rFonts w:cs="Arial"/>
          <w:lang w:val="en-US" w:eastAsia="zh-CN"/>
        </w:rPr>
        <w:t>reported this</w:t>
      </w:r>
      <w:r w:rsidR="00A0178D" w:rsidRPr="00DD44CF">
        <w:rPr>
          <w:rFonts w:cs="Arial"/>
          <w:lang w:val="en-US" w:eastAsia="zh-CN"/>
        </w:rPr>
        <w:t xml:space="preserve">. For doctors the </w:t>
      </w:r>
      <w:r w:rsidR="00413707" w:rsidRPr="00DD44CF">
        <w:rPr>
          <w:rFonts w:cs="Arial"/>
          <w:lang w:val="en-US" w:eastAsia="zh-CN"/>
        </w:rPr>
        <w:t xml:space="preserve">percentage talking as if the patient wasn’t there </w:t>
      </w:r>
      <w:r w:rsidR="00A0178D" w:rsidRPr="00DD44CF">
        <w:rPr>
          <w:rFonts w:cs="Arial"/>
          <w:lang w:val="en-US" w:eastAsia="zh-CN"/>
        </w:rPr>
        <w:t>rose to 24%</w:t>
      </w:r>
      <w:r w:rsidR="00444D53" w:rsidRPr="00DD44CF">
        <w:rPr>
          <w:rFonts w:cs="Arial"/>
          <w:lang w:val="en-US" w:eastAsia="zh-CN"/>
        </w:rPr>
        <w:t xml:space="preserve"> </w:t>
      </w:r>
      <w:r w:rsidR="00444D53" w:rsidRPr="00DD44CF">
        <w:rPr>
          <w:rFonts w:cs="Arial"/>
          <w:lang w:val="en-US" w:eastAsia="zh-CN"/>
        </w:rPr>
        <w:fldChar w:fldCharType="begin" w:fldLock="1"/>
      </w:r>
      <w:r w:rsidR="00902D49">
        <w:rPr>
          <w:rFonts w:cs="Arial"/>
          <w:lang w:val="en-US" w:eastAsia="zh-CN"/>
        </w:rPr>
        <w:instrText>ADDIN CSL_CITATION { "citationItems" : [ { "id" : "ITEM-1", "itemData" : { "author" : [ { "dropping-particle" : "", "family" : "Care Quality Commission", "given" : "", "non-dropping-particle" : "", "parse-names" : false, "suffix" : "" } ], "id" : "ITEM-1", "issued" : { "date-parts" : [ [ "2015" ] ] }, "publisher-place" : "Care Quality Commission and NHS", "title" : "National NHS patient survey programme National results from the 2014 Inpatient Survey", "type" : "report" }, "uris" : [ "http://www.mendeley.com/documents/?uuid=015bbe93-7505-451c-9f61-767d64123710" ] } ], "mendeley" : { "formattedCitation" : "(Care Quality Commission, 2015)", "plainTextFormattedCitation" : "(Care Quality Commission, 2015)", "previouslyFormattedCitation" : "(Care Quality Commission, 2015)" }, "properties" : { "noteIndex" : 0 }, "schema" : "https://github.com/citation-style-language/schema/raw/master/csl-citation.json" }</w:instrText>
      </w:r>
      <w:r w:rsidR="00444D53" w:rsidRPr="00DD44CF">
        <w:rPr>
          <w:rFonts w:cs="Arial"/>
          <w:lang w:val="en-US" w:eastAsia="zh-CN"/>
        </w:rPr>
        <w:fldChar w:fldCharType="separate"/>
      </w:r>
      <w:r w:rsidR="00902D49" w:rsidRPr="00902D49">
        <w:rPr>
          <w:rFonts w:cs="Arial"/>
          <w:noProof/>
          <w:lang w:val="en-US" w:eastAsia="zh-CN"/>
        </w:rPr>
        <w:t>(Care Quality Commission, 2015)</w:t>
      </w:r>
      <w:r w:rsidR="00444D53" w:rsidRPr="00DD44CF">
        <w:rPr>
          <w:rFonts w:cs="Arial"/>
          <w:lang w:val="en-US" w:eastAsia="zh-CN"/>
        </w:rPr>
        <w:fldChar w:fldCharType="end"/>
      </w:r>
      <w:r w:rsidR="00B121EA" w:rsidRPr="00DD44CF">
        <w:rPr>
          <w:rFonts w:cs="Arial"/>
          <w:lang w:val="en-US" w:eastAsia="zh-CN"/>
        </w:rPr>
        <w:t xml:space="preserve">. </w:t>
      </w:r>
      <w:r w:rsidR="000E51DB" w:rsidRPr="00DD44CF">
        <w:rPr>
          <w:rFonts w:cs="Arial"/>
          <w:lang w:val="en-US" w:eastAsia="zh-CN"/>
        </w:rPr>
        <w:t>Alternatively it may be that with more members of staff involved</w:t>
      </w:r>
      <w:r w:rsidR="00191840">
        <w:rPr>
          <w:rFonts w:cs="Arial"/>
          <w:lang w:val="en-US" w:eastAsia="zh-CN"/>
        </w:rPr>
        <w:t>,</w:t>
      </w:r>
      <w:r w:rsidR="000E51DB" w:rsidRPr="00DD44CF">
        <w:rPr>
          <w:rFonts w:cs="Arial"/>
          <w:lang w:val="en-US" w:eastAsia="zh-CN"/>
        </w:rPr>
        <w:t xml:space="preserve"> the </w:t>
      </w:r>
      <w:r w:rsidR="00735572" w:rsidRPr="00DD44CF">
        <w:rPr>
          <w:rFonts w:cs="Arial"/>
          <w:lang w:val="en-US" w:eastAsia="zh-CN"/>
        </w:rPr>
        <w:t xml:space="preserve">opportunity for </w:t>
      </w:r>
      <w:r w:rsidR="00191840">
        <w:rPr>
          <w:rFonts w:cs="Arial"/>
          <w:lang w:val="en-US" w:eastAsia="zh-CN"/>
        </w:rPr>
        <w:t>at least one of them to act negatively is</w:t>
      </w:r>
      <w:r w:rsidR="009302A1" w:rsidRPr="00DD44CF">
        <w:rPr>
          <w:rFonts w:cs="Arial"/>
          <w:lang w:val="en-US" w:eastAsia="zh-CN"/>
        </w:rPr>
        <w:t xml:space="preserve"> </w:t>
      </w:r>
      <w:r w:rsidR="00191840" w:rsidRPr="00DD44CF">
        <w:rPr>
          <w:rFonts w:cs="Arial"/>
          <w:lang w:val="en-US" w:eastAsia="zh-CN"/>
        </w:rPr>
        <w:t>increase</w:t>
      </w:r>
      <w:r w:rsidR="00191840">
        <w:rPr>
          <w:rFonts w:cs="Arial"/>
          <w:lang w:val="en-US" w:eastAsia="zh-CN"/>
        </w:rPr>
        <w:t>d</w:t>
      </w:r>
      <w:r w:rsidR="000E51DB" w:rsidRPr="00DD44CF">
        <w:rPr>
          <w:rFonts w:cs="Arial"/>
          <w:lang w:val="en-US" w:eastAsia="zh-CN"/>
        </w:rPr>
        <w:t xml:space="preserve">. </w:t>
      </w:r>
      <w:r>
        <w:rPr>
          <w:rFonts w:cs="Arial"/>
          <w:lang w:val="en-US" w:eastAsia="zh-CN"/>
        </w:rPr>
        <w:t xml:space="preserve">Visitors appear to have a protective effect, perhaps because </w:t>
      </w:r>
      <w:r w:rsidR="00191840">
        <w:rPr>
          <w:rFonts w:cs="Arial"/>
          <w:lang w:val="en-US" w:eastAsia="zh-CN"/>
        </w:rPr>
        <w:t xml:space="preserve">staff </w:t>
      </w:r>
      <w:r w:rsidRPr="00DD44CF">
        <w:rPr>
          <w:rFonts w:cs="Arial"/>
          <w:lang w:val="en-US" w:eastAsia="zh-CN"/>
        </w:rPr>
        <w:t>become more conscious of their behavior when visitors are present. An alternative explanation is that visitors play an active part in improving the quality of an interaction.</w:t>
      </w:r>
      <w:r>
        <w:rPr>
          <w:rFonts w:cs="Arial"/>
          <w:lang w:val="en-US" w:eastAsia="zh-CN"/>
        </w:rPr>
        <w:t xml:space="preserve"> However, as this finding is only significant when the interaction content is not included in the model it may simply be that visitors are le</w:t>
      </w:r>
      <w:r w:rsidR="00CB70CD">
        <w:rPr>
          <w:rFonts w:cs="Arial"/>
          <w:lang w:val="en-US" w:eastAsia="zh-CN"/>
        </w:rPr>
        <w:t>ss likely to be present during encounters more likely to be associated with negative interactions, such as personal care.</w:t>
      </w:r>
    </w:p>
    <w:p w14:paraId="5C8C1B2C" w14:textId="77777777" w:rsidR="0073231C" w:rsidRPr="00DD44CF" w:rsidRDefault="0073231C" w:rsidP="00413707">
      <w:pPr>
        <w:widowControl w:val="0"/>
        <w:autoSpaceDE w:val="0"/>
        <w:autoSpaceDN w:val="0"/>
        <w:adjustRightInd w:val="0"/>
        <w:spacing w:after="240"/>
        <w:rPr>
          <w:rFonts w:cs="Arial"/>
          <w:iCs/>
          <w:lang w:eastAsia="zh-CN"/>
        </w:rPr>
      </w:pPr>
      <w:r w:rsidRPr="005121A1">
        <w:rPr>
          <w:rFonts w:cs="Arial"/>
          <w:iCs/>
          <w:lang w:val="en-US" w:eastAsia="zh-CN"/>
        </w:rPr>
        <w:t xml:space="preserve">The </w:t>
      </w:r>
      <w:r w:rsidR="00CB70CD" w:rsidRPr="005121A1">
        <w:rPr>
          <w:rFonts w:cs="Arial"/>
          <w:iCs/>
          <w:lang w:val="en-US" w:eastAsia="zh-CN"/>
        </w:rPr>
        <w:t>high</w:t>
      </w:r>
      <w:r w:rsidR="00E706DE" w:rsidRPr="005121A1">
        <w:rPr>
          <w:rFonts w:cs="Arial"/>
          <w:iCs/>
          <w:lang w:val="en-US" w:eastAsia="zh-CN"/>
        </w:rPr>
        <w:t xml:space="preserve"> varia</w:t>
      </w:r>
      <w:r w:rsidR="00413707" w:rsidRPr="005121A1">
        <w:rPr>
          <w:rFonts w:cs="Arial"/>
          <w:iCs/>
          <w:lang w:val="en-US" w:eastAsia="zh-CN"/>
        </w:rPr>
        <w:t>bility</w:t>
      </w:r>
      <w:r w:rsidR="00E706DE" w:rsidRPr="005121A1">
        <w:rPr>
          <w:rFonts w:cs="Arial"/>
          <w:iCs/>
          <w:lang w:val="en-US" w:eastAsia="zh-CN"/>
        </w:rPr>
        <w:t xml:space="preserve"> </w:t>
      </w:r>
      <w:r w:rsidRPr="005121A1">
        <w:rPr>
          <w:rFonts w:cs="Arial"/>
          <w:iCs/>
          <w:lang w:val="en-US" w:eastAsia="zh-CN"/>
        </w:rPr>
        <w:t xml:space="preserve">associated </w:t>
      </w:r>
      <w:r w:rsidR="00E706DE" w:rsidRPr="005121A1">
        <w:rPr>
          <w:rFonts w:cs="Arial"/>
          <w:iCs/>
          <w:lang w:val="en-US" w:eastAsia="zh-CN"/>
        </w:rPr>
        <w:t xml:space="preserve">with </w:t>
      </w:r>
      <w:r w:rsidRPr="005121A1">
        <w:rPr>
          <w:rFonts w:cs="Arial"/>
          <w:iCs/>
          <w:lang w:val="en-US" w:eastAsia="zh-CN"/>
        </w:rPr>
        <w:t>sessions and wards compared to patients suggests that common factors operating at these levels are leading to similar quality of interactions. This suggests that there may be factors associated with wards, for example ward cultures</w:t>
      </w:r>
      <w:r w:rsidR="00A0178D" w:rsidRPr="005121A1">
        <w:rPr>
          <w:rFonts w:cs="Arial"/>
          <w:iCs/>
          <w:lang w:val="en-US" w:eastAsia="zh-CN"/>
        </w:rPr>
        <w:t>,</w:t>
      </w:r>
      <w:r w:rsidR="003C6E4B" w:rsidRPr="005121A1">
        <w:rPr>
          <w:rFonts w:cs="Arial"/>
          <w:iCs/>
          <w:lang w:val="en-US" w:eastAsia="zh-CN"/>
        </w:rPr>
        <w:t xml:space="preserve"> </w:t>
      </w:r>
      <w:r w:rsidRPr="005121A1">
        <w:rPr>
          <w:rFonts w:cs="Arial"/>
          <w:iCs/>
          <w:lang w:val="en-US" w:eastAsia="zh-CN"/>
        </w:rPr>
        <w:t xml:space="preserve">that may influence </w:t>
      </w:r>
      <w:r w:rsidR="00413707" w:rsidRPr="005121A1">
        <w:rPr>
          <w:rFonts w:cs="Arial"/>
          <w:iCs/>
          <w:lang w:val="en-US" w:eastAsia="zh-CN"/>
        </w:rPr>
        <w:t xml:space="preserve">the </w:t>
      </w:r>
      <w:r w:rsidRPr="005121A1">
        <w:rPr>
          <w:rFonts w:cs="Arial"/>
          <w:iCs/>
          <w:lang w:val="en-US" w:eastAsia="zh-CN"/>
        </w:rPr>
        <w:t xml:space="preserve">quality of interactions. </w:t>
      </w:r>
      <w:r w:rsidR="00CB70CD" w:rsidRPr="005121A1">
        <w:rPr>
          <w:rFonts w:cs="Arial"/>
          <w:iCs/>
          <w:lang w:val="en-US" w:eastAsia="zh-CN"/>
        </w:rPr>
        <w:t>T</w:t>
      </w:r>
      <w:r w:rsidRPr="005121A1">
        <w:rPr>
          <w:rFonts w:cs="Arial"/>
          <w:iCs/>
          <w:lang w:val="en-US" w:eastAsia="zh-CN"/>
        </w:rPr>
        <w:t>he varia</w:t>
      </w:r>
      <w:r w:rsidR="00413707" w:rsidRPr="005121A1">
        <w:rPr>
          <w:rFonts w:cs="Arial"/>
          <w:iCs/>
          <w:lang w:val="en-US" w:eastAsia="zh-CN"/>
        </w:rPr>
        <w:t>bility</w:t>
      </w:r>
      <w:r w:rsidRPr="005121A1">
        <w:rPr>
          <w:rFonts w:cs="Arial"/>
          <w:iCs/>
          <w:lang w:val="en-US" w:eastAsia="zh-CN"/>
        </w:rPr>
        <w:t xml:space="preserve"> associated with </w:t>
      </w:r>
      <w:r w:rsidR="00413707" w:rsidRPr="005121A1">
        <w:rPr>
          <w:rFonts w:cs="Arial"/>
          <w:iCs/>
          <w:lang w:val="en-US" w:eastAsia="zh-CN"/>
        </w:rPr>
        <w:t xml:space="preserve">an </w:t>
      </w:r>
      <w:r w:rsidRPr="005121A1">
        <w:rPr>
          <w:rFonts w:cs="Arial"/>
          <w:iCs/>
          <w:lang w:val="en-US" w:eastAsia="zh-CN"/>
        </w:rPr>
        <w:t>individual session suggest that factors present in the immediate situation</w:t>
      </w:r>
      <w:r w:rsidR="003C6E4B" w:rsidRPr="005121A1">
        <w:rPr>
          <w:rFonts w:cs="Arial"/>
          <w:iCs/>
          <w:lang w:val="en-US" w:eastAsia="zh-CN"/>
        </w:rPr>
        <w:t>, for example particular stressor</w:t>
      </w:r>
      <w:r w:rsidRPr="005121A1">
        <w:rPr>
          <w:rFonts w:cs="Arial"/>
          <w:iCs/>
          <w:lang w:val="en-US" w:eastAsia="zh-CN"/>
        </w:rPr>
        <w:t xml:space="preserve">s or groups of staff, may have the biggest influence. </w:t>
      </w:r>
      <w:r w:rsidR="00A0178D" w:rsidRPr="005121A1">
        <w:rPr>
          <w:rFonts w:cs="Arial"/>
          <w:iCs/>
          <w:lang w:val="en-US" w:eastAsia="zh-CN"/>
        </w:rPr>
        <w:t>The effects of s</w:t>
      </w:r>
      <w:r w:rsidRPr="005121A1">
        <w:rPr>
          <w:rFonts w:cs="Arial"/>
          <w:iCs/>
          <w:lang w:val="en-US" w:eastAsia="zh-CN"/>
        </w:rPr>
        <w:t xml:space="preserve">taffing levels, skill mix </w:t>
      </w:r>
      <w:r w:rsidR="00A0178D" w:rsidRPr="005121A1">
        <w:rPr>
          <w:rFonts w:cs="Arial"/>
          <w:iCs/>
          <w:lang w:val="en-US" w:eastAsia="zh-CN"/>
        </w:rPr>
        <w:t>or</w:t>
      </w:r>
      <w:r w:rsidR="003C6E4B" w:rsidRPr="005121A1">
        <w:rPr>
          <w:rFonts w:cs="Arial"/>
          <w:iCs/>
          <w:lang w:val="en-US" w:eastAsia="zh-CN"/>
        </w:rPr>
        <w:t xml:space="preserve"> </w:t>
      </w:r>
      <w:r w:rsidRPr="005121A1">
        <w:rPr>
          <w:rFonts w:cs="Arial"/>
          <w:iCs/>
          <w:lang w:val="en-US" w:eastAsia="zh-CN"/>
        </w:rPr>
        <w:t>particular staff groups could operate at either of these levels</w:t>
      </w:r>
      <w:r w:rsidR="00A0178D" w:rsidRPr="005121A1">
        <w:rPr>
          <w:rFonts w:cs="Arial"/>
          <w:iCs/>
          <w:lang w:val="en-US" w:eastAsia="zh-CN"/>
        </w:rPr>
        <w:t>,</w:t>
      </w:r>
      <w:r w:rsidRPr="005121A1">
        <w:rPr>
          <w:rFonts w:cs="Arial"/>
          <w:iCs/>
          <w:lang w:val="en-US" w:eastAsia="zh-CN"/>
        </w:rPr>
        <w:t xml:space="preserve"> although we found no evidence of significant </w:t>
      </w:r>
      <w:r w:rsidR="00A0178D" w:rsidRPr="005121A1">
        <w:rPr>
          <w:rFonts w:cs="Arial"/>
          <w:iCs/>
          <w:lang w:val="en-US" w:eastAsia="zh-CN"/>
        </w:rPr>
        <w:t>associations between these var</w:t>
      </w:r>
      <w:r w:rsidR="003C6E4B" w:rsidRPr="005121A1">
        <w:rPr>
          <w:rFonts w:cs="Arial"/>
          <w:iCs/>
          <w:lang w:val="en-US" w:eastAsia="zh-CN"/>
        </w:rPr>
        <w:t>iables and the quality of inter</w:t>
      </w:r>
      <w:r w:rsidR="00A0178D" w:rsidRPr="005121A1">
        <w:rPr>
          <w:rFonts w:cs="Arial"/>
          <w:iCs/>
          <w:lang w:val="en-US" w:eastAsia="zh-CN"/>
        </w:rPr>
        <w:t>actions</w:t>
      </w:r>
      <w:r w:rsidRPr="005121A1">
        <w:rPr>
          <w:rFonts w:cs="Arial"/>
          <w:iCs/>
          <w:lang w:val="en-US" w:eastAsia="zh-CN"/>
        </w:rPr>
        <w:t xml:space="preserve">. However, given the large body of evidence linking staffing levels and skill mix to quality of care </w:t>
      </w:r>
      <w:r w:rsidR="00444D53" w:rsidRPr="005121A1">
        <w:rPr>
          <w:rFonts w:cs="Arial"/>
          <w:iCs/>
          <w:lang w:val="en-US" w:eastAsia="zh-CN"/>
        </w:rPr>
        <w:fldChar w:fldCharType="begin" w:fldLock="1"/>
      </w:r>
      <w:r w:rsidR="00902D49" w:rsidRPr="005121A1">
        <w:rPr>
          <w:rFonts w:cs="Arial"/>
          <w:iCs/>
          <w:lang w:val="en-US" w:eastAsia="zh-CN"/>
        </w:rPr>
        <w:instrText>ADDIN CSL_CITATION { "citationItems" : [ { "id" : "ITEM-1", "itemData" : { "author" : [ { "dropping-particle" : "", "family" : "Griffiths", "given" : "P.", "non-dropping-particle" : "", "parse-names" : false, "suffix" : "" }, { "dropping-particle" : "", "family" : "Ball", "given" : "J.", "non-dropping-particle" : "", "parse-names" : false, "suffix" : "" }, { "dropping-particle" : "", "family" : "Drennan", "given" : "J.", "non-dropping-particle" : "", "parse-names" : false, "suffix" : "" }, { "dropping-particle" : "", "family" : "James", "given" : "L.", "non-dropping-particle" : "", "parse-names" : false, "suffix" : "" }, { "dropping-particle" : "", "family" : "Jones", "given" : "J.", "non-dropping-particle" : "", "parse-names" : false, "suffix" : "" }, { "dropping-particle" : "", "family" : "Recio", "given" : "A.", "non-dropping-particle" : "", "parse-names" : false, "suffix" : "" }, { "dropping-particle" : "", "family" : "Simon", "given" : "M.", "non-dropping-particle" : "", "parse-names" : false, "suffix" : "" } ], "id" : "ITEM-1", "issued" : { "date-parts" : [ [ "2014" ] ] }, "title" : "The association between patient safety outcomes and nurse/healthcare assistant skill mix and staffing levels and factors that may influence staffing requirements", "type" : "report" }, "uris" : [ "http://www.mendeley.com/documents/?uuid=964a3a3b-2d99-4412-abec-af766ec5665d" ] } ], "mendeley" : { "formattedCitation" : "(Griffiths et al., 2014)", "plainTextFormattedCitation" : "(Griffiths et al., 2014)", "previouslyFormattedCitation" : "(Griffiths et al., 2014)" }, "properties" : { "noteIndex" : 0 }, "schema" : "https://github.com/citation-style-language/schema/raw/master/csl-citation.json" }</w:instrText>
      </w:r>
      <w:r w:rsidR="00444D53" w:rsidRPr="005121A1">
        <w:rPr>
          <w:rFonts w:cs="Arial"/>
          <w:iCs/>
          <w:lang w:val="en-US" w:eastAsia="zh-CN"/>
        </w:rPr>
        <w:fldChar w:fldCharType="separate"/>
      </w:r>
      <w:r w:rsidR="00902D49" w:rsidRPr="005121A1">
        <w:rPr>
          <w:rFonts w:cs="Arial"/>
          <w:iCs/>
          <w:noProof/>
          <w:lang w:val="en-US" w:eastAsia="zh-CN"/>
        </w:rPr>
        <w:t>(Griffiths et al., 2014)</w:t>
      </w:r>
      <w:r w:rsidR="00444D53" w:rsidRPr="005121A1">
        <w:rPr>
          <w:rFonts w:cs="Arial"/>
          <w:iCs/>
          <w:lang w:val="en-US" w:eastAsia="zh-CN"/>
        </w:rPr>
        <w:fldChar w:fldCharType="end"/>
      </w:r>
      <w:r w:rsidR="0029660A" w:rsidRPr="005121A1">
        <w:rPr>
          <w:rFonts w:cs="Arial"/>
          <w:iCs/>
          <w:lang w:val="en-US" w:eastAsia="zh-CN"/>
        </w:rPr>
        <w:t xml:space="preserve"> </w:t>
      </w:r>
      <w:r w:rsidRPr="005121A1">
        <w:rPr>
          <w:rFonts w:cs="Arial"/>
          <w:iCs/>
          <w:lang w:val="en-US" w:eastAsia="zh-CN"/>
        </w:rPr>
        <w:t xml:space="preserve">the non-significant </w:t>
      </w:r>
      <w:r w:rsidR="00413707" w:rsidRPr="005121A1">
        <w:rPr>
          <w:rFonts w:cs="Arial"/>
          <w:iCs/>
          <w:lang w:val="en-US" w:eastAsia="zh-CN"/>
        </w:rPr>
        <w:t xml:space="preserve">trends </w:t>
      </w:r>
      <w:r w:rsidRPr="005121A1">
        <w:rPr>
          <w:rFonts w:cs="Arial"/>
          <w:iCs/>
          <w:lang w:val="en-US" w:eastAsia="zh-CN"/>
        </w:rPr>
        <w:t>observed here warrant further exploration. Nonetheless these findings give no support to identify a specific staff group, and in particular health care assistants, as the source of negative interactions</w:t>
      </w:r>
      <w:r w:rsidR="00B0751B" w:rsidRPr="005121A1">
        <w:rPr>
          <w:rFonts w:cs="Arial"/>
          <w:iCs/>
          <w:lang w:val="en-US" w:eastAsia="zh-CN"/>
        </w:rPr>
        <w:t xml:space="preserve"> and these findings contradict previous largely anecdotal evidence</w:t>
      </w:r>
      <w:r w:rsidR="00444D53" w:rsidRPr="005121A1">
        <w:rPr>
          <w:rFonts w:cs="Arial"/>
          <w:iCs/>
          <w:lang w:val="en-US" w:eastAsia="zh-CN"/>
        </w:rPr>
        <w:t xml:space="preserve"> </w:t>
      </w:r>
      <w:r w:rsidR="00444D53" w:rsidRPr="005121A1">
        <w:rPr>
          <w:rFonts w:cs="Arial"/>
          <w:iCs/>
          <w:lang w:val="en-US" w:eastAsia="zh-CN"/>
        </w:rPr>
        <w:fldChar w:fldCharType="begin" w:fldLock="1"/>
      </w:r>
      <w:r w:rsidR="00902D49" w:rsidRPr="005121A1">
        <w:rPr>
          <w:rFonts w:cs="Arial"/>
          <w:iCs/>
          <w:lang w:val="en-US" w:eastAsia="zh-CN"/>
        </w:rPr>
        <w:instrText>ADDIN CSL_CITATION { "citationItems" : [ { "id" : "ITEM-1", "itemData" : { "author" : [ { "dropping-particle" : "", "family" : "Cavendish", "given" : "C.", "non-dropping-particle" : "", "parse-names" : false, "suffix" : "" } ], "id" : "ITEM-1", "issued" : { "date-parts" : [ [ "2013" ] ] }, "publisher-place" : "Retrieved from London: https://www.gov.uk/government/publications/review-of-healthcare-assistants-and-support-workers-in-nhs-and-social-care", "title" : "The Cavendish Review: An Independent Review into Healthcare Assistants and Support Workers in the NHS and social care settings", "type" : "report" }, "uris" : [ "http://www.mendeley.com/documents/?uuid=c2e54ad9-945f-4f77-8f9a-99b76e03a724" ] } ], "mendeley" : { "formattedCitation" : "(Cavendish, 2013)", "plainTextFormattedCitation" : "(Cavendish, 2013)", "previouslyFormattedCitation" : "(Cavendish, 2013)" }, "properties" : { "noteIndex" : 0 }, "schema" : "https://github.com/citation-style-language/schema/raw/master/csl-citation.json" }</w:instrText>
      </w:r>
      <w:r w:rsidR="00444D53" w:rsidRPr="005121A1">
        <w:rPr>
          <w:rFonts w:cs="Arial"/>
          <w:iCs/>
          <w:lang w:val="en-US" w:eastAsia="zh-CN"/>
        </w:rPr>
        <w:fldChar w:fldCharType="separate"/>
      </w:r>
      <w:r w:rsidR="00902D49" w:rsidRPr="005121A1">
        <w:rPr>
          <w:rFonts w:cs="Arial"/>
          <w:iCs/>
          <w:noProof/>
          <w:lang w:val="en-US" w:eastAsia="zh-CN"/>
        </w:rPr>
        <w:t>(Cavendish, 2013)</w:t>
      </w:r>
      <w:r w:rsidR="00444D53" w:rsidRPr="005121A1">
        <w:rPr>
          <w:rFonts w:cs="Arial"/>
          <w:iCs/>
          <w:lang w:val="en-US" w:eastAsia="zh-CN"/>
        </w:rPr>
        <w:fldChar w:fldCharType="end"/>
      </w:r>
      <w:r w:rsidRPr="005121A1">
        <w:rPr>
          <w:rFonts w:cs="Arial"/>
          <w:iCs/>
          <w:lang w:val="en-US" w:eastAsia="zh-CN"/>
        </w:rPr>
        <w:t>.</w:t>
      </w:r>
      <w:r w:rsidRPr="005121A1">
        <w:rPr>
          <w:rFonts w:cs="Arial"/>
          <w:iCs/>
          <w:lang w:eastAsia="zh-CN"/>
        </w:rPr>
        <w:t xml:space="preserve"> The importance of ward and organisational level cultural factors such as the nurse practice environ</w:t>
      </w:r>
      <w:r w:rsidR="00E706DE" w:rsidRPr="005121A1">
        <w:rPr>
          <w:rFonts w:cs="Arial"/>
          <w:iCs/>
          <w:lang w:eastAsia="zh-CN"/>
        </w:rPr>
        <w:t xml:space="preserve">ment </w:t>
      </w:r>
      <w:r w:rsidRPr="005121A1">
        <w:rPr>
          <w:rFonts w:cs="Arial"/>
          <w:iCs/>
          <w:lang w:eastAsia="zh-CN"/>
        </w:rPr>
        <w:t>has also been established</w:t>
      </w:r>
      <w:r w:rsidR="001A1AFC" w:rsidRPr="005121A1">
        <w:rPr>
          <w:rFonts w:cs="Arial"/>
          <w:iCs/>
          <w:lang w:eastAsia="zh-CN"/>
        </w:rPr>
        <w:t xml:space="preserve"> previously</w:t>
      </w:r>
      <w:r w:rsidR="0029660A" w:rsidRPr="005121A1">
        <w:rPr>
          <w:rFonts w:cs="Arial"/>
          <w:iCs/>
          <w:lang w:eastAsia="zh-CN"/>
        </w:rPr>
        <w:t xml:space="preserve"> </w:t>
      </w:r>
      <w:r w:rsidR="00A81E29" w:rsidRPr="005121A1">
        <w:rPr>
          <w:rFonts w:cs="Arial"/>
          <w:iCs/>
          <w:lang w:eastAsia="zh-CN"/>
        </w:rPr>
        <w:fldChar w:fldCharType="begin" w:fldLock="1"/>
      </w:r>
      <w:r w:rsidR="00902D49" w:rsidRPr="005121A1">
        <w:rPr>
          <w:rFonts w:cs="Arial"/>
          <w:iCs/>
          <w:lang w:eastAsia="zh-CN"/>
        </w:rPr>
        <w:instrText>ADDIN CSL_CITATION { "citationItems" : [ { "id" : "ITEM-1", "itemData" : { "DOI" : "10.1136/bmj.e1717", "author" : [ { "dropping-particle" : "", "family" : "Aiken", "given" : "L.", "non-dropping-particle" : "", "parse-names" : false, "suffix" : "" }, { "dropping-particle" : "", "family" : "Sermeus", "given" : "W.", "non-dropping-particle" : "", "parse-names" : false, "suffix" : "" }, { "dropping-particle" : "", "family" : "Heede", "given" : "K.", "non-dropping-particle" : "Van den", "parse-names" : false, "suffix" : "" }, { "dropping-particle" : "", "family" : "Sloanes", "given" : "D.", "non-dropping-particle" : "", "parse-names" : false, "suffix" : "" }, { "dropping-particle" : "", "family" : "Busses", "given" : "R.", "non-dropping-particle" : "", "parse-names" : false, "suffix" : "" }, { "dropping-particle" : "", "family" : "McKee", "given" : "M.", "non-dropping-particle" : "", "parse-names" : false, "suffix" : "" }, { "dropping-particle" : "", "family" : "Kutney-Lee", "given" : "A.", "non-dropping-particle" : "", "parse-names" : false, "suffix" : "" } ], "container-title" : "BMJ", "id" : "ITEM-1", "issue" : "7851", "issued" : { "date-parts" : [ [ "2012" ] ] }, "title" : "Patient safety, satisfaction , and quality of hospital care: cross sectional surveys of nurses and patients in 12 countries in Europe and the United States", "type" : "article-journal", "volume" : "344" }, "uris" : [ "http://www.mendeley.com/documents/?uuid=cc86eb73-a4c4-4f5b-af5f-442e390baf12" ] }, { "id" : "ITEM-2", "itemData" : { "abstract" : "Patients' experiences of care and the quality of care they receive are likely to be influenced by levels of staff motivation and well-being. However, it is uncertain to what extent these factors are related. Previous research has tended to look at just one aspect of motivation, affect and well-being or one staff group. In this study we will take a broad approach to explore and understand the links between patients' experiences of care, staff motivation, affect and well-being. The first phase of the study will consist of a review of the literature, and interviews with staff and patients. The second phase will be to collect in-depth information from staff and patients to she light on the human experience in health care for staff, patients and carers. This information will be collected by researchers in four case studies of practice through interviews, observation of practice, diaries, questionnaires, and through examination of routine clinical data. We will aim to distinguish factors", "author" : [ { "dropping-particle" : "", "family" : "Maben", "given" : "Jill", "non-dropping-particle" : "", "parse-names" : false, "suffix" : "" }, { "dropping-particle" : "", "family" : "Peccei", "given" : "Riccardo", "non-dropping-particle" : "", "parse-names" : false, "suffix" : "" }, { "dropping-particle" : "", "family" : "Adams", "given" : "Mary", "non-dropping-particle" : "", "parse-names" : false, "suffix" : "" }, { "dropping-particle" : "", "family" : "Robert", "given" : "Glenn", "non-dropping-particle" : "", "parse-names" : false, "suffix" : "" } ], "container-title" : "National Institute for Health \u2026", "id" : "ITEM-2", "issue" : "November", "issued" : { "date-parts" : [ [ "2012" ] ] }, "page" : "1-444", "title" : "Exploring the relationship between patients' experiences of care and the influence of staff motivation, affect and wellbeing", "type" : "article-journal" }, "uris" : [ "http://www.mendeley.com/documents/?uuid=96995087-12f5-45af-951a-8e7c559e546e" ] }, { "id" : "ITEM-3", "itemData" : { "author" : [ { "dropping-particle" : "", "family" : "Patterson", "given" : "Malcolm", "non-dropping-particle" : "", "parse-names" : false, "suffix" : "" }, { "dropping-particle" : "", "family" : "Nolan", "given" : "Mike", "non-dropping-particle" : "", "parse-names" : false, "suffix" : "" }, { "dropping-particle" : "", "family" : "Rick", "given" : "Jo", "non-dropping-particle" : "", "parse-names" : false, "suffix" : "" }, { "dropping-particle" : "", "family" : "Brown", "given" : "Jayne", "non-dropping-particle" : "", "parse-names" : false, "suffix" : "" }, { "dropping-particle" : "", "family" : "Adams", "given" : "Richard", "non-dropping-particle" : "", "parse-names" : false, "suffix" : "" }, { "dropping-particle" : "", "family" : "Musson", "given" : "Gill", "non-dropping-particle" : "", "parse-names" : false, "suffix" : "" } ], "container-title" : "National institute for health research", "id" : "ITEM-3", "issued" : { "date-parts" : [ [ "2011" ] ] }, "title" : "From Metrics to Meaning : Culture Change and Quality of Acute Hospital Care for Older People", "type" : "report" }, "uris" : [ "http://www.mendeley.com/documents/?uuid=b41f727b-9794-4154-aeb4-3aa733a1edba" ] } ], "mendeley" : { "formattedCitation" : "(Aiken et al., 2012; Maben et al., 2012b; Patterson et al., 2011)", "plainTextFormattedCitation" : "(Aiken et al., 2012; Maben et al., 2012b; Patterson et al., 2011)", "previouslyFormattedCitation" : "(Aiken et al., 2012; Maben et al., 2012b; Patterson et al., 2011)" }, "properties" : { "noteIndex" : 0 }, "schema" : "https://github.com/citation-style-language/schema/raw/master/csl-citation.json" }</w:instrText>
      </w:r>
      <w:r w:rsidR="00A81E29" w:rsidRPr="005121A1">
        <w:rPr>
          <w:rFonts w:cs="Arial"/>
          <w:iCs/>
          <w:lang w:eastAsia="zh-CN"/>
        </w:rPr>
        <w:fldChar w:fldCharType="separate"/>
      </w:r>
      <w:r w:rsidR="00902D49" w:rsidRPr="005121A1">
        <w:rPr>
          <w:rFonts w:cs="Arial"/>
          <w:iCs/>
          <w:noProof/>
          <w:lang w:eastAsia="zh-CN"/>
        </w:rPr>
        <w:t>(Aiken et al., 2012; Maben et al., 2012b; Patterson et al., 2011)</w:t>
      </w:r>
      <w:r w:rsidR="00A81E29" w:rsidRPr="005121A1">
        <w:rPr>
          <w:rFonts w:cs="Arial"/>
          <w:iCs/>
          <w:lang w:eastAsia="zh-CN"/>
        </w:rPr>
        <w:fldChar w:fldCharType="end"/>
      </w:r>
      <w:r w:rsidR="00E706DE" w:rsidRPr="005121A1">
        <w:rPr>
          <w:rFonts w:cs="Arial"/>
          <w:iCs/>
          <w:lang w:eastAsia="zh-CN"/>
        </w:rPr>
        <w:t xml:space="preserve"> </w:t>
      </w:r>
      <w:r w:rsidRPr="005121A1">
        <w:rPr>
          <w:rFonts w:cs="Arial"/>
          <w:iCs/>
          <w:lang w:eastAsia="zh-CN"/>
        </w:rPr>
        <w:t>and warrants further investigation in future studies with a larger sample of wards.</w:t>
      </w:r>
    </w:p>
    <w:p w14:paraId="05FB4D1E" w14:textId="77777777" w:rsidR="00DB3C49" w:rsidRPr="00DD44CF" w:rsidRDefault="00DB3C49" w:rsidP="00C26989">
      <w:pPr>
        <w:widowControl w:val="0"/>
        <w:autoSpaceDE w:val="0"/>
        <w:autoSpaceDN w:val="0"/>
        <w:adjustRightInd w:val="0"/>
        <w:spacing w:after="240"/>
        <w:rPr>
          <w:rFonts w:cs="Arial"/>
          <w:b/>
          <w:lang w:val="en-US" w:eastAsia="zh-CN"/>
        </w:rPr>
      </w:pPr>
      <w:r w:rsidRPr="00DD44CF">
        <w:rPr>
          <w:rFonts w:cs="Arial"/>
          <w:b/>
          <w:lang w:val="en-US" w:eastAsia="zh-CN"/>
        </w:rPr>
        <w:t>Limitations</w:t>
      </w:r>
    </w:p>
    <w:p w14:paraId="14CA1B1E" w14:textId="77777777" w:rsidR="00DC2C5F" w:rsidRPr="00DD44CF" w:rsidRDefault="00DB3C49" w:rsidP="00AB2A30">
      <w:pPr>
        <w:widowControl w:val="0"/>
        <w:autoSpaceDE w:val="0"/>
        <w:autoSpaceDN w:val="0"/>
        <w:adjustRightInd w:val="0"/>
        <w:spacing w:after="240"/>
        <w:rPr>
          <w:rFonts w:cs="Arial"/>
          <w:lang w:val="en-US" w:eastAsia="zh-CN"/>
        </w:rPr>
      </w:pPr>
      <w:r w:rsidRPr="00DD44CF">
        <w:rPr>
          <w:rFonts w:cs="Arial"/>
          <w:lang w:val="en-US" w:eastAsia="zh-CN"/>
        </w:rPr>
        <w:t>This study was undertaken on only six wards in two hospitals.</w:t>
      </w:r>
      <w:r w:rsidRPr="00DD44CF">
        <w:rPr>
          <w:rFonts w:cs="Arial"/>
          <w:b/>
          <w:lang w:val="en-US" w:eastAsia="zh-CN"/>
        </w:rPr>
        <w:t xml:space="preserve"> </w:t>
      </w:r>
      <w:r w:rsidR="00C055C0" w:rsidRPr="00DD44CF">
        <w:rPr>
          <w:rFonts w:cs="Arial"/>
          <w:lang w:val="en-US" w:eastAsia="zh-CN"/>
        </w:rPr>
        <w:t xml:space="preserve">The patient mix and ward characteristics suggest that the wards </w:t>
      </w:r>
      <w:r w:rsidR="00C26989" w:rsidRPr="00DD44CF">
        <w:rPr>
          <w:rFonts w:cs="Arial"/>
          <w:lang w:val="en-US" w:eastAsia="zh-CN"/>
        </w:rPr>
        <w:t>included in this study are</w:t>
      </w:r>
      <w:r w:rsidR="00C055C0" w:rsidRPr="00DD44CF">
        <w:rPr>
          <w:rFonts w:cs="Arial"/>
          <w:lang w:val="en-US" w:eastAsia="zh-CN"/>
        </w:rPr>
        <w:t xml:space="preserve"> typical of NHS general acute care wards</w:t>
      </w:r>
      <w:r w:rsidR="00DC4301" w:rsidRPr="00DD44CF">
        <w:rPr>
          <w:rFonts w:cs="Arial"/>
          <w:lang w:val="en-US" w:eastAsia="zh-CN"/>
        </w:rPr>
        <w:t xml:space="preserve"> </w:t>
      </w:r>
      <w:r w:rsidR="00DC4301" w:rsidRPr="00DD44CF">
        <w:rPr>
          <w:rFonts w:cs="Arial"/>
          <w:lang w:val="en-US" w:eastAsia="zh-CN"/>
        </w:rPr>
        <w:fldChar w:fldCharType="begin" w:fldLock="1"/>
      </w:r>
      <w:r w:rsidR="00902D49">
        <w:rPr>
          <w:rFonts w:cs="Arial"/>
          <w:lang w:val="en-US" w:eastAsia="zh-CN"/>
        </w:rPr>
        <w:instrText>ADDIN CSL_CITATION { "citationItems" : [ { "id" : "ITEM-1", "itemData" : { "author" : [ { "dropping-particle" : "", "family" : "Department of Health", "given" : "", "non-dropping-particle" : "", "parse-names" : false, "suffix" : "" } ], "id" : "ITEM-1", "issued" : { "date-parts" : [ [ "2013" ] ] }, "publisher-place" : "London: The Stationery Office", "title" : "In-patient care Health Building Note 04-01: Adult in-patient facilities", "type" : "report" }, "uris" : [ "http://www.mendeley.com/documents/?uuid=ded8346d-db25-4461-a256-ac6c95fc9228" ] }, { "id" : "ITEM-2", "itemData" : { "author" : [ { "dropping-particle" : "", "family" : "Health", "given" : "Department of", "non-dropping-particle" : "", "parse-names" : false, "suffix" : "" } ], "id" : "ITEM-2", "issued" : { "date-parts" : [ [ "2000" ] ] }, "publisher-place" : "London: The Stationery Office", "title" : "Shaping the future NHS: Long term planning for hospitals and related services: Consultation document on the findings of the National Beds Inquiry", "type" : "report" }, "uris" : [ "http://www.mendeley.com/documents/?uuid=d97243dc-6c8d-4978-94f2-59a5d36f5c99" ] }, { "id" : "ITEM-3", "itemData" : { "author" : [ { "dropping-particle" : "", "family" : "Department of Health", "given" : "", "non-dropping-particle" : "", "parse-names" : false, "suffix" : "" } ], "id" : "ITEM-3", "issued" : { "date-parts" : [ [ "2010" ] ] }, "number-of-pages" : "1-22", "publisher-place" : "London: The Stationery Office", "title" : "Quality outcomes for people with dementia: building on the work of the National Dementia Strategy", "type" : "report" }, "uris" : [ "http://www.mendeley.com/documents/?uuid=bef7c719-1787-4d4f-9954-8ad1ac5265c3" ] } ], "mendeley" : { "formattedCitation" : "(Department of Health, 2013b, 2010; Health, 2000)", "plainTextFormattedCitation" : "(Department of Health, 2013b, 2010; Health, 2000)", "previouslyFormattedCitation" : "(Department of Health, 2013b, 2010; Health, 2000)" }, "properties" : { "noteIndex" : 0 }, "schema" : "https://github.com/citation-style-language/schema/raw/master/csl-citation.json" }</w:instrText>
      </w:r>
      <w:r w:rsidR="00DC4301" w:rsidRPr="00DD44CF">
        <w:rPr>
          <w:rFonts w:cs="Arial"/>
          <w:lang w:val="en-US" w:eastAsia="zh-CN"/>
        </w:rPr>
        <w:fldChar w:fldCharType="separate"/>
      </w:r>
      <w:r w:rsidR="00902D49" w:rsidRPr="00902D49">
        <w:rPr>
          <w:rFonts w:cs="Arial"/>
          <w:noProof/>
          <w:lang w:val="en-US" w:eastAsia="zh-CN"/>
        </w:rPr>
        <w:t>(Department of Health, 2013b, 2010; Health, 2000)</w:t>
      </w:r>
      <w:r w:rsidR="00DC4301" w:rsidRPr="00DD44CF">
        <w:rPr>
          <w:rFonts w:cs="Arial"/>
          <w:lang w:val="en-US" w:eastAsia="zh-CN"/>
        </w:rPr>
        <w:fldChar w:fldCharType="end"/>
      </w:r>
      <w:r w:rsidR="00F71C90" w:rsidRPr="00DD44CF">
        <w:rPr>
          <w:rFonts w:cs="Arial"/>
          <w:lang w:val="en-US" w:eastAsia="zh-CN"/>
        </w:rPr>
        <w:t xml:space="preserve">. </w:t>
      </w:r>
      <w:r w:rsidR="00C26989" w:rsidRPr="00DD44CF">
        <w:rPr>
          <w:rFonts w:cs="Arial"/>
          <w:lang w:val="en-US" w:eastAsia="zh-CN"/>
        </w:rPr>
        <w:t>In addition to the inclusion of a representative proportion of patients with cognitive impairment, t</w:t>
      </w:r>
      <w:r w:rsidR="00386537" w:rsidRPr="00DD44CF">
        <w:rPr>
          <w:rFonts w:cs="Arial"/>
          <w:lang w:val="en-US" w:eastAsia="zh-CN"/>
        </w:rPr>
        <w:t xml:space="preserve">he strengths of the study lie in the collection and analysis of data across a wide range of factors and </w:t>
      </w:r>
      <w:r w:rsidR="00C26989" w:rsidRPr="00DD44CF">
        <w:rPr>
          <w:rFonts w:cs="Arial"/>
          <w:lang w:val="en-US" w:eastAsia="zh-CN"/>
        </w:rPr>
        <w:t xml:space="preserve">on </w:t>
      </w:r>
      <w:r w:rsidR="00386537" w:rsidRPr="00DD44CF">
        <w:rPr>
          <w:rFonts w:cs="Arial"/>
          <w:lang w:val="en-US" w:eastAsia="zh-CN"/>
        </w:rPr>
        <w:t>a large number of interactions, adding valuable understanding about the contextual influences on the quality of interactions between staff and patients in acute hospital settings.</w:t>
      </w:r>
      <w:r w:rsidRPr="00DD44CF">
        <w:rPr>
          <w:rFonts w:cs="Arial"/>
          <w:lang w:val="en-US" w:eastAsia="zh-CN"/>
        </w:rPr>
        <w:t xml:space="preserve"> However, caution must be exercised in generalising to other settings. The observational tool used is reliable and is supported by evidence of validity. Using </w:t>
      </w:r>
      <w:r w:rsidR="00AB2A30">
        <w:rPr>
          <w:rFonts w:cs="Arial"/>
          <w:lang w:val="en-US" w:eastAsia="zh-CN"/>
        </w:rPr>
        <w:t>observational methods</w:t>
      </w:r>
      <w:r w:rsidRPr="00DD44CF">
        <w:rPr>
          <w:rFonts w:cs="Arial"/>
          <w:lang w:val="en-US" w:eastAsia="zh-CN"/>
        </w:rPr>
        <w:t xml:space="preserve"> means that </w:t>
      </w:r>
      <w:r w:rsidRPr="00DD44CF">
        <w:rPr>
          <w:rFonts w:cs="Arial"/>
          <w:lang w:val="en-US" w:eastAsia="zh-CN"/>
        </w:rPr>
        <w:lastRenderedPageBreak/>
        <w:t>patients who might otherwise be excluded are represented in these findings. However, further validation of the tool to explore its relationship with patient experience is warranted.</w:t>
      </w:r>
      <w:r w:rsidR="00970194" w:rsidRPr="00DD44CF">
        <w:rPr>
          <w:rFonts w:cs="Arial"/>
          <w:lang w:val="en-US" w:eastAsia="zh-CN"/>
        </w:rPr>
        <w:t xml:space="preserve"> We focused on the quality and quantity of interactions which occurred. Our study gives no indication of the appropriateness of the content or the extent to which necessary care was delivered. Other studies have shown that nurses frequently omit necessary elements of interpersonal care in the face of low staffing levels</w:t>
      </w:r>
      <w:r w:rsidR="00DC4301" w:rsidRPr="00DD44CF">
        <w:rPr>
          <w:rFonts w:cs="Arial"/>
          <w:lang w:val="en-US" w:eastAsia="zh-CN"/>
        </w:rPr>
        <w:t xml:space="preserve"> </w:t>
      </w:r>
      <w:r w:rsidR="00DC4301" w:rsidRPr="00DD44CF">
        <w:rPr>
          <w:rFonts w:cs="Arial"/>
          <w:lang w:val="en-US" w:eastAsia="zh-CN"/>
        </w:rPr>
        <w:fldChar w:fldCharType="begin" w:fldLock="1"/>
      </w:r>
      <w:r w:rsidR="00902D49">
        <w:rPr>
          <w:rFonts w:cs="Arial"/>
          <w:lang w:val="en-US" w:eastAsia="zh-CN"/>
        </w:rPr>
        <w:instrText>ADDIN CSL_CITATION { "citationItems" : [ { "id" : "ITEM-1", "itemData" : { "DOI" : "10.1136/bmjqs-2012-001767", "ISSN" : "2044-5415", "author" : [ { "dropping-particle" : "", "family" : "Ball", "given" : "J. E.", "non-dropping-particle" : "", "parse-names" : false, "suffix" : "" }, { "dropping-particle" : "", "family" : "Murrells", "given" : "T.", "non-dropping-particle" : "", "parse-names" : false, "suffix" : "" }, { "dropping-particle" : "", "family" : "Rafferty", "given" : "A. M.", "non-dropping-particle" : "", "parse-names" : false, "suffix" : "" }, { "dropping-particle" : "", "family" : "Morrow", "given" : "E.", "non-dropping-particle" : "", "parse-names" : false, "suffix" : "" }, { "dropping-particle" : "", "family" : "Griffiths", "given" : "P.", "non-dropping-particle" : "", "parse-names" : false, "suffix" : "" } ], "container-title" : "BMJ Quality &amp; Safety", "id" : "ITEM-1", "issue" : "2", "issued" : { "date-parts" : [ [ "2014" ] ] }, "page" : "116-125", "title" : "'Care left undone' during nursing shifts: associations with workload and perceived quality of care", "type" : "article-journal", "volume" : "23" }, "uris" : [ "http://www.mendeley.com/documents/?uuid=4df6d66e-61e0-4f78-a7ac-4606e4d351ce" ] } ], "mendeley" : { "formattedCitation" : "(Ball et al., 2014)", "plainTextFormattedCitation" : "(Ball et al., 2014)", "previouslyFormattedCitation" : "(Ball et al., 2014)" }, "properties" : { "noteIndex" : 0 }, "schema" : "https://github.com/citation-style-language/schema/raw/master/csl-citation.json" }</w:instrText>
      </w:r>
      <w:r w:rsidR="00DC4301" w:rsidRPr="00DD44CF">
        <w:rPr>
          <w:rFonts w:cs="Arial"/>
          <w:lang w:val="en-US" w:eastAsia="zh-CN"/>
        </w:rPr>
        <w:fldChar w:fldCharType="separate"/>
      </w:r>
      <w:r w:rsidR="00902D49" w:rsidRPr="00902D49">
        <w:rPr>
          <w:rFonts w:cs="Arial"/>
          <w:noProof/>
          <w:lang w:val="en-US" w:eastAsia="zh-CN"/>
        </w:rPr>
        <w:t>(Ball et al., 2014)</w:t>
      </w:r>
      <w:r w:rsidR="00DC4301" w:rsidRPr="00DD44CF">
        <w:rPr>
          <w:rFonts w:cs="Arial"/>
          <w:lang w:val="en-US" w:eastAsia="zh-CN"/>
        </w:rPr>
        <w:fldChar w:fldCharType="end"/>
      </w:r>
      <w:r w:rsidR="00970194" w:rsidRPr="00DD44CF">
        <w:rPr>
          <w:rFonts w:cs="Arial"/>
          <w:lang w:val="en-US" w:eastAsia="zh-CN"/>
        </w:rPr>
        <w:t>.</w:t>
      </w:r>
    </w:p>
    <w:p w14:paraId="287F0F9D" w14:textId="77777777" w:rsidR="00DC2C5F" w:rsidRPr="00DD44CF" w:rsidRDefault="00DC2C5F" w:rsidP="00E059A9">
      <w:pPr>
        <w:widowControl w:val="0"/>
        <w:autoSpaceDE w:val="0"/>
        <w:autoSpaceDN w:val="0"/>
        <w:adjustRightInd w:val="0"/>
        <w:spacing w:after="240"/>
        <w:rPr>
          <w:rFonts w:cs="Arial"/>
          <w:b/>
          <w:lang w:val="en-US" w:eastAsia="zh-CN"/>
        </w:rPr>
      </w:pPr>
      <w:r w:rsidRPr="00DD44CF">
        <w:rPr>
          <w:rFonts w:cs="Arial"/>
          <w:b/>
          <w:lang w:val="en-US" w:eastAsia="zh-CN"/>
        </w:rPr>
        <w:t>Conclusion</w:t>
      </w:r>
    </w:p>
    <w:p w14:paraId="2D86B8FA" w14:textId="77777777" w:rsidR="00380A00" w:rsidRPr="00DD44CF" w:rsidRDefault="00C26989">
      <w:pPr>
        <w:rPr>
          <w:color w:val="000000"/>
        </w:rPr>
      </w:pPr>
      <w:r w:rsidRPr="00DD44CF">
        <w:rPr>
          <w:color w:val="000000"/>
          <w:lang w:val="en-US"/>
        </w:rPr>
        <w:t>The findings from this study</w:t>
      </w:r>
      <w:r w:rsidR="00380A00" w:rsidRPr="00DD44CF">
        <w:rPr>
          <w:color w:val="000000"/>
          <w:lang w:val="en-US"/>
        </w:rPr>
        <w:t xml:space="preserve"> present a unique insight into the quality and quantity of interactions between staff and patients in acute hospital settings</w:t>
      </w:r>
      <w:r w:rsidRPr="00DD44CF">
        <w:rPr>
          <w:color w:val="000000"/>
          <w:lang w:val="en-US"/>
        </w:rPr>
        <w:t xml:space="preserve">, and into the factors associated with the quality of </w:t>
      </w:r>
      <w:r w:rsidR="00413707" w:rsidRPr="00DD44CF">
        <w:rPr>
          <w:color w:val="000000"/>
          <w:lang w:val="en-US"/>
        </w:rPr>
        <w:t xml:space="preserve">an </w:t>
      </w:r>
      <w:r w:rsidRPr="00DD44CF">
        <w:rPr>
          <w:color w:val="000000"/>
          <w:lang w:val="en-US"/>
        </w:rPr>
        <w:t>interaction</w:t>
      </w:r>
      <w:r w:rsidR="00380A00" w:rsidRPr="00DD44CF">
        <w:rPr>
          <w:color w:val="000000"/>
          <w:lang w:val="en-US"/>
        </w:rPr>
        <w:t>. While a high proportion of interactions were positive, the findings also indicate that there is scope for further improving the quality of interactions</w:t>
      </w:r>
      <w:r w:rsidR="00413707" w:rsidRPr="00DD44CF">
        <w:rPr>
          <w:color w:val="000000"/>
          <w:lang w:val="en-US"/>
        </w:rPr>
        <w:t>:</w:t>
      </w:r>
      <w:r w:rsidR="00717C53" w:rsidRPr="00DD44CF">
        <w:rPr>
          <w:color w:val="000000"/>
          <w:lang w:val="en-US"/>
        </w:rPr>
        <w:t xml:space="preserve"> even over the short observation </w:t>
      </w:r>
      <w:r w:rsidR="00D80DC7">
        <w:rPr>
          <w:color w:val="000000"/>
          <w:lang w:val="en-US"/>
        </w:rPr>
        <w:t>session</w:t>
      </w:r>
      <w:r w:rsidR="00D80DC7" w:rsidRPr="00DD44CF">
        <w:rPr>
          <w:color w:val="000000"/>
          <w:lang w:val="en-US"/>
        </w:rPr>
        <w:t xml:space="preserve">s </w:t>
      </w:r>
      <w:r w:rsidR="00717C53" w:rsidRPr="00DD44CF">
        <w:rPr>
          <w:color w:val="000000"/>
          <w:lang w:val="en-US"/>
        </w:rPr>
        <w:t xml:space="preserve">a large number of patients experienced </w:t>
      </w:r>
      <w:r w:rsidR="001F078D" w:rsidRPr="00DD44CF">
        <w:rPr>
          <w:color w:val="000000"/>
          <w:lang w:val="en-US"/>
        </w:rPr>
        <w:t>one or more interactions charac</w:t>
      </w:r>
      <w:r w:rsidR="00717C53" w:rsidRPr="00DD44CF">
        <w:rPr>
          <w:color w:val="000000"/>
          <w:lang w:val="en-US"/>
        </w:rPr>
        <w:t xml:space="preserve">terised as negative by an </w:t>
      </w:r>
      <w:r w:rsidR="00413707" w:rsidRPr="00DD44CF">
        <w:rPr>
          <w:color w:val="000000"/>
          <w:lang w:val="en-US"/>
        </w:rPr>
        <w:t xml:space="preserve">independent </w:t>
      </w:r>
      <w:r w:rsidR="00717C53" w:rsidRPr="00DD44CF">
        <w:rPr>
          <w:color w:val="000000"/>
          <w:lang w:val="en-US"/>
        </w:rPr>
        <w:t>observer</w:t>
      </w:r>
      <w:r w:rsidR="00380A00" w:rsidRPr="00DD44CF">
        <w:rPr>
          <w:color w:val="000000"/>
          <w:lang w:val="en-US"/>
        </w:rPr>
        <w:t xml:space="preserve">. </w:t>
      </w:r>
      <w:r w:rsidR="00717C53" w:rsidRPr="00DD44CF">
        <w:rPr>
          <w:color w:val="000000"/>
          <w:lang w:val="en-US"/>
        </w:rPr>
        <w:t xml:space="preserve">It is unclear how these negative interactions affect overall </w:t>
      </w:r>
      <w:r w:rsidR="00413707" w:rsidRPr="00DD44CF">
        <w:rPr>
          <w:color w:val="000000"/>
          <w:lang w:val="en-US"/>
        </w:rPr>
        <w:t xml:space="preserve">patient </w:t>
      </w:r>
      <w:r w:rsidR="00717C53" w:rsidRPr="00DD44CF">
        <w:rPr>
          <w:color w:val="000000"/>
          <w:lang w:val="en-US"/>
        </w:rPr>
        <w:t>experience of care or whether the overall number</w:t>
      </w:r>
      <w:r w:rsidR="00A97701" w:rsidRPr="00DD44CF">
        <w:rPr>
          <w:color w:val="000000"/>
          <w:lang w:val="en-US"/>
        </w:rPr>
        <w:t>,</w:t>
      </w:r>
      <w:r w:rsidR="00717C53" w:rsidRPr="00DD44CF">
        <w:rPr>
          <w:color w:val="000000"/>
          <w:lang w:val="en-US"/>
        </w:rPr>
        <w:t xml:space="preserve"> or the presence of any negative interaction is most </w:t>
      </w:r>
      <w:r w:rsidR="00A97701" w:rsidRPr="00DD44CF">
        <w:rPr>
          <w:color w:val="000000"/>
          <w:lang w:val="en-US"/>
        </w:rPr>
        <w:t>important</w:t>
      </w:r>
      <w:r w:rsidR="00717C53" w:rsidRPr="00DD44CF">
        <w:rPr>
          <w:color w:val="000000"/>
          <w:lang w:val="en-US"/>
        </w:rPr>
        <w:t xml:space="preserve">. Further work is warranted to explore factors associated with </w:t>
      </w:r>
      <w:r w:rsidR="00A97701" w:rsidRPr="00DD44CF">
        <w:rPr>
          <w:color w:val="000000"/>
          <w:lang w:val="en-US"/>
        </w:rPr>
        <w:t xml:space="preserve">a </w:t>
      </w:r>
      <w:r w:rsidR="00717C53" w:rsidRPr="00DD44CF">
        <w:rPr>
          <w:color w:val="000000"/>
          <w:lang w:val="en-US"/>
        </w:rPr>
        <w:t xml:space="preserve">negative interaction, including workload and ward culture. Ward and session level factors </w:t>
      </w:r>
      <w:r w:rsidR="007F119C" w:rsidRPr="00DD44CF">
        <w:rPr>
          <w:color w:val="000000"/>
          <w:lang w:val="en-US"/>
        </w:rPr>
        <w:t>are more important influences on the quality of interactions tha</w:t>
      </w:r>
      <w:r w:rsidR="00A97701" w:rsidRPr="00DD44CF">
        <w:rPr>
          <w:color w:val="000000"/>
          <w:lang w:val="en-US"/>
        </w:rPr>
        <w:t>n</w:t>
      </w:r>
      <w:r w:rsidR="007F119C" w:rsidRPr="00DD44CF">
        <w:rPr>
          <w:color w:val="000000"/>
          <w:lang w:val="en-US"/>
        </w:rPr>
        <w:t xml:space="preserve"> patient factors</w:t>
      </w:r>
      <w:r w:rsidR="00CA73E0" w:rsidRPr="00DD44CF">
        <w:rPr>
          <w:color w:val="000000"/>
          <w:lang w:val="en-US"/>
        </w:rPr>
        <w:t>,</w:t>
      </w:r>
      <w:r w:rsidR="00717C53" w:rsidRPr="00DD44CF">
        <w:rPr>
          <w:color w:val="000000"/>
          <w:lang w:val="en-US"/>
        </w:rPr>
        <w:t xml:space="preserve"> although our findings do not support attributing negative staff </w:t>
      </w:r>
      <w:r w:rsidR="007F119C" w:rsidRPr="00DD44CF">
        <w:rPr>
          <w:color w:val="000000"/>
          <w:lang w:val="en-US"/>
        </w:rPr>
        <w:t>patient interactions</w:t>
      </w:r>
      <w:r w:rsidR="00717C53" w:rsidRPr="00DD44CF">
        <w:rPr>
          <w:color w:val="000000"/>
          <w:lang w:val="en-US"/>
        </w:rPr>
        <w:t xml:space="preserve"> </w:t>
      </w:r>
      <w:r w:rsidR="007F119C" w:rsidRPr="00DD44CF">
        <w:rPr>
          <w:color w:val="000000"/>
          <w:lang w:val="en-US"/>
        </w:rPr>
        <w:t>to any particular staff group.</w:t>
      </w:r>
    </w:p>
    <w:p w14:paraId="2473187A" w14:textId="77777777" w:rsidR="00380A00" w:rsidRPr="00DD44CF" w:rsidRDefault="00380A00" w:rsidP="00380A00">
      <w:pPr>
        <w:rPr>
          <w:b/>
        </w:rPr>
      </w:pPr>
    </w:p>
    <w:p w14:paraId="6E7EC900" w14:textId="77777777" w:rsidR="00F22901" w:rsidRPr="00DD44CF" w:rsidRDefault="006C3AB7" w:rsidP="009266D8">
      <w:pPr>
        <w:rPr>
          <w:rFonts w:cs="Arial"/>
          <w:b/>
          <w:lang w:val="en-US"/>
        </w:rPr>
      </w:pPr>
      <w:r w:rsidRPr="00DD44CF">
        <w:rPr>
          <w:rFonts w:cs="Arial"/>
          <w:b/>
          <w:lang w:val="en-US"/>
        </w:rPr>
        <w:t>Acknowledgements</w:t>
      </w:r>
    </w:p>
    <w:p w14:paraId="10F1E62F" w14:textId="77777777" w:rsidR="00D63ED8" w:rsidRPr="00DD44CF" w:rsidRDefault="00D63ED8" w:rsidP="00D63ED8">
      <w:pPr>
        <w:widowControl w:val="0"/>
        <w:autoSpaceDE w:val="0"/>
        <w:autoSpaceDN w:val="0"/>
        <w:adjustRightInd w:val="0"/>
        <w:rPr>
          <w:rFonts w:cs="Calibri"/>
          <w:lang w:val="en-US" w:eastAsia="zh-CN"/>
        </w:rPr>
      </w:pPr>
    </w:p>
    <w:p w14:paraId="2B18632E" w14:textId="77777777" w:rsidR="009E0BED" w:rsidRPr="00DD44CF" w:rsidRDefault="00D63ED8" w:rsidP="00D63ED8">
      <w:pPr>
        <w:widowControl w:val="0"/>
        <w:autoSpaceDE w:val="0"/>
        <w:autoSpaceDN w:val="0"/>
        <w:adjustRightInd w:val="0"/>
        <w:rPr>
          <w:rFonts w:cs="Calibri"/>
          <w:lang w:val="en-US" w:eastAsia="zh-CN"/>
        </w:rPr>
      </w:pPr>
      <w:r w:rsidRPr="00DD44CF">
        <w:rPr>
          <w:rFonts w:cs="Calibri"/>
          <w:lang w:val="en-US" w:eastAsia="zh-CN"/>
        </w:rPr>
        <w:t>The authors thank all patients and staff on participating wards. Without their support the study would not have been possible.</w:t>
      </w:r>
      <w:r w:rsidR="009E0BED" w:rsidRPr="00DD44CF">
        <w:rPr>
          <w:rFonts w:cs="Calibri"/>
          <w:lang w:val="en-US" w:eastAsia="zh-CN"/>
        </w:rPr>
        <w:t xml:space="preserve"> </w:t>
      </w:r>
    </w:p>
    <w:p w14:paraId="61A1A7D6" w14:textId="77777777" w:rsidR="009E0BED" w:rsidRPr="00DD44CF" w:rsidRDefault="009E0BED" w:rsidP="00D63ED8">
      <w:pPr>
        <w:widowControl w:val="0"/>
        <w:autoSpaceDE w:val="0"/>
        <w:autoSpaceDN w:val="0"/>
        <w:adjustRightInd w:val="0"/>
        <w:rPr>
          <w:rFonts w:cs="Calibri"/>
          <w:lang w:val="en-US" w:eastAsia="zh-CN"/>
        </w:rPr>
      </w:pPr>
    </w:p>
    <w:p w14:paraId="11B0AB90" w14:textId="77777777" w:rsidR="00D63ED8" w:rsidRPr="00DD44CF" w:rsidRDefault="00D63ED8" w:rsidP="00D63ED8">
      <w:pPr>
        <w:widowControl w:val="0"/>
        <w:autoSpaceDE w:val="0"/>
        <w:autoSpaceDN w:val="0"/>
        <w:adjustRightInd w:val="0"/>
        <w:rPr>
          <w:rFonts w:cs="Calibri"/>
          <w:lang w:val="en-US" w:eastAsia="zh-CN"/>
        </w:rPr>
      </w:pPr>
      <w:r w:rsidRPr="00DD44CF">
        <w:rPr>
          <w:rFonts w:cs="Calibri"/>
          <w:lang w:val="en-US" w:eastAsia="zh-CN"/>
        </w:rPr>
        <w:t>This project was funded by the National Institute for Health Research Health Services and Delivery Research (HS&amp;DR) programme (project number 13/07/48). The views and opinions expressed therein are those of the authors and do not necessarily reflect those of the HS&amp;DR programme, NIHR, NHS or the Department of Health.</w:t>
      </w:r>
    </w:p>
    <w:p w14:paraId="41B27F97" w14:textId="77777777" w:rsidR="009E0BED" w:rsidRPr="00DD44CF" w:rsidRDefault="009E0BED" w:rsidP="00D63ED8">
      <w:pPr>
        <w:widowControl w:val="0"/>
        <w:autoSpaceDE w:val="0"/>
        <w:autoSpaceDN w:val="0"/>
        <w:adjustRightInd w:val="0"/>
        <w:rPr>
          <w:rFonts w:cs="Calibri"/>
          <w:lang w:val="en-US" w:eastAsia="zh-CN"/>
        </w:rPr>
      </w:pPr>
    </w:p>
    <w:p w14:paraId="77D59A3F" w14:textId="77777777" w:rsidR="00AF38CF" w:rsidRPr="00DD44CF" w:rsidRDefault="00D63ED8" w:rsidP="00D63ED8">
      <w:pPr>
        <w:spacing w:after="200" w:line="276" w:lineRule="auto"/>
        <w:rPr>
          <w:lang w:val="en-US"/>
        </w:rPr>
      </w:pPr>
      <w:r w:rsidRPr="00DD44CF">
        <w:rPr>
          <w:rFonts w:cs="Calibri"/>
          <w:lang w:val="en-US" w:eastAsia="zh-CN"/>
        </w:rPr>
        <w:t>Professor James Lindesay has given permission for the research team to utilise and develop QuIS within this study.</w:t>
      </w:r>
      <w:r w:rsidRPr="00820559">
        <w:rPr>
          <w:lang w:val="en-US"/>
        </w:rPr>
        <w:t xml:space="preserve"> </w:t>
      </w:r>
    </w:p>
    <w:p w14:paraId="588B4D49" w14:textId="77777777" w:rsidR="00AF38CF" w:rsidRPr="00DD44CF" w:rsidRDefault="00AF38CF" w:rsidP="00D63ED8">
      <w:pPr>
        <w:spacing w:after="200" w:line="276" w:lineRule="auto"/>
        <w:rPr>
          <w:lang w:val="en-US"/>
        </w:rPr>
      </w:pPr>
    </w:p>
    <w:p w14:paraId="7320C0A9" w14:textId="77777777" w:rsidR="002F050F" w:rsidRPr="00DD44CF" w:rsidRDefault="002F050F" w:rsidP="00AF38CF">
      <w:pPr>
        <w:spacing w:after="200" w:line="276" w:lineRule="auto"/>
        <w:rPr>
          <w:lang w:val="en-US"/>
        </w:rPr>
      </w:pPr>
      <w:r w:rsidRPr="00DD44CF">
        <w:rPr>
          <w:lang w:val="en-US"/>
        </w:rPr>
        <w:br w:type="page"/>
      </w:r>
    </w:p>
    <w:p w14:paraId="4A8BF6C0" w14:textId="77777777" w:rsidR="006C3AB7" w:rsidRPr="00DD44CF" w:rsidRDefault="006C3AB7" w:rsidP="009266D8">
      <w:pPr>
        <w:rPr>
          <w:lang w:val="en-US"/>
        </w:rPr>
      </w:pPr>
    </w:p>
    <w:p w14:paraId="7685F831" w14:textId="77777777" w:rsidR="009340BA" w:rsidRPr="004046AE" w:rsidRDefault="0022487B">
      <w:pPr>
        <w:rPr>
          <w:rFonts w:eastAsia="Times New Roman" w:cs="Arial"/>
          <w:b/>
          <w:color w:val="000000"/>
          <w:bdr w:val="none" w:sz="0" w:space="0" w:color="auto" w:frame="1"/>
          <w:lang w:val="en-US"/>
        </w:rPr>
      </w:pPr>
      <w:r w:rsidRPr="004046AE">
        <w:rPr>
          <w:rFonts w:eastAsia="Times New Roman" w:cs="Arial"/>
          <w:b/>
          <w:color w:val="000000"/>
          <w:bdr w:val="none" w:sz="0" w:space="0" w:color="auto" w:frame="1"/>
          <w:lang w:val="en-US"/>
        </w:rPr>
        <w:t>References</w:t>
      </w:r>
    </w:p>
    <w:p w14:paraId="0C8F64D8" w14:textId="77777777" w:rsidR="0022487B" w:rsidRPr="004046AE" w:rsidRDefault="0022487B">
      <w:pPr>
        <w:rPr>
          <w:rFonts w:eastAsia="Times New Roman" w:cs="Arial"/>
          <w:color w:val="000000"/>
          <w:bdr w:val="none" w:sz="0" w:space="0" w:color="auto" w:frame="1"/>
          <w:lang w:val="en-US"/>
        </w:rPr>
      </w:pPr>
    </w:p>
    <w:p w14:paraId="741C5B74" w14:textId="77777777" w:rsidR="00902D49" w:rsidRPr="00902D49" w:rsidRDefault="0022487B" w:rsidP="00902D49">
      <w:pPr>
        <w:widowControl w:val="0"/>
        <w:autoSpaceDE w:val="0"/>
        <w:autoSpaceDN w:val="0"/>
        <w:adjustRightInd w:val="0"/>
        <w:ind w:left="480" w:hanging="480"/>
        <w:rPr>
          <w:rFonts w:ascii="Calibri" w:hAnsi="Calibri"/>
          <w:noProof/>
          <w:lang w:val="en-US"/>
        </w:rPr>
      </w:pPr>
      <w:r w:rsidRPr="00DD44CF">
        <w:rPr>
          <w:rFonts w:eastAsia="Times New Roman" w:cs="Arial"/>
          <w:color w:val="000000"/>
          <w:bdr w:val="none" w:sz="0" w:space="0" w:color="auto" w:frame="1"/>
        </w:rPr>
        <w:fldChar w:fldCharType="begin" w:fldLock="1"/>
      </w:r>
      <w:r w:rsidRPr="004046AE">
        <w:rPr>
          <w:rFonts w:eastAsia="Times New Roman" w:cs="Arial"/>
          <w:color w:val="000000"/>
          <w:bdr w:val="none" w:sz="0" w:space="0" w:color="auto" w:frame="1"/>
          <w:lang w:val="en-US"/>
        </w:rPr>
        <w:instrText xml:space="preserve">ADDIN Mendeley Bibliography CSL_BIBLIOGRAPHY </w:instrText>
      </w:r>
      <w:r w:rsidRPr="00DD44CF">
        <w:rPr>
          <w:rFonts w:eastAsia="Times New Roman" w:cs="Arial"/>
          <w:color w:val="000000"/>
          <w:bdr w:val="none" w:sz="0" w:space="0" w:color="auto" w:frame="1"/>
        </w:rPr>
        <w:fldChar w:fldCharType="separate"/>
      </w:r>
      <w:r w:rsidR="00902D49" w:rsidRPr="00902D49">
        <w:rPr>
          <w:rFonts w:ascii="Calibri" w:hAnsi="Calibri"/>
          <w:noProof/>
          <w:lang w:val="en-US"/>
        </w:rPr>
        <w:t>Aiken, L., Sermeus, W., Van den Heede, K., Sloanes, D., Busses, R., McKee, M., Kutney-Lee, A., 2012. Patient safety, satisfaction , and quality of hospital care: cross sectional surveys of nurses and patients in 12 countries in Europe and the United States. BMJ 344. doi:10.1136/bmj.e1717</w:t>
      </w:r>
    </w:p>
    <w:p w14:paraId="7EED58B0"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Algar, K., Woods, R.T., Windle, G., 2014. Measuring the quality of life and well-being of people with dementia: A review of observational measures. Dementia 0, 1–26. doi:10.1177/1471301214540163</w:t>
      </w:r>
    </w:p>
    <w:p w14:paraId="72705956"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Ball, J.E., Murrells, T., Rafferty, A.M., Morrow, E., Griffiths, P., 2014. “Care left undone” during nursing shifts: associations with workload and perceived quality of care. BMJ Qual. Saf. 23, 116–125. doi:10.1136/bmjqs-2012-001767</w:t>
      </w:r>
    </w:p>
    <w:p w14:paraId="5B202CC1"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Bridges, J. et al, 2014. Creating Learning Environments for Compassionate Care (CLECC): a feasibility study: detailed project description [WWW Document]. URL http://www.nets.nihr.ac.uk/__data/assets/pdf_file/0010/128665/PRO-13-07-48.pdf (accessed 8.13.15).</w:t>
      </w:r>
    </w:p>
    <w:p w14:paraId="7C61D355"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Bridges, J., Flatley, M., Meyer, J., 2010. Older people’s and relatives' experiences in acute care settings: Systematic review and synthesis of qualitative studies. Int. J. Nurs. Stud. 47, 89–107. doi:10.1016/j.ijnurstu.2009.09.009</w:t>
      </w:r>
    </w:p>
    <w:p w14:paraId="4FF5614F"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Bridges, J., Fuller, A., 2014. Creating learning environments for compassionate care : a programme to promote compassionate care by health and social teams. Int. J. Older People Nurs. 10, 48–58. doi:10.1111/opn.12055</w:t>
      </w:r>
    </w:p>
    <w:p w14:paraId="13A2F03D"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Bridges, J., Nicholson, C., Maben, J., Pope, C., Flatley, M., Wilkinson, C., Meyer, J., Tziggili, M., 2013. Capacity for care: Meta-ethnography of acute care nurses’ experiences of the nurse-patient relationship. J. Adv. Nurs. 69, 760–772. doi:10.1111/jan.12050</w:t>
      </w:r>
    </w:p>
    <w:p w14:paraId="6CE71426"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Brooker, D., 1995. Looking at them, looking at me. A review of observational studies into the quality of institutional care for elderly people with dementia. J. Ment. Heal. 4, 145–156.</w:t>
      </w:r>
    </w:p>
    <w:p w14:paraId="77FCD449"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Care Quality Commission, 2015. National NHS patient survey programme National results from the 2014 Inpatient Survey. Care Quality Commission and NHS.</w:t>
      </w:r>
    </w:p>
    <w:p w14:paraId="3968F6AC"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Cavendish, C., 2013. The Cavendish Review: An Independent Review into Healthcare Assistants and Support Workers in the NHS and social care settings. Retrieved from London: https://www.gov.uk/government/publications/review-of-healthcare-assistants-and-support-workers-in-nhs-and-social-care.</w:t>
      </w:r>
    </w:p>
    <w:p w14:paraId="0ACBEB98"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Corbin, J., 2008. Is caring a lost art in nursing? Int. J. Nurs. Stud. 45, 163–165. doi:10.1016/j.ijnurstu.2007.09.013</w:t>
      </w:r>
    </w:p>
    <w:p w14:paraId="4C19E828"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Dean, R., Briggs, K., 1993. The domus philosophy: A prospective evaluation of two residential units for the elderly mentally ill. Int. J. Geriatr. Psychiatry 8, 807–817.</w:t>
      </w:r>
    </w:p>
    <w:p w14:paraId="18EC1A61"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Dean, R., Proudfoot, R., Lindesay, J., 1993. The Quality of Interactions Schedule (QUIS): Development, Reliability and Use in the Evaluation of Two Domus Units. Int. J. Geriatr. Psychiatry 8, 819–826.</w:t>
      </w:r>
    </w:p>
    <w:p w14:paraId="34BCB888"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Deparment of Health, 2010. Essence of Care. Department of Health: London.</w:t>
      </w:r>
    </w:p>
    <w:p w14:paraId="47000336"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Department for Constitutional Affairs, 2007. Mental Capacity Act 2005 Code of Practice. London: The Stationery Office.</w:t>
      </w:r>
    </w:p>
    <w:p w14:paraId="6688053B"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 xml:space="preserve">Department of Health, 2013a. Delivering high quality, effective, compassionate care: Developing the right people with the right skills and the right values: A mandate from the Government to Health Education England: April 2013 to March 2015. Department </w:t>
      </w:r>
      <w:r w:rsidRPr="00902D49">
        <w:rPr>
          <w:rFonts w:ascii="Calibri" w:hAnsi="Calibri"/>
          <w:noProof/>
          <w:lang w:val="en-US"/>
        </w:rPr>
        <w:lastRenderedPageBreak/>
        <w:t>of Health: London.</w:t>
      </w:r>
    </w:p>
    <w:p w14:paraId="0B3DA7BE"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Department of Health, 2013b. In-patient care Health Building Note 04-01: Adult in-patient facilities. London: The Stationery Office.</w:t>
      </w:r>
    </w:p>
    <w:p w14:paraId="5758C870"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Department of Health, 2012. Compassion in Practice. Department of Health: London.</w:t>
      </w:r>
    </w:p>
    <w:p w14:paraId="040E552C"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Department of Health, 2010. Quality outcomes for people with dementia: building on the work of the National Dementia Strategy. London: The Stationery Office.</w:t>
      </w:r>
    </w:p>
    <w:p w14:paraId="34E61C5A"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Doyle, C., Lennox, L., Bell, D., 2013. A systematic review of evidence on the links between patient experience and clinical safety and effectiveness. BMJ Open 3, 1–18. doi:10.1136/bmjopen-2012-001570</w:t>
      </w:r>
    </w:p>
    <w:p w14:paraId="7ADA7857"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Eriksson, C., Saveman, B.-I., 2002. Nurses’ experiences of abusive/non-abusive caring for demented patients in acute care settings. Scand. J. Caring Sci. 16, 79–85.</w:t>
      </w:r>
    </w:p>
    <w:p w14:paraId="2A47A508"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Francis, R., 2013. Report of the Mid Staffordshire NHS Foundation Trust Public Inquiry. London: The Stationery Office.</w:t>
      </w:r>
    </w:p>
    <w:p w14:paraId="1992EE76"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Fulmer, T., Paveza, G., VandeWeerd, C., 2005. Dyadic vulnerability and risk profiling for elder neglect. Gerontologist 45, 525–534.</w:t>
      </w:r>
    </w:p>
    <w:p w14:paraId="34D2F471"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Goldberg, S.E., Harwood, R.H., 2013. Experience of general hospital care in older patients with cognitive impairment: are we measuring the most vulnerable patients’ experience? BMJ Qual. Saf. 22, 977–980. doi:10.1136/bmjqs-2013-001961</w:t>
      </w:r>
    </w:p>
    <w:p w14:paraId="1BF86925"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Griffiths, P., Ball, J., Drennan, J., James, L., Jones, J., Recio, A., Simon, M., 2014. The association between patient safety outcomes and nurse/healthcare assistant skill mix and staffing levels and factors that may influence staffing requirements.</w:t>
      </w:r>
    </w:p>
    <w:p w14:paraId="23E67EF8"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Health Advisory Service, 1998. Standards of NHS hospital care for older people “Not because they are old” - an independent inquiry into the care of older people on acute wards in general hospitals. Health Advisory Service 2000: London.</w:t>
      </w:r>
    </w:p>
    <w:p w14:paraId="5CA1B15B"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Health, D. of, 2000. Shaping the future NHS: Long term planning for hospitals and related services: Consultation document on the findings of the National Beds Inquiry. London: The Stationery Office.</w:t>
      </w:r>
    </w:p>
    <w:p w14:paraId="421DD1EA"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Kagan, S.H., 2014. Compassion. Geriatr. Nurs. (Minneap). 35, 69–70. doi:10.1016/j.gerinurse.2013.11.006</w:t>
      </w:r>
    </w:p>
    <w:p w14:paraId="0D0AE064"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Maben, J., Adams, M., Peccei, R., Murrells, T., Robert, G., 2012a. “Poppets and parcels”: The links between staff experience of work and acutely ill older peoples’ experience of hospital care. Int. J. Older People Nurs. 7, 83–94. doi:10.1111/j.1748-3743.2012.00326.x</w:t>
      </w:r>
    </w:p>
    <w:p w14:paraId="754F22C2"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Maben, J., Griffiths, P., 2008. Nurses in Society: Starting the Debate. King’s College London: London.</w:t>
      </w:r>
    </w:p>
    <w:p w14:paraId="77F562C9"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Maben, J., Peccei, R., Adams, M., Robert, G., 2012b. Exploring the relationship between patients’ experiences of care and the influence of staff motivation, affect and wellbeing. Natl. Inst. Heal. … 1–444.</w:t>
      </w:r>
    </w:p>
    <w:p w14:paraId="1BDBB208"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McLean, C., Griffiths, P., Bridges, J., 2014. A feasibility study to develop the Quality of Interactions Schedule (QuIS) for use as an outcome measure in acute hospital care. Southampton.</w:t>
      </w:r>
    </w:p>
    <w:p w14:paraId="56499DDE"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Patterson, M., Nolan, M., Rick, J., Brown, J., Adams, R., Musson, G., 2011. From Metrics to Meaning : Culture Change and Quality of Acute Hospital Care for Older People, National institute for health research.</w:t>
      </w:r>
    </w:p>
    <w:p w14:paraId="613A39FE"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Reader, T.W., Gillespie, A., 2013. Patient neglect in healthcare institutions: a systematic review and conceptual model. BMC Health Serv. Res. 13, 1–15. doi:10.1186/1472-6963-13-156</w:t>
      </w:r>
    </w:p>
    <w:p w14:paraId="11CFB824"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lastRenderedPageBreak/>
        <w:t>Report by the Prime Minister’s Commission on the Future of Nursing and Midwifery in England, 2010. Front Line Care. Crown Copyright: London.</w:t>
      </w:r>
    </w:p>
    <w:p w14:paraId="68D80203"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Report of the Willis Commission, 2012. Quality with Compassion: the future of nursing education. Royal College of Nursing: London.</w:t>
      </w:r>
    </w:p>
    <w:p w14:paraId="41D20B20"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Strauss, B., 2002. Social facilitation in motor tasks: a review of research and theory. Psychol. Sport Exerc. 3, 237–256. doi:doi:10.1016/S1469-0292(01)00019-x.</w:t>
      </w:r>
    </w:p>
    <w:p w14:paraId="3201A2E4"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The Regulation and Quality Improvement Authority, 2015. The Regulation and Quality Improvement Authority Review of the Care of Older People in Acute Hospitals Overview Report. The Regulation and Quality Improvement Authority: Belfast.</w:t>
      </w:r>
    </w:p>
    <w:p w14:paraId="03D2DD9F" w14:textId="77777777" w:rsidR="00902D49" w:rsidRPr="00902D49" w:rsidRDefault="00902D49" w:rsidP="00902D49">
      <w:pPr>
        <w:widowControl w:val="0"/>
        <w:autoSpaceDE w:val="0"/>
        <w:autoSpaceDN w:val="0"/>
        <w:adjustRightInd w:val="0"/>
        <w:ind w:left="480" w:hanging="480"/>
        <w:rPr>
          <w:rFonts w:ascii="Calibri" w:hAnsi="Calibri"/>
          <w:noProof/>
          <w:lang w:val="en-US"/>
        </w:rPr>
      </w:pPr>
      <w:r w:rsidRPr="00902D49">
        <w:rPr>
          <w:rFonts w:ascii="Calibri" w:hAnsi="Calibri"/>
          <w:noProof/>
          <w:lang w:val="en-US"/>
        </w:rPr>
        <w:t>Westbrook, J., Duffield, C., Li, L., Creswick, N., 2011. How much time do nurses have for patients? a longitudinal study quantifying hospital nurses’ patterns of task time distribution and interactions with health professionals. BMC Health Serv. Res. 11, 1–12.</w:t>
      </w:r>
    </w:p>
    <w:p w14:paraId="4B8CD99A" w14:textId="77777777" w:rsidR="00902D49" w:rsidRPr="00902D49" w:rsidRDefault="00902D49" w:rsidP="00902D49">
      <w:pPr>
        <w:widowControl w:val="0"/>
        <w:autoSpaceDE w:val="0"/>
        <w:autoSpaceDN w:val="0"/>
        <w:adjustRightInd w:val="0"/>
        <w:ind w:left="480" w:hanging="480"/>
        <w:rPr>
          <w:rFonts w:ascii="Calibri" w:hAnsi="Calibri"/>
          <w:noProof/>
        </w:rPr>
      </w:pPr>
      <w:r w:rsidRPr="00902D49">
        <w:rPr>
          <w:rFonts w:ascii="Calibri" w:hAnsi="Calibri"/>
          <w:noProof/>
          <w:lang w:val="en-US"/>
        </w:rPr>
        <w:t>Wewers, M., Muijen, M., Dean, R., Cooney, M., 1994. A nurse-delivered smoking cessation intervention among hospitalized postperative patients - influence of a smoking related diagnosis: A pilot study. Hear. Lung 23, 151–156.</w:t>
      </w:r>
    </w:p>
    <w:p w14:paraId="7584D5AA" w14:textId="77777777" w:rsidR="0022487B" w:rsidRPr="00DD44CF" w:rsidRDefault="0022487B" w:rsidP="00902D49">
      <w:pPr>
        <w:widowControl w:val="0"/>
        <w:autoSpaceDE w:val="0"/>
        <w:autoSpaceDN w:val="0"/>
        <w:adjustRightInd w:val="0"/>
        <w:ind w:left="480" w:hanging="480"/>
        <w:rPr>
          <w:rFonts w:eastAsia="Times New Roman" w:cs="Arial"/>
          <w:color w:val="000000"/>
          <w:bdr w:val="none" w:sz="0" w:space="0" w:color="auto" w:frame="1"/>
        </w:rPr>
      </w:pPr>
      <w:r w:rsidRPr="00DD44CF">
        <w:rPr>
          <w:rFonts w:eastAsia="Times New Roman" w:cs="Arial"/>
          <w:color w:val="000000"/>
          <w:bdr w:val="none" w:sz="0" w:space="0" w:color="auto" w:frame="1"/>
        </w:rPr>
        <w:fldChar w:fldCharType="end"/>
      </w:r>
    </w:p>
    <w:p w14:paraId="0405CA1B" w14:textId="77777777" w:rsidR="002F050F" w:rsidRPr="00DD44CF" w:rsidRDefault="002F050F">
      <w:pPr>
        <w:spacing w:after="200" w:line="276" w:lineRule="auto"/>
        <w:rPr>
          <w:rFonts w:cs="Arial"/>
          <w:lang w:val="en-US"/>
        </w:rPr>
      </w:pPr>
      <w:r w:rsidRPr="00DD44CF">
        <w:rPr>
          <w:rFonts w:cs="Arial"/>
          <w:lang w:val="en-US"/>
        </w:rPr>
        <w:br w:type="page"/>
      </w:r>
    </w:p>
    <w:p w14:paraId="6D271E49" w14:textId="77777777" w:rsidR="00C30777" w:rsidRPr="00DD44CF" w:rsidRDefault="007B7C43" w:rsidP="00B17926">
      <w:pPr>
        <w:pStyle w:val="NormalWeb"/>
        <w:divId w:val="1915891284"/>
        <w:rPr>
          <w:rFonts w:asciiTheme="minorHAnsi" w:hAnsiTheme="minorHAnsi" w:cs="Arial"/>
          <w:sz w:val="24"/>
          <w:szCs w:val="24"/>
          <w:lang w:val="en-US"/>
        </w:rPr>
      </w:pPr>
      <w:r w:rsidRPr="00DD44CF">
        <w:rPr>
          <w:rFonts w:asciiTheme="minorHAnsi" w:hAnsiTheme="minorHAnsi" w:cs="Arial"/>
          <w:sz w:val="24"/>
          <w:szCs w:val="24"/>
          <w:lang w:val="en-US"/>
        </w:rPr>
        <w:lastRenderedPageBreak/>
        <w:t>Table 1: QuIS Category Definitions</w:t>
      </w:r>
    </w:p>
    <w:tbl>
      <w:tblPr>
        <w:tblStyle w:val="TableGrid"/>
        <w:tblW w:w="9498" w:type="dxa"/>
        <w:tblInd w:w="-176" w:type="dxa"/>
        <w:tblLook w:val="04A0" w:firstRow="1" w:lastRow="0" w:firstColumn="1" w:lastColumn="0" w:noHBand="0" w:noVBand="1"/>
      </w:tblPr>
      <w:tblGrid>
        <w:gridCol w:w="1444"/>
        <w:gridCol w:w="2668"/>
        <w:gridCol w:w="5386"/>
      </w:tblGrid>
      <w:tr w:rsidR="007B7C43" w:rsidRPr="00DD44CF" w14:paraId="613621A8" w14:textId="77777777" w:rsidTr="008E059E">
        <w:trPr>
          <w:divId w:val="1915891284"/>
        </w:trPr>
        <w:tc>
          <w:tcPr>
            <w:tcW w:w="1444" w:type="dxa"/>
            <w:vMerge w:val="restart"/>
            <w:shd w:val="clear" w:color="auto" w:fill="D9D9D9"/>
          </w:tcPr>
          <w:p w14:paraId="10C1C45E" w14:textId="77777777" w:rsidR="007B7C43" w:rsidRPr="00DD44CF" w:rsidRDefault="007B7C43" w:rsidP="007B1BD0">
            <w:pPr>
              <w:rPr>
                <w:rFonts w:cs="Arial"/>
                <w:b/>
              </w:rPr>
            </w:pPr>
            <w:r w:rsidRPr="00DD44CF">
              <w:rPr>
                <w:rFonts w:cs="Arial"/>
                <w:b/>
              </w:rPr>
              <w:t>QuIS Category</w:t>
            </w:r>
          </w:p>
        </w:tc>
        <w:tc>
          <w:tcPr>
            <w:tcW w:w="8054" w:type="dxa"/>
            <w:gridSpan w:val="2"/>
            <w:shd w:val="clear" w:color="auto" w:fill="D9D9D9"/>
          </w:tcPr>
          <w:p w14:paraId="749708B6" w14:textId="77777777" w:rsidR="007B7C43" w:rsidRPr="00DD44CF" w:rsidRDefault="007B7C43" w:rsidP="007B1BD0">
            <w:pPr>
              <w:jc w:val="center"/>
              <w:rPr>
                <w:rFonts w:cs="Arial"/>
                <w:b/>
              </w:rPr>
            </w:pPr>
            <w:r w:rsidRPr="00820559">
              <w:rPr>
                <w:rFonts w:cs="Arial"/>
                <w:b/>
              </w:rPr>
              <w:t>Qu</w:t>
            </w:r>
            <w:r w:rsidRPr="00DD44CF">
              <w:rPr>
                <w:rFonts w:cs="Arial"/>
                <w:b/>
              </w:rPr>
              <w:t>IS Category Definitions</w:t>
            </w:r>
          </w:p>
        </w:tc>
      </w:tr>
      <w:tr w:rsidR="007B7C43" w:rsidRPr="00DD44CF" w14:paraId="13E3506F" w14:textId="77777777" w:rsidTr="008E059E">
        <w:trPr>
          <w:divId w:val="1915891284"/>
        </w:trPr>
        <w:tc>
          <w:tcPr>
            <w:tcW w:w="1444" w:type="dxa"/>
            <w:vMerge/>
            <w:shd w:val="clear" w:color="auto" w:fill="D9D9D9"/>
          </w:tcPr>
          <w:p w14:paraId="74B60777" w14:textId="77777777" w:rsidR="007B7C43" w:rsidRPr="00DD44CF" w:rsidRDefault="007B7C43" w:rsidP="007B1BD0">
            <w:pPr>
              <w:rPr>
                <w:rFonts w:cs="Arial"/>
                <w:b/>
              </w:rPr>
            </w:pPr>
          </w:p>
        </w:tc>
        <w:tc>
          <w:tcPr>
            <w:tcW w:w="2668" w:type="dxa"/>
            <w:shd w:val="clear" w:color="auto" w:fill="D9D9D9"/>
          </w:tcPr>
          <w:p w14:paraId="06494D7B" w14:textId="77777777" w:rsidR="007B7C43" w:rsidRPr="00DD44CF" w:rsidRDefault="007B7C43" w:rsidP="007B1BD0">
            <w:pPr>
              <w:rPr>
                <w:rFonts w:cs="Arial"/>
              </w:rPr>
            </w:pPr>
            <w:r w:rsidRPr="00DD44CF">
              <w:rPr>
                <w:rFonts w:cs="Arial"/>
              </w:rPr>
              <w:t>Dean et al (1993)</w:t>
            </w:r>
          </w:p>
        </w:tc>
        <w:tc>
          <w:tcPr>
            <w:tcW w:w="5386" w:type="dxa"/>
            <w:shd w:val="clear" w:color="auto" w:fill="D9D9D9"/>
          </w:tcPr>
          <w:p w14:paraId="452E14DE" w14:textId="77777777" w:rsidR="007B7C43" w:rsidRPr="00DD44CF" w:rsidRDefault="007B7C43" w:rsidP="007B1BD0">
            <w:pPr>
              <w:rPr>
                <w:rFonts w:cs="Arial"/>
              </w:rPr>
            </w:pPr>
            <w:r w:rsidRPr="00DD44CF">
              <w:rPr>
                <w:rFonts w:cs="Arial"/>
              </w:rPr>
              <w:t>McLean, Griffiths &amp; Bridges (2014)</w:t>
            </w:r>
          </w:p>
        </w:tc>
      </w:tr>
      <w:tr w:rsidR="007B7C43" w:rsidRPr="00DD44CF" w14:paraId="33BBBB1F" w14:textId="77777777" w:rsidTr="008E059E">
        <w:trPr>
          <w:divId w:val="1915891284"/>
          <w:trHeight w:val="2242"/>
        </w:trPr>
        <w:tc>
          <w:tcPr>
            <w:tcW w:w="1444" w:type="dxa"/>
          </w:tcPr>
          <w:p w14:paraId="12916641" w14:textId="77777777" w:rsidR="007B7C43" w:rsidRPr="00DD44CF" w:rsidRDefault="007B7C43" w:rsidP="007B1BD0">
            <w:pPr>
              <w:rPr>
                <w:rFonts w:cs="Arial"/>
                <w:b/>
              </w:rPr>
            </w:pPr>
            <w:r w:rsidRPr="00DD44CF">
              <w:rPr>
                <w:rFonts w:cs="Arial"/>
                <w:b/>
              </w:rPr>
              <w:t>Positive Social</w:t>
            </w:r>
          </w:p>
        </w:tc>
        <w:tc>
          <w:tcPr>
            <w:tcW w:w="2668" w:type="dxa"/>
          </w:tcPr>
          <w:p w14:paraId="6F0C7A5E" w14:textId="77777777" w:rsidR="007B7C43" w:rsidRPr="00DD44CF" w:rsidRDefault="007B7C43" w:rsidP="007B1BD0">
            <w:pPr>
              <w:rPr>
                <w:rFonts w:cs="Arial"/>
              </w:rPr>
            </w:pPr>
            <w:r w:rsidRPr="00DD44CF">
              <w:rPr>
                <w:rFonts w:cs="Arial"/>
              </w:rPr>
              <w:t>Interaction Principally involving ‘good, constructive, beneficial’ conversation and companionship</w:t>
            </w:r>
          </w:p>
        </w:tc>
        <w:tc>
          <w:tcPr>
            <w:tcW w:w="5386" w:type="dxa"/>
          </w:tcPr>
          <w:p w14:paraId="4CBF4F2D" w14:textId="77777777" w:rsidR="007B7C43" w:rsidRPr="00DD44CF" w:rsidRDefault="007B7C43" w:rsidP="007B1BD0">
            <w:pPr>
              <w:widowControl w:val="0"/>
              <w:autoSpaceDE w:val="0"/>
              <w:autoSpaceDN w:val="0"/>
              <w:adjustRightInd w:val="0"/>
              <w:spacing w:after="240"/>
              <w:rPr>
                <w:rFonts w:cs="Arial"/>
                <w:lang w:val="en-US"/>
              </w:rPr>
            </w:pPr>
            <w:r w:rsidRPr="00DD44CF">
              <w:rPr>
                <w:rFonts w:cs="Arial"/>
                <w:lang w:val="en-US"/>
              </w:rPr>
              <w:t>Interactions, which may be expected to make the service user feel valued, cared about or respected as a person. This is achieved through:</w:t>
            </w:r>
          </w:p>
          <w:p w14:paraId="624D41E5" w14:textId="77777777" w:rsidR="007B7C43" w:rsidRPr="00DD44CF" w:rsidRDefault="007B7C43" w:rsidP="007B7C43">
            <w:pPr>
              <w:pStyle w:val="ListParagraph"/>
              <w:widowControl w:val="0"/>
              <w:numPr>
                <w:ilvl w:val="0"/>
                <w:numId w:val="2"/>
              </w:numPr>
              <w:autoSpaceDE w:val="0"/>
              <w:autoSpaceDN w:val="0"/>
              <w:adjustRightInd w:val="0"/>
              <w:spacing w:after="240"/>
              <w:rPr>
                <w:rFonts w:cs="Arial"/>
                <w:lang w:val="en-US"/>
              </w:rPr>
            </w:pPr>
            <w:r w:rsidRPr="00DD44CF">
              <w:rPr>
                <w:rFonts w:cs="Arial"/>
                <w:lang w:val="en-US"/>
              </w:rPr>
              <w:t>Polite, friendly and respectful interactions in which any element is: Casual / informal and relating to ‘everyday’ social topics (e.g. family; sport; weather; TV programmes) or</w:t>
            </w:r>
          </w:p>
          <w:p w14:paraId="48E5D225" w14:textId="77777777" w:rsidR="007B7C43" w:rsidRPr="00DD44CF" w:rsidRDefault="007B7C43" w:rsidP="007B7C43">
            <w:pPr>
              <w:pStyle w:val="ListParagraph"/>
              <w:widowControl w:val="0"/>
              <w:numPr>
                <w:ilvl w:val="0"/>
                <w:numId w:val="2"/>
              </w:numPr>
              <w:autoSpaceDE w:val="0"/>
              <w:autoSpaceDN w:val="0"/>
              <w:adjustRightInd w:val="0"/>
              <w:spacing w:after="240"/>
              <w:rPr>
                <w:rFonts w:cs="Arial"/>
                <w:lang w:val="en-US"/>
              </w:rPr>
            </w:pPr>
            <w:r w:rsidRPr="00DD44CF">
              <w:rPr>
                <w:rFonts w:cs="Arial"/>
                <w:lang w:val="en-US"/>
              </w:rPr>
              <w:t>Responding to concerns / interests / topics introduced by the service user</w:t>
            </w:r>
          </w:p>
        </w:tc>
      </w:tr>
      <w:tr w:rsidR="007B7C43" w:rsidRPr="00DD44CF" w14:paraId="44594CC8" w14:textId="77777777" w:rsidTr="008E059E">
        <w:trPr>
          <w:divId w:val="1915891284"/>
        </w:trPr>
        <w:tc>
          <w:tcPr>
            <w:tcW w:w="1444" w:type="dxa"/>
          </w:tcPr>
          <w:p w14:paraId="44065A65" w14:textId="77777777" w:rsidR="007B7C43" w:rsidRPr="00DD44CF" w:rsidRDefault="007B7C43" w:rsidP="007B1BD0">
            <w:pPr>
              <w:rPr>
                <w:rFonts w:cs="Arial"/>
                <w:b/>
              </w:rPr>
            </w:pPr>
            <w:r w:rsidRPr="00DD44CF">
              <w:rPr>
                <w:rFonts w:cs="Arial"/>
                <w:b/>
              </w:rPr>
              <w:t>Positive Care</w:t>
            </w:r>
          </w:p>
        </w:tc>
        <w:tc>
          <w:tcPr>
            <w:tcW w:w="2668" w:type="dxa"/>
          </w:tcPr>
          <w:p w14:paraId="42C6AF21" w14:textId="77777777" w:rsidR="007B7C43" w:rsidRPr="00DD44CF" w:rsidRDefault="007B7C43" w:rsidP="007B1BD0">
            <w:pPr>
              <w:rPr>
                <w:rFonts w:cs="Arial"/>
              </w:rPr>
            </w:pPr>
            <w:r w:rsidRPr="00DD44CF">
              <w:rPr>
                <w:rFonts w:cs="Arial"/>
                <w:lang w:val="en-US"/>
              </w:rPr>
              <w:t>Interactions during the appropriate delivery of physical care.</w:t>
            </w:r>
          </w:p>
        </w:tc>
        <w:tc>
          <w:tcPr>
            <w:tcW w:w="5386" w:type="dxa"/>
          </w:tcPr>
          <w:p w14:paraId="5B39680B" w14:textId="77777777" w:rsidR="007B7C43" w:rsidRPr="00DD44CF" w:rsidRDefault="007B7C43" w:rsidP="007B1BD0">
            <w:pPr>
              <w:rPr>
                <w:rFonts w:cs="Arial"/>
              </w:rPr>
            </w:pPr>
            <w:r w:rsidRPr="00DD44CF">
              <w:rPr>
                <w:rFonts w:cs="Arial"/>
                <w:lang w:val="en-US"/>
              </w:rPr>
              <w:t>Interactions, which may be expected to make the service user feel safe, secure, cared for or informed as a patient. This is achieved through polite, professional, respectful or good humoured interactions in which the topic is largely determined by staff and restricted to issues of care delivery (E.g. “your discharge”; “your wash”; “your medication”; “your surgery”).</w:t>
            </w:r>
          </w:p>
        </w:tc>
      </w:tr>
      <w:tr w:rsidR="007B7C43" w:rsidRPr="00DD44CF" w14:paraId="045694C4" w14:textId="77777777" w:rsidTr="008E059E">
        <w:trPr>
          <w:divId w:val="1915891284"/>
        </w:trPr>
        <w:tc>
          <w:tcPr>
            <w:tcW w:w="1444" w:type="dxa"/>
          </w:tcPr>
          <w:p w14:paraId="30E365E1" w14:textId="77777777" w:rsidR="007B7C43" w:rsidRPr="00DD44CF" w:rsidRDefault="007B7C43" w:rsidP="007B1BD0">
            <w:pPr>
              <w:rPr>
                <w:rFonts w:cs="Arial"/>
                <w:b/>
              </w:rPr>
            </w:pPr>
            <w:r w:rsidRPr="00DD44CF">
              <w:rPr>
                <w:rFonts w:cs="Arial"/>
                <w:b/>
              </w:rPr>
              <w:t>Neutral</w:t>
            </w:r>
          </w:p>
        </w:tc>
        <w:tc>
          <w:tcPr>
            <w:tcW w:w="2668" w:type="dxa"/>
          </w:tcPr>
          <w:p w14:paraId="1EC83EAF" w14:textId="77777777" w:rsidR="007B7C43" w:rsidRPr="00DD44CF" w:rsidRDefault="007B7C43" w:rsidP="007B1BD0">
            <w:pPr>
              <w:rPr>
                <w:rFonts w:cs="Arial"/>
              </w:rPr>
            </w:pPr>
            <w:r w:rsidRPr="00DD44CF">
              <w:rPr>
                <w:rFonts w:cs="Arial"/>
                <w:lang w:val="en-US"/>
              </w:rPr>
              <w:t>Brief, indifferent interactions not meeting the definitions of the other categories.</w:t>
            </w:r>
          </w:p>
        </w:tc>
        <w:tc>
          <w:tcPr>
            <w:tcW w:w="5386" w:type="dxa"/>
          </w:tcPr>
          <w:p w14:paraId="0319802B" w14:textId="77777777" w:rsidR="007B7C43" w:rsidRPr="00DD44CF" w:rsidRDefault="007B7C43" w:rsidP="007B1BD0">
            <w:pPr>
              <w:rPr>
                <w:rFonts w:cs="Arial"/>
              </w:rPr>
            </w:pPr>
            <w:r w:rsidRPr="00DD44CF">
              <w:rPr>
                <w:rFonts w:cs="Arial"/>
                <w:lang w:val="en-US"/>
              </w:rPr>
              <w:t>Interactions and which would not be expected to impact on the feelings of the service user, which they would be indifferent to or which they may barely notice. Interactions with no positive or negative aspects</w:t>
            </w:r>
          </w:p>
        </w:tc>
      </w:tr>
      <w:tr w:rsidR="007B7C43" w:rsidRPr="00DD44CF" w14:paraId="1ACEEFE0" w14:textId="77777777" w:rsidTr="008E059E">
        <w:trPr>
          <w:divId w:val="1915891284"/>
        </w:trPr>
        <w:tc>
          <w:tcPr>
            <w:tcW w:w="1444" w:type="dxa"/>
          </w:tcPr>
          <w:p w14:paraId="0895DDF4" w14:textId="77777777" w:rsidR="007B7C43" w:rsidRPr="00DD44CF" w:rsidRDefault="007B7C43" w:rsidP="007B1BD0">
            <w:pPr>
              <w:rPr>
                <w:rFonts w:cs="Arial"/>
                <w:b/>
              </w:rPr>
            </w:pPr>
            <w:r w:rsidRPr="00DD44CF">
              <w:rPr>
                <w:rFonts w:cs="Arial"/>
                <w:b/>
              </w:rPr>
              <w:t>Negative Protective</w:t>
            </w:r>
          </w:p>
        </w:tc>
        <w:tc>
          <w:tcPr>
            <w:tcW w:w="2668" w:type="dxa"/>
          </w:tcPr>
          <w:p w14:paraId="78708D54" w14:textId="77777777" w:rsidR="007B7C43" w:rsidRPr="00DD44CF" w:rsidRDefault="007B7C43" w:rsidP="007B1BD0">
            <w:pPr>
              <w:rPr>
                <w:rFonts w:cs="Arial"/>
              </w:rPr>
            </w:pPr>
            <w:r w:rsidRPr="00DD44CF">
              <w:rPr>
                <w:rFonts w:cs="Arial"/>
                <w:lang w:val="en-US"/>
              </w:rPr>
              <w:t>Providing care, keeping safe or removing from danger, but in a restrictive manner, without explanation or reassurance: in a way, which disregards dignity or fails to demonstrate respect for the individual.</w:t>
            </w:r>
          </w:p>
        </w:tc>
        <w:tc>
          <w:tcPr>
            <w:tcW w:w="5386" w:type="dxa"/>
          </w:tcPr>
          <w:p w14:paraId="10EACD34" w14:textId="77777777" w:rsidR="007B7C43" w:rsidRPr="00DD44CF" w:rsidRDefault="000257A2" w:rsidP="007B1BD0">
            <w:pPr>
              <w:rPr>
                <w:rFonts w:cs="Arial"/>
              </w:rPr>
            </w:pPr>
            <w:r w:rsidRPr="00DD44CF">
              <w:rPr>
                <w:rFonts w:cs="Arial"/>
                <w:lang w:val="en-US"/>
              </w:rPr>
              <w:t>Interactions that</w:t>
            </w:r>
            <w:r w:rsidR="007B7C43" w:rsidRPr="00DD44CF">
              <w:rPr>
                <w:rFonts w:cs="Arial"/>
                <w:lang w:val="en-US"/>
              </w:rPr>
              <w:t xml:space="preserve"> may be expected to make the service user feel rushed, misunderstood, frustrated or poorly informed as a patient. Such interactions fail to fully maintain dignity or demonstrate respect due to the focus of staff on doing their ‘work’. Staff may appear rushed or task orientated.</w:t>
            </w:r>
          </w:p>
        </w:tc>
      </w:tr>
      <w:tr w:rsidR="007B7C43" w:rsidRPr="00DD44CF" w14:paraId="1CBEF38B" w14:textId="77777777" w:rsidTr="008E059E">
        <w:trPr>
          <w:divId w:val="1915891284"/>
        </w:trPr>
        <w:tc>
          <w:tcPr>
            <w:tcW w:w="1444" w:type="dxa"/>
          </w:tcPr>
          <w:p w14:paraId="0FD52FC2" w14:textId="77777777" w:rsidR="007B7C43" w:rsidRPr="00DD44CF" w:rsidRDefault="007B7C43" w:rsidP="007B1BD0">
            <w:pPr>
              <w:rPr>
                <w:rFonts w:cs="Arial"/>
                <w:b/>
              </w:rPr>
            </w:pPr>
            <w:r w:rsidRPr="00DD44CF">
              <w:rPr>
                <w:rFonts w:cs="Arial"/>
                <w:b/>
              </w:rPr>
              <w:t>Negative Restrictive</w:t>
            </w:r>
          </w:p>
        </w:tc>
        <w:tc>
          <w:tcPr>
            <w:tcW w:w="2668" w:type="dxa"/>
          </w:tcPr>
          <w:p w14:paraId="0095CE9E" w14:textId="77777777" w:rsidR="007B7C43" w:rsidRPr="00DD44CF" w:rsidRDefault="007B7C43" w:rsidP="007B7C43">
            <w:pPr>
              <w:widowControl w:val="0"/>
              <w:autoSpaceDE w:val="0"/>
              <w:autoSpaceDN w:val="0"/>
              <w:adjustRightInd w:val="0"/>
              <w:spacing w:after="240"/>
              <w:rPr>
                <w:rFonts w:cs="Arial"/>
                <w:lang w:val="en-US"/>
              </w:rPr>
            </w:pPr>
            <w:r w:rsidRPr="00DD44CF">
              <w:rPr>
                <w:rFonts w:cs="Arial"/>
                <w:lang w:val="en-US"/>
              </w:rPr>
              <w:t xml:space="preserve">Interactions that oppose or resist peoples’ freedom of action without good reason, or which ignore them as a person. </w:t>
            </w:r>
          </w:p>
        </w:tc>
        <w:tc>
          <w:tcPr>
            <w:tcW w:w="5386" w:type="dxa"/>
          </w:tcPr>
          <w:p w14:paraId="0E242C2A" w14:textId="77777777" w:rsidR="007B7C43" w:rsidRPr="00DD44CF" w:rsidRDefault="007B7C43" w:rsidP="007B1BD0">
            <w:pPr>
              <w:rPr>
                <w:rFonts w:cs="Arial"/>
              </w:rPr>
            </w:pPr>
            <w:r w:rsidRPr="00DD44CF">
              <w:rPr>
                <w:rFonts w:cs="Arial"/>
                <w:lang w:val="en-US"/>
              </w:rPr>
              <w:t>Interactions which may be expected to leave the service user feel ignored, devalued or humiliated as a person. Such interactions may be rude, abusive or controlling and pay no regard to the perspective of the patient. Patients expressed needs / preferences are ignored or denied and staff may be authoritative, controlling, rude or angry.</w:t>
            </w:r>
          </w:p>
        </w:tc>
      </w:tr>
    </w:tbl>
    <w:p w14:paraId="6491E7E2" w14:textId="77777777" w:rsidR="002F050F" w:rsidRPr="00DD44CF" w:rsidRDefault="002F050F" w:rsidP="00B17926">
      <w:pPr>
        <w:divId w:val="1915891284"/>
      </w:pPr>
    </w:p>
    <w:p w14:paraId="4C79BD21" w14:textId="77777777" w:rsidR="002F050F" w:rsidRPr="00DD44CF" w:rsidRDefault="002F050F">
      <w:pPr>
        <w:spacing w:after="200" w:line="276" w:lineRule="auto"/>
      </w:pPr>
      <w:r w:rsidRPr="00DD44CF">
        <w:br w:type="page"/>
      </w:r>
    </w:p>
    <w:p w14:paraId="75596C0F" w14:textId="77777777" w:rsidR="00B17926" w:rsidRPr="00DD44CF" w:rsidRDefault="00B17926" w:rsidP="00B17926">
      <w:pPr>
        <w:divId w:val="1915891284"/>
      </w:pPr>
    </w:p>
    <w:tbl>
      <w:tblPr>
        <w:tblStyle w:val="GridTable1Light1"/>
        <w:tblpPr w:leftFromText="180" w:rightFromText="180" w:vertAnchor="page" w:horzAnchor="margin" w:tblpXSpec="center" w:tblpY="25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126"/>
        <w:gridCol w:w="2126"/>
      </w:tblGrid>
      <w:tr w:rsidR="002F050F" w:rsidRPr="00DD44CF" w14:paraId="37A20E93" w14:textId="77777777" w:rsidTr="008E059E">
        <w:trPr>
          <w:cnfStyle w:val="100000000000" w:firstRow="1" w:lastRow="0" w:firstColumn="0" w:lastColumn="0" w:oddVBand="0" w:evenVBand="0" w:oddHBand="0" w:evenHBand="0" w:firstRowFirstColumn="0" w:firstRowLastColumn="0" w:lastRowFirstColumn="0" w:lastRowLastColumn="0"/>
          <w:divId w:val="1915891284"/>
          <w:trHeight w:val="201"/>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tcBorders>
          </w:tcPr>
          <w:p w14:paraId="029369D3" w14:textId="77777777" w:rsidR="002F050F" w:rsidRPr="00DD44CF" w:rsidRDefault="002F050F" w:rsidP="000A47AE">
            <w:r w:rsidRPr="00DD44CF">
              <w:t>Characteristic</w:t>
            </w:r>
          </w:p>
        </w:tc>
        <w:tc>
          <w:tcPr>
            <w:tcW w:w="2126" w:type="dxa"/>
            <w:tcBorders>
              <w:top w:val="single" w:sz="4" w:space="0" w:color="auto"/>
              <w:bottom w:val="single" w:sz="4" w:space="0" w:color="auto"/>
              <w:right w:val="single" w:sz="4" w:space="0" w:color="auto"/>
            </w:tcBorders>
          </w:tcPr>
          <w:p w14:paraId="6C4F6631" w14:textId="77777777" w:rsidR="002F050F" w:rsidRPr="00DD44CF" w:rsidDel="002F050F" w:rsidRDefault="002F050F" w:rsidP="008E059E">
            <w:pPr>
              <w:jc w:val="right"/>
              <w:cnfStyle w:val="100000000000" w:firstRow="1" w:lastRow="0" w:firstColumn="0" w:lastColumn="0" w:oddVBand="0" w:evenVBand="0" w:oddHBand="0" w:evenHBand="0" w:firstRowFirstColumn="0" w:firstRowLastColumn="0" w:lastRowFirstColumn="0" w:lastRowLastColumn="0"/>
            </w:pPr>
          </w:p>
        </w:tc>
        <w:tc>
          <w:tcPr>
            <w:tcW w:w="2126" w:type="dxa"/>
            <w:tcBorders>
              <w:top w:val="single" w:sz="4" w:space="0" w:color="auto"/>
              <w:left w:val="single" w:sz="4" w:space="0" w:color="auto"/>
              <w:bottom w:val="single" w:sz="4" w:space="0" w:color="auto"/>
              <w:right w:val="single" w:sz="4" w:space="0" w:color="auto"/>
            </w:tcBorders>
          </w:tcPr>
          <w:p w14:paraId="3D105BE4" w14:textId="77777777" w:rsidR="002F050F" w:rsidRPr="00DD44CF" w:rsidRDefault="002F050F" w:rsidP="000A47AE">
            <w:pPr>
              <w:jc w:val="center"/>
              <w:cnfStyle w:val="100000000000" w:firstRow="1" w:lastRow="0" w:firstColumn="0" w:lastColumn="0" w:oddVBand="0" w:evenVBand="0" w:oddHBand="0" w:evenHBand="0" w:firstRowFirstColumn="0" w:firstRowLastColumn="0" w:lastRowFirstColumn="0" w:lastRowLastColumn="0"/>
            </w:pPr>
          </w:p>
        </w:tc>
      </w:tr>
      <w:tr w:rsidR="002F050F" w:rsidRPr="00DD44CF" w14:paraId="51B6F536" w14:textId="77777777" w:rsidTr="008E059E">
        <w:trPr>
          <w:divId w:val="1915891284"/>
          <w:trHeight w:val="201"/>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tcBorders>
            <w:shd w:val="clear" w:color="auto" w:fill="CCFFFF"/>
          </w:tcPr>
          <w:p w14:paraId="5F15E196" w14:textId="77777777" w:rsidR="002F050F" w:rsidRPr="00DD44CF" w:rsidRDefault="002F050F" w:rsidP="000A47AE">
            <w:r w:rsidRPr="00DD44CF">
              <w:t>Patients</w:t>
            </w:r>
          </w:p>
        </w:tc>
        <w:tc>
          <w:tcPr>
            <w:tcW w:w="2126" w:type="dxa"/>
            <w:tcBorders>
              <w:top w:val="single" w:sz="4" w:space="0" w:color="auto"/>
              <w:right w:val="single" w:sz="4" w:space="0" w:color="auto"/>
            </w:tcBorders>
            <w:shd w:val="clear" w:color="auto" w:fill="CCFFFF"/>
          </w:tcPr>
          <w:p w14:paraId="657C1C92" w14:textId="77777777" w:rsidR="002F050F" w:rsidRPr="00DD44CF" w:rsidRDefault="002F050F" w:rsidP="008E059E">
            <w:pPr>
              <w:jc w:val="right"/>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auto"/>
              <w:left w:val="single" w:sz="4" w:space="0" w:color="auto"/>
              <w:right w:val="single" w:sz="4" w:space="0" w:color="auto"/>
            </w:tcBorders>
            <w:shd w:val="clear" w:color="auto" w:fill="CCFFFF"/>
          </w:tcPr>
          <w:p w14:paraId="6560E826" w14:textId="77777777" w:rsidR="002F050F"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n=</w:t>
            </w:r>
            <w:r w:rsidR="002F050F" w:rsidRPr="00DD44CF">
              <w:t>133</w:t>
            </w:r>
          </w:p>
        </w:tc>
      </w:tr>
      <w:tr w:rsidR="002F050F" w:rsidRPr="00DD44CF" w14:paraId="0AF958C3" w14:textId="77777777" w:rsidTr="008E059E">
        <w:trPr>
          <w:divId w:val="1915891284"/>
          <w:trHeight w:val="210"/>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tcBorders>
          </w:tcPr>
          <w:p w14:paraId="72E9F8AC" w14:textId="77777777" w:rsidR="002F050F" w:rsidRPr="00DD44CF" w:rsidRDefault="002F050F" w:rsidP="00A05A29">
            <w:r w:rsidRPr="00DD44CF">
              <w:t>Age in years</w:t>
            </w:r>
          </w:p>
        </w:tc>
        <w:tc>
          <w:tcPr>
            <w:tcW w:w="2126" w:type="dxa"/>
            <w:tcBorders>
              <w:top w:val="single" w:sz="4" w:space="0" w:color="auto"/>
              <w:right w:val="single" w:sz="4" w:space="0" w:color="auto"/>
            </w:tcBorders>
          </w:tcPr>
          <w:p w14:paraId="14F5D972" w14:textId="77777777" w:rsidR="00B122F7" w:rsidRPr="00DD44CF" w:rsidRDefault="00B122F7" w:rsidP="00B122F7">
            <w:pPr>
              <w:jc w:val="right"/>
              <w:cnfStyle w:val="000000000000" w:firstRow="0" w:lastRow="0" w:firstColumn="0" w:lastColumn="0" w:oddVBand="0" w:evenVBand="0" w:oddHBand="0" w:evenHBand="0" w:firstRowFirstColumn="0" w:firstRowLastColumn="0" w:lastRowFirstColumn="0" w:lastRowLastColumn="0"/>
            </w:pPr>
            <w:r w:rsidRPr="00DD44CF">
              <w:t>mean (SD)</w:t>
            </w:r>
          </w:p>
          <w:p w14:paraId="36A3A0BD" w14:textId="77777777" w:rsidR="002F050F"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min to max</w:t>
            </w:r>
          </w:p>
        </w:tc>
        <w:tc>
          <w:tcPr>
            <w:tcW w:w="2126" w:type="dxa"/>
            <w:tcBorders>
              <w:top w:val="single" w:sz="4" w:space="0" w:color="auto"/>
              <w:left w:val="single" w:sz="4" w:space="0" w:color="auto"/>
              <w:right w:val="single" w:sz="4" w:space="0" w:color="auto"/>
            </w:tcBorders>
          </w:tcPr>
          <w:p w14:paraId="3E5A4096" w14:textId="77777777" w:rsidR="002F050F" w:rsidRPr="00DD44CF" w:rsidRDefault="002F050F" w:rsidP="00A05A29">
            <w:pPr>
              <w:jc w:val="center"/>
              <w:cnfStyle w:val="000000000000" w:firstRow="0" w:lastRow="0" w:firstColumn="0" w:lastColumn="0" w:oddVBand="0" w:evenVBand="0" w:oddHBand="0" w:evenHBand="0" w:firstRowFirstColumn="0" w:firstRowLastColumn="0" w:lastRowFirstColumn="0" w:lastRowLastColumn="0"/>
            </w:pPr>
            <w:r w:rsidRPr="00DD44CF">
              <w:t>83 (11)</w:t>
            </w:r>
          </w:p>
          <w:p w14:paraId="276C90BD" w14:textId="77777777" w:rsidR="00B122F7" w:rsidRPr="00DD44CF" w:rsidRDefault="00B122F7" w:rsidP="00A05A29">
            <w:pPr>
              <w:jc w:val="center"/>
              <w:cnfStyle w:val="000000000000" w:firstRow="0" w:lastRow="0" w:firstColumn="0" w:lastColumn="0" w:oddVBand="0" w:evenVBand="0" w:oddHBand="0" w:evenHBand="0" w:firstRowFirstColumn="0" w:firstRowLastColumn="0" w:lastRowFirstColumn="0" w:lastRowLastColumn="0"/>
            </w:pPr>
            <w:r w:rsidRPr="00DD44CF">
              <w:t>18 to 101</w:t>
            </w:r>
          </w:p>
        </w:tc>
      </w:tr>
      <w:tr w:rsidR="002F050F" w:rsidRPr="00DD44CF" w14:paraId="4C33E6E3" w14:textId="77777777" w:rsidTr="008E059E">
        <w:trPr>
          <w:divId w:val="1915891284"/>
          <w:trHeight w:val="201"/>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tcBorders>
          </w:tcPr>
          <w:p w14:paraId="1ACEE9DD" w14:textId="77777777" w:rsidR="002F050F" w:rsidRPr="00DD44CF" w:rsidRDefault="002F050F" w:rsidP="00A05A29">
            <w:r w:rsidRPr="00DD44CF">
              <w:t>Gender</w:t>
            </w:r>
          </w:p>
        </w:tc>
        <w:tc>
          <w:tcPr>
            <w:tcW w:w="2126" w:type="dxa"/>
            <w:tcBorders>
              <w:top w:val="dashed" w:sz="4" w:space="0" w:color="auto"/>
              <w:right w:val="single" w:sz="4" w:space="0" w:color="auto"/>
            </w:tcBorders>
          </w:tcPr>
          <w:p w14:paraId="0EEE7F88" w14:textId="77777777" w:rsidR="002F050F" w:rsidRPr="00DD44CF" w:rsidRDefault="002F050F" w:rsidP="008E059E">
            <w:pPr>
              <w:jc w:val="right"/>
              <w:cnfStyle w:val="000000000000" w:firstRow="0" w:lastRow="0" w:firstColumn="0" w:lastColumn="0" w:oddVBand="0" w:evenVBand="0" w:oddHBand="0" w:evenHBand="0" w:firstRowFirstColumn="0" w:firstRowLastColumn="0" w:lastRowFirstColumn="0" w:lastRowLastColumn="0"/>
            </w:pPr>
            <w:r w:rsidRPr="00DD44CF">
              <w:t>Male</w:t>
            </w:r>
          </w:p>
          <w:p w14:paraId="6E9F3961" w14:textId="77777777" w:rsidR="00B122F7"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Female</w:t>
            </w:r>
          </w:p>
        </w:tc>
        <w:tc>
          <w:tcPr>
            <w:tcW w:w="2126" w:type="dxa"/>
            <w:tcBorders>
              <w:top w:val="dashed" w:sz="4" w:space="0" w:color="auto"/>
              <w:left w:val="single" w:sz="4" w:space="0" w:color="auto"/>
              <w:right w:val="single" w:sz="4" w:space="0" w:color="auto"/>
            </w:tcBorders>
          </w:tcPr>
          <w:p w14:paraId="6D69282F" w14:textId="77777777" w:rsidR="002F050F" w:rsidRPr="00DD44CF" w:rsidRDefault="002F050F" w:rsidP="00A05A29">
            <w:pPr>
              <w:jc w:val="center"/>
              <w:cnfStyle w:val="000000000000" w:firstRow="0" w:lastRow="0" w:firstColumn="0" w:lastColumn="0" w:oddVBand="0" w:evenVBand="0" w:oddHBand="0" w:evenHBand="0" w:firstRowFirstColumn="0" w:firstRowLastColumn="0" w:lastRowFirstColumn="0" w:lastRowLastColumn="0"/>
            </w:pPr>
            <w:r w:rsidRPr="00DD44CF">
              <w:t>28 (21%)</w:t>
            </w:r>
          </w:p>
          <w:p w14:paraId="76378D47" w14:textId="77777777" w:rsidR="00B122F7" w:rsidRPr="00DD44CF" w:rsidRDefault="00B122F7" w:rsidP="00A05A29">
            <w:pPr>
              <w:jc w:val="center"/>
              <w:cnfStyle w:val="000000000000" w:firstRow="0" w:lastRow="0" w:firstColumn="0" w:lastColumn="0" w:oddVBand="0" w:evenVBand="0" w:oddHBand="0" w:evenHBand="0" w:firstRowFirstColumn="0" w:firstRowLastColumn="0" w:lastRowFirstColumn="0" w:lastRowLastColumn="0"/>
            </w:pPr>
            <w:r w:rsidRPr="00DD44CF">
              <w:t>105 (79%)</w:t>
            </w:r>
          </w:p>
        </w:tc>
      </w:tr>
      <w:tr w:rsidR="00A05A29" w:rsidRPr="00DD44CF" w14:paraId="2E4F9811" w14:textId="77777777" w:rsidTr="008E059E">
        <w:trPr>
          <w:divId w:val="1915891284"/>
          <w:trHeight w:val="430"/>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dashed" w:sz="4" w:space="0" w:color="auto"/>
            </w:tcBorders>
          </w:tcPr>
          <w:p w14:paraId="7E2D634F" w14:textId="51E2C9D9" w:rsidR="00A05A29" w:rsidRPr="00DD44CF" w:rsidRDefault="00A05A29" w:rsidP="00A05A29">
            <w:r w:rsidRPr="00DD44CF">
              <w:t xml:space="preserve">Cognitive </w:t>
            </w:r>
            <w:r w:rsidR="006A4A29">
              <w:t>i</w:t>
            </w:r>
            <w:r w:rsidRPr="00DD44CF">
              <w:t>mpairment</w:t>
            </w:r>
          </w:p>
          <w:p w14:paraId="2E47CD87" w14:textId="77777777" w:rsidR="00A05A29" w:rsidRPr="00DD44CF" w:rsidRDefault="00A05A29" w:rsidP="00A05A29"/>
        </w:tc>
        <w:tc>
          <w:tcPr>
            <w:tcW w:w="2126" w:type="dxa"/>
            <w:tcBorders>
              <w:top w:val="dashed" w:sz="4" w:space="0" w:color="auto"/>
              <w:bottom w:val="dashed" w:sz="4" w:space="0" w:color="auto"/>
              <w:right w:val="single" w:sz="4" w:space="0" w:color="auto"/>
            </w:tcBorders>
          </w:tcPr>
          <w:p w14:paraId="13A48964" w14:textId="77777777" w:rsidR="00A05A29" w:rsidRPr="00DD44CF" w:rsidRDefault="00A05A29" w:rsidP="00A05A29">
            <w:pPr>
              <w:jc w:val="right"/>
              <w:cnfStyle w:val="000000000000" w:firstRow="0" w:lastRow="0" w:firstColumn="0" w:lastColumn="0" w:oddVBand="0" w:evenVBand="0" w:oddHBand="0" w:evenHBand="0" w:firstRowFirstColumn="0" w:firstRowLastColumn="0" w:lastRowFirstColumn="0" w:lastRowLastColumn="0"/>
            </w:pPr>
            <w:r w:rsidRPr="00DD44CF">
              <w:t>Yes</w:t>
            </w:r>
          </w:p>
          <w:p w14:paraId="2A377089" w14:textId="77777777" w:rsidR="00A05A29" w:rsidRPr="00DD44CF" w:rsidRDefault="00A05A29" w:rsidP="00A05A29">
            <w:pPr>
              <w:jc w:val="right"/>
              <w:cnfStyle w:val="000000000000" w:firstRow="0" w:lastRow="0" w:firstColumn="0" w:lastColumn="0" w:oddVBand="0" w:evenVBand="0" w:oddHBand="0" w:evenHBand="0" w:firstRowFirstColumn="0" w:firstRowLastColumn="0" w:lastRowFirstColumn="0" w:lastRowLastColumn="0"/>
            </w:pPr>
            <w:r w:rsidRPr="00DD44CF">
              <w:t>No</w:t>
            </w:r>
          </w:p>
        </w:tc>
        <w:tc>
          <w:tcPr>
            <w:tcW w:w="2126" w:type="dxa"/>
            <w:tcBorders>
              <w:top w:val="dashed" w:sz="4" w:space="0" w:color="auto"/>
              <w:left w:val="single" w:sz="4" w:space="0" w:color="auto"/>
              <w:bottom w:val="dashed" w:sz="4" w:space="0" w:color="auto"/>
              <w:right w:val="single" w:sz="4" w:space="0" w:color="auto"/>
            </w:tcBorders>
          </w:tcPr>
          <w:p w14:paraId="2BE4FBE2"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41 (31%)</w:t>
            </w:r>
          </w:p>
          <w:p w14:paraId="0A9FC4DA"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92 (69%)</w:t>
            </w:r>
          </w:p>
        </w:tc>
      </w:tr>
      <w:tr w:rsidR="00A05A29" w:rsidRPr="00DD44CF" w14:paraId="39F6262A" w14:textId="77777777" w:rsidTr="008E059E">
        <w:trPr>
          <w:divId w:val="1915891284"/>
          <w:trHeight w:val="201"/>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tcBorders>
          </w:tcPr>
          <w:p w14:paraId="3E8998D8" w14:textId="77777777" w:rsidR="00A05A29" w:rsidRPr="00DD44CF" w:rsidRDefault="00A05A29" w:rsidP="00A05A29">
            <w:r w:rsidRPr="00DD44CF">
              <w:t>Interactions/patient/observation session</w:t>
            </w:r>
          </w:p>
        </w:tc>
        <w:tc>
          <w:tcPr>
            <w:tcW w:w="2126" w:type="dxa"/>
            <w:tcBorders>
              <w:top w:val="dashed" w:sz="4" w:space="0" w:color="auto"/>
              <w:right w:val="single" w:sz="4" w:space="0" w:color="auto"/>
            </w:tcBorders>
          </w:tcPr>
          <w:p w14:paraId="3FB97A0C"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mean (SD)</w:t>
            </w:r>
          </w:p>
          <w:p w14:paraId="498C078F" w14:textId="77777777" w:rsidR="00B122F7"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min to max</w:t>
            </w:r>
          </w:p>
        </w:tc>
        <w:tc>
          <w:tcPr>
            <w:tcW w:w="2126" w:type="dxa"/>
            <w:tcBorders>
              <w:top w:val="dashed" w:sz="4" w:space="0" w:color="auto"/>
              <w:left w:val="single" w:sz="4" w:space="0" w:color="auto"/>
              <w:right w:val="single" w:sz="4" w:space="0" w:color="auto"/>
            </w:tcBorders>
          </w:tcPr>
          <w:p w14:paraId="1C0AD3B1"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12 (6)</w:t>
            </w:r>
          </w:p>
          <w:p w14:paraId="6667DF80" w14:textId="77777777" w:rsidR="00B122F7" w:rsidRPr="00DD44CF" w:rsidRDefault="00B122F7" w:rsidP="00A05A29">
            <w:pPr>
              <w:jc w:val="center"/>
              <w:cnfStyle w:val="000000000000" w:firstRow="0" w:lastRow="0" w:firstColumn="0" w:lastColumn="0" w:oddVBand="0" w:evenVBand="0" w:oddHBand="0" w:evenHBand="0" w:firstRowFirstColumn="0" w:firstRowLastColumn="0" w:lastRowFirstColumn="0" w:lastRowLastColumn="0"/>
            </w:pPr>
            <w:r w:rsidRPr="00DD44CF">
              <w:t>1 to 41</w:t>
            </w:r>
          </w:p>
        </w:tc>
      </w:tr>
      <w:tr w:rsidR="00A05A29" w:rsidRPr="00DD44CF" w14:paraId="15488B0A" w14:textId="77777777" w:rsidTr="008E059E">
        <w:trPr>
          <w:divId w:val="1915891284"/>
          <w:trHeight w:val="201"/>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tcBorders>
          </w:tcPr>
          <w:p w14:paraId="3322EBFB" w14:textId="77777777" w:rsidR="00A05A29" w:rsidRPr="00DD44CF" w:rsidRDefault="00A05A29" w:rsidP="00A05A29">
            <w:r w:rsidRPr="00DD44CF">
              <w:t>Interactions/patient/hour</w:t>
            </w:r>
          </w:p>
        </w:tc>
        <w:tc>
          <w:tcPr>
            <w:tcW w:w="2126" w:type="dxa"/>
            <w:tcBorders>
              <w:top w:val="dashed" w:sz="4" w:space="0" w:color="auto"/>
              <w:right w:val="single" w:sz="4" w:space="0" w:color="auto"/>
            </w:tcBorders>
          </w:tcPr>
          <w:p w14:paraId="5DC3C40A" w14:textId="77777777" w:rsidR="00B122F7" w:rsidRPr="00DD44CF" w:rsidRDefault="00B122F7" w:rsidP="00B122F7">
            <w:pPr>
              <w:jc w:val="right"/>
              <w:cnfStyle w:val="000000000000" w:firstRow="0" w:lastRow="0" w:firstColumn="0" w:lastColumn="0" w:oddVBand="0" w:evenVBand="0" w:oddHBand="0" w:evenHBand="0" w:firstRowFirstColumn="0" w:firstRowLastColumn="0" w:lastRowFirstColumn="0" w:lastRowLastColumn="0"/>
            </w:pPr>
            <w:r w:rsidRPr="00DD44CF">
              <w:t>mean (SD)</w:t>
            </w:r>
          </w:p>
          <w:p w14:paraId="3A4494E4" w14:textId="77777777" w:rsidR="00A05A29"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min to max</w:t>
            </w:r>
          </w:p>
        </w:tc>
        <w:tc>
          <w:tcPr>
            <w:tcW w:w="2126" w:type="dxa"/>
            <w:tcBorders>
              <w:top w:val="dashed" w:sz="4" w:space="0" w:color="auto"/>
              <w:left w:val="single" w:sz="4" w:space="0" w:color="auto"/>
              <w:right w:val="single" w:sz="4" w:space="0" w:color="auto"/>
            </w:tcBorders>
          </w:tcPr>
          <w:p w14:paraId="7410BFD3"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6 (3)</w:t>
            </w:r>
          </w:p>
          <w:p w14:paraId="419BE90E" w14:textId="77777777" w:rsidR="00B122F7" w:rsidRPr="00DD44CF" w:rsidRDefault="00B122F7" w:rsidP="00A05A29">
            <w:pPr>
              <w:jc w:val="center"/>
              <w:cnfStyle w:val="000000000000" w:firstRow="0" w:lastRow="0" w:firstColumn="0" w:lastColumn="0" w:oddVBand="0" w:evenVBand="0" w:oddHBand="0" w:evenHBand="0" w:firstRowFirstColumn="0" w:firstRowLastColumn="0" w:lastRowFirstColumn="0" w:lastRowLastColumn="0"/>
            </w:pPr>
            <w:r w:rsidRPr="00DD44CF">
              <w:t>1 to 20</w:t>
            </w:r>
          </w:p>
        </w:tc>
      </w:tr>
      <w:tr w:rsidR="002F050F" w:rsidRPr="00DD44CF" w14:paraId="6DC7FEB7" w14:textId="77777777" w:rsidTr="008E059E">
        <w:trPr>
          <w:divId w:val="1915891284"/>
          <w:trHeight w:val="210"/>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single" w:sz="4" w:space="0" w:color="auto"/>
            </w:tcBorders>
          </w:tcPr>
          <w:p w14:paraId="1B0AC704" w14:textId="77777777" w:rsidR="002F050F" w:rsidRPr="00DD44CF" w:rsidRDefault="002F050F" w:rsidP="00A05A29">
            <w:r w:rsidRPr="00DD44CF">
              <w:t>Number of index patients</w:t>
            </w:r>
          </w:p>
        </w:tc>
        <w:tc>
          <w:tcPr>
            <w:tcW w:w="2126" w:type="dxa"/>
            <w:tcBorders>
              <w:top w:val="dashed" w:sz="4" w:space="0" w:color="auto"/>
              <w:bottom w:val="single" w:sz="4" w:space="0" w:color="auto"/>
              <w:right w:val="single" w:sz="4" w:space="0" w:color="auto"/>
            </w:tcBorders>
          </w:tcPr>
          <w:p w14:paraId="0781A9C4" w14:textId="77777777" w:rsidR="002F050F" w:rsidRPr="00DD44CF" w:rsidRDefault="002F050F" w:rsidP="008E059E">
            <w:pPr>
              <w:jc w:val="right"/>
              <w:cnfStyle w:val="000000000000" w:firstRow="0" w:lastRow="0" w:firstColumn="0" w:lastColumn="0" w:oddVBand="0" w:evenVBand="0" w:oddHBand="0" w:evenHBand="0" w:firstRowFirstColumn="0" w:firstRowLastColumn="0" w:lastRowFirstColumn="0" w:lastRowLastColumn="0"/>
            </w:pPr>
          </w:p>
        </w:tc>
        <w:tc>
          <w:tcPr>
            <w:tcW w:w="2126" w:type="dxa"/>
            <w:tcBorders>
              <w:top w:val="dashed" w:sz="4" w:space="0" w:color="auto"/>
              <w:left w:val="single" w:sz="4" w:space="0" w:color="auto"/>
              <w:bottom w:val="single" w:sz="4" w:space="0" w:color="auto"/>
              <w:right w:val="single" w:sz="4" w:space="0" w:color="auto"/>
            </w:tcBorders>
          </w:tcPr>
          <w:p w14:paraId="145A785B" w14:textId="77777777" w:rsidR="002F050F" w:rsidRPr="00DD44CF" w:rsidRDefault="002F050F" w:rsidP="00A05A29">
            <w:pPr>
              <w:jc w:val="center"/>
              <w:cnfStyle w:val="000000000000" w:firstRow="0" w:lastRow="0" w:firstColumn="0" w:lastColumn="0" w:oddVBand="0" w:evenVBand="0" w:oddHBand="0" w:evenHBand="0" w:firstRowFirstColumn="0" w:firstRowLastColumn="0" w:lastRowFirstColumn="0" w:lastRowLastColumn="0"/>
            </w:pPr>
            <w:r w:rsidRPr="00DD44CF">
              <w:t>60 (45%)</w:t>
            </w:r>
          </w:p>
        </w:tc>
      </w:tr>
      <w:tr w:rsidR="002F050F" w:rsidRPr="00DD44CF" w14:paraId="1369B708" w14:textId="77777777" w:rsidTr="008E059E">
        <w:trPr>
          <w:divId w:val="1915891284"/>
          <w:trHeight w:val="201"/>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dashed" w:sz="4" w:space="0" w:color="auto"/>
            </w:tcBorders>
            <w:shd w:val="clear" w:color="auto" w:fill="CCFFFF"/>
          </w:tcPr>
          <w:p w14:paraId="2C83B382" w14:textId="77777777" w:rsidR="002F050F" w:rsidRPr="00DD44CF" w:rsidRDefault="002F050F" w:rsidP="00A05A29">
            <w:r w:rsidRPr="00DD44CF">
              <w:t>Observation session</w:t>
            </w:r>
          </w:p>
        </w:tc>
        <w:tc>
          <w:tcPr>
            <w:tcW w:w="2126" w:type="dxa"/>
            <w:tcBorders>
              <w:top w:val="single" w:sz="4" w:space="0" w:color="auto"/>
              <w:bottom w:val="dashed" w:sz="4" w:space="0" w:color="auto"/>
              <w:right w:val="single" w:sz="4" w:space="0" w:color="auto"/>
            </w:tcBorders>
            <w:shd w:val="clear" w:color="auto" w:fill="CCFFFF"/>
          </w:tcPr>
          <w:p w14:paraId="538A53F9" w14:textId="77777777" w:rsidR="002F050F" w:rsidRPr="00DD44CF" w:rsidRDefault="002F050F" w:rsidP="008E059E">
            <w:pPr>
              <w:jc w:val="right"/>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auto"/>
              <w:left w:val="single" w:sz="4" w:space="0" w:color="auto"/>
              <w:bottom w:val="dashed" w:sz="4" w:space="0" w:color="auto"/>
              <w:right w:val="single" w:sz="4" w:space="0" w:color="auto"/>
            </w:tcBorders>
            <w:shd w:val="clear" w:color="auto" w:fill="CCFFFF"/>
          </w:tcPr>
          <w:p w14:paraId="7CC457D0" w14:textId="77777777" w:rsidR="002F050F"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n=60</w:t>
            </w:r>
          </w:p>
        </w:tc>
      </w:tr>
      <w:tr w:rsidR="00A05A29" w:rsidRPr="00DD44CF" w14:paraId="442CDDC9"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dashed" w:sz="4" w:space="0" w:color="auto"/>
            </w:tcBorders>
          </w:tcPr>
          <w:p w14:paraId="599F7A1B" w14:textId="04665AD5" w:rsidR="00A05A29" w:rsidRPr="00DD44CF" w:rsidRDefault="00A05A29" w:rsidP="00A05A29">
            <w:r w:rsidRPr="00DD44CF">
              <w:t xml:space="preserve">Number of patients per </w:t>
            </w:r>
            <w:r w:rsidR="006A4A29">
              <w:t>registered nurse + health care a</w:t>
            </w:r>
            <w:r w:rsidR="00DC7AB7">
              <w:t>ssistant</w:t>
            </w:r>
          </w:p>
          <w:p w14:paraId="561C5398" w14:textId="77777777" w:rsidR="00A05A29" w:rsidRPr="00DD44CF" w:rsidRDefault="00A05A29" w:rsidP="00A05A29"/>
        </w:tc>
        <w:tc>
          <w:tcPr>
            <w:tcW w:w="2126" w:type="dxa"/>
            <w:tcBorders>
              <w:top w:val="single" w:sz="4" w:space="0" w:color="auto"/>
              <w:bottom w:val="dashed" w:sz="4" w:space="0" w:color="auto"/>
              <w:right w:val="single" w:sz="4" w:space="0" w:color="auto"/>
            </w:tcBorders>
          </w:tcPr>
          <w:p w14:paraId="17BFDCBE"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mean (SD)</w:t>
            </w:r>
          </w:p>
          <w:p w14:paraId="3684156E"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min to max</w:t>
            </w:r>
          </w:p>
        </w:tc>
        <w:tc>
          <w:tcPr>
            <w:tcW w:w="2126" w:type="dxa"/>
            <w:tcBorders>
              <w:top w:val="single" w:sz="4" w:space="0" w:color="auto"/>
              <w:left w:val="single" w:sz="4" w:space="0" w:color="auto"/>
              <w:bottom w:val="dashed" w:sz="4" w:space="0" w:color="auto"/>
              <w:right w:val="single" w:sz="4" w:space="0" w:color="auto"/>
            </w:tcBorders>
          </w:tcPr>
          <w:p w14:paraId="0436DD7A"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3.5 (0.7)</w:t>
            </w:r>
          </w:p>
          <w:p w14:paraId="47DB53DB"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1 to 5.7</w:t>
            </w:r>
          </w:p>
        </w:tc>
      </w:tr>
      <w:tr w:rsidR="00A05A29" w:rsidRPr="00DD44CF" w14:paraId="60D99615"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dashed" w:sz="4" w:space="0" w:color="auto"/>
            </w:tcBorders>
          </w:tcPr>
          <w:p w14:paraId="08455113" w14:textId="46ADFBD3" w:rsidR="00A05A29" w:rsidRPr="00DD44CF" w:rsidRDefault="00A05A29" w:rsidP="00A05A29">
            <w:r w:rsidRPr="00DD44CF">
              <w:t xml:space="preserve">Number of </w:t>
            </w:r>
            <w:r w:rsidR="006A4A29">
              <w:t>registered n</w:t>
            </w:r>
            <w:r w:rsidR="00DC7AB7">
              <w:t>urse</w:t>
            </w:r>
          </w:p>
          <w:p w14:paraId="6643EC57" w14:textId="77777777" w:rsidR="00A05A29" w:rsidRPr="00DD44CF" w:rsidRDefault="00A05A29" w:rsidP="00A05A29"/>
        </w:tc>
        <w:tc>
          <w:tcPr>
            <w:tcW w:w="2126" w:type="dxa"/>
            <w:tcBorders>
              <w:top w:val="dashed" w:sz="4" w:space="0" w:color="auto"/>
              <w:bottom w:val="dashed" w:sz="4" w:space="0" w:color="auto"/>
              <w:right w:val="single" w:sz="4" w:space="0" w:color="auto"/>
            </w:tcBorders>
          </w:tcPr>
          <w:p w14:paraId="56CEA669"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mean (SD)</w:t>
            </w:r>
          </w:p>
          <w:p w14:paraId="50D2FE0F"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min to max</w:t>
            </w:r>
          </w:p>
        </w:tc>
        <w:tc>
          <w:tcPr>
            <w:tcW w:w="2126" w:type="dxa"/>
            <w:tcBorders>
              <w:top w:val="dashed" w:sz="4" w:space="0" w:color="auto"/>
              <w:left w:val="single" w:sz="4" w:space="0" w:color="auto"/>
              <w:bottom w:val="dashed" w:sz="4" w:space="0" w:color="auto"/>
              <w:right w:val="single" w:sz="4" w:space="0" w:color="auto"/>
            </w:tcBorders>
          </w:tcPr>
          <w:p w14:paraId="49695F37"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4.5 (1.2)</w:t>
            </w:r>
          </w:p>
          <w:p w14:paraId="6A768BAF"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2 to 7</w:t>
            </w:r>
          </w:p>
        </w:tc>
      </w:tr>
      <w:tr w:rsidR="00A05A29" w:rsidRPr="00DD44CF" w14:paraId="6E8D994B"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dashed" w:sz="4" w:space="0" w:color="auto"/>
            </w:tcBorders>
          </w:tcPr>
          <w:p w14:paraId="165F97D8" w14:textId="1BA29609" w:rsidR="00A05A29" w:rsidRPr="00DD44CF" w:rsidRDefault="00A05A29" w:rsidP="00A05A29">
            <w:r w:rsidRPr="00DD44CF">
              <w:t xml:space="preserve">Number of </w:t>
            </w:r>
            <w:r w:rsidR="006A4A29">
              <w:t>health care a</w:t>
            </w:r>
            <w:r w:rsidR="00DC7AB7">
              <w:t>ssistant</w:t>
            </w:r>
          </w:p>
          <w:p w14:paraId="6C5108BE" w14:textId="77777777" w:rsidR="00A05A29" w:rsidRPr="00DD44CF" w:rsidRDefault="00A05A29" w:rsidP="00A05A29"/>
        </w:tc>
        <w:tc>
          <w:tcPr>
            <w:tcW w:w="2126" w:type="dxa"/>
            <w:tcBorders>
              <w:top w:val="dashed" w:sz="4" w:space="0" w:color="auto"/>
              <w:bottom w:val="dashed" w:sz="4" w:space="0" w:color="auto"/>
              <w:right w:val="single" w:sz="4" w:space="0" w:color="auto"/>
            </w:tcBorders>
          </w:tcPr>
          <w:p w14:paraId="7BC9419A"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mean (SD)</w:t>
            </w:r>
          </w:p>
          <w:p w14:paraId="72E6B664"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min to max</w:t>
            </w:r>
          </w:p>
        </w:tc>
        <w:tc>
          <w:tcPr>
            <w:tcW w:w="2126" w:type="dxa"/>
            <w:tcBorders>
              <w:top w:val="dashed" w:sz="4" w:space="0" w:color="auto"/>
              <w:left w:val="single" w:sz="4" w:space="0" w:color="auto"/>
              <w:bottom w:val="dashed" w:sz="4" w:space="0" w:color="auto"/>
              <w:right w:val="single" w:sz="4" w:space="0" w:color="auto"/>
            </w:tcBorders>
          </w:tcPr>
          <w:p w14:paraId="17F00780"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3.8 (1.1)</w:t>
            </w:r>
          </w:p>
          <w:p w14:paraId="6E5C8600"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1-6</w:t>
            </w:r>
          </w:p>
        </w:tc>
      </w:tr>
      <w:tr w:rsidR="00A05A29" w:rsidRPr="00DD44CF" w14:paraId="0CA2511C"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single" w:sz="4" w:space="0" w:color="auto"/>
            </w:tcBorders>
          </w:tcPr>
          <w:p w14:paraId="493ED6A5" w14:textId="77777777" w:rsidR="00A05A29" w:rsidRPr="00DD44CF" w:rsidRDefault="00A05A29" w:rsidP="00A05A29">
            <w:r w:rsidRPr="00DD44CF">
              <w:t>Skill mix</w:t>
            </w:r>
          </w:p>
          <w:p w14:paraId="0ABD5049" w14:textId="77777777" w:rsidR="00A05A29" w:rsidRPr="00DD44CF" w:rsidRDefault="00A05A29" w:rsidP="00A05A29"/>
        </w:tc>
        <w:tc>
          <w:tcPr>
            <w:tcW w:w="2126" w:type="dxa"/>
            <w:tcBorders>
              <w:top w:val="dashed" w:sz="4" w:space="0" w:color="auto"/>
              <w:bottom w:val="single" w:sz="4" w:space="0" w:color="auto"/>
              <w:right w:val="single" w:sz="4" w:space="0" w:color="auto"/>
            </w:tcBorders>
          </w:tcPr>
          <w:p w14:paraId="1BBDB9EB"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mean (SD)</w:t>
            </w:r>
          </w:p>
          <w:p w14:paraId="58922517"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min to max</w:t>
            </w:r>
          </w:p>
        </w:tc>
        <w:tc>
          <w:tcPr>
            <w:tcW w:w="2126" w:type="dxa"/>
            <w:tcBorders>
              <w:top w:val="dashed" w:sz="4" w:space="0" w:color="auto"/>
              <w:left w:val="single" w:sz="4" w:space="0" w:color="auto"/>
              <w:bottom w:val="single" w:sz="4" w:space="0" w:color="auto"/>
              <w:right w:val="single" w:sz="4" w:space="0" w:color="auto"/>
            </w:tcBorders>
          </w:tcPr>
          <w:p w14:paraId="79A5D073"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0.5 (0.1)</w:t>
            </w:r>
          </w:p>
          <w:p w14:paraId="693AB799"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0 to 3-0.8</w:t>
            </w:r>
          </w:p>
        </w:tc>
      </w:tr>
      <w:tr w:rsidR="00A05A29" w:rsidRPr="00DD44CF" w14:paraId="702AE131"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single" w:sz="4" w:space="0" w:color="auto"/>
            </w:tcBorders>
            <w:shd w:val="clear" w:color="auto" w:fill="CCFFFF"/>
          </w:tcPr>
          <w:p w14:paraId="4A0E618F" w14:textId="77777777" w:rsidR="00A05A29" w:rsidRPr="00DD44CF" w:rsidRDefault="00A05A29" w:rsidP="00A05A29">
            <w:r w:rsidRPr="00DD44CF">
              <w:t>Interaction</w:t>
            </w:r>
          </w:p>
        </w:tc>
        <w:tc>
          <w:tcPr>
            <w:tcW w:w="2126" w:type="dxa"/>
            <w:tcBorders>
              <w:top w:val="single" w:sz="4" w:space="0" w:color="auto"/>
              <w:bottom w:val="single" w:sz="4" w:space="0" w:color="auto"/>
              <w:right w:val="single" w:sz="4" w:space="0" w:color="auto"/>
            </w:tcBorders>
            <w:shd w:val="clear" w:color="auto" w:fill="CCFFFF"/>
          </w:tcPr>
          <w:p w14:paraId="24C1823E"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auto"/>
              <w:left w:val="single" w:sz="4" w:space="0" w:color="auto"/>
              <w:bottom w:val="single" w:sz="4" w:space="0" w:color="auto"/>
              <w:right w:val="single" w:sz="4" w:space="0" w:color="auto"/>
            </w:tcBorders>
            <w:shd w:val="clear" w:color="auto" w:fill="CCFFFF"/>
          </w:tcPr>
          <w:p w14:paraId="2EAE4F74"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n=1554</w:t>
            </w:r>
          </w:p>
        </w:tc>
      </w:tr>
      <w:tr w:rsidR="00A05A29" w:rsidRPr="00DD44CF" w14:paraId="44F1C105"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single" w:sz="4" w:space="0" w:color="auto"/>
              <w:left w:val="single" w:sz="4" w:space="0" w:color="auto"/>
              <w:bottom w:val="dashed" w:sz="4" w:space="0" w:color="auto"/>
            </w:tcBorders>
          </w:tcPr>
          <w:p w14:paraId="380DFCA7" w14:textId="77777777" w:rsidR="00A05A29" w:rsidRPr="00DD44CF" w:rsidRDefault="00A05A29" w:rsidP="00A05A29">
            <w:r w:rsidRPr="00DD44CF">
              <w:t>Mood of the patient</w:t>
            </w:r>
          </w:p>
        </w:tc>
        <w:tc>
          <w:tcPr>
            <w:tcW w:w="2126" w:type="dxa"/>
            <w:tcBorders>
              <w:top w:val="single" w:sz="4" w:space="0" w:color="auto"/>
              <w:bottom w:val="dashed" w:sz="4" w:space="0" w:color="auto"/>
              <w:right w:val="single" w:sz="4" w:space="0" w:color="auto"/>
            </w:tcBorders>
          </w:tcPr>
          <w:p w14:paraId="0BA26338" w14:textId="77777777" w:rsidR="00A05A29"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Agitated</w:t>
            </w:r>
          </w:p>
          <w:p w14:paraId="6FC518EF" w14:textId="77777777" w:rsidR="00B122F7"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Non agitated</w:t>
            </w:r>
          </w:p>
        </w:tc>
        <w:tc>
          <w:tcPr>
            <w:tcW w:w="2126" w:type="dxa"/>
            <w:tcBorders>
              <w:top w:val="single" w:sz="4" w:space="0" w:color="auto"/>
              <w:left w:val="single" w:sz="4" w:space="0" w:color="auto"/>
              <w:bottom w:val="dashed" w:sz="4" w:space="0" w:color="auto"/>
              <w:right w:val="single" w:sz="4" w:space="0" w:color="auto"/>
            </w:tcBorders>
          </w:tcPr>
          <w:p w14:paraId="775A6E80" w14:textId="77777777" w:rsidR="00A05A29" w:rsidRPr="00DD44CF" w:rsidRDefault="00B122F7" w:rsidP="00A05A29">
            <w:pPr>
              <w:jc w:val="center"/>
              <w:cnfStyle w:val="000000000000" w:firstRow="0" w:lastRow="0" w:firstColumn="0" w:lastColumn="0" w:oddVBand="0" w:evenVBand="0" w:oddHBand="0" w:evenHBand="0" w:firstRowFirstColumn="0" w:firstRowLastColumn="0" w:lastRowFirstColumn="0" w:lastRowLastColumn="0"/>
            </w:pPr>
            <w:r w:rsidRPr="00DD44CF">
              <w:t>63 (4%)</w:t>
            </w:r>
          </w:p>
          <w:p w14:paraId="634E1112" w14:textId="77777777" w:rsidR="00B122F7" w:rsidRPr="00DD44CF" w:rsidRDefault="00B122F7" w:rsidP="00A05A29">
            <w:pPr>
              <w:jc w:val="center"/>
              <w:cnfStyle w:val="000000000000" w:firstRow="0" w:lastRow="0" w:firstColumn="0" w:lastColumn="0" w:oddVBand="0" w:evenVBand="0" w:oddHBand="0" w:evenHBand="0" w:firstRowFirstColumn="0" w:firstRowLastColumn="0" w:lastRowFirstColumn="0" w:lastRowLastColumn="0"/>
            </w:pPr>
            <w:r w:rsidRPr="00DD44CF">
              <w:t>1491 (96%)</w:t>
            </w:r>
          </w:p>
        </w:tc>
      </w:tr>
      <w:tr w:rsidR="00A05A29" w:rsidRPr="00DD44CF" w14:paraId="3BB83785"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dashed" w:sz="4" w:space="0" w:color="auto"/>
            </w:tcBorders>
          </w:tcPr>
          <w:p w14:paraId="0986C2B9" w14:textId="77777777" w:rsidR="00A05A29" w:rsidRPr="00DD44CF" w:rsidRDefault="00A05A29" w:rsidP="00A05A29">
            <w:r w:rsidRPr="00DD44CF">
              <w:t>Visitors at start of interaction</w:t>
            </w:r>
          </w:p>
          <w:p w14:paraId="11E8E7E2" w14:textId="77777777" w:rsidR="00A05A29" w:rsidRPr="00DD44CF" w:rsidRDefault="00A05A29" w:rsidP="00A05A29"/>
        </w:tc>
        <w:tc>
          <w:tcPr>
            <w:tcW w:w="2126" w:type="dxa"/>
            <w:tcBorders>
              <w:top w:val="dashed" w:sz="4" w:space="0" w:color="auto"/>
              <w:bottom w:val="dashed" w:sz="4" w:space="0" w:color="auto"/>
              <w:right w:val="single" w:sz="4" w:space="0" w:color="auto"/>
            </w:tcBorders>
          </w:tcPr>
          <w:p w14:paraId="2F14972E" w14:textId="77777777" w:rsidR="00A05A29" w:rsidRPr="00DD44CF" w:rsidRDefault="00A05A29" w:rsidP="00A05A29">
            <w:pPr>
              <w:jc w:val="right"/>
              <w:cnfStyle w:val="000000000000" w:firstRow="0" w:lastRow="0" w:firstColumn="0" w:lastColumn="0" w:oddVBand="0" w:evenVBand="0" w:oddHBand="0" w:evenHBand="0" w:firstRowFirstColumn="0" w:firstRowLastColumn="0" w:lastRowFirstColumn="0" w:lastRowLastColumn="0"/>
            </w:pPr>
            <w:r w:rsidRPr="00DD44CF">
              <w:t>Yes</w:t>
            </w:r>
          </w:p>
          <w:p w14:paraId="43F87D87"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No</w:t>
            </w:r>
          </w:p>
        </w:tc>
        <w:tc>
          <w:tcPr>
            <w:tcW w:w="2126" w:type="dxa"/>
            <w:tcBorders>
              <w:top w:val="dashed" w:sz="4" w:space="0" w:color="auto"/>
              <w:left w:val="single" w:sz="4" w:space="0" w:color="auto"/>
              <w:bottom w:val="dashed" w:sz="4" w:space="0" w:color="auto"/>
              <w:right w:val="single" w:sz="4" w:space="0" w:color="auto"/>
            </w:tcBorders>
          </w:tcPr>
          <w:p w14:paraId="2EF47844"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100 (6%)</w:t>
            </w:r>
          </w:p>
          <w:p w14:paraId="73B68278"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1454 (94%)</w:t>
            </w:r>
          </w:p>
        </w:tc>
      </w:tr>
      <w:tr w:rsidR="00A05A29" w:rsidRPr="00DD44CF" w14:paraId="4F2BD288"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dashed" w:sz="4" w:space="0" w:color="auto"/>
            </w:tcBorders>
          </w:tcPr>
          <w:p w14:paraId="2536C1F5" w14:textId="77777777" w:rsidR="00A05A29" w:rsidRPr="00DD44CF" w:rsidRDefault="00A05A29" w:rsidP="00A05A29">
            <w:r w:rsidRPr="00DD44CF">
              <w:t>Initiator of interaction</w:t>
            </w:r>
          </w:p>
        </w:tc>
        <w:tc>
          <w:tcPr>
            <w:tcW w:w="2126" w:type="dxa"/>
            <w:tcBorders>
              <w:top w:val="dashed" w:sz="4" w:space="0" w:color="auto"/>
              <w:bottom w:val="dashed" w:sz="4" w:space="0" w:color="auto"/>
              <w:right w:val="single" w:sz="4" w:space="0" w:color="auto"/>
            </w:tcBorders>
          </w:tcPr>
          <w:p w14:paraId="40BBA946" w14:textId="77777777" w:rsidR="00A05A29"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Staff</w:t>
            </w:r>
          </w:p>
          <w:p w14:paraId="7A59B107" w14:textId="77777777" w:rsidR="00B122F7"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Patient</w:t>
            </w:r>
          </w:p>
        </w:tc>
        <w:tc>
          <w:tcPr>
            <w:tcW w:w="2126" w:type="dxa"/>
            <w:tcBorders>
              <w:top w:val="dashed" w:sz="4" w:space="0" w:color="auto"/>
              <w:left w:val="single" w:sz="4" w:space="0" w:color="auto"/>
              <w:bottom w:val="dashed" w:sz="4" w:space="0" w:color="auto"/>
              <w:right w:val="single" w:sz="4" w:space="0" w:color="auto"/>
            </w:tcBorders>
          </w:tcPr>
          <w:p w14:paraId="5DE94823" w14:textId="77777777" w:rsidR="00A05A29" w:rsidRPr="00DD44CF" w:rsidRDefault="00B122F7" w:rsidP="00A05A29">
            <w:pPr>
              <w:jc w:val="center"/>
              <w:cnfStyle w:val="000000000000" w:firstRow="0" w:lastRow="0" w:firstColumn="0" w:lastColumn="0" w:oddVBand="0" w:evenVBand="0" w:oddHBand="0" w:evenHBand="0" w:firstRowFirstColumn="0" w:firstRowLastColumn="0" w:lastRowFirstColumn="0" w:lastRowLastColumn="0"/>
            </w:pPr>
            <w:r w:rsidRPr="00DD44CF">
              <w:t>1262 (81%)</w:t>
            </w:r>
          </w:p>
          <w:p w14:paraId="59814473" w14:textId="77777777" w:rsidR="00B122F7" w:rsidRPr="00DD44CF" w:rsidRDefault="00B122F7" w:rsidP="00B122F7">
            <w:pPr>
              <w:jc w:val="center"/>
              <w:cnfStyle w:val="000000000000" w:firstRow="0" w:lastRow="0" w:firstColumn="0" w:lastColumn="0" w:oddVBand="0" w:evenVBand="0" w:oddHBand="0" w:evenHBand="0" w:firstRowFirstColumn="0" w:firstRowLastColumn="0" w:lastRowFirstColumn="0" w:lastRowLastColumn="0"/>
            </w:pPr>
            <w:r w:rsidRPr="00DD44CF">
              <w:t>292 (19%)</w:t>
            </w:r>
          </w:p>
        </w:tc>
      </w:tr>
      <w:tr w:rsidR="00A05A29" w:rsidRPr="00DD44CF" w14:paraId="58A56B0E"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dashed" w:sz="4" w:space="0" w:color="auto"/>
            </w:tcBorders>
          </w:tcPr>
          <w:p w14:paraId="5F3894AE" w14:textId="77777777" w:rsidR="00A05A29" w:rsidRPr="00DD44CF" w:rsidRDefault="00A05A29" w:rsidP="00A05A29">
            <w:r w:rsidRPr="00DD44CF">
              <w:t>Type of communication</w:t>
            </w:r>
          </w:p>
        </w:tc>
        <w:tc>
          <w:tcPr>
            <w:tcW w:w="2126" w:type="dxa"/>
            <w:tcBorders>
              <w:top w:val="dashed" w:sz="4" w:space="0" w:color="auto"/>
              <w:bottom w:val="dashed" w:sz="4" w:space="0" w:color="auto"/>
              <w:right w:val="single" w:sz="4" w:space="0" w:color="auto"/>
            </w:tcBorders>
          </w:tcPr>
          <w:p w14:paraId="18ACB8EC" w14:textId="77777777" w:rsidR="00A05A29"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One way</w:t>
            </w:r>
          </w:p>
          <w:p w14:paraId="353EE3D1" w14:textId="77777777" w:rsidR="00B122F7"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Two way</w:t>
            </w:r>
          </w:p>
        </w:tc>
        <w:tc>
          <w:tcPr>
            <w:tcW w:w="2126" w:type="dxa"/>
            <w:tcBorders>
              <w:top w:val="dashed" w:sz="4" w:space="0" w:color="auto"/>
              <w:left w:val="single" w:sz="4" w:space="0" w:color="auto"/>
              <w:bottom w:val="dashed" w:sz="4" w:space="0" w:color="auto"/>
              <w:right w:val="single" w:sz="4" w:space="0" w:color="auto"/>
            </w:tcBorders>
          </w:tcPr>
          <w:p w14:paraId="48B6979A" w14:textId="77777777" w:rsidR="00A05A29" w:rsidRPr="00DD44CF" w:rsidRDefault="00B122F7" w:rsidP="00A05A29">
            <w:pPr>
              <w:jc w:val="center"/>
              <w:cnfStyle w:val="000000000000" w:firstRow="0" w:lastRow="0" w:firstColumn="0" w:lastColumn="0" w:oddVBand="0" w:evenVBand="0" w:oddHBand="0" w:evenHBand="0" w:firstRowFirstColumn="0" w:firstRowLastColumn="0" w:lastRowFirstColumn="0" w:lastRowLastColumn="0"/>
            </w:pPr>
            <w:r w:rsidRPr="00DD44CF">
              <w:t>232 (15%)</w:t>
            </w:r>
          </w:p>
          <w:p w14:paraId="1FE2BE26" w14:textId="77777777" w:rsidR="00B122F7" w:rsidRPr="00DD44CF" w:rsidRDefault="00B122F7" w:rsidP="00A05A29">
            <w:pPr>
              <w:jc w:val="center"/>
              <w:cnfStyle w:val="000000000000" w:firstRow="0" w:lastRow="0" w:firstColumn="0" w:lastColumn="0" w:oddVBand="0" w:evenVBand="0" w:oddHBand="0" w:evenHBand="0" w:firstRowFirstColumn="0" w:firstRowLastColumn="0" w:lastRowFirstColumn="0" w:lastRowLastColumn="0"/>
            </w:pPr>
            <w:r w:rsidRPr="00DD44CF">
              <w:t>1322 (85%)</w:t>
            </w:r>
          </w:p>
        </w:tc>
      </w:tr>
      <w:tr w:rsidR="00B122F7" w:rsidRPr="00DD44CF" w14:paraId="766E2B8A"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dashed" w:sz="4" w:space="0" w:color="auto"/>
            </w:tcBorders>
          </w:tcPr>
          <w:p w14:paraId="5D08DB37" w14:textId="47629C94" w:rsidR="00B122F7" w:rsidRPr="00DD44CF" w:rsidRDefault="00B122F7" w:rsidP="00B122F7">
            <w:r w:rsidRPr="00DD44CF">
              <w:t xml:space="preserve">Cognitive </w:t>
            </w:r>
            <w:r w:rsidR="006A4A29">
              <w:t>i</w:t>
            </w:r>
            <w:r w:rsidRPr="00DD44CF">
              <w:t>mpairment</w:t>
            </w:r>
          </w:p>
          <w:p w14:paraId="37CEB2BC" w14:textId="77777777" w:rsidR="00B122F7" w:rsidRPr="00DD44CF" w:rsidRDefault="00B122F7" w:rsidP="00A05A29"/>
        </w:tc>
        <w:tc>
          <w:tcPr>
            <w:tcW w:w="2126" w:type="dxa"/>
            <w:tcBorders>
              <w:top w:val="dashed" w:sz="4" w:space="0" w:color="auto"/>
              <w:bottom w:val="dashed" w:sz="4" w:space="0" w:color="auto"/>
              <w:right w:val="single" w:sz="4" w:space="0" w:color="auto"/>
            </w:tcBorders>
          </w:tcPr>
          <w:p w14:paraId="0FABA367" w14:textId="77777777" w:rsidR="00B122F7" w:rsidRPr="00DD44CF" w:rsidRDefault="00B122F7" w:rsidP="00B122F7">
            <w:pPr>
              <w:jc w:val="right"/>
              <w:cnfStyle w:val="000000000000" w:firstRow="0" w:lastRow="0" w:firstColumn="0" w:lastColumn="0" w:oddVBand="0" w:evenVBand="0" w:oddHBand="0" w:evenHBand="0" w:firstRowFirstColumn="0" w:firstRowLastColumn="0" w:lastRowFirstColumn="0" w:lastRowLastColumn="0"/>
            </w:pPr>
            <w:r w:rsidRPr="00DD44CF">
              <w:t>Yes</w:t>
            </w:r>
          </w:p>
          <w:p w14:paraId="46A8565F" w14:textId="77777777" w:rsidR="00B122F7" w:rsidRPr="00DD44CF" w:rsidRDefault="00B122F7" w:rsidP="00B122F7">
            <w:pPr>
              <w:jc w:val="right"/>
              <w:cnfStyle w:val="000000000000" w:firstRow="0" w:lastRow="0" w:firstColumn="0" w:lastColumn="0" w:oddVBand="0" w:evenVBand="0" w:oddHBand="0" w:evenHBand="0" w:firstRowFirstColumn="0" w:firstRowLastColumn="0" w:lastRowFirstColumn="0" w:lastRowLastColumn="0"/>
            </w:pPr>
            <w:r w:rsidRPr="00DD44CF">
              <w:t>No</w:t>
            </w:r>
          </w:p>
        </w:tc>
        <w:tc>
          <w:tcPr>
            <w:tcW w:w="2126" w:type="dxa"/>
            <w:tcBorders>
              <w:top w:val="dashed" w:sz="4" w:space="0" w:color="auto"/>
              <w:left w:val="single" w:sz="4" w:space="0" w:color="auto"/>
              <w:bottom w:val="dashed" w:sz="4" w:space="0" w:color="auto"/>
              <w:right w:val="single" w:sz="4" w:space="0" w:color="auto"/>
            </w:tcBorders>
          </w:tcPr>
          <w:p w14:paraId="43065DF1" w14:textId="77777777" w:rsidR="00B122F7" w:rsidRPr="00DD44CF" w:rsidRDefault="00B122F7" w:rsidP="00B122F7">
            <w:pPr>
              <w:jc w:val="center"/>
              <w:cnfStyle w:val="000000000000" w:firstRow="0" w:lastRow="0" w:firstColumn="0" w:lastColumn="0" w:oddVBand="0" w:evenVBand="0" w:oddHBand="0" w:evenHBand="0" w:firstRowFirstColumn="0" w:firstRowLastColumn="0" w:lastRowFirstColumn="0" w:lastRowLastColumn="0"/>
            </w:pPr>
            <w:r w:rsidRPr="00DD44CF">
              <w:t>529 (34%)</w:t>
            </w:r>
          </w:p>
          <w:p w14:paraId="664EC1D0" w14:textId="77777777" w:rsidR="00B122F7" w:rsidRPr="00DD44CF" w:rsidRDefault="00B122F7" w:rsidP="00B122F7">
            <w:pPr>
              <w:jc w:val="center"/>
              <w:cnfStyle w:val="000000000000" w:firstRow="0" w:lastRow="0" w:firstColumn="0" w:lastColumn="0" w:oddVBand="0" w:evenVBand="0" w:oddHBand="0" w:evenHBand="0" w:firstRowFirstColumn="0" w:firstRowLastColumn="0" w:lastRowFirstColumn="0" w:lastRowLastColumn="0"/>
            </w:pPr>
            <w:r w:rsidRPr="00DD44CF">
              <w:t>1025 (66%)</w:t>
            </w:r>
          </w:p>
        </w:tc>
      </w:tr>
      <w:tr w:rsidR="00B122F7" w:rsidRPr="00DD44CF" w14:paraId="3F617A10"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dashed" w:sz="4" w:space="0" w:color="auto"/>
            </w:tcBorders>
          </w:tcPr>
          <w:p w14:paraId="7B894B4F" w14:textId="77777777" w:rsidR="00B122F7" w:rsidRPr="00DD44CF" w:rsidRDefault="00B122F7" w:rsidP="00B122F7">
            <w:r w:rsidRPr="00DD44CF">
              <w:t>Length of interaction in seconds</w:t>
            </w:r>
          </w:p>
          <w:p w14:paraId="5D1B1168" w14:textId="77777777" w:rsidR="00B122F7" w:rsidRPr="00DD44CF" w:rsidRDefault="00B122F7" w:rsidP="00A05A29"/>
        </w:tc>
        <w:tc>
          <w:tcPr>
            <w:tcW w:w="2126" w:type="dxa"/>
            <w:tcBorders>
              <w:top w:val="dashed" w:sz="4" w:space="0" w:color="auto"/>
              <w:bottom w:val="dashed" w:sz="4" w:space="0" w:color="auto"/>
              <w:right w:val="single" w:sz="4" w:space="0" w:color="auto"/>
            </w:tcBorders>
          </w:tcPr>
          <w:p w14:paraId="7277986C" w14:textId="77777777" w:rsidR="00B122F7"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mean (SD)</w:t>
            </w:r>
          </w:p>
          <w:p w14:paraId="711F58AC" w14:textId="77777777" w:rsidR="00B122F7" w:rsidRPr="00DD44CF" w:rsidRDefault="00B122F7" w:rsidP="008E059E">
            <w:pPr>
              <w:jc w:val="right"/>
              <w:cnfStyle w:val="000000000000" w:firstRow="0" w:lastRow="0" w:firstColumn="0" w:lastColumn="0" w:oddVBand="0" w:evenVBand="0" w:oddHBand="0" w:evenHBand="0" w:firstRowFirstColumn="0" w:firstRowLastColumn="0" w:lastRowFirstColumn="0" w:lastRowLastColumn="0"/>
            </w:pPr>
            <w:r w:rsidRPr="00DD44CF">
              <w:t>median (LQ to UQ)</w:t>
            </w:r>
          </w:p>
          <w:p w14:paraId="5A99BEFC" w14:textId="77777777" w:rsidR="00B122F7" w:rsidRPr="00DD44CF" w:rsidRDefault="00B122F7" w:rsidP="00B122F7">
            <w:pPr>
              <w:jc w:val="right"/>
              <w:cnfStyle w:val="000000000000" w:firstRow="0" w:lastRow="0" w:firstColumn="0" w:lastColumn="0" w:oddVBand="0" w:evenVBand="0" w:oddHBand="0" w:evenHBand="0" w:firstRowFirstColumn="0" w:firstRowLastColumn="0" w:lastRowFirstColumn="0" w:lastRowLastColumn="0"/>
            </w:pPr>
            <w:r w:rsidRPr="00DD44CF">
              <w:t>min to max</w:t>
            </w:r>
          </w:p>
        </w:tc>
        <w:tc>
          <w:tcPr>
            <w:tcW w:w="2126" w:type="dxa"/>
            <w:tcBorders>
              <w:top w:val="dashed" w:sz="4" w:space="0" w:color="auto"/>
              <w:left w:val="single" w:sz="4" w:space="0" w:color="auto"/>
              <w:bottom w:val="dashed" w:sz="4" w:space="0" w:color="auto"/>
              <w:right w:val="single" w:sz="4" w:space="0" w:color="auto"/>
            </w:tcBorders>
          </w:tcPr>
          <w:p w14:paraId="5740B72A" w14:textId="77777777" w:rsidR="00B122F7" w:rsidRPr="00DD44CF" w:rsidRDefault="00B122F7" w:rsidP="00B122F7">
            <w:pPr>
              <w:jc w:val="center"/>
              <w:cnfStyle w:val="000000000000" w:firstRow="0" w:lastRow="0" w:firstColumn="0" w:lastColumn="0" w:oddVBand="0" w:evenVBand="0" w:oddHBand="0" w:evenHBand="0" w:firstRowFirstColumn="0" w:firstRowLastColumn="0" w:lastRowFirstColumn="0" w:lastRowLastColumn="0"/>
            </w:pPr>
            <w:r w:rsidRPr="00DD44CF">
              <w:t>101 (190)</w:t>
            </w:r>
          </w:p>
          <w:p w14:paraId="68BFBC7E" w14:textId="77777777" w:rsidR="00B122F7" w:rsidRPr="00DD44CF" w:rsidRDefault="00B122F7" w:rsidP="00B122F7">
            <w:pPr>
              <w:jc w:val="center"/>
              <w:cnfStyle w:val="000000000000" w:firstRow="0" w:lastRow="0" w:firstColumn="0" w:lastColumn="0" w:oddVBand="0" w:evenVBand="0" w:oddHBand="0" w:evenHBand="0" w:firstRowFirstColumn="0" w:firstRowLastColumn="0" w:lastRowFirstColumn="0" w:lastRowLastColumn="0"/>
            </w:pPr>
            <w:r w:rsidRPr="00DD44CF">
              <w:t>36 (14 to 106)</w:t>
            </w:r>
          </w:p>
          <w:p w14:paraId="1EAF1FBE" w14:textId="77777777" w:rsidR="00B122F7" w:rsidRPr="00DD44CF" w:rsidRDefault="00B122F7" w:rsidP="00B122F7">
            <w:pPr>
              <w:jc w:val="center"/>
              <w:cnfStyle w:val="000000000000" w:firstRow="0" w:lastRow="0" w:firstColumn="0" w:lastColumn="0" w:oddVBand="0" w:evenVBand="0" w:oddHBand="0" w:evenHBand="0" w:firstRowFirstColumn="0" w:firstRowLastColumn="0" w:lastRowFirstColumn="0" w:lastRowLastColumn="0"/>
            </w:pPr>
            <w:r w:rsidRPr="00DD44CF">
              <w:t>0 to 2337</w:t>
            </w:r>
          </w:p>
        </w:tc>
      </w:tr>
      <w:tr w:rsidR="00A05A29" w:rsidRPr="00DD44CF" w14:paraId="6DDBA81D" w14:textId="77777777" w:rsidTr="008E059E">
        <w:trPr>
          <w:divId w:val="1915891284"/>
          <w:trHeight w:val="304"/>
        </w:trPr>
        <w:tc>
          <w:tcPr>
            <w:cnfStyle w:val="001000000000" w:firstRow="0" w:lastRow="0" w:firstColumn="1" w:lastColumn="0" w:oddVBand="0" w:evenVBand="0" w:oddHBand="0" w:evenHBand="0" w:firstRowFirstColumn="0" w:firstRowLastColumn="0" w:lastRowFirstColumn="0" w:lastRowLastColumn="0"/>
            <w:tcW w:w="3794" w:type="dxa"/>
            <w:tcBorders>
              <w:top w:val="dashed" w:sz="4" w:space="0" w:color="auto"/>
              <w:left w:val="single" w:sz="4" w:space="0" w:color="auto"/>
              <w:bottom w:val="single" w:sz="4" w:space="0" w:color="auto"/>
            </w:tcBorders>
          </w:tcPr>
          <w:p w14:paraId="1994A0F1" w14:textId="77777777" w:rsidR="00A05A29" w:rsidRPr="00DD44CF" w:rsidRDefault="00A05A29" w:rsidP="00A05A29">
            <w:r w:rsidRPr="00DD44CF">
              <w:t>Number of staff involved</w:t>
            </w:r>
          </w:p>
          <w:p w14:paraId="75EEEAF4" w14:textId="77777777" w:rsidR="00A05A29" w:rsidRPr="00DD44CF" w:rsidRDefault="00A05A29" w:rsidP="00A05A29"/>
        </w:tc>
        <w:tc>
          <w:tcPr>
            <w:tcW w:w="2126" w:type="dxa"/>
            <w:tcBorders>
              <w:top w:val="dashed" w:sz="4" w:space="0" w:color="auto"/>
              <w:bottom w:val="single" w:sz="4" w:space="0" w:color="auto"/>
              <w:right w:val="single" w:sz="4" w:space="0" w:color="auto"/>
            </w:tcBorders>
          </w:tcPr>
          <w:p w14:paraId="69B895B0"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1</w:t>
            </w:r>
          </w:p>
          <w:p w14:paraId="6953754D"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2</w:t>
            </w:r>
          </w:p>
          <w:p w14:paraId="41C7E82F" w14:textId="77777777" w:rsidR="00A05A29" w:rsidRPr="00DD44CF" w:rsidRDefault="00A05A29" w:rsidP="008E059E">
            <w:pPr>
              <w:jc w:val="right"/>
              <w:cnfStyle w:val="000000000000" w:firstRow="0" w:lastRow="0" w:firstColumn="0" w:lastColumn="0" w:oddVBand="0" w:evenVBand="0" w:oddHBand="0" w:evenHBand="0" w:firstRowFirstColumn="0" w:firstRowLastColumn="0" w:lastRowFirstColumn="0" w:lastRowLastColumn="0"/>
            </w:pPr>
            <w:r w:rsidRPr="00DD44CF">
              <w:t>3</w:t>
            </w:r>
          </w:p>
        </w:tc>
        <w:tc>
          <w:tcPr>
            <w:tcW w:w="2126" w:type="dxa"/>
            <w:tcBorders>
              <w:top w:val="dashed" w:sz="4" w:space="0" w:color="auto"/>
              <w:left w:val="single" w:sz="4" w:space="0" w:color="auto"/>
              <w:bottom w:val="single" w:sz="4" w:space="0" w:color="auto"/>
              <w:right w:val="single" w:sz="4" w:space="0" w:color="auto"/>
            </w:tcBorders>
          </w:tcPr>
          <w:p w14:paraId="2D232B6B"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1420 (91%)</w:t>
            </w:r>
          </w:p>
          <w:p w14:paraId="39456144"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104 (7%)</w:t>
            </w:r>
          </w:p>
          <w:p w14:paraId="35B14CCA" w14:textId="77777777" w:rsidR="00A05A29" w:rsidRPr="00DD44CF" w:rsidRDefault="00A05A29" w:rsidP="00A05A29">
            <w:pPr>
              <w:jc w:val="center"/>
              <w:cnfStyle w:val="000000000000" w:firstRow="0" w:lastRow="0" w:firstColumn="0" w:lastColumn="0" w:oddVBand="0" w:evenVBand="0" w:oddHBand="0" w:evenHBand="0" w:firstRowFirstColumn="0" w:firstRowLastColumn="0" w:lastRowFirstColumn="0" w:lastRowLastColumn="0"/>
            </w:pPr>
            <w:r w:rsidRPr="00DD44CF">
              <w:t>30 (2%)</w:t>
            </w:r>
          </w:p>
        </w:tc>
      </w:tr>
    </w:tbl>
    <w:p w14:paraId="0E73CFD7" w14:textId="6D5EDF8F" w:rsidR="00B17926" w:rsidRPr="00DD44CF" w:rsidRDefault="00B17926" w:rsidP="004046AE">
      <w:pPr>
        <w:divId w:val="1915891284"/>
      </w:pPr>
      <w:r w:rsidRPr="00DD44CF">
        <w:t>Table 2: Patient and interaction characteristics</w:t>
      </w:r>
      <w:r w:rsidR="008C2890">
        <w:t xml:space="preserve"> for all observations</w:t>
      </w:r>
      <w:r w:rsidR="002F050F" w:rsidRPr="00DD44CF">
        <w:t>. Values are number</w:t>
      </w:r>
      <w:r w:rsidR="008C2890">
        <w:t xml:space="preserve"> </w:t>
      </w:r>
      <w:r w:rsidR="002F050F" w:rsidRPr="00DD44CF">
        <w:t>(%) unless stated otherwise.</w:t>
      </w:r>
    </w:p>
    <w:p w14:paraId="74A0BFD4" w14:textId="77777777" w:rsidR="000D7D57" w:rsidRDefault="000D7D57" w:rsidP="000D7D57">
      <w:pPr>
        <w:divId w:val="1915891284"/>
        <w:rPr>
          <w:rFonts w:asciiTheme="majorHAnsi" w:hAnsiTheme="majorHAnsi"/>
        </w:rPr>
      </w:pPr>
    </w:p>
    <w:p w14:paraId="55EC2E23" w14:textId="77777777" w:rsidR="000D7D57" w:rsidRDefault="000D7D57" w:rsidP="000D7D57">
      <w:pPr>
        <w:divId w:val="1915891284"/>
        <w:rPr>
          <w:rFonts w:asciiTheme="majorHAnsi" w:hAnsiTheme="majorHAnsi"/>
        </w:rPr>
      </w:pPr>
    </w:p>
    <w:p w14:paraId="60B2D3F2" w14:textId="77777777" w:rsidR="000D7D57" w:rsidRDefault="000D7D57" w:rsidP="000D7D57">
      <w:pPr>
        <w:divId w:val="1915891284"/>
        <w:rPr>
          <w:rFonts w:asciiTheme="majorHAnsi" w:hAnsiTheme="majorHAnsi"/>
        </w:rPr>
      </w:pPr>
    </w:p>
    <w:p w14:paraId="035AFAE8" w14:textId="54BD1378" w:rsidR="000D7D57" w:rsidRPr="004046AE" w:rsidRDefault="000D7D57" w:rsidP="000D7D57">
      <w:pPr>
        <w:divId w:val="1915891284"/>
        <w:rPr>
          <w:b/>
        </w:rPr>
      </w:pPr>
      <w:r w:rsidRPr="004046AE">
        <w:lastRenderedPageBreak/>
        <w:t>Table 3: Interaction Content: Total Frequencies and Percentages for All Observations in each Category</w:t>
      </w:r>
    </w:p>
    <w:p w14:paraId="54585A8A" w14:textId="77777777" w:rsidR="000D7D57" w:rsidRPr="0080296A" w:rsidRDefault="000D7D57" w:rsidP="000D7D57">
      <w:pPr>
        <w:divId w:val="1915891284"/>
        <w:rPr>
          <w:rFonts w:asciiTheme="majorHAnsi" w:hAnsiTheme="majorHAnsi"/>
          <w:b/>
        </w:rPr>
      </w:pPr>
    </w:p>
    <w:tbl>
      <w:tblPr>
        <w:tblStyle w:val="TableGrid"/>
        <w:tblW w:w="0" w:type="auto"/>
        <w:tblLook w:val="04A0" w:firstRow="1" w:lastRow="0" w:firstColumn="1" w:lastColumn="0" w:noHBand="0" w:noVBand="1"/>
      </w:tblPr>
      <w:tblGrid>
        <w:gridCol w:w="2129"/>
        <w:gridCol w:w="2799"/>
        <w:gridCol w:w="1843"/>
        <w:gridCol w:w="1745"/>
      </w:tblGrid>
      <w:tr w:rsidR="000D7D57" w:rsidRPr="00792A77" w14:paraId="069940A7" w14:textId="77777777" w:rsidTr="000D7D57">
        <w:trPr>
          <w:divId w:val="1915891284"/>
        </w:trPr>
        <w:tc>
          <w:tcPr>
            <w:tcW w:w="2129" w:type="dxa"/>
          </w:tcPr>
          <w:p w14:paraId="5C964C2E" w14:textId="77777777" w:rsidR="000D7D57" w:rsidRPr="004046AE" w:rsidRDefault="000D7D57" w:rsidP="000D7D57">
            <w:pPr>
              <w:rPr>
                <w:b/>
              </w:rPr>
            </w:pPr>
            <w:r w:rsidRPr="004046AE">
              <w:rPr>
                <w:b/>
              </w:rPr>
              <w:t>Category</w:t>
            </w:r>
          </w:p>
        </w:tc>
        <w:tc>
          <w:tcPr>
            <w:tcW w:w="2799" w:type="dxa"/>
          </w:tcPr>
          <w:p w14:paraId="0CF557B5" w14:textId="77777777" w:rsidR="000D7D57" w:rsidRPr="004046AE" w:rsidRDefault="000D7D57" w:rsidP="000D7D57">
            <w:pPr>
              <w:rPr>
                <w:b/>
              </w:rPr>
            </w:pPr>
            <w:r w:rsidRPr="004046AE">
              <w:rPr>
                <w:b/>
              </w:rPr>
              <w:t>Subcategory</w:t>
            </w:r>
          </w:p>
        </w:tc>
        <w:tc>
          <w:tcPr>
            <w:tcW w:w="1843" w:type="dxa"/>
          </w:tcPr>
          <w:p w14:paraId="3B3269CF" w14:textId="77777777" w:rsidR="000D7D57" w:rsidRPr="004046AE" w:rsidRDefault="000D7D57" w:rsidP="000D7D57">
            <w:pPr>
              <w:rPr>
                <w:b/>
              </w:rPr>
            </w:pPr>
            <w:r w:rsidRPr="004046AE">
              <w:rPr>
                <w:b/>
              </w:rPr>
              <w:t>Frequency</w:t>
            </w:r>
          </w:p>
        </w:tc>
        <w:tc>
          <w:tcPr>
            <w:tcW w:w="1745" w:type="dxa"/>
          </w:tcPr>
          <w:p w14:paraId="181206BD" w14:textId="1352F5DE" w:rsidR="000D7D57" w:rsidRPr="004046AE" w:rsidRDefault="000D7D57" w:rsidP="000D7D57">
            <w:pPr>
              <w:rPr>
                <w:b/>
              </w:rPr>
            </w:pPr>
            <w:r w:rsidRPr="004046AE">
              <w:rPr>
                <w:b/>
              </w:rPr>
              <w:t>Percentages</w:t>
            </w:r>
            <w:r w:rsidR="00556D0B">
              <w:rPr>
                <w:b/>
              </w:rPr>
              <w:t xml:space="preserve"> %</w:t>
            </w:r>
          </w:p>
        </w:tc>
      </w:tr>
      <w:tr w:rsidR="000D7D57" w:rsidRPr="00792A77" w14:paraId="2A10F697" w14:textId="77777777" w:rsidTr="000D7D57">
        <w:trPr>
          <w:divId w:val="1915891284"/>
          <w:trHeight w:val="1505"/>
        </w:trPr>
        <w:tc>
          <w:tcPr>
            <w:tcW w:w="2129" w:type="dxa"/>
          </w:tcPr>
          <w:p w14:paraId="4051FECA" w14:textId="77777777" w:rsidR="000D7D57" w:rsidRPr="004046AE" w:rsidRDefault="000D7D57" w:rsidP="000D7D57">
            <w:pPr>
              <w:rPr>
                <w:b/>
              </w:rPr>
            </w:pPr>
            <w:r w:rsidRPr="004046AE">
              <w:rPr>
                <w:b/>
              </w:rPr>
              <w:t xml:space="preserve">Functional </w:t>
            </w:r>
          </w:p>
        </w:tc>
        <w:tc>
          <w:tcPr>
            <w:tcW w:w="2799" w:type="dxa"/>
          </w:tcPr>
          <w:p w14:paraId="24A86719" w14:textId="77777777" w:rsidR="000D7D57" w:rsidRPr="004046AE" w:rsidRDefault="000D7D57" w:rsidP="000D7D57">
            <w:r w:rsidRPr="004046AE">
              <w:t>Deliver food/drink</w:t>
            </w:r>
          </w:p>
          <w:p w14:paraId="6B87EA25" w14:textId="77777777" w:rsidR="000D7D57" w:rsidRPr="004046AE" w:rsidRDefault="000D7D57" w:rsidP="000D7D57">
            <w:r w:rsidRPr="004046AE">
              <w:t>Hotel services</w:t>
            </w:r>
          </w:p>
          <w:p w14:paraId="582E72E5" w14:textId="77777777" w:rsidR="000D7D57" w:rsidRPr="004046AE" w:rsidRDefault="000D7D57" w:rsidP="000D7D57">
            <w:r w:rsidRPr="004046AE">
              <w:t>Bed making</w:t>
            </w:r>
          </w:p>
          <w:p w14:paraId="08FA92F0" w14:textId="77777777" w:rsidR="000D7D57" w:rsidRPr="004046AE" w:rsidRDefault="000D7D57" w:rsidP="000D7D57">
            <w:r w:rsidRPr="004046AE">
              <w:t>Documentation</w:t>
            </w:r>
          </w:p>
          <w:p w14:paraId="0FE3A934" w14:textId="77777777" w:rsidR="000D7D57" w:rsidRPr="004046AE" w:rsidRDefault="000D7D57" w:rsidP="000D7D57">
            <w:r w:rsidRPr="004046AE">
              <w:t>Transfer</w:t>
            </w:r>
          </w:p>
        </w:tc>
        <w:tc>
          <w:tcPr>
            <w:tcW w:w="1843" w:type="dxa"/>
          </w:tcPr>
          <w:p w14:paraId="2BDEE338" w14:textId="77777777" w:rsidR="000D7D57" w:rsidRPr="004046AE" w:rsidRDefault="000D7D57" w:rsidP="000D7D57">
            <w:r w:rsidRPr="004046AE">
              <w:t>181</w:t>
            </w:r>
          </w:p>
          <w:p w14:paraId="20BF9F15" w14:textId="77777777" w:rsidR="000D7D57" w:rsidRPr="004046AE" w:rsidRDefault="000D7D57" w:rsidP="000D7D57">
            <w:r w:rsidRPr="004046AE">
              <w:t>95</w:t>
            </w:r>
          </w:p>
          <w:p w14:paraId="7246A3E5" w14:textId="77777777" w:rsidR="000D7D57" w:rsidRPr="004046AE" w:rsidRDefault="000D7D57" w:rsidP="000D7D57">
            <w:r w:rsidRPr="004046AE">
              <w:t>89</w:t>
            </w:r>
          </w:p>
          <w:p w14:paraId="1B0A7C08" w14:textId="77777777" w:rsidR="000D7D57" w:rsidRPr="004046AE" w:rsidRDefault="000D7D57" w:rsidP="000D7D57">
            <w:r w:rsidRPr="004046AE">
              <w:t>70</w:t>
            </w:r>
          </w:p>
          <w:p w14:paraId="7C4511D9" w14:textId="77777777" w:rsidR="000D7D57" w:rsidRPr="004046AE" w:rsidRDefault="000D7D57" w:rsidP="000D7D57">
            <w:r w:rsidRPr="004046AE">
              <w:t>4</w:t>
            </w:r>
          </w:p>
        </w:tc>
        <w:tc>
          <w:tcPr>
            <w:tcW w:w="1745" w:type="dxa"/>
          </w:tcPr>
          <w:p w14:paraId="00CAB4F6" w14:textId="77777777" w:rsidR="000D7D57" w:rsidRPr="004046AE" w:rsidRDefault="000D7D57" w:rsidP="000D7D57">
            <w:r w:rsidRPr="004046AE">
              <w:t>41</w:t>
            </w:r>
          </w:p>
          <w:p w14:paraId="7B8CF00B" w14:textId="77777777" w:rsidR="000D7D57" w:rsidRPr="004046AE" w:rsidRDefault="000D7D57" w:rsidP="000D7D57">
            <w:r w:rsidRPr="004046AE">
              <w:t>22</w:t>
            </w:r>
          </w:p>
          <w:p w14:paraId="68E1DC6B" w14:textId="77777777" w:rsidR="000D7D57" w:rsidRPr="004046AE" w:rsidRDefault="000D7D57" w:rsidP="000D7D57">
            <w:r w:rsidRPr="004046AE">
              <w:t>20</w:t>
            </w:r>
          </w:p>
          <w:p w14:paraId="3BD1D501" w14:textId="77777777" w:rsidR="000D7D57" w:rsidRPr="004046AE" w:rsidRDefault="000D7D57" w:rsidP="000D7D57">
            <w:r w:rsidRPr="004046AE">
              <w:t>16</w:t>
            </w:r>
          </w:p>
          <w:p w14:paraId="7BE562EC" w14:textId="77777777" w:rsidR="000D7D57" w:rsidRPr="004046AE" w:rsidRDefault="000D7D57" w:rsidP="000D7D57">
            <w:r w:rsidRPr="004046AE">
              <w:t>1</w:t>
            </w:r>
          </w:p>
        </w:tc>
      </w:tr>
      <w:tr w:rsidR="000D7D57" w:rsidRPr="00792A77" w14:paraId="6B559A55" w14:textId="77777777" w:rsidTr="000D7D57">
        <w:trPr>
          <w:divId w:val="1915891284"/>
          <w:trHeight w:val="899"/>
        </w:trPr>
        <w:tc>
          <w:tcPr>
            <w:tcW w:w="2129" w:type="dxa"/>
          </w:tcPr>
          <w:p w14:paraId="67D0C643" w14:textId="77777777" w:rsidR="000D7D57" w:rsidRPr="004046AE" w:rsidRDefault="000D7D57" w:rsidP="000D7D57">
            <w:pPr>
              <w:rPr>
                <w:b/>
              </w:rPr>
            </w:pPr>
            <w:r w:rsidRPr="004046AE">
              <w:rPr>
                <w:b/>
              </w:rPr>
              <w:t>Communication</w:t>
            </w:r>
          </w:p>
        </w:tc>
        <w:tc>
          <w:tcPr>
            <w:tcW w:w="2799" w:type="dxa"/>
          </w:tcPr>
          <w:p w14:paraId="4F52D626" w14:textId="77777777" w:rsidR="000D7D57" w:rsidRPr="004046AE" w:rsidRDefault="000D7D57" w:rsidP="000D7D57">
            <w:r w:rsidRPr="004046AE">
              <w:t>Comfort</w:t>
            </w:r>
          </w:p>
          <w:p w14:paraId="37EE5988" w14:textId="77777777" w:rsidR="000D7D57" w:rsidRPr="004046AE" w:rsidRDefault="000D7D57" w:rsidP="000D7D57">
            <w:r w:rsidRPr="004046AE">
              <w:t>Information</w:t>
            </w:r>
          </w:p>
          <w:p w14:paraId="4DED7532" w14:textId="77777777" w:rsidR="000D7D57" w:rsidRPr="004046AE" w:rsidRDefault="000D7D57" w:rsidP="000D7D57">
            <w:r w:rsidRPr="004046AE">
              <w:t>Other conversation</w:t>
            </w:r>
          </w:p>
        </w:tc>
        <w:tc>
          <w:tcPr>
            <w:tcW w:w="1843" w:type="dxa"/>
          </w:tcPr>
          <w:p w14:paraId="29B5E13F" w14:textId="77777777" w:rsidR="000D7D57" w:rsidRPr="004046AE" w:rsidRDefault="000D7D57" w:rsidP="000D7D57">
            <w:r w:rsidRPr="004046AE">
              <w:t>100</w:t>
            </w:r>
          </w:p>
          <w:p w14:paraId="418EFECF" w14:textId="77777777" w:rsidR="000D7D57" w:rsidRPr="004046AE" w:rsidRDefault="000D7D57" w:rsidP="000D7D57">
            <w:r w:rsidRPr="004046AE">
              <w:t>18</w:t>
            </w:r>
          </w:p>
          <w:p w14:paraId="25D22BA2" w14:textId="77777777" w:rsidR="000D7D57" w:rsidRPr="004046AE" w:rsidRDefault="000D7D57" w:rsidP="000D7D57">
            <w:r w:rsidRPr="004046AE">
              <w:t>265</w:t>
            </w:r>
          </w:p>
        </w:tc>
        <w:tc>
          <w:tcPr>
            <w:tcW w:w="1745" w:type="dxa"/>
          </w:tcPr>
          <w:p w14:paraId="0AE0B6ED" w14:textId="77777777" w:rsidR="000D7D57" w:rsidRPr="004046AE" w:rsidRDefault="000D7D57" w:rsidP="000D7D57">
            <w:r w:rsidRPr="004046AE">
              <w:t>26</w:t>
            </w:r>
          </w:p>
          <w:p w14:paraId="69D66A1A" w14:textId="77777777" w:rsidR="000D7D57" w:rsidRPr="004046AE" w:rsidRDefault="000D7D57" w:rsidP="000D7D57">
            <w:r w:rsidRPr="004046AE">
              <w:t>5</w:t>
            </w:r>
          </w:p>
          <w:p w14:paraId="61B156A3" w14:textId="77777777" w:rsidR="000D7D57" w:rsidRPr="004046AE" w:rsidRDefault="000D7D57" w:rsidP="000D7D57">
            <w:r w:rsidRPr="004046AE">
              <w:t>69</w:t>
            </w:r>
          </w:p>
        </w:tc>
      </w:tr>
      <w:tr w:rsidR="000D7D57" w:rsidRPr="00792A77" w14:paraId="295BAB82" w14:textId="77777777" w:rsidTr="000D7D57">
        <w:trPr>
          <w:divId w:val="1915891284"/>
          <w:trHeight w:val="1505"/>
        </w:trPr>
        <w:tc>
          <w:tcPr>
            <w:tcW w:w="2129" w:type="dxa"/>
          </w:tcPr>
          <w:p w14:paraId="4E0E9707" w14:textId="77777777" w:rsidR="000D7D57" w:rsidRPr="004046AE" w:rsidRDefault="000D7D57" w:rsidP="000D7D57">
            <w:pPr>
              <w:rPr>
                <w:b/>
              </w:rPr>
            </w:pPr>
            <w:r w:rsidRPr="004046AE">
              <w:rPr>
                <w:b/>
              </w:rPr>
              <w:t>Personal Care</w:t>
            </w:r>
          </w:p>
        </w:tc>
        <w:tc>
          <w:tcPr>
            <w:tcW w:w="2799" w:type="dxa"/>
          </w:tcPr>
          <w:p w14:paraId="20C4D3F7" w14:textId="77777777" w:rsidR="000D7D57" w:rsidRPr="004046AE" w:rsidRDefault="000D7D57" w:rsidP="000D7D57">
            <w:r w:rsidRPr="004046AE">
              <w:t>Using the toilet</w:t>
            </w:r>
          </w:p>
          <w:p w14:paraId="3A047E34" w14:textId="77777777" w:rsidR="000D7D57" w:rsidRPr="004046AE" w:rsidRDefault="000D7D57" w:rsidP="000D7D57">
            <w:r w:rsidRPr="004046AE">
              <w:t>Eating/drinking</w:t>
            </w:r>
          </w:p>
          <w:p w14:paraId="596A51B4" w14:textId="77777777" w:rsidR="000D7D57" w:rsidRPr="004046AE" w:rsidRDefault="000D7D57" w:rsidP="000D7D57">
            <w:r w:rsidRPr="004046AE">
              <w:t>Moving/walking</w:t>
            </w:r>
          </w:p>
          <w:p w14:paraId="5ECD44CC" w14:textId="77777777" w:rsidR="000D7D57" w:rsidRPr="004046AE" w:rsidRDefault="000D7D57" w:rsidP="000D7D57">
            <w:r w:rsidRPr="004046AE">
              <w:t>Personal hygiene</w:t>
            </w:r>
          </w:p>
          <w:p w14:paraId="03D54138" w14:textId="77777777" w:rsidR="000D7D57" w:rsidRPr="004046AE" w:rsidRDefault="000D7D57" w:rsidP="000D7D57">
            <w:r w:rsidRPr="004046AE">
              <w:t>Other Personal care</w:t>
            </w:r>
          </w:p>
        </w:tc>
        <w:tc>
          <w:tcPr>
            <w:tcW w:w="1843" w:type="dxa"/>
          </w:tcPr>
          <w:p w14:paraId="2733C588" w14:textId="77777777" w:rsidR="000D7D57" w:rsidRPr="004046AE" w:rsidRDefault="000D7D57" w:rsidP="000D7D57">
            <w:r w:rsidRPr="004046AE">
              <w:t>97</w:t>
            </w:r>
          </w:p>
          <w:p w14:paraId="082DB120" w14:textId="77777777" w:rsidR="000D7D57" w:rsidRPr="004046AE" w:rsidRDefault="000D7D57" w:rsidP="000D7D57">
            <w:r w:rsidRPr="004046AE">
              <w:t>86</w:t>
            </w:r>
          </w:p>
          <w:p w14:paraId="5BF0CD60" w14:textId="77777777" w:rsidR="000D7D57" w:rsidRPr="004046AE" w:rsidRDefault="000D7D57" w:rsidP="000D7D57">
            <w:r w:rsidRPr="004046AE">
              <w:t>71</w:t>
            </w:r>
          </w:p>
          <w:p w14:paraId="4003B0EB" w14:textId="77777777" w:rsidR="000D7D57" w:rsidRPr="004046AE" w:rsidRDefault="000D7D57" w:rsidP="000D7D57">
            <w:r w:rsidRPr="004046AE">
              <w:t>40</w:t>
            </w:r>
          </w:p>
          <w:p w14:paraId="68A7076D" w14:textId="77777777" w:rsidR="000D7D57" w:rsidRPr="004046AE" w:rsidRDefault="000D7D57" w:rsidP="000D7D57">
            <w:r w:rsidRPr="004046AE">
              <w:t>51</w:t>
            </w:r>
          </w:p>
        </w:tc>
        <w:tc>
          <w:tcPr>
            <w:tcW w:w="1745" w:type="dxa"/>
          </w:tcPr>
          <w:p w14:paraId="6AD4DB8D" w14:textId="77777777" w:rsidR="000D7D57" w:rsidRPr="004046AE" w:rsidRDefault="000D7D57" w:rsidP="000D7D57">
            <w:r w:rsidRPr="004046AE">
              <w:t>28</w:t>
            </w:r>
          </w:p>
          <w:p w14:paraId="02F7B334" w14:textId="77777777" w:rsidR="000D7D57" w:rsidRPr="004046AE" w:rsidRDefault="000D7D57" w:rsidP="000D7D57">
            <w:r w:rsidRPr="004046AE">
              <w:t>25</w:t>
            </w:r>
          </w:p>
          <w:p w14:paraId="73A2727B" w14:textId="77777777" w:rsidR="000D7D57" w:rsidRPr="004046AE" w:rsidRDefault="000D7D57" w:rsidP="000D7D57">
            <w:r w:rsidRPr="004046AE">
              <w:t>21</w:t>
            </w:r>
          </w:p>
          <w:p w14:paraId="3A0ED96A" w14:textId="77777777" w:rsidR="000D7D57" w:rsidRPr="004046AE" w:rsidRDefault="000D7D57" w:rsidP="000D7D57">
            <w:r w:rsidRPr="004046AE">
              <w:t>12</w:t>
            </w:r>
          </w:p>
          <w:p w14:paraId="66B7844F" w14:textId="77777777" w:rsidR="000D7D57" w:rsidRPr="004046AE" w:rsidRDefault="000D7D57" w:rsidP="000D7D57">
            <w:r w:rsidRPr="004046AE">
              <w:t>15</w:t>
            </w:r>
          </w:p>
        </w:tc>
      </w:tr>
      <w:tr w:rsidR="000D7D57" w:rsidRPr="00792A77" w14:paraId="7828B0B9" w14:textId="77777777" w:rsidTr="000D7D57">
        <w:trPr>
          <w:divId w:val="1915891284"/>
          <w:trHeight w:val="899"/>
        </w:trPr>
        <w:tc>
          <w:tcPr>
            <w:tcW w:w="2129" w:type="dxa"/>
          </w:tcPr>
          <w:p w14:paraId="3CCF67C7" w14:textId="77777777" w:rsidR="000D7D57" w:rsidRPr="004046AE" w:rsidRDefault="000D7D57" w:rsidP="000D7D57">
            <w:pPr>
              <w:rPr>
                <w:b/>
              </w:rPr>
            </w:pPr>
            <w:r w:rsidRPr="004046AE">
              <w:rPr>
                <w:b/>
              </w:rPr>
              <w:t>Planning</w:t>
            </w:r>
          </w:p>
        </w:tc>
        <w:tc>
          <w:tcPr>
            <w:tcW w:w="2799" w:type="dxa"/>
          </w:tcPr>
          <w:p w14:paraId="7BCD170E" w14:textId="77777777" w:rsidR="000D7D57" w:rsidRPr="004046AE" w:rsidRDefault="000D7D57" w:rsidP="000D7D57">
            <w:r w:rsidRPr="004046AE">
              <w:t>Nursing care</w:t>
            </w:r>
          </w:p>
          <w:p w14:paraId="05FA6528" w14:textId="77777777" w:rsidR="000D7D57" w:rsidRPr="004046AE" w:rsidRDefault="000D7D57" w:rsidP="000D7D57">
            <w:r w:rsidRPr="004046AE">
              <w:t>Non-nursing care</w:t>
            </w:r>
          </w:p>
          <w:p w14:paraId="720766C0" w14:textId="77777777" w:rsidR="000D7D57" w:rsidRPr="004046AE" w:rsidRDefault="000D7D57" w:rsidP="000D7D57">
            <w:r w:rsidRPr="004046AE">
              <w:t>Medical treatment</w:t>
            </w:r>
          </w:p>
        </w:tc>
        <w:tc>
          <w:tcPr>
            <w:tcW w:w="1843" w:type="dxa"/>
          </w:tcPr>
          <w:p w14:paraId="20FDCEEF" w14:textId="77777777" w:rsidR="000D7D57" w:rsidRPr="004046AE" w:rsidRDefault="000D7D57" w:rsidP="000D7D57">
            <w:r w:rsidRPr="004046AE">
              <w:t>54</w:t>
            </w:r>
          </w:p>
          <w:p w14:paraId="43F871FA" w14:textId="77777777" w:rsidR="000D7D57" w:rsidRPr="004046AE" w:rsidRDefault="000D7D57" w:rsidP="000D7D57">
            <w:r w:rsidRPr="004046AE">
              <w:t>46</w:t>
            </w:r>
          </w:p>
          <w:p w14:paraId="2D3964C7" w14:textId="77777777" w:rsidR="000D7D57" w:rsidRPr="004046AE" w:rsidRDefault="000D7D57" w:rsidP="000D7D57">
            <w:r w:rsidRPr="004046AE">
              <w:t>35</w:t>
            </w:r>
          </w:p>
        </w:tc>
        <w:tc>
          <w:tcPr>
            <w:tcW w:w="1745" w:type="dxa"/>
          </w:tcPr>
          <w:p w14:paraId="0DDC01C9" w14:textId="77777777" w:rsidR="000D7D57" w:rsidRPr="004046AE" w:rsidRDefault="000D7D57" w:rsidP="000D7D57">
            <w:r w:rsidRPr="004046AE">
              <w:t>40</w:t>
            </w:r>
          </w:p>
          <w:p w14:paraId="4C3D272E" w14:textId="77777777" w:rsidR="000D7D57" w:rsidRPr="004046AE" w:rsidRDefault="000D7D57" w:rsidP="000D7D57">
            <w:r w:rsidRPr="004046AE">
              <w:t>34</w:t>
            </w:r>
          </w:p>
          <w:p w14:paraId="6114DB29" w14:textId="77777777" w:rsidR="000D7D57" w:rsidRPr="004046AE" w:rsidRDefault="000D7D57" w:rsidP="000D7D57">
            <w:r w:rsidRPr="004046AE">
              <w:t>26</w:t>
            </w:r>
          </w:p>
        </w:tc>
      </w:tr>
      <w:tr w:rsidR="000D7D57" w:rsidRPr="00792A77" w14:paraId="2E0A7B67" w14:textId="77777777" w:rsidTr="000D7D57">
        <w:trPr>
          <w:divId w:val="1915891284"/>
          <w:trHeight w:val="596"/>
        </w:trPr>
        <w:tc>
          <w:tcPr>
            <w:tcW w:w="2129" w:type="dxa"/>
          </w:tcPr>
          <w:p w14:paraId="4C109A93" w14:textId="77777777" w:rsidR="000D7D57" w:rsidRPr="004046AE" w:rsidRDefault="000D7D57" w:rsidP="000D7D57">
            <w:pPr>
              <w:rPr>
                <w:b/>
              </w:rPr>
            </w:pPr>
            <w:r w:rsidRPr="004046AE">
              <w:rPr>
                <w:b/>
              </w:rPr>
              <w:t>Treatments</w:t>
            </w:r>
          </w:p>
        </w:tc>
        <w:tc>
          <w:tcPr>
            <w:tcW w:w="2799" w:type="dxa"/>
          </w:tcPr>
          <w:p w14:paraId="3406CC80" w14:textId="77777777" w:rsidR="000D7D57" w:rsidRPr="004046AE" w:rsidRDefault="000D7D57" w:rsidP="000D7D57">
            <w:r w:rsidRPr="004046AE">
              <w:t>Medications</w:t>
            </w:r>
          </w:p>
          <w:p w14:paraId="03E00ED7" w14:textId="77777777" w:rsidR="000D7D57" w:rsidRPr="004046AE" w:rsidRDefault="000D7D57" w:rsidP="000D7D57">
            <w:r w:rsidRPr="004046AE">
              <w:t>Other treatments</w:t>
            </w:r>
          </w:p>
        </w:tc>
        <w:tc>
          <w:tcPr>
            <w:tcW w:w="1843" w:type="dxa"/>
          </w:tcPr>
          <w:p w14:paraId="45A5F465" w14:textId="77777777" w:rsidR="000D7D57" w:rsidRPr="004046AE" w:rsidRDefault="000D7D57" w:rsidP="000D7D57">
            <w:r w:rsidRPr="004046AE">
              <w:t>94</w:t>
            </w:r>
          </w:p>
          <w:p w14:paraId="0A9D9991" w14:textId="77777777" w:rsidR="000D7D57" w:rsidRPr="004046AE" w:rsidRDefault="000D7D57" w:rsidP="000D7D57">
            <w:r w:rsidRPr="004046AE">
              <w:t>20</w:t>
            </w:r>
          </w:p>
        </w:tc>
        <w:tc>
          <w:tcPr>
            <w:tcW w:w="1745" w:type="dxa"/>
          </w:tcPr>
          <w:p w14:paraId="5B18FF1B" w14:textId="77777777" w:rsidR="000D7D57" w:rsidRPr="004046AE" w:rsidRDefault="000D7D57" w:rsidP="000D7D57">
            <w:r w:rsidRPr="004046AE">
              <w:t>82</w:t>
            </w:r>
          </w:p>
          <w:p w14:paraId="68FF87D2" w14:textId="77777777" w:rsidR="000D7D57" w:rsidRPr="004046AE" w:rsidRDefault="000D7D57" w:rsidP="000D7D57">
            <w:r w:rsidRPr="004046AE">
              <w:t>18</w:t>
            </w:r>
          </w:p>
        </w:tc>
      </w:tr>
      <w:tr w:rsidR="000D7D57" w:rsidRPr="00792A77" w14:paraId="59E6EE73" w14:textId="77777777" w:rsidTr="000D7D57">
        <w:trPr>
          <w:divId w:val="1915891284"/>
          <w:trHeight w:val="899"/>
        </w:trPr>
        <w:tc>
          <w:tcPr>
            <w:tcW w:w="2129" w:type="dxa"/>
          </w:tcPr>
          <w:p w14:paraId="632CD869" w14:textId="77777777" w:rsidR="000D7D57" w:rsidRPr="004046AE" w:rsidRDefault="000D7D57" w:rsidP="000D7D57">
            <w:pPr>
              <w:rPr>
                <w:b/>
              </w:rPr>
            </w:pPr>
            <w:r w:rsidRPr="004046AE">
              <w:rPr>
                <w:b/>
              </w:rPr>
              <w:t>Assessments</w:t>
            </w:r>
          </w:p>
        </w:tc>
        <w:tc>
          <w:tcPr>
            <w:tcW w:w="2799" w:type="dxa"/>
          </w:tcPr>
          <w:p w14:paraId="4A77249D" w14:textId="77777777" w:rsidR="000D7D57" w:rsidRPr="004046AE" w:rsidRDefault="000D7D57" w:rsidP="000D7D57">
            <w:r w:rsidRPr="004046AE">
              <w:t>Vital signs</w:t>
            </w:r>
          </w:p>
          <w:p w14:paraId="57C46729" w14:textId="77777777" w:rsidR="000D7D57" w:rsidRPr="004046AE" w:rsidRDefault="000D7D57" w:rsidP="000D7D57">
            <w:r w:rsidRPr="004046AE">
              <w:t>Physical examination</w:t>
            </w:r>
          </w:p>
          <w:p w14:paraId="24B67EB7" w14:textId="77777777" w:rsidR="000D7D57" w:rsidRPr="004046AE" w:rsidRDefault="000D7D57" w:rsidP="000D7D57">
            <w:r w:rsidRPr="004046AE">
              <w:t>Other assessments</w:t>
            </w:r>
          </w:p>
        </w:tc>
        <w:tc>
          <w:tcPr>
            <w:tcW w:w="1843" w:type="dxa"/>
          </w:tcPr>
          <w:p w14:paraId="0827FEC3" w14:textId="77777777" w:rsidR="000D7D57" w:rsidRPr="004046AE" w:rsidRDefault="000D7D57" w:rsidP="000D7D57">
            <w:r w:rsidRPr="004046AE">
              <w:t>42</w:t>
            </w:r>
          </w:p>
          <w:p w14:paraId="01652EDF" w14:textId="77777777" w:rsidR="000D7D57" w:rsidRPr="004046AE" w:rsidRDefault="000D7D57" w:rsidP="000D7D57">
            <w:r w:rsidRPr="004046AE">
              <w:t>11</w:t>
            </w:r>
          </w:p>
          <w:p w14:paraId="21C3E50C" w14:textId="77777777" w:rsidR="000D7D57" w:rsidRPr="004046AE" w:rsidRDefault="000D7D57" w:rsidP="000D7D57">
            <w:r w:rsidRPr="004046AE">
              <w:t>48</w:t>
            </w:r>
          </w:p>
        </w:tc>
        <w:tc>
          <w:tcPr>
            <w:tcW w:w="1745" w:type="dxa"/>
          </w:tcPr>
          <w:p w14:paraId="7336D480" w14:textId="77777777" w:rsidR="000D7D57" w:rsidRPr="004046AE" w:rsidRDefault="000D7D57" w:rsidP="000D7D57">
            <w:r w:rsidRPr="004046AE">
              <w:t>42</w:t>
            </w:r>
          </w:p>
          <w:p w14:paraId="1983215C" w14:textId="77777777" w:rsidR="000D7D57" w:rsidRPr="004046AE" w:rsidRDefault="000D7D57" w:rsidP="000D7D57">
            <w:r w:rsidRPr="004046AE">
              <w:t>11</w:t>
            </w:r>
          </w:p>
          <w:p w14:paraId="56A3830A" w14:textId="77777777" w:rsidR="000D7D57" w:rsidRPr="004046AE" w:rsidRDefault="000D7D57" w:rsidP="000D7D57">
            <w:r w:rsidRPr="004046AE">
              <w:t>48</w:t>
            </w:r>
          </w:p>
        </w:tc>
      </w:tr>
      <w:tr w:rsidR="000D7D57" w:rsidRPr="00792A77" w14:paraId="3936628D" w14:textId="77777777" w:rsidTr="000D7D57">
        <w:trPr>
          <w:divId w:val="1915891284"/>
        </w:trPr>
        <w:tc>
          <w:tcPr>
            <w:tcW w:w="2129" w:type="dxa"/>
          </w:tcPr>
          <w:p w14:paraId="0B568720" w14:textId="77777777" w:rsidR="000D7D57" w:rsidRPr="004046AE" w:rsidRDefault="000D7D57" w:rsidP="000D7D57">
            <w:pPr>
              <w:rPr>
                <w:b/>
              </w:rPr>
            </w:pPr>
            <w:r w:rsidRPr="004046AE">
              <w:rPr>
                <w:b/>
              </w:rPr>
              <w:t>Other</w:t>
            </w:r>
          </w:p>
        </w:tc>
        <w:tc>
          <w:tcPr>
            <w:tcW w:w="2799" w:type="dxa"/>
          </w:tcPr>
          <w:p w14:paraId="118A85D5" w14:textId="77777777" w:rsidR="000D7D57" w:rsidRPr="004046AE" w:rsidRDefault="000D7D57" w:rsidP="000D7D57">
            <w:r w:rsidRPr="004046AE">
              <w:t>Other</w:t>
            </w:r>
          </w:p>
        </w:tc>
        <w:tc>
          <w:tcPr>
            <w:tcW w:w="1843" w:type="dxa"/>
          </w:tcPr>
          <w:p w14:paraId="0A3D007E" w14:textId="77777777" w:rsidR="000D7D57" w:rsidRPr="004046AE" w:rsidRDefault="000D7D57" w:rsidP="000D7D57">
            <w:r w:rsidRPr="004046AE">
              <w:t>37</w:t>
            </w:r>
          </w:p>
        </w:tc>
        <w:tc>
          <w:tcPr>
            <w:tcW w:w="1745" w:type="dxa"/>
          </w:tcPr>
          <w:p w14:paraId="61489985" w14:textId="77777777" w:rsidR="000D7D57" w:rsidRPr="004046AE" w:rsidRDefault="000D7D57" w:rsidP="000D7D57">
            <w:r w:rsidRPr="004046AE">
              <w:t>100</w:t>
            </w:r>
          </w:p>
        </w:tc>
      </w:tr>
    </w:tbl>
    <w:p w14:paraId="766F8FE3" w14:textId="77777777" w:rsidR="000D7D57" w:rsidRPr="004046AE" w:rsidRDefault="000D7D57" w:rsidP="000D7D57">
      <w:pPr>
        <w:divId w:val="1915891284"/>
      </w:pPr>
    </w:p>
    <w:p w14:paraId="087688C3" w14:textId="77777777" w:rsidR="00B17926" w:rsidRPr="00792A77" w:rsidRDefault="00B17926" w:rsidP="00B17926">
      <w:pPr>
        <w:pStyle w:val="Heading1"/>
        <w:divId w:val="1915891284"/>
        <w:rPr>
          <w:rFonts w:asciiTheme="minorHAnsi" w:hAnsiTheme="minorHAnsi"/>
        </w:rPr>
      </w:pPr>
    </w:p>
    <w:p w14:paraId="466950B8" w14:textId="77777777" w:rsidR="00B17926" w:rsidRPr="00DC7AB7" w:rsidRDefault="00B17926" w:rsidP="00B17926">
      <w:pPr>
        <w:divId w:val="1915891284"/>
      </w:pPr>
    </w:p>
    <w:p w14:paraId="514A7F4E" w14:textId="77777777" w:rsidR="00DF1AFE" w:rsidRPr="006A4A29" w:rsidRDefault="00DF1AFE">
      <w:pPr>
        <w:spacing w:after="200" w:line="276" w:lineRule="auto"/>
      </w:pPr>
      <w:r w:rsidRPr="006A4A29">
        <w:br w:type="page"/>
      </w:r>
    </w:p>
    <w:p w14:paraId="3202B2B9" w14:textId="6BB369A8" w:rsidR="00B17926" w:rsidRPr="00DD44CF" w:rsidRDefault="009D2B0C" w:rsidP="00B17926">
      <w:pPr>
        <w:pStyle w:val="Heading1"/>
        <w:divId w:val="1915891284"/>
        <w:rPr>
          <w:rFonts w:asciiTheme="minorHAnsi" w:hAnsiTheme="minorHAnsi"/>
          <w:color w:val="000000" w:themeColor="text1"/>
          <w:sz w:val="24"/>
          <w:szCs w:val="24"/>
        </w:rPr>
      </w:pPr>
      <w:r w:rsidRPr="00DD44CF">
        <w:rPr>
          <w:rFonts w:asciiTheme="minorHAnsi" w:hAnsiTheme="minorHAnsi"/>
          <w:color w:val="000000" w:themeColor="text1"/>
          <w:sz w:val="24"/>
          <w:szCs w:val="24"/>
        </w:rPr>
        <w:lastRenderedPageBreak/>
        <w:t xml:space="preserve">Table 4: </w:t>
      </w:r>
      <w:r w:rsidR="008C2890">
        <w:rPr>
          <w:rFonts w:asciiTheme="minorHAnsi" w:hAnsiTheme="minorHAnsi"/>
          <w:color w:val="000000" w:themeColor="text1"/>
          <w:sz w:val="24"/>
          <w:szCs w:val="24"/>
        </w:rPr>
        <w:t>Frequencies and Percentages of Q</w:t>
      </w:r>
      <w:r w:rsidRPr="00DD44CF">
        <w:rPr>
          <w:rFonts w:asciiTheme="minorHAnsi" w:hAnsiTheme="minorHAnsi"/>
          <w:color w:val="000000" w:themeColor="text1"/>
          <w:sz w:val="24"/>
          <w:szCs w:val="24"/>
        </w:rPr>
        <w:t>u</w:t>
      </w:r>
      <w:r w:rsidR="00B17926" w:rsidRPr="00DD44CF">
        <w:rPr>
          <w:rFonts w:asciiTheme="minorHAnsi" w:hAnsiTheme="minorHAnsi"/>
          <w:color w:val="000000" w:themeColor="text1"/>
          <w:sz w:val="24"/>
          <w:szCs w:val="24"/>
        </w:rPr>
        <w:t>IS ratings</w:t>
      </w:r>
      <w:r w:rsidR="008C2890">
        <w:rPr>
          <w:rFonts w:asciiTheme="minorHAnsi" w:hAnsiTheme="minorHAnsi"/>
          <w:color w:val="000000" w:themeColor="text1"/>
          <w:sz w:val="24"/>
          <w:szCs w:val="24"/>
        </w:rPr>
        <w:t xml:space="preserve"> and context for all observations</w:t>
      </w:r>
    </w:p>
    <w:p w14:paraId="2C8F1F73" w14:textId="77777777" w:rsidR="00B17926" w:rsidRPr="00DD44CF" w:rsidRDefault="00B17926" w:rsidP="00B17926">
      <w:pPr>
        <w:divId w:val="1915891284"/>
      </w:pPr>
    </w:p>
    <w:tbl>
      <w:tblPr>
        <w:tblStyle w:val="TableGrid"/>
        <w:tblW w:w="0" w:type="auto"/>
        <w:tblLook w:val="04A0" w:firstRow="1" w:lastRow="0" w:firstColumn="1" w:lastColumn="0" w:noHBand="0" w:noVBand="1"/>
      </w:tblPr>
      <w:tblGrid>
        <w:gridCol w:w="1555"/>
        <w:gridCol w:w="1134"/>
        <w:gridCol w:w="1175"/>
        <w:gridCol w:w="1288"/>
        <w:gridCol w:w="1288"/>
        <w:gridCol w:w="1288"/>
        <w:gridCol w:w="1288"/>
      </w:tblGrid>
      <w:tr w:rsidR="00B17926" w:rsidRPr="00DD44CF" w14:paraId="6577B6D4" w14:textId="77777777" w:rsidTr="00B17926">
        <w:trPr>
          <w:divId w:val="1915891284"/>
        </w:trPr>
        <w:tc>
          <w:tcPr>
            <w:tcW w:w="1555" w:type="dxa"/>
          </w:tcPr>
          <w:p w14:paraId="09B65A1E" w14:textId="77777777" w:rsidR="00B17926" w:rsidRPr="00DD44CF" w:rsidRDefault="00B17926" w:rsidP="000A47AE">
            <w:pPr>
              <w:rPr>
                <w:sz w:val="20"/>
                <w:szCs w:val="20"/>
              </w:rPr>
            </w:pPr>
          </w:p>
        </w:tc>
        <w:tc>
          <w:tcPr>
            <w:tcW w:w="1134" w:type="dxa"/>
          </w:tcPr>
          <w:p w14:paraId="33ABF47C" w14:textId="77777777" w:rsidR="00B17926" w:rsidRPr="00DD44CF" w:rsidRDefault="00B17926" w:rsidP="000A47AE">
            <w:pPr>
              <w:rPr>
                <w:sz w:val="20"/>
                <w:szCs w:val="20"/>
              </w:rPr>
            </w:pPr>
            <w:r w:rsidRPr="00DD44CF">
              <w:rPr>
                <w:rFonts w:eastAsia="Times New Roman" w:cs="Arial"/>
                <w:color w:val="000000"/>
                <w:sz w:val="20"/>
                <w:szCs w:val="20"/>
              </w:rPr>
              <w:t>Positive Social</w:t>
            </w:r>
          </w:p>
        </w:tc>
        <w:tc>
          <w:tcPr>
            <w:tcW w:w="1175" w:type="dxa"/>
          </w:tcPr>
          <w:p w14:paraId="66CF0CBD" w14:textId="77777777" w:rsidR="00B17926" w:rsidRPr="00DD44CF" w:rsidRDefault="00B17926" w:rsidP="000A47AE">
            <w:pPr>
              <w:rPr>
                <w:sz w:val="20"/>
                <w:szCs w:val="20"/>
              </w:rPr>
            </w:pPr>
            <w:r w:rsidRPr="00DD44CF">
              <w:rPr>
                <w:rFonts w:eastAsia="Times New Roman" w:cs="Arial"/>
                <w:color w:val="000000"/>
                <w:sz w:val="20"/>
                <w:szCs w:val="20"/>
              </w:rPr>
              <w:t>Positive Care</w:t>
            </w:r>
          </w:p>
        </w:tc>
        <w:tc>
          <w:tcPr>
            <w:tcW w:w="1288" w:type="dxa"/>
          </w:tcPr>
          <w:p w14:paraId="3028AABE" w14:textId="77777777" w:rsidR="00B17926" w:rsidRPr="00DD44CF" w:rsidRDefault="00B17926" w:rsidP="000A47AE">
            <w:pPr>
              <w:rPr>
                <w:sz w:val="20"/>
                <w:szCs w:val="20"/>
              </w:rPr>
            </w:pPr>
            <w:r w:rsidRPr="00DD44CF">
              <w:rPr>
                <w:rFonts w:eastAsia="Times New Roman" w:cs="Arial"/>
                <w:color w:val="000000"/>
                <w:sz w:val="20"/>
                <w:szCs w:val="20"/>
              </w:rPr>
              <w:t>Neutral</w:t>
            </w:r>
          </w:p>
        </w:tc>
        <w:tc>
          <w:tcPr>
            <w:tcW w:w="1288" w:type="dxa"/>
          </w:tcPr>
          <w:p w14:paraId="232B0D12" w14:textId="77777777" w:rsidR="00B17926" w:rsidRPr="00DD44CF" w:rsidRDefault="00B17926" w:rsidP="000A47AE">
            <w:pPr>
              <w:rPr>
                <w:sz w:val="20"/>
                <w:szCs w:val="20"/>
              </w:rPr>
            </w:pPr>
            <w:r w:rsidRPr="00DD44CF">
              <w:rPr>
                <w:rFonts w:eastAsia="Times New Roman" w:cs="Arial"/>
                <w:color w:val="000000"/>
                <w:sz w:val="20"/>
                <w:szCs w:val="20"/>
              </w:rPr>
              <w:t>Negative Protective</w:t>
            </w:r>
          </w:p>
        </w:tc>
        <w:tc>
          <w:tcPr>
            <w:tcW w:w="1288" w:type="dxa"/>
          </w:tcPr>
          <w:p w14:paraId="45A14168" w14:textId="77777777" w:rsidR="00B17926" w:rsidRPr="00DD44CF" w:rsidRDefault="00B17926" w:rsidP="000A47AE">
            <w:pPr>
              <w:rPr>
                <w:sz w:val="20"/>
                <w:szCs w:val="20"/>
              </w:rPr>
            </w:pPr>
            <w:r w:rsidRPr="00DD44CF">
              <w:rPr>
                <w:rFonts w:eastAsia="Times New Roman" w:cs="Arial"/>
                <w:color w:val="000000"/>
                <w:sz w:val="20"/>
                <w:szCs w:val="20"/>
              </w:rPr>
              <w:t>Negative Restrictive</w:t>
            </w:r>
          </w:p>
        </w:tc>
        <w:tc>
          <w:tcPr>
            <w:tcW w:w="1288" w:type="dxa"/>
          </w:tcPr>
          <w:p w14:paraId="565712C3" w14:textId="77777777" w:rsidR="00B17926" w:rsidRPr="00DD44CF" w:rsidRDefault="00B17926" w:rsidP="000A47AE">
            <w:pPr>
              <w:rPr>
                <w:sz w:val="20"/>
                <w:szCs w:val="20"/>
              </w:rPr>
            </w:pPr>
            <w:r w:rsidRPr="00DD44CF">
              <w:rPr>
                <w:rFonts w:eastAsia="Times New Roman" w:cs="Arial"/>
                <w:color w:val="000000"/>
                <w:sz w:val="20"/>
                <w:szCs w:val="20"/>
              </w:rPr>
              <w:t>Total</w:t>
            </w:r>
          </w:p>
        </w:tc>
      </w:tr>
      <w:tr w:rsidR="00B17926" w:rsidRPr="00DD44CF" w14:paraId="723B3CAA" w14:textId="77777777" w:rsidTr="00B17926">
        <w:trPr>
          <w:divId w:val="1915891284"/>
        </w:trPr>
        <w:tc>
          <w:tcPr>
            <w:tcW w:w="1555" w:type="dxa"/>
            <w:shd w:val="clear" w:color="auto" w:fill="DAEEF3" w:themeFill="accent5" w:themeFillTint="33"/>
          </w:tcPr>
          <w:p w14:paraId="3CADC3C0" w14:textId="77777777" w:rsidR="00B17926" w:rsidRPr="00DD44CF" w:rsidRDefault="00B17926" w:rsidP="000A47AE">
            <w:pPr>
              <w:rPr>
                <w:sz w:val="20"/>
                <w:szCs w:val="20"/>
              </w:rPr>
            </w:pPr>
            <w:r w:rsidRPr="00DD44CF">
              <w:rPr>
                <w:sz w:val="20"/>
                <w:szCs w:val="20"/>
              </w:rPr>
              <w:t>Wards</w:t>
            </w:r>
          </w:p>
        </w:tc>
        <w:tc>
          <w:tcPr>
            <w:tcW w:w="1134" w:type="dxa"/>
            <w:shd w:val="clear" w:color="auto" w:fill="DAEEF3" w:themeFill="accent5" w:themeFillTint="33"/>
          </w:tcPr>
          <w:p w14:paraId="713B6354" w14:textId="77777777" w:rsidR="00B17926" w:rsidRPr="00DD44CF" w:rsidRDefault="00B17926" w:rsidP="000A47AE">
            <w:pPr>
              <w:rPr>
                <w:sz w:val="20"/>
                <w:szCs w:val="20"/>
              </w:rPr>
            </w:pPr>
          </w:p>
        </w:tc>
        <w:tc>
          <w:tcPr>
            <w:tcW w:w="1175" w:type="dxa"/>
            <w:shd w:val="clear" w:color="auto" w:fill="DAEEF3" w:themeFill="accent5" w:themeFillTint="33"/>
          </w:tcPr>
          <w:p w14:paraId="0E5E91C4" w14:textId="77777777" w:rsidR="00B17926" w:rsidRPr="00DD44CF" w:rsidRDefault="00B17926" w:rsidP="000A47AE">
            <w:pPr>
              <w:rPr>
                <w:sz w:val="20"/>
                <w:szCs w:val="20"/>
              </w:rPr>
            </w:pPr>
          </w:p>
        </w:tc>
        <w:tc>
          <w:tcPr>
            <w:tcW w:w="1288" w:type="dxa"/>
            <w:shd w:val="clear" w:color="auto" w:fill="DAEEF3" w:themeFill="accent5" w:themeFillTint="33"/>
          </w:tcPr>
          <w:p w14:paraId="5D0AD69B" w14:textId="77777777" w:rsidR="00B17926" w:rsidRPr="00DD44CF" w:rsidRDefault="00B17926" w:rsidP="000A47AE">
            <w:pPr>
              <w:rPr>
                <w:sz w:val="20"/>
                <w:szCs w:val="20"/>
              </w:rPr>
            </w:pPr>
          </w:p>
        </w:tc>
        <w:tc>
          <w:tcPr>
            <w:tcW w:w="1288" w:type="dxa"/>
            <w:shd w:val="clear" w:color="auto" w:fill="DAEEF3" w:themeFill="accent5" w:themeFillTint="33"/>
          </w:tcPr>
          <w:p w14:paraId="03D7E050" w14:textId="77777777" w:rsidR="00B17926" w:rsidRPr="00DD44CF" w:rsidRDefault="00B17926" w:rsidP="000A47AE">
            <w:pPr>
              <w:rPr>
                <w:sz w:val="20"/>
                <w:szCs w:val="20"/>
              </w:rPr>
            </w:pPr>
          </w:p>
        </w:tc>
        <w:tc>
          <w:tcPr>
            <w:tcW w:w="1288" w:type="dxa"/>
            <w:shd w:val="clear" w:color="auto" w:fill="DAEEF3" w:themeFill="accent5" w:themeFillTint="33"/>
          </w:tcPr>
          <w:p w14:paraId="0BC5150A" w14:textId="77777777" w:rsidR="00B17926" w:rsidRPr="00DD44CF" w:rsidRDefault="00B17926" w:rsidP="000A47AE">
            <w:pPr>
              <w:rPr>
                <w:sz w:val="20"/>
                <w:szCs w:val="20"/>
              </w:rPr>
            </w:pPr>
          </w:p>
        </w:tc>
        <w:tc>
          <w:tcPr>
            <w:tcW w:w="1288" w:type="dxa"/>
            <w:shd w:val="clear" w:color="auto" w:fill="DAEEF3" w:themeFill="accent5" w:themeFillTint="33"/>
          </w:tcPr>
          <w:p w14:paraId="22C4C80C" w14:textId="77777777" w:rsidR="00B17926" w:rsidRPr="00DD44CF" w:rsidRDefault="00B17926" w:rsidP="000A47AE">
            <w:pPr>
              <w:rPr>
                <w:sz w:val="20"/>
                <w:szCs w:val="20"/>
              </w:rPr>
            </w:pPr>
          </w:p>
        </w:tc>
      </w:tr>
      <w:tr w:rsidR="00B17926" w:rsidRPr="00DD44CF" w14:paraId="6722EDCE" w14:textId="77777777" w:rsidTr="00B17926">
        <w:trPr>
          <w:divId w:val="1915891284"/>
        </w:trPr>
        <w:tc>
          <w:tcPr>
            <w:tcW w:w="1555" w:type="dxa"/>
          </w:tcPr>
          <w:p w14:paraId="65932A76" w14:textId="77777777" w:rsidR="00B17926" w:rsidRPr="00DD44CF" w:rsidRDefault="00B17926" w:rsidP="000A47AE">
            <w:pPr>
              <w:rPr>
                <w:sz w:val="20"/>
                <w:szCs w:val="20"/>
              </w:rPr>
            </w:pPr>
            <w:r w:rsidRPr="00DD44CF">
              <w:rPr>
                <w:sz w:val="20"/>
                <w:szCs w:val="20"/>
              </w:rPr>
              <w:t>A</w:t>
            </w:r>
          </w:p>
        </w:tc>
        <w:tc>
          <w:tcPr>
            <w:tcW w:w="1134" w:type="dxa"/>
          </w:tcPr>
          <w:p w14:paraId="59D0CF80" w14:textId="77777777" w:rsidR="00B17926" w:rsidRPr="00DD44CF" w:rsidRDefault="00B17926" w:rsidP="000A47AE">
            <w:pPr>
              <w:jc w:val="center"/>
              <w:rPr>
                <w:sz w:val="20"/>
                <w:szCs w:val="20"/>
              </w:rPr>
            </w:pPr>
            <w:r w:rsidRPr="00DD44CF">
              <w:rPr>
                <w:rFonts w:eastAsia="Times New Roman" w:cs="Arial"/>
                <w:color w:val="000000"/>
                <w:sz w:val="20"/>
                <w:szCs w:val="20"/>
              </w:rPr>
              <w:t>46 (18%)</w:t>
            </w:r>
          </w:p>
        </w:tc>
        <w:tc>
          <w:tcPr>
            <w:tcW w:w="1175" w:type="dxa"/>
          </w:tcPr>
          <w:p w14:paraId="3AB54B26" w14:textId="77777777" w:rsidR="00B17926" w:rsidRPr="00DD44CF" w:rsidRDefault="00B17926" w:rsidP="000A47AE">
            <w:pPr>
              <w:jc w:val="center"/>
              <w:rPr>
                <w:sz w:val="20"/>
                <w:szCs w:val="20"/>
              </w:rPr>
            </w:pPr>
            <w:r w:rsidRPr="00DD44CF">
              <w:rPr>
                <w:rFonts w:eastAsia="Times New Roman" w:cs="Arial"/>
                <w:color w:val="000000"/>
                <w:sz w:val="20"/>
                <w:szCs w:val="20"/>
              </w:rPr>
              <w:t>127 (49%)</w:t>
            </w:r>
          </w:p>
        </w:tc>
        <w:tc>
          <w:tcPr>
            <w:tcW w:w="1288" w:type="dxa"/>
          </w:tcPr>
          <w:p w14:paraId="5810CEFD" w14:textId="77777777" w:rsidR="00B17926" w:rsidRPr="00DD44CF" w:rsidRDefault="00B17926" w:rsidP="000A47AE">
            <w:pPr>
              <w:jc w:val="center"/>
              <w:rPr>
                <w:sz w:val="20"/>
                <w:szCs w:val="20"/>
              </w:rPr>
            </w:pPr>
            <w:r w:rsidRPr="00DD44CF">
              <w:rPr>
                <w:rFonts w:eastAsia="Times New Roman" w:cs="Arial"/>
                <w:color w:val="000000"/>
                <w:sz w:val="20"/>
                <w:szCs w:val="20"/>
              </w:rPr>
              <w:t>44 (17%)</w:t>
            </w:r>
          </w:p>
        </w:tc>
        <w:tc>
          <w:tcPr>
            <w:tcW w:w="1288" w:type="dxa"/>
          </w:tcPr>
          <w:p w14:paraId="17E1A61D" w14:textId="77777777" w:rsidR="00B17926" w:rsidRPr="00DD44CF" w:rsidRDefault="00B17926" w:rsidP="000A47AE">
            <w:pPr>
              <w:jc w:val="center"/>
              <w:rPr>
                <w:sz w:val="20"/>
                <w:szCs w:val="20"/>
              </w:rPr>
            </w:pPr>
            <w:r w:rsidRPr="00DD44CF">
              <w:rPr>
                <w:rFonts w:eastAsia="Times New Roman" w:cs="Arial"/>
                <w:color w:val="000000"/>
                <w:sz w:val="20"/>
                <w:szCs w:val="20"/>
              </w:rPr>
              <w:t>22 (9%)</w:t>
            </w:r>
          </w:p>
        </w:tc>
        <w:tc>
          <w:tcPr>
            <w:tcW w:w="1288" w:type="dxa"/>
          </w:tcPr>
          <w:p w14:paraId="46AE7715" w14:textId="77777777" w:rsidR="00B17926" w:rsidRPr="00DD44CF" w:rsidRDefault="00B17926" w:rsidP="000A47AE">
            <w:pPr>
              <w:jc w:val="center"/>
              <w:rPr>
                <w:sz w:val="20"/>
                <w:szCs w:val="20"/>
              </w:rPr>
            </w:pPr>
            <w:r w:rsidRPr="00DD44CF">
              <w:rPr>
                <w:rFonts w:eastAsia="Times New Roman" w:cs="Arial"/>
                <w:color w:val="000000"/>
                <w:sz w:val="20"/>
                <w:szCs w:val="20"/>
              </w:rPr>
              <w:t>18 (7%)</w:t>
            </w:r>
          </w:p>
        </w:tc>
        <w:tc>
          <w:tcPr>
            <w:tcW w:w="1288" w:type="dxa"/>
          </w:tcPr>
          <w:p w14:paraId="2E1B4496" w14:textId="77777777" w:rsidR="00B17926" w:rsidRPr="00DD44CF" w:rsidRDefault="00B17926" w:rsidP="000A47AE">
            <w:pPr>
              <w:jc w:val="center"/>
              <w:rPr>
                <w:sz w:val="20"/>
                <w:szCs w:val="20"/>
              </w:rPr>
            </w:pPr>
            <w:r w:rsidRPr="00DD44CF">
              <w:rPr>
                <w:rFonts w:eastAsia="Times New Roman" w:cs="Arial"/>
                <w:color w:val="000000"/>
                <w:sz w:val="20"/>
                <w:szCs w:val="20"/>
              </w:rPr>
              <w:t>257</w:t>
            </w:r>
          </w:p>
        </w:tc>
      </w:tr>
      <w:tr w:rsidR="00B17926" w:rsidRPr="00DD44CF" w14:paraId="06E95BC7" w14:textId="77777777" w:rsidTr="00B17926">
        <w:trPr>
          <w:divId w:val="1915891284"/>
        </w:trPr>
        <w:tc>
          <w:tcPr>
            <w:tcW w:w="1555" w:type="dxa"/>
          </w:tcPr>
          <w:p w14:paraId="4209E455" w14:textId="77777777" w:rsidR="00B17926" w:rsidRPr="00DD44CF" w:rsidRDefault="00B17926" w:rsidP="000A47AE">
            <w:pPr>
              <w:rPr>
                <w:sz w:val="20"/>
                <w:szCs w:val="20"/>
              </w:rPr>
            </w:pPr>
            <w:r w:rsidRPr="00DD44CF">
              <w:rPr>
                <w:sz w:val="20"/>
                <w:szCs w:val="20"/>
              </w:rPr>
              <w:t>B</w:t>
            </w:r>
          </w:p>
        </w:tc>
        <w:tc>
          <w:tcPr>
            <w:tcW w:w="1134" w:type="dxa"/>
          </w:tcPr>
          <w:p w14:paraId="10896B52" w14:textId="77777777" w:rsidR="00B17926" w:rsidRPr="00DD44CF" w:rsidRDefault="00B17926" w:rsidP="000A47AE">
            <w:pPr>
              <w:jc w:val="center"/>
              <w:rPr>
                <w:sz w:val="20"/>
                <w:szCs w:val="20"/>
              </w:rPr>
            </w:pPr>
            <w:r w:rsidRPr="00DD44CF">
              <w:rPr>
                <w:rFonts w:eastAsia="Times New Roman" w:cs="Arial"/>
                <w:color w:val="000000"/>
                <w:sz w:val="20"/>
                <w:szCs w:val="20"/>
              </w:rPr>
              <w:t>50 (15%)</w:t>
            </w:r>
          </w:p>
        </w:tc>
        <w:tc>
          <w:tcPr>
            <w:tcW w:w="1175" w:type="dxa"/>
          </w:tcPr>
          <w:p w14:paraId="02E6E57C" w14:textId="77777777" w:rsidR="00B17926" w:rsidRPr="00DD44CF" w:rsidRDefault="00B17926" w:rsidP="000A47AE">
            <w:pPr>
              <w:jc w:val="center"/>
              <w:rPr>
                <w:sz w:val="20"/>
                <w:szCs w:val="20"/>
              </w:rPr>
            </w:pPr>
            <w:r w:rsidRPr="00DD44CF">
              <w:rPr>
                <w:rFonts w:eastAsia="Times New Roman" w:cs="Arial"/>
                <w:color w:val="000000"/>
                <w:sz w:val="20"/>
                <w:szCs w:val="20"/>
              </w:rPr>
              <w:t>196 (61%)</w:t>
            </w:r>
          </w:p>
        </w:tc>
        <w:tc>
          <w:tcPr>
            <w:tcW w:w="1288" w:type="dxa"/>
          </w:tcPr>
          <w:p w14:paraId="6EFE7E77" w14:textId="77777777" w:rsidR="00B17926" w:rsidRPr="00DD44CF" w:rsidRDefault="00B17926" w:rsidP="000A47AE">
            <w:pPr>
              <w:jc w:val="center"/>
              <w:rPr>
                <w:sz w:val="20"/>
                <w:szCs w:val="20"/>
              </w:rPr>
            </w:pPr>
            <w:r w:rsidRPr="00DD44CF">
              <w:rPr>
                <w:rFonts w:eastAsia="Times New Roman" w:cs="Arial"/>
                <w:color w:val="000000"/>
                <w:sz w:val="20"/>
                <w:szCs w:val="20"/>
              </w:rPr>
              <w:t>54 (17%)</w:t>
            </w:r>
          </w:p>
        </w:tc>
        <w:tc>
          <w:tcPr>
            <w:tcW w:w="1288" w:type="dxa"/>
          </w:tcPr>
          <w:p w14:paraId="344692D2" w14:textId="77777777" w:rsidR="00B17926" w:rsidRPr="00DD44CF" w:rsidRDefault="00B17926" w:rsidP="000A47AE">
            <w:pPr>
              <w:jc w:val="center"/>
              <w:rPr>
                <w:sz w:val="20"/>
                <w:szCs w:val="20"/>
              </w:rPr>
            </w:pPr>
            <w:r w:rsidRPr="00DD44CF">
              <w:rPr>
                <w:rFonts w:eastAsia="Times New Roman" w:cs="Arial"/>
                <w:color w:val="000000"/>
                <w:sz w:val="20"/>
                <w:szCs w:val="20"/>
              </w:rPr>
              <w:t>8 (3%)</w:t>
            </w:r>
          </w:p>
        </w:tc>
        <w:tc>
          <w:tcPr>
            <w:tcW w:w="1288" w:type="dxa"/>
          </w:tcPr>
          <w:p w14:paraId="127B48F3" w14:textId="77777777" w:rsidR="00B17926" w:rsidRPr="00DD44CF" w:rsidRDefault="00B17926" w:rsidP="000A47AE">
            <w:pPr>
              <w:jc w:val="center"/>
              <w:rPr>
                <w:sz w:val="20"/>
                <w:szCs w:val="20"/>
              </w:rPr>
            </w:pPr>
            <w:r w:rsidRPr="00DD44CF">
              <w:rPr>
                <w:rFonts w:eastAsia="Times New Roman" w:cs="Arial"/>
                <w:color w:val="000000"/>
                <w:sz w:val="20"/>
                <w:szCs w:val="20"/>
              </w:rPr>
              <w:t>14 (4%)</w:t>
            </w:r>
          </w:p>
        </w:tc>
        <w:tc>
          <w:tcPr>
            <w:tcW w:w="1288" w:type="dxa"/>
          </w:tcPr>
          <w:p w14:paraId="1EAA50C5" w14:textId="77777777" w:rsidR="00B17926" w:rsidRPr="00DD44CF" w:rsidRDefault="00B17926" w:rsidP="000A47AE">
            <w:pPr>
              <w:jc w:val="center"/>
              <w:rPr>
                <w:sz w:val="20"/>
                <w:szCs w:val="20"/>
              </w:rPr>
            </w:pPr>
            <w:r w:rsidRPr="00DD44CF">
              <w:rPr>
                <w:sz w:val="20"/>
                <w:szCs w:val="20"/>
              </w:rPr>
              <w:t>322</w:t>
            </w:r>
          </w:p>
        </w:tc>
      </w:tr>
      <w:tr w:rsidR="00B17926" w:rsidRPr="00DD44CF" w14:paraId="20EE65CD" w14:textId="77777777" w:rsidTr="00B17926">
        <w:trPr>
          <w:divId w:val="1915891284"/>
        </w:trPr>
        <w:tc>
          <w:tcPr>
            <w:tcW w:w="1555" w:type="dxa"/>
          </w:tcPr>
          <w:p w14:paraId="41729C56" w14:textId="77777777" w:rsidR="00B17926" w:rsidRPr="00DD44CF" w:rsidRDefault="00B17926" w:rsidP="000A47AE">
            <w:pPr>
              <w:rPr>
                <w:sz w:val="20"/>
                <w:szCs w:val="20"/>
              </w:rPr>
            </w:pPr>
            <w:r w:rsidRPr="00DD44CF">
              <w:rPr>
                <w:sz w:val="20"/>
                <w:szCs w:val="20"/>
              </w:rPr>
              <w:t>C</w:t>
            </w:r>
          </w:p>
        </w:tc>
        <w:tc>
          <w:tcPr>
            <w:tcW w:w="1134" w:type="dxa"/>
          </w:tcPr>
          <w:p w14:paraId="64E46E2D" w14:textId="77777777" w:rsidR="00B17926" w:rsidRPr="00DD44CF" w:rsidRDefault="00B17926" w:rsidP="000A47AE">
            <w:pPr>
              <w:jc w:val="center"/>
              <w:rPr>
                <w:sz w:val="20"/>
                <w:szCs w:val="20"/>
              </w:rPr>
            </w:pPr>
            <w:r w:rsidRPr="00DD44CF">
              <w:rPr>
                <w:rFonts w:eastAsia="Times New Roman" w:cs="Arial"/>
                <w:color w:val="000000"/>
                <w:sz w:val="20"/>
                <w:szCs w:val="20"/>
              </w:rPr>
              <w:t>21 (10%)</w:t>
            </w:r>
          </w:p>
        </w:tc>
        <w:tc>
          <w:tcPr>
            <w:tcW w:w="1175" w:type="dxa"/>
          </w:tcPr>
          <w:p w14:paraId="2A639382" w14:textId="77777777" w:rsidR="00B17926" w:rsidRPr="00DD44CF" w:rsidRDefault="00B17926" w:rsidP="000A47AE">
            <w:pPr>
              <w:jc w:val="center"/>
              <w:rPr>
                <w:sz w:val="20"/>
                <w:szCs w:val="20"/>
              </w:rPr>
            </w:pPr>
            <w:r w:rsidRPr="00DD44CF">
              <w:rPr>
                <w:rFonts w:eastAsia="Times New Roman" w:cs="Arial"/>
                <w:color w:val="000000"/>
                <w:sz w:val="20"/>
                <w:szCs w:val="20"/>
              </w:rPr>
              <w:t>116 (55%)</w:t>
            </w:r>
          </w:p>
        </w:tc>
        <w:tc>
          <w:tcPr>
            <w:tcW w:w="1288" w:type="dxa"/>
          </w:tcPr>
          <w:p w14:paraId="491EAFED" w14:textId="77777777" w:rsidR="00B17926" w:rsidRPr="00DD44CF" w:rsidRDefault="00B17926" w:rsidP="000A47AE">
            <w:pPr>
              <w:jc w:val="center"/>
              <w:rPr>
                <w:sz w:val="20"/>
                <w:szCs w:val="20"/>
              </w:rPr>
            </w:pPr>
            <w:r w:rsidRPr="00DD44CF">
              <w:rPr>
                <w:rFonts w:eastAsia="Times New Roman" w:cs="Arial"/>
                <w:color w:val="000000"/>
                <w:sz w:val="20"/>
                <w:szCs w:val="20"/>
              </w:rPr>
              <w:t>35 (17%)</w:t>
            </w:r>
          </w:p>
        </w:tc>
        <w:tc>
          <w:tcPr>
            <w:tcW w:w="1288" w:type="dxa"/>
          </w:tcPr>
          <w:p w14:paraId="394FFECD" w14:textId="77777777" w:rsidR="00B17926" w:rsidRPr="00DD44CF" w:rsidRDefault="00B17926" w:rsidP="000A47AE">
            <w:pPr>
              <w:jc w:val="center"/>
              <w:rPr>
                <w:sz w:val="20"/>
                <w:szCs w:val="20"/>
              </w:rPr>
            </w:pPr>
            <w:r w:rsidRPr="00DD44CF">
              <w:rPr>
                <w:rFonts w:eastAsia="Times New Roman" w:cs="Arial"/>
                <w:color w:val="000000"/>
                <w:sz w:val="20"/>
                <w:szCs w:val="20"/>
              </w:rPr>
              <w:t>16 (8%)</w:t>
            </w:r>
          </w:p>
        </w:tc>
        <w:tc>
          <w:tcPr>
            <w:tcW w:w="1288" w:type="dxa"/>
          </w:tcPr>
          <w:p w14:paraId="4CEEC0EF" w14:textId="77777777" w:rsidR="00B17926" w:rsidRPr="00DD44CF" w:rsidRDefault="00B17926" w:rsidP="000A47AE">
            <w:pPr>
              <w:jc w:val="center"/>
              <w:rPr>
                <w:sz w:val="20"/>
                <w:szCs w:val="20"/>
              </w:rPr>
            </w:pPr>
            <w:r w:rsidRPr="00DD44CF">
              <w:rPr>
                <w:rFonts w:eastAsia="Times New Roman" w:cs="Arial"/>
                <w:color w:val="000000"/>
                <w:sz w:val="20"/>
                <w:szCs w:val="20"/>
              </w:rPr>
              <w:t>22 (10%)</w:t>
            </w:r>
          </w:p>
        </w:tc>
        <w:tc>
          <w:tcPr>
            <w:tcW w:w="1288" w:type="dxa"/>
          </w:tcPr>
          <w:p w14:paraId="7E6C6F15" w14:textId="77777777" w:rsidR="00B17926" w:rsidRPr="00DD44CF" w:rsidRDefault="00B17926" w:rsidP="000A47AE">
            <w:pPr>
              <w:jc w:val="center"/>
              <w:rPr>
                <w:sz w:val="20"/>
                <w:szCs w:val="20"/>
              </w:rPr>
            </w:pPr>
            <w:r w:rsidRPr="00DD44CF">
              <w:rPr>
                <w:sz w:val="20"/>
                <w:szCs w:val="20"/>
              </w:rPr>
              <w:t>210</w:t>
            </w:r>
          </w:p>
        </w:tc>
      </w:tr>
      <w:tr w:rsidR="00B17926" w:rsidRPr="00DD44CF" w14:paraId="45E926A8" w14:textId="77777777" w:rsidTr="00B17926">
        <w:trPr>
          <w:divId w:val="1915891284"/>
        </w:trPr>
        <w:tc>
          <w:tcPr>
            <w:tcW w:w="1555" w:type="dxa"/>
          </w:tcPr>
          <w:p w14:paraId="74C435F9" w14:textId="77777777" w:rsidR="00B17926" w:rsidRPr="00DD44CF" w:rsidRDefault="00B17926" w:rsidP="000A47AE">
            <w:pPr>
              <w:rPr>
                <w:sz w:val="20"/>
                <w:szCs w:val="20"/>
              </w:rPr>
            </w:pPr>
            <w:r w:rsidRPr="00DD44CF">
              <w:rPr>
                <w:sz w:val="20"/>
                <w:szCs w:val="20"/>
              </w:rPr>
              <w:t>D</w:t>
            </w:r>
          </w:p>
        </w:tc>
        <w:tc>
          <w:tcPr>
            <w:tcW w:w="1134" w:type="dxa"/>
          </w:tcPr>
          <w:p w14:paraId="26577CC2" w14:textId="77777777" w:rsidR="00B17926" w:rsidRPr="00DD44CF" w:rsidRDefault="00B17926" w:rsidP="000A47AE">
            <w:pPr>
              <w:jc w:val="center"/>
              <w:rPr>
                <w:sz w:val="20"/>
                <w:szCs w:val="20"/>
              </w:rPr>
            </w:pPr>
            <w:r w:rsidRPr="00DD44CF">
              <w:rPr>
                <w:rFonts w:eastAsia="Times New Roman" w:cs="Arial"/>
                <w:color w:val="000000"/>
                <w:sz w:val="20"/>
                <w:szCs w:val="20"/>
              </w:rPr>
              <w:t>49 (16%)</w:t>
            </w:r>
          </w:p>
        </w:tc>
        <w:tc>
          <w:tcPr>
            <w:tcW w:w="1175" w:type="dxa"/>
          </w:tcPr>
          <w:p w14:paraId="0559D627" w14:textId="77777777" w:rsidR="00B17926" w:rsidRPr="00DD44CF" w:rsidRDefault="00B17926" w:rsidP="000A47AE">
            <w:pPr>
              <w:jc w:val="center"/>
              <w:rPr>
                <w:sz w:val="20"/>
                <w:szCs w:val="20"/>
              </w:rPr>
            </w:pPr>
            <w:r w:rsidRPr="00DD44CF">
              <w:rPr>
                <w:rFonts w:eastAsia="Times New Roman" w:cs="Arial"/>
                <w:color w:val="000000"/>
                <w:sz w:val="20"/>
                <w:szCs w:val="20"/>
              </w:rPr>
              <w:t>205 (66%)</w:t>
            </w:r>
          </w:p>
        </w:tc>
        <w:tc>
          <w:tcPr>
            <w:tcW w:w="1288" w:type="dxa"/>
          </w:tcPr>
          <w:p w14:paraId="62794812" w14:textId="77777777" w:rsidR="00B17926" w:rsidRPr="00DD44CF" w:rsidRDefault="00B17926" w:rsidP="000A47AE">
            <w:pPr>
              <w:jc w:val="center"/>
              <w:rPr>
                <w:sz w:val="20"/>
                <w:szCs w:val="20"/>
              </w:rPr>
            </w:pPr>
            <w:r w:rsidRPr="00DD44CF">
              <w:rPr>
                <w:rFonts w:eastAsia="Times New Roman" w:cs="Arial"/>
                <w:color w:val="000000"/>
                <w:sz w:val="20"/>
                <w:szCs w:val="20"/>
              </w:rPr>
              <w:t>34 (11%)</w:t>
            </w:r>
          </w:p>
        </w:tc>
        <w:tc>
          <w:tcPr>
            <w:tcW w:w="1288" w:type="dxa"/>
          </w:tcPr>
          <w:p w14:paraId="61CEB354" w14:textId="77777777" w:rsidR="00B17926" w:rsidRPr="00DD44CF" w:rsidRDefault="00B17926" w:rsidP="000A47AE">
            <w:pPr>
              <w:jc w:val="center"/>
              <w:rPr>
                <w:sz w:val="20"/>
                <w:szCs w:val="20"/>
              </w:rPr>
            </w:pPr>
            <w:r w:rsidRPr="00DD44CF">
              <w:rPr>
                <w:rFonts w:eastAsia="Times New Roman" w:cs="Arial"/>
                <w:color w:val="000000"/>
                <w:sz w:val="20"/>
                <w:szCs w:val="20"/>
              </w:rPr>
              <w:t>5 (2%)</w:t>
            </w:r>
          </w:p>
        </w:tc>
        <w:tc>
          <w:tcPr>
            <w:tcW w:w="1288" w:type="dxa"/>
          </w:tcPr>
          <w:p w14:paraId="51C280B8" w14:textId="77777777" w:rsidR="00B17926" w:rsidRPr="00DD44CF" w:rsidRDefault="00B17926" w:rsidP="000A47AE">
            <w:pPr>
              <w:jc w:val="center"/>
              <w:rPr>
                <w:sz w:val="20"/>
                <w:szCs w:val="20"/>
              </w:rPr>
            </w:pPr>
            <w:r w:rsidRPr="00DD44CF">
              <w:rPr>
                <w:rFonts w:eastAsia="Times New Roman" w:cs="Arial"/>
                <w:color w:val="000000"/>
                <w:sz w:val="20"/>
                <w:szCs w:val="20"/>
              </w:rPr>
              <w:t>20 (6%)</w:t>
            </w:r>
          </w:p>
        </w:tc>
        <w:tc>
          <w:tcPr>
            <w:tcW w:w="1288" w:type="dxa"/>
          </w:tcPr>
          <w:p w14:paraId="2DD0FF91" w14:textId="77777777" w:rsidR="00B17926" w:rsidRPr="00DD44CF" w:rsidRDefault="00B17926" w:rsidP="000A47AE">
            <w:pPr>
              <w:jc w:val="center"/>
              <w:rPr>
                <w:sz w:val="20"/>
                <w:szCs w:val="20"/>
              </w:rPr>
            </w:pPr>
            <w:r w:rsidRPr="00DD44CF">
              <w:rPr>
                <w:rFonts w:eastAsia="Times New Roman" w:cs="Arial"/>
                <w:color w:val="000000"/>
                <w:sz w:val="20"/>
                <w:szCs w:val="20"/>
              </w:rPr>
              <w:t>313</w:t>
            </w:r>
          </w:p>
        </w:tc>
      </w:tr>
      <w:tr w:rsidR="00B17926" w:rsidRPr="00DD44CF" w14:paraId="15BEFD3F" w14:textId="77777777" w:rsidTr="00B17926">
        <w:trPr>
          <w:divId w:val="1915891284"/>
        </w:trPr>
        <w:tc>
          <w:tcPr>
            <w:tcW w:w="1555" w:type="dxa"/>
          </w:tcPr>
          <w:p w14:paraId="1C7CD1BA" w14:textId="77777777" w:rsidR="00B17926" w:rsidRPr="00DD44CF" w:rsidRDefault="00B17926" w:rsidP="000A47AE">
            <w:pPr>
              <w:rPr>
                <w:sz w:val="20"/>
                <w:szCs w:val="20"/>
              </w:rPr>
            </w:pPr>
            <w:r w:rsidRPr="00DD44CF">
              <w:rPr>
                <w:sz w:val="20"/>
                <w:szCs w:val="20"/>
              </w:rPr>
              <w:t>E</w:t>
            </w:r>
          </w:p>
        </w:tc>
        <w:tc>
          <w:tcPr>
            <w:tcW w:w="1134" w:type="dxa"/>
          </w:tcPr>
          <w:p w14:paraId="7B86861D" w14:textId="77777777" w:rsidR="00B17926" w:rsidRPr="00DD44CF" w:rsidRDefault="00B17926" w:rsidP="000A47AE">
            <w:pPr>
              <w:jc w:val="center"/>
              <w:rPr>
                <w:sz w:val="20"/>
                <w:szCs w:val="20"/>
              </w:rPr>
            </w:pPr>
            <w:r w:rsidRPr="00DD44CF">
              <w:rPr>
                <w:rFonts w:eastAsia="Times New Roman" w:cs="Arial"/>
                <w:color w:val="000000"/>
                <w:sz w:val="20"/>
                <w:szCs w:val="20"/>
              </w:rPr>
              <w:t>22 (9%)</w:t>
            </w:r>
          </w:p>
        </w:tc>
        <w:tc>
          <w:tcPr>
            <w:tcW w:w="1175" w:type="dxa"/>
          </w:tcPr>
          <w:p w14:paraId="72D3F38E" w14:textId="77777777" w:rsidR="00B17926" w:rsidRPr="00DD44CF" w:rsidRDefault="00B17926" w:rsidP="000A47AE">
            <w:pPr>
              <w:jc w:val="center"/>
              <w:rPr>
                <w:sz w:val="20"/>
                <w:szCs w:val="20"/>
              </w:rPr>
            </w:pPr>
            <w:r w:rsidRPr="00DD44CF">
              <w:rPr>
                <w:rFonts w:eastAsia="Times New Roman" w:cs="Arial"/>
                <w:color w:val="000000"/>
                <w:sz w:val="20"/>
                <w:szCs w:val="20"/>
              </w:rPr>
              <w:t>144 (57%)</w:t>
            </w:r>
          </w:p>
        </w:tc>
        <w:tc>
          <w:tcPr>
            <w:tcW w:w="1288" w:type="dxa"/>
          </w:tcPr>
          <w:p w14:paraId="48337384" w14:textId="77777777" w:rsidR="00B17926" w:rsidRPr="00DD44CF" w:rsidRDefault="00B17926" w:rsidP="000A47AE">
            <w:pPr>
              <w:jc w:val="center"/>
              <w:rPr>
                <w:sz w:val="20"/>
                <w:szCs w:val="20"/>
              </w:rPr>
            </w:pPr>
            <w:r w:rsidRPr="00DD44CF">
              <w:rPr>
                <w:rFonts w:eastAsia="Times New Roman" w:cs="Arial"/>
                <w:color w:val="000000"/>
                <w:sz w:val="20"/>
                <w:szCs w:val="20"/>
              </w:rPr>
              <w:t>58 (23%)</w:t>
            </w:r>
          </w:p>
        </w:tc>
        <w:tc>
          <w:tcPr>
            <w:tcW w:w="1288" w:type="dxa"/>
          </w:tcPr>
          <w:p w14:paraId="78E35C33" w14:textId="77777777" w:rsidR="00B17926" w:rsidRPr="00DD44CF" w:rsidRDefault="00B17926" w:rsidP="000A47AE">
            <w:pPr>
              <w:jc w:val="center"/>
              <w:rPr>
                <w:sz w:val="20"/>
                <w:szCs w:val="20"/>
              </w:rPr>
            </w:pPr>
            <w:r w:rsidRPr="00DD44CF">
              <w:rPr>
                <w:rFonts w:eastAsia="Times New Roman" w:cs="Arial"/>
                <w:color w:val="000000"/>
                <w:sz w:val="20"/>
                <w:szCs w:val="20"/>
              </w:rPr>
              <w:t>7 (3%)</w:t>
            </w:r>
          </w:p>
        </w:tc>
        <w:tc>
          <w:tcPr>
            <w:tcW w:w="1288" w:type="dxa"/>
          </w:tcPr>
          <w:p w14:paraId="45551B25" w14:textId="77777777" w:rsidR="00B17926" w:rsidRPr="00DD44CF" w:rsidRDefault="00B17926" w:rsidP="000A47AE">
            <w:pPr>
              <w:jc w:val="center"/>
              <w:rPr>
                <w:sz w:val="20"/>
                <w:szCs w:val="20"/>
              </w:rPr>
            </w:pPr>
            <w:r w:rsidRPr="00DD44CF">
              <w:rPr>
                <w:rFonts w:eastAsia="Times New Roman" w:cs="Arial"/>
                <w:color w:val="000000"/>
                <w:sz w:val="20"/>
                <w:szCs w:val="20"/>
              </w:rPr>
              <w:t>20 (8%)</w:t>
            </w:r>
          </w:p>
        </w:tc>
        <w:tc>
          <w:tcPr>
            <w:tcW w:w="1288" w:type="dxa"/>
          </w:tcPr>
          <w:p w14:paraId="6CFF35C7" w14:textId="77777777" w:rsidR="00B17926" w:rsidRPr="00DD44CF" w:rsidRDefault="00B17926" w:rsidP="000A47AE">
            <w:pPr>
              <w:jc w:val="center"/>
              <w:rPr>
                <w:sz w:val="20"/>
                <w:szCs w:val="20"/>
              </w:rPr>
            </w:pPr>
            <w:r w:rsidRPr="00DD44CF">
              <w:rPr>
                <w:rFonts w:eastAsia="Times New Roman" w:cs="Arial"/>
                <w:color w:val="000000"/>
                <w:sz w:val="20"/>
                <w:szCs w:val="20"/>
              </w:rPr>
              <w:t>251</w:t>
            </w:r>
          </w:p>
        </w:tc>
      </w:tr>
      <w:tr w:rsidR="00B17926" w:rsidRPr="00DD44CF" w14:paraId="4E28EF30" w14:textId="77777777" w:rsidTr="00B17926">
        <w:trPr>
          <w:divId w:val="1915891284"/>
        </w:trPr>
        <w:tc>
          <w:tcPr>
            <w:tcW w:w="1555" w:type="dxa"/>
          </w:tcPr>
          <w:p w14:paraId="5B06075E" w14:textId="77777777" w:rsidR="00B17926" w:rsidRPr="00DD44CF" w:rsidRDefault="00B17926" w:rsidP="000A47AE">
            <w:pPr>
              <w:rPr>
                <w:sz w:val="20"/>
                <w:szCs w:val="20"/>
              </w:rPr>
            </w:pPr>
            <w:r w:rsidRPr="00DD44CF">
              <w:rPr>
                <w:sz w:val="20"/>
                <w:szCs w:val="20"/>
              </w:rPr>
              <w:t>F</w:t>
            </w:r>
          </w:p>
        </w:tc>
        <w:tc>
          <w:tcPr>
            <w:tcW w:w="1134" w:type="dxa"/>
          </w:tcPr>
          <w:p w14:paraId="115584CE" w14:textId="77777777" w:rsidR="00B17926" w:rsidRPr="00DD44CF" w:rsidRDefault="00B17926" w:rsidP="000A47AE">
            <w:pPr>
              <w:jc w:val="center"/>
              <w:rPr>
                <w:sz w:val="20"/>
                <w:szCs w:val="20"/>
              </w:rPr>
            </w:pPr>
            <w:r w:rsidRPr="00DD44CF">
              <w:rPr>
                <w:rFonts w:eastAsia="Times New Roman" w:cs="Arial"/>
                <w:color w:val="000000"/>
                <w:sz w:val="20"/>
                <w:szCs w:val="20"/>
              </w:rPr>
              <w:t>16 (8%)</w:t>
            </w:r>
          </w:p>
        </w:tc>
        <w:tc>
          <w:tcPr>
            <w:tcW w:w="1175" w:type="dxa"/>
          </w:tcPr>
          <w:p w14:paraId="18D49CA5" w14:textId="77777777" w:rsidR="00B17926" w:rsidRPr="00DD44CF" w:rsidRDefault="00B17926" w:rsidP="000A47AE">
            <w:pPr>
              <w:jc w:val="center"/>
              <w:rPr>
                <w:sz w:val="20"/>
                <w:szCs w:val="20"/>
              </w:rPr>
            </w:pPr>
            <w:r w:rsidRPr="00DD44CF">
              <w:rPr>
                <w:rFonts w:eastAsia="Times New Roman" w:cs="Arial"/>
                <w:color w:val="000000"/>
                <w:sz w:val="20"/>
                <w:szCs w:val="20"/>
              </w:rPr>
              <w:t>139 (63%)</w:t>
            </w:r>
          </w:p>
        </w:tc>
        <w:tc>
          <w:tcPr>
            <w:tcW w:w="1288" w:type="dxa"/>
          </w:tcPr>
          <w:p w14:paraId="2F8A1632" w14:textId="77777777" w:rsidR="00B17926" w:rsidRPr="00DD44CF" w:rsidRDefault="00B17926" w:rsidP="000A47AE">
            <w:pPr>
              <w:jc w:val="center"/>
              <w:rPr>
                <w:sz w:val="20"/>
                <w:szCs w:val="20"/>
              </w:rPr>
            </w:pPr>
            <w:r w:rsidRPr="00DD44CF">
              <w:rPr>
                <w:rFonts w:eastAsia="Times New Roman" w:cs="Arial"/>
                <w:color w:val="000000"/>
                <w:sz w:val="20"/>
                <w:szCs w:val="20"/>
              </w:rPr>
              <w:t>42 (21%)</w:t>
            </w:r>
          </w:p>
        </w:tc>
        <w:tc>
          <w:tcPr>
            <w:tcW w:w="1288" w:type="dxa"/>
          </w:tcPr>
          <w:p w14:paraId="5F82551A" w14:textId="77777777" w:rsidR="00B17926" w:rsidRPr="00DD44CF" w:rsidRDefault="00B17926" w:rsidP="000A47AE">
            <w:pPr>
              <w:jc w:val="center"/>
              <w:rPr>
                <w:sz w:val="20"/>
                <w:szCs w:val="20"/>
              </w:rPr>
            </w:pPr>
            <w:r w:rsidRPr="00DD44CF">
              <w:rPr>
                <w:rFonts w:eastAsia="Times New Roman" w:cs="Arial"/>
                <w:color w:val="000000"/>
                <w:sz w:val="20"/>
                <w:szCs w:val="20"/>
              </w:rPr>
              <w:t>1 (1%)</w:t>
            </w:r>
          </w:p>
        </w:tc>
        <w:tc>
          <w:tcPr>
            <w:tcW w:w="1288" w:type="dxa"/>
          </w:tcPr>
          <w:p w14:paraId="2607B797" w14:textId="77777777" w:rsidR="00B17926" w:rsidRPr="00DD44CF" w:rsidRDefault="00B17926" w:rsidP="000A47AE">
            <w:pPr>
              <w:jc w:val="center"/>
              <w:rPr>
                <w:sz w:val="20"/>
                <w:szCs w:val="20"/>
              </w:rPr>
            </w:pPr>
            <w:r w:rsidRPr="00DD44CF">
              <w:rPr>
                <w:rFonts w:eastAsia="Times New Roman" w:cs="Arial"/>
                <w:color w:val="000000"/>
                <w:sz w:val="20"/>
                <w:szCs w:val="20"/>
              </w:rPr>
              <w:t>3 (2%)</w:t>
            </w:r>
          </w:p>
        </w:tc>
        <w:tc>
          <w:tcPr>
            <w:tcW w:w="1288" w:type="dxa"/>
          </w:tcPr>
          <w:p w14:paraId="111AD9F9" w14:textId="77777777" w:rsidR="00B17926" w:rsidRPr="00DD44CF" w:rsidRDefault="00B17926" w:rsidP="000A47AE">
            <w:pPr>
              <w:jc w:val="center"/>
              <w:rPr>
                <w:sz w:val="20"/>
                <w:szCs w:val="20"/>
              </w:rPr>
            </w:pPr>
            <w:r w:rsidRPr="00DD44CF">
              <w:rPr>
                <w:sz w:val="20"/>
                <w:szCs w:val="20"/>
              </w:rPr>
              <w:t>201</w:t>
            </w:r>
          </w:p>
        </w:tc>
      </w:tr>
      <w:tr w:rsidR="00B17926" w:rsidRPr="00DD44CF" w14:paraId="2CA274C4" w14:textId="77777777" w:rsidTr="00B17926">
        <w:trPr>
          <w:divId w:val="1915891284"/>
        </w:trPr>
        <w:tc>
          <w:tcPr>
            <w:tcW w:w="1555" w:type="dxa"/>
          </w:tcPr>
          <w:p w14:paraId="136CD417" w14:textId="77777777" w:rsidR="00B17926" w:rsidRPr="00DD44CF" w:rsidRDefault="00B17926" w:rsidP="000A47AE">
            <w:pPr>
              <w:rPr>
                <w:b/>
                <w:bCs/>
                <w:sz w:val="20"/>
                <w:szCs w:val="20"/>
              </w:rPr>
            </w:pPr>
            <w:r w:rsidRPr="00DD44CF">
              <w:rPr>
                <w:b/>
                <w:bCs/>
                <w:sz w:val="20"/>
                <w:szCs w:val="20"/>
              </w:rPr>
              <w:t>Total</w:t>
            </w:r>
          </w:p>
        </w:tc>
        <w:tc>
          <w:tcPr>
            <w:tcW w:w="1134" w:type="dxa"/>
          </w:tcPr>
          <w:p w14:paraId="51112D0D" w14:textId="77777777" w:rsidR="00B17926" w:rsidRPr="00DD44CF" w:rsidRDefault="00B17926" w:rsidP="000A47AE">
            <w:pPr>
              <w:jc w:val="center"/>
              <w:rPr>
                <w:rFonts w:eastAsia="Times New Roman" w:cs="Arial"/>
                <w:b/>
                <w:bCs/>
                <w:color w:val="000000"/>
                <w:sz w:val="20"/>
                <w:szCs w:val="20"/>
              </w:rPr>
            </w:pPr>
            <w:r w:rsidRPr="00DD44CF">
              <w:rPr>
                <w:rFonts w:eastAsia="Times New Roman" w:cs="Arial"/>
                <w:b/>
                <w:bCs/>
                <w:color w:val="000000"/>
                <w:sz w:val="20"/>
                <w:szCs w:val="20"/>
              </w:rPr>
              <w:t>204 (13%)</w:t>
            </w:r>
          </w:p>
        </w:tc>
        <w:tc>
          <w:tcPr>
            <w:tcW w:w="1175" w:type="dxa"/>
          </w:tcPr>
          <w:p w14:paraId="1AFA3C7E" w14:textId="77777777" w:rsidR="00B17926" w:rsidRPr="00DD44CF" w:rsidRDefault="00B17926" w:rsidP="000A47AE">
            <w:pPr>
              <w:jc w:val="center"/>
              <w:rPr>
                <w:rFonts w:eastAsia="Times New Roman" w:cs="Arial"/>
                <w:b/>
                <w:bCs/>
                <w:color w:val="000000"/>
                <w:sz w:val="20"/>
                <w:szCs w:val="20"/>
              </w:rPr>
            </w:pPr>
            <w:r w:rsidRPr="00DD44CF">
              <w:rPr>
                <w:rFonts w:eastAsia="Times New Roman" w:cs="Arial"/>
                <w:b/>
                <w:bCs/>
                <w:color w:val="000000"/>
                <w:sz w:val="20"/>
                <w:szCs w:val="20"/>
              </w:rPr>
              <w:t>927 (60%)</w:t>
            </w:r>
          </w:p>
        </w:tc>
        <w:tc>
          <w:tcPr>
            <w:tcW w:w="1288" w:type="dxa"/>
          </w:tcPr>
          <w:p w14:paraId="0CEF6F6A" w14:textId="77777777" w:rsidR="00B17926" w:rsidRPr="00DD44CF" w:rsidRDefault="00B17926" w:rsidP="000A47AE">
            <w:pPr>
              <w:jc w:val="center"/>
              <w:rPr>
                <w:b/>
                <w:bCs/>
                <w:sz w:val="20"/>
                <w:szCs w:val="20"/>
              </w:rPr>
            </w:pPr>
            <w:r w:rsidRPr="00DD44CF">
              <w:rPr>
                <w:rFonts w:eastAsia="Times New Roman" w:cs="Arial"/>
                <w:b/>
                <w:bCs/>
                <w:color w:val="000000"/>
                <w:sz w:val="20"/>
                <w:szCs w:val="20"/>
              </w:rPr>
              <w:t>267 (17%)</w:t>
            </w:r>
          </w:p>
        </w:tc>
        <w:tc>
          <w:tcPr>
            <w:tcW w:w="1288" w:type="dxa"/>
          </w:tcPr>
          <w:p w14:paraId="5891ED7A" w14:textId="77777777" w:rsidR="00B17926" w:rsidRPr="00DD44CF" w:rsidRDefault="00B17926" w:rsidP="000A47AE">
            <w:pPr>
              <w:jc w:val="center"/>
              <w:rPr>
                <w:b/>
                <w:bCs/>
                <w:sz w:val="20"/>
                <w:szCs w:val="20"/>
              </w:rPr>
            </w:pPr>
            <w:r w:rsidRPr="00DD44CF">
              <w:rPr>
                <w:rFonts w:eastAsia="Times New Roman" w:cs="Arial"/>
                <w:b/>
                <w:bCs/>
                <w:color w:val="000000"/>
                <w:sz w:val="20"/>
                <w:szCs w:val="20"/>
              </w:rPr>
              <w:t>59 (4%)</w:t>
            </w:r>
          </w:p>
        </w:tc>
        <w:tc>
          <w:tcPr>
            <w:tcW w:w="1288" w:type="dxa"/>
          </w:tcPr>
          <w:p w14:paraId="71505575" w14:textId="77777777" w:rsidR="00B17926" w:rsidRPr="00DD44CF" w:rsidRDefault="00B17926" w:rsidP="000A47AE">
            <w:pPr>
              <w:jc w:val="center"/>
              <w:rPr>
                <w:b/>
                <w:bCs/>
                <w:sz w:val="20"/>
                <w:szCs w:val="20"/>
              </w:rPr>
            </w:pPr>
            <w:r w:rsidRPr="00DD44CF">
              <w:rPr>
                <w:rFonts w:eastAsia="Times New Roman" w:cs="Arial"/>
                <w:b/>
                <w:bCs/>
                <w:color w:val="000000"/>
                <w:sz w:val="20"/>
                <w:szCs w:val="20"/>
              </w:rPr>
              <w:t>97 (6%)</w:t>
            </w:r>
          </w:p>
        </w:tc>
        <w:tc>
          <w:tcPr>
            <w:tcW w:w="1288" w:type="dxa"/>
          </w:tcPr>
          <w:p w14:paraId="31EB582D" w14:textId="77777777" w:rsidR="00B17926" w:rsidRPr="00DD44CF" w:rsidRDefault="00B17926" w:rsidP="000A47AE">
            <w:pPr>
              <w:jc w:val="center"/>
              <w:rPr>
                <w:b/>
                <w:bCs/>
                <w:sz w:val="20"/>
                <w:szCs w:val="20"/>
              </w:rPr>
            </w:pPr>
            <w:r w:rsidRPr="00DD44CF">
              <w:rPr>
                <w:rFonts w:eastAsia="Times New Roman" w:cs="Arial"/>
                <w:b/>
                <w:bCs/>
                <w:color w:val="000000"/>
                <w:sz w:val="20"/>
                <w:szCs w:val="20"/>
              </w:rPr>
              <w:t>1554</w:t>
            </w:r>
          </w:p>
        </w:tc>
      </w:tr>
      <w:tr w:rsidR="00B17926" w:rsidRPr="00DD44CF" w14:paraId="0E35AB84" w14:textId="77777777" w:rsidTr="00B17926">
        <w:trPr>
          <w:divId w:val="1915891284"/>
        </w:trPr>
        <w:tc>
          <w:tcPr>
            <w:tcW w:w="1555" w:type="dxa"/>
            <w:shd w:val="clear" w:color="auto" w:fill="DAEEF3" w:themeFill="accent5" w:themeFillTint="33"/>
          </w:tcPr>
          <w:p w14:paraId="6F664271" w14:textId="77777777" w:rsidR="00B17926" w:rsidRPr="00DD44CF" w:rsidRDefault="00B17926" w:rsidP="000A47AE">
            <w:pPr>
              <w:rPr>
                <w:sz w:val="20"/>
                <w:szCs w:val="20"/>
              </w:rPr>
            </w:pPr>
            <w:r w:rsidRPr="00DD44CF">
              <w:rPr>
                <w:sz w:val="20"/>
                <w:szCs w:val="20"/>
              </w:rPr>
              <w:t>Individual Staff Group</w:t>
            </w:r>
          </w:p>
        </w:tc>
        <w:tc>
          <w:tcPr>
            <w:tcW w:w="1134" w:type="dxa"/>
            <w:shd w:val="clear" w:color="auto" w:fill="DAEEF3" w:themeFill="accent5" w:themeFillTint="33"/>
          </w:tcPr>
          <w:p w14:paraId="410FCE94" w14:textId="77777777" w:rsidR="00B17926" w:rsidRPr="00DD44CF" w:rsidRDefault="00B17926" w:rsidP="000A47AE">
            <w:pPr>
              <w:jc w:val="center"/>
              <w:rPr>
                <w:rFonts w:eastAsia="Times New Roman" w:cs="Arial"/>
                <w:b/>
                <w:bCs/>
                <w:color w:val="000000"/>
                <w:sz w:val="20"/>
                <w:szCs w:val="20"/>
              </w:rPr>
            </w:pPr>
          </w:p>
        </w:tc>
        <w:tc>
          <w:tcPr>
            <w:tcW w:w="1175" w:type="dxa"/>
            <w:shd w:val="clear" w:color="auto" w:fill="DAEEF3" w:themeFill="accent5" w:themeFillTint="33"/>
          </w:tcPr>
          <w:p w14:paraId="1674E267" w14:textId="77777777" w:rsidR="00B17926" w:rsidRPr="00DD44CF" w:rsidRDefault="00B17926" w:rsidP="000A47AE">
            <w:pPr>
              <w:jc w:val="center"/>
              <w:rPr>
                <w:rFonts w:eastAsia="Times New Roman" w:cs="Arial"/>
                <w:b/>
                <w:bCs/>
                <w:color w:val="000000"/>
                <w:sz w:val="20"/>
                <w:szCs w:val="20"/>
              </w:rPr>
            </w:pPr>
          </w:p>
        </w:tc>
        <w:tc>
          <w:tcPr>
            <w:tcW w:w="1288" w:type="dxa"/>
            <w:shd w:val="clear" w:color="auto" w:fill="DAEEF3" w:themeFill="accent5" w:themeFillTint="33"/>
          </w:tcPr>
          <w:p w14:paraId="1D1E4CB5" w14:textId="77777777" w:rsidR="00B17926" w:rsidRPr="00DD44CF" w:rsidRDefault="00B17926" w:rsidP="000A47AE">
            <w:pPr>
              <w:jc w:val="center"/>
              <w:rPr>
                <w:rFonts w:eastAsia="Times New Roman" w:cs="Arial"/>
                <w:b/>
                <w:bCs/>
                <w:color w:val="000000"/>
                <w:sz w:val="20"/>
                <w:szCs w:val="20"/>
              </w:rPr>
            </w:pPr>
          </w:p>
        </w:tc>
        <w:tc>
          <w:tcPr>
            <w:tcW w:w="1288" w:type="dxa"/>
            <w:shd w:val="clear" w:color="auto" w:fill="DAEEF3" w:themeFill="accent5" w:themeFillTint="33"/>
          </w:tcPr>
          <w:p w14:paraId="2E717394" w14:textId="77777777" w:rsidR="00B17926" w:rsidRPr="00DD44CF" w:rsidRDefault="00B17926" w:rsidP="000A47AE">
            <w:pPr>
              <w:jc w:val="center"/>
              <w:rPr>
                <w:rFonts w:eastAsia="Times New Roman" w:cs="Arial"/>
                <w:b/>
                <w:bCs/>
                <w:color w:val="000000"/>
                <w:sz w:val="20"/>
                <w:szCs w:val="20"/>
              </w:rPr>
            </w:pPr>
          </w:p>
        </w:tc>
        <w:tc>
          <w:tcPr>
            <w:tcW w:w="1288" w:type="dxa"/>
            <w:shd w:val="clear" w:color="auto" w:fill="DAEEF3" w:themeFill="accent5" w:themeFillTint="33"/>
          </w:tcPr>
          <w:p w14:paraId="516BB49B" w14:textId="77777777" w:rsidR="00B17926" w:rsidRPr="00DD44CF" w:rsidRDefault="00B17926" w:rsidP="000A47AE">
            <w:pPr>
              <w:jc w:val="center"/>
              <w:rPr>
                <w:rFonts w:eastAsia="Times New Roman" w:cs="Arial"/>
                <w:b/>
                <w:bCs/>
                <w:color w:val="000000"/>
                <w:sz w:val="20"/>
                <w:szCs w:val="20"/>
              </w:rPr>
            </w:pPr>
          </w:p>
        </w:tc>
        <w:tc>
          <w:tcPr>
            <w:tcW w:w="1288" w:type="dxa"/>
            <w:shd w:val="clear" w:color="auto" w:fill="DAEEF3" w:themeFill="accent5" w:themeFillTint="33"/>
          </w:tcPr>
          <w:p w14:paraId="2BFC6EDC" w14:textId="77777777" w:rsidR="00B17926" w:rsidRPr="00DD44CF" w:rsidRDefault="00B17926" w:rsidP="000A47AE">
            <w:pPr>
              <w:jc w:val="center"/>
              <w:rPr>
                <w:rFonts w:eastAsia="Times New Roman" w:cs="Arial"/>
                <w:b/>
                <w:bCs/>
                <w:color w:val="000000"/>
                <w:sz w:val="20"/>
                <w:szCs w:val="20"/>
              </w:rPr>
            </w:pPr>
          </w:p>
        </w:tc>
      </w:tr>
      <w:tr w:rsidR="00B17926" w:rsidRPr="00DD44CF" w14:paraId="6D668447" w14:textId="77777777" w:rsidTr="00B17926">
        <w:trPr>
          <w:divId w:val="1915891284"/>
        </w:trPr>
        <w:tc>
          <w:tcPr>
            <w:tcW w:w="1555" w:type="dxa"/>
          </w:tcPr>
          <w:p w14:paraId="3C01A645" w14:textId="5CE943D9" w:rsidR="00B17926" w:rsidRPr="00DD44CF" w:rsidRDefault="00B17926" w:rsidP="000A47AE">
            <w:pPr>
              <w:rPr>
                <w:sz w:val="20"/>
                <w:szCs w:val="20"/>
              </w:rPr>
            </w:pPr>
            <w:r w:rsidRPr="00DD44CF">
              <w:rPr>
                <w:sz w:val="20"/>
                <w:szCs w:val="20"/>
              </w:rPr>
              <w:t xml:space="preserve">Registered </w:t>
            </w:r>
            <w:r w:rsidR="00DC7AB7">
              <w:rPr>
                <w:sz w:val="20"/>
                <w:szCs w:val="20"/>
              </w:rPr>
              <w:t>n</w:t>
            </w:r>
            <w:r w:rsidRPr="00DD44CF">
              <w:rPr>
                <w:sz w:val="20"/>
                <w:szCs w:val="20"/>
              </w:rPr>
              <w:t>urse</w:t>
            </w:r>
          </w:p>
        </w:tc>
        <w:tc>
          <w:tcPr>
            <w:tcW w:w="1134" w:type="dxa"/>
          </w:tcPr>
          <w:p w14:paraId="26546B34"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85 (14%)</w:t>
            </w:r>
          </w:p>
        </w:tc>
        <w:tc>
          <w:tcPr>
            <w:tcW w:w="1175" w:type="dxa"/>
          </w:tcPr>
          <w:p w14:paraId="0FA15DF8"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371(62%)</w:t>
            </w:r>
          </w:p>
        </w:tc>
        <w:tc>
          <w:tcPr>
            <w:tcW w:w="1288" w:type="dxa"/>
          </w:tcPr>
          <w:p w14:paraId="3C9EAFC9"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77 (13%)</w:t>
            </w:r>
          </w:p>
        </w:tc>
        <w:tc>
          <w:tcPr>
            <w:tcW w:w="1288" w:type="dxa"/>
          </w:tcPr>
          <w:p w14:paraId="2ECA90CE"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26(4%)</w:t>
            </w:r>
          </w:p>
        </w:tc>
        <w:tc>
          <w:tcPr>
            <w:tcW w:w="1288" w:type="dxa"/>
          </w:tcPr>
          <w:p w14:paraId="2C22000F"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37(6%)</w:t>
            </w:r>
          </w:p>
        </w:tc>
        <w:tc>
          <w:tcPr>
            <w:tcW w:w="1288" w:type="dxa"/>
          </w:tcPr>
          <w:p w14:paraId="2F691565"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596</w:t>
            </w:r>
          </w:p>
        </w:tc>
      </w:tr>
      <w:tr w:rsidR="00B17926" w:rsidRPr="00DD44CF" w14:paraId="7590D53D" w14:textId="77777777" w:rsidTr="00B17926">
        <w:trPr>
          <w:divId w:val="1915891284"/>
        </w:trPr>
        <w:tc>
          <w:tcPr>
            <w:tcW w:w="1555" w:type="dxa"/>
          </w:tcPr>
          <w:p w14:paraId="10ED87AA" w14:textId="77777777" w:rsidR="00B17926" w:rsidRPr="00DD44CF" w:rsidRDefault="00B17926" w:rsidP="000A47AE">
            <w:pPr>
              <w:rPr>
                <w:sz w:val="20"/>
                <w:szCs w:val="20"/>
              </w:rPr>
            </w:pPr>
            <w:r w:rsidRPr="00DD44CF">
              <w:rPr>
                <w:sz w:val="20"/>
                <w:szCs w:val="20"/>
              </w:rPr>
              <w:t>Student nurse</w:t>
            </w:r>
          </w:p>
        </w:tc>
        <w:tc>
          <w:tcPr>
            <w:tcW w:w="1134" w:type="dxa"/>
          </w:tcPr>
          <w:p w14:paraId="037A3F95"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2 (33%)</w:t>
            </w:r>
          </w:p>
        </w:tc>
        <w:tc>
          <w:tcPr>
            <w:tcW w:w="1175" w:type="dxa"/>
          </w:tcPr>
          <w:p w14:paraId="03E5DACC" w14:textId="5CB3DED8"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1</w:t>
            </w:r>
            <w:r w:rsidR="005121A1">
              <w:rPr>
                <w:rFonts w:eastAsia="Times New Roman" w:cs="Arial"/>
                <w:color w:val="000000"/>
                <w:sz w:val="20"/>
                <w:szCs w:val="20"/>
              </w:rPr>
              <w:t>(</w:t>
            </w:r>
            <w:r w:rsidRPr="00DD44CF">
              <w:rPr>
                <w:rFonts w:eastAsia="Times New Roman" w:cs="Arial"/>
                <w:color w:val="000000"/>
                <w:sz w:val="20"/>
                <w:szCs w:val="20"/>
              </w:rPr>
              <w:t>17%</w:t>
            </w:r>
            <w:r w:rsidR="005121A1">
              <w:rPr>
                <w:rFonts w:eastAsia="Times New Roman" w:cs="Arial"/>
                <w:color w:val="000000"/>
                <w:sz w:val="20"/>
                <w:szCs w:val="20"/>
              </w:rPr>
              <w:t>)</w:t>
            </w:r>
          </w:p>
        </w:tc>
        <w:tc>
          <w:tcPr>
            <w:tcW w:w="1288" w:type="dxa"/>
          </w:tcPr>
          <w:p w14:paraId="24078945"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0</w:t>
            </w:r>
          </w:p>
        </w:tc>
        <w:tc>
          <w:tcPr>
            <w:tcW w:w="1288" w:type="dxa"/>
          </w:tcPr>
          <w:p w14:paraId="5029E8A4"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2(33%)</w:t>
            </w:r>
          </w:p>
        </w:tc>
        <w:tc>
          <w:tcPr>
            <w:tcW w:w="1288" w:type="dxa"/>
          </w:tcPr>
          <w:p w14:paraId="72CECDD7"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1(17%)</w:t>
            </w:r>
          </w:p>
        </w:tc>
        <w:tc>
          <w:tcPr>
            <w:tcW w:w="1288" w:type="dxa"/>
          </w:tcPr>
          <w:p w14:paraId="02BBB163"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6</w:t>
            </w:r>
          </w:p>
        </w:tc>
      </w:tr>
      <w:tr w:rsidR="00B17926" w:rsidRPr="00DD44CF" w14:paraId="5E85AC2B" w14:textId="77777777" w:rsidTr="00B17926">
        <w:trPr>
          <w:divId w:val="1915891284"/>
        </w:trPr>
        <w:tc>
          <w:tcPr>
            <w:tcW w:w="1555" w:type="dxa"/>
          </w:tcPr>
          <w:p w14:paraId="505180CB" w14:textId="7B78F9E1" w:rsidR="00B17926" w:rsidRPr="00DD44CF" w:rsidRDefault="00DC7AB7" w:rsidP="000A47AE">
            <w:pPr>
              <w:rPr>
                <w:sz w:val="20"/>
                <w:szCs w:val="20"/>
              </w:rPr>
            </w:pPr>
            <w:r>
              <w:rPr>
                <w:sz w:val="20"/>
                <w:szCs w:val="20"/>
              </w:rPr>
              <w:t>Health care assistant</w:t>
            </w:r>
          </w:p>
        </w:tc>
        <w:tc>
          <w:tcPr>
            <w:tcW w:w="1134" w:type="dxa"/>
          </w:tcPr>
          <w:p w14:paraId="61C6D16C"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89 (16%)</w:t>
            </w:r>
          </w:p>
        </w:tc>
        <w:tc>
          <w:tcPr>
            <w:tcW w:w="1175" w:type="dxa"/>
          </w:tcPr>
          <w:p w14:paraId="235D08BC"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363 (64%)</w:t>
            </w:r>
          </w:p>
        </w:tc>
        <w:tc>
          <w:tcPr>
            <w:tcW w:w="1288" w:type="dxa"/>
          </w:tcPr>
          <w:p w14:paraId="4324C85F"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67 (12%)</w:t>
            </w:r>
          </w:p>
        </w:tc>
        <w:tc>
          <w:tcPr>
            <w:tcW w:w="1288" w:type="dxa"/>
          </w:tcPr>
          <w:p w14:paraId="7527C790"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24 (4%)</w:t>
            </w:r>
          </w:p>
        </w:tc>
        <w:tc>
          <w:tcPr>
            <w:tcW w:w="1288" w:type="dxa"/>
          </w:tcPr>
          <w:p w14:paraId="121FE477"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29 (5%)</w:t>
            </w:r>
          </w:p>
        </w:tc>
        <w:tc>
          <w:tcPr>
            <w:tcW w:w="1288" w:type="dxa"/>
          </w:tcPr>
          <w:p w14:paraId="6C8C5429"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572</w:t>
            </w:r>
          </w:p>
        </w:tc>
      </w:tr>
      <w:tr w:rsidR="00B17926" w:rsidRPr="00DD44CF" w14:paraId="5E5902EE" w14:textId="77777777" w:rsidTr="00B17926">
        <w:trPr>
          <w:divId w:val="1915891284"/>
        </w:trPr>
        <w:tc>
          <w:tcPr>
            <w:tcW w:w="1555" w:type="dxa"/>
          </w:tcPr>
          <w:p w14:paraId="492AD074" w14:textId="77777777" w:rsidR="00B17926" w:rsidRPr="00DD44CF" w:rsidRDefault="00B17926" w:rsidP="000A47AE">
            <w:pPr>
              <w:rPr>
                <w:sz w:val="20"/>
                <w:szCs w:val="20"/>
              </w:rPr>
            </w:pPr>
            <w:r w:rsidRPr="00DD44CF">
              <w:rPr>
                <w:sz w:val="20"/>
                <w:szCs w:val="20"/>
              </w:rPr>
              <w:t>Doctor</w:t>
            </w:r>
          </w:p>
        </w:tc>
        <w:tc>
          <w:tcPr>
            <w:tcW w:w="1134" w:type="dxa"/>
          </w:tcPr>
          <w:p w14:paraId="0A8BBC06"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4 (6%)</w:t>
            </w:r>
          </w:p>
        </w:tc>
        <w:tc>
          <w:tcPr>
            <w:tcW w:w="1175" w:type="dxa"/>
          </w:tcPr>
          <w:p w14:paraId="2DB8E967"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43 (63%)</w:t>
            </w:r>
          </w:p>
        </w:tc>
        <w:tc>
          <w:tcPr>
            <w:tcW w:w="1288" w:type="dxa"/>
          </w:tcPr>
          <w:p w14:paraId="29DEE93D"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14 (21%)</w:t>
            </w:r>
          </w:p>
        </w:tc>
        <w:tc>
          <w:tcPr>
            <w:tcW w:w="1288" w:type="dxa"/>
          </w:tcPr>
          <w:p w14:paraId="67A69450"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2 (3%)</w:t>
            </w:r>
          </w:p>
        </w:tc>
        <w:tc>
          <w:tcPr>
            <w:tcW w:w="1288" w:type="dxa"/>
          </w:tcPr>
          <w:p w14:paraId="7C94A204"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5 (7%)</w:t>
            </w:r>
          </w:p>
        </w:tc>
        <w:tc>
          <w:tcPr>
            <w:tcW w:w="1288" w:type="dxa"/>
          </w:tcPr>
          <w:p w14:paraId="6D18754D"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68</w:t>
            </w:r>
          </w:p>
        </w:tc>
      </w:tr>
      <w:tr w:rsidR="00B17926" w:rsidRPr="00DD44CF" w14:paraId="14E38A42" w14:textId="77777777" w:rsidTr="00B17926">
        <w:trPr>
          <w:divId w:val="1915891284"/>
        </w:trPr>
        <w:tc>
          <w:tcPr>
            <w:tcW w:w="1555" w:type="dxa"/>
          </w:tcPr>
          <w:p w14:paraId="17D25D53" w14:textId="6B171EC7" w:rsidR="00B17926" w:rsidRPr="00DD44CF" w:rsidRDefault="00B17926" w:rsidP="000A47AE">
            <w:pPr>
              <w:rPr>
                <w:sz w:val="20"/>
                <w:szCs w:val="20"/>
              </w:rPr>
            </w:pPr>
            <w:r w:rsidRPr="00DD44CF">
              <w:rPr>
                <w:sz w:val="20"/>
                <w:szCs w:val="20"/>
              </w:rPr>
              <w:t xml:space="preserve">Allied </w:t>
            </w:r>
            <w:r w:rsidR="00DC7AB7">
              <w:rPr>
                <w:sz w:val="20"/>
                <w:szCs w:val="20"/>
              </w:rPr>
              <w:t>health professional</w:t>
            </w:r>
          </w:p>
        </w:tc>
        <w:tc>
          <w:tcPr>
            <w:tcW w:w="1134" w:type="dxa"/>
          </w:tcPr>
          <w:p w14:paraId="7C52EC1A"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12 (25%)</w:t>
            </w:r>
          </w:p>
        </w:tc>
        <w:tc>
          <w:tcPr>
            <w:tcW w:w="1175" w:type="dxa"/>
          </w:tcPr>
          <w:p w14:paraId="14388F12"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29 (59%)</w:t>
            </w:r>
          </w:p>
        </w:tc>
        <w:tc>
          <w:tcPr>
            <w:tcW w:w="1288" w:type="dxa"/>
          </w:tcPr>
          <w:p w14:paraId="58D54F20"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5 (10%)</w:t>
            </w:r>
          </w:p>
        </w:tc>
        <w:tc>
          <w:tcPr>
            <w:tcW w:w="1288" w:type="dxa"/>
          </w:tcPr>
          <w:p w14:paraId="0A495133"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3 (6%)</w:t>
            </w:r>
          </w:p>
        </w:tc>
        <w:tc>
          <w:tcPr>
            <w:tcW w:w="1288" w:type="dxa"/>
          </w:tcPr>
          <w:p w14:paraId="39BCCB73"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0 (0%)</w:t>
            </w:r>
          </w:p>
        </w:tc>
        <w:tc>
          <w:tcPr>
            <w:tcW w:w="1288" w:type="dxa"/>
          </w:tcPr>
          <w:p w14:paraId="1AD5BDEA"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49</w:t>
            </w:r>
          </w:p>
        </w:tc>
      </w:tr>
      <w:tr w:rsidR="00B17926" w:rsidRPr="00DD44CF" w14:paraId="5D4E34AE" w14:textId="77777777" w:rsidTr="00B17926">
        <w:trPr>
          <w:divId w:val="1915891284"/>
        </w:trPr>
        <w:tc>
          <w:tcPr>
            <w:tcW w:w="1555" w:type="dxa"/>
          </w:tcPr>
          <w:p w14:paraId="783BCE0E" w14:textId="77777777" w:rsidR="00B17926" w:rsidRPr="00DD44CF" w:rsidRDefault="00B17926" w:rsidP="000A47AE">
            <w:pPr>
              <w:rPr>
                <w:sz w:val="20"/>
                <w:szCs w:val="20"/>
              </w:rPr>
            </w:pPr>
            <w:r w:rsidRPr="00DD44CF">
              <w:rPr>
                <w:sz w:val="20"/>
                <w:szCs w:val="20"/>
              </w:rPr>
              <w:t>Other staff</w:t>
            </w:r>
          </w:p>
        </w:tc>
        <w:tc>
          <w:tcPr>
            <w:tcW w:w="1134" w:type="dxa"/>
          </w:tcPr>
          <w:p w14:paraId="295CE540"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39 (12%)</w:t>
            </w:r>
          </w:p>
        </w:tc>
        <w:tc>
          <w:tcPr>
            <w:tcW w:w="1175" w:type="dxa"/>
          </w:tcPr>
          <w:p w14:paraId="6BD38CF5"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156 (47%)</w:t>
            </w:r>
          </w:p>
        </w:tc>
        <w:tc>
          <w:tcPr>
            <w:tcW w:w="1288" w:type="dxa"/>
          </w:tcPr>
          <w:p w14:paraId="2DD38280"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105 (31%)</w:t>
            </w:r>
          </w:p>
        </w:tc>
        <w:tc>
          <w:tcPr>
            <w:tcW w:w="1288" w:type="dxa"/>
          </w:tcPr>
          <w:p w14:paraId="264226C4"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4 (1%)</w:t>
            </w:r>
          </w:p>
        </w:tc>
        <w:tc>
          <w:tcPr>
            <w:tcW w:w="1288" w:type="dxa"/>
          </w:tcPr>
          <w:p w14:paraId="52D604DE"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32 (10%)</w:t>
            </w:r>
          </w:p>
        </w:tc>
        <w:tc>
          <w:tcPr>
            <w:tcW w:w="1288" w:type="dxa"/>
          </w:tcPr>
          <w:p w14:paraId="7785A66A"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336</w:t>
            </w:r>
          </w:p>
        </w:tc>
      </w:tr>
      <w:tr w:rsidR="00B17926" w:rsidRPr="00DD44CF" w14:paraId="19D849EA" w14:textId="77777777" w:rsidTr="00B17926">
        <w:trPr>
          <w:divId w:val="1915891284"/>
        </w:trPr>
        <w:tc>
          <w:tcPr>
            <w:tcW w:w="1555" w:type="dxa"/>
            <w:shd w:val="clear" w:color="auto" w:fill="DAEEF3" w:themeFill="accent5" w:themeFillTint="33"/>
          </w:tcPr>
          <w:p w14:paraId="1C47E0F0" w14:textId="77777777" w:rsidR="00B17926" w:rsidRPr="00DD44CF" w:rsidRDefault="00B17926" w:rsidP="000A47AE">
            <w:pPr>
              <w:rPr>
                <w:sz w:val="20"/>
                <w:szCs w:val="20"/>
              </w:rPr>
            </w:pPr>
            <w:r w:rsidRPr="00DD44CF">
              <w:rPr>
                <w:sz w:val="20"/>
                <w:szCs w:val="20"/>
              </w:rPr>
              <w:t>Cognitive Impairment</w:t>
            </w:r>
          </w:p>
        </w:tc>
        <w:tc>
          <w:tcPr>
            <w:tcW w:w="1134" w:type="dxa"/>
            <w:shd w:val="clear" w:color="auto" w:fill="DAEEF3" w:themeFill="accent5" w:themeFillTint="33"/>
          </w:tcPr>
          <w:p w14:paraId="0C8D15FB" w14:textId="77777777" w:rsidR="00B17926" w:rsidRPr="00DD44CF" w:rsidRDefault="00B17926" w:rsidP="000A47AE">
            <w:pPr>
              <w:jc w:val="center"/>
              <w:rPr>
                <w:rFonts w:eastAsia="Times New Roman" w:cs="Arial"/>
                <w:color w:val="000000"/>
                <w:sz w:val="20"/>
                <w:szCs w:val="20"/>
              </w:rPr>
            </w:pPr>
          </w:p>
        </w:tc>
        <w:tc>
          <w:tcPr>
            <w:tcW w:w="1175" w:type="dxa"/>
            <w:shd w:val="clear" w:color="auto" w:fill="DAEEF3" w:themeFill="accent5" w:themeFillTint="33"/>
          </w:tcPr>
          <w:p w14:paraId="1B90F9E7" w14:textId="77777777" w:rsidR="00B17926" w:rsidRPr="00DD44CF" w:rsidRDefault="00B17926" w:rsidP="000A47AE">
            <w:pPr>
              <w:jc w:val="center"/>
              <w:rPr>
                <w:rFonts w:eastAsia="Times New Roman" w:cs="Arial"/>
                <w:color w:val="000000"/>
                <w:sz w:val="20"/>
                <w:szCs w:val="20"/>
              </w:rPr>
            </w:pPr>
          </w:p>
        </w:tc>
        <w:tc>
          <w:tcPr>
            <w:tcW w:w="1288" w:type="dxa"/>
            <w:shd w:val="clear" w:color="auto" w:fill="DAEEF3" w:themeFill="accent5" w:themeFillTint="33"/>
          </w:tcPr>
          <w:p w14:paraId="23CFE3D8" w14:textId="77777777" w:rsidR="00B17926" w:rsidRPr="00DD44CF" w:rsidRDefault="00B17926" w:rsidP="000A47AE">
            <w:pPr>
              <w:jc w:val="center"/>
              <w:rPr>
                <w:rFonts w:eastAsia="Times New Roman" w:cs="Arial"/>
                <w:color w:val="000000"/>
                <w:sz w:val="20"/>
                <w:szCs w:val="20"/>
              </w:rPr>
            </w:pPr>
          </w:p>
        </w:tc>
        <w:tc>
          <w:tcPr>
            <w:tcW w:w="1288" w:type="dxa"/>
            <w:shd w:val="clear" w:color="auto" w:fill="DAEEF3" w:themeFill="accent5" w:themeFillTint="33"/>
          </w:tcPr>
          <w:p w14:paraId="79648F89" w14:textId="77777777" w:rsidR="00B17926" w:rsidRPr="00DD44CF" w:rsidRDefault="00B17926" w:rsidP="000A47AE">
            <w:pPr>
              <w:jc w:val="center"/>
              <w:rPr>
                <w:rFonts w:eastAsia="Times New Roman" w:cs="Arial"/>
                <w:color w:val="000000"/>
                <w:sz w:val="20"/>
                <w:szCs w:val="20"/>
              </w:rPr>
            </w:pPr>
          </w:p>
        </w:tc>
        <w:tc>
          <w:tcPr>
            <w:tcW w:w="1288" w:type="dxa"/>
            <w:shd w:val="clear" w:color="auto" w:fill="DAEEF3" w:themeFill="accent5" w:themeFillTint="33"/>
          </w:tcPr>
          <w:p w14:paraId="21E37235" w14:textId="77777777" w:rsidR="00B17926" w:rsidRPr="00DD44CF" w:rsidRDefault="00B17926" w:rsidP="000A47AE">
            <w:pPr>
              <w:jc w:val="center"/>
              <w:rPr>
                <w:rFonts w:eastAsia="Times New Roman" w:cs="Arial"/>
                <w:color w:val="000000"/>
                <w:sz w:val="20"/>
                <w:szCs w:val="20"/>
              </w:rPr>
            </w:pPr>
          </w:p>
        </w:tc>
        <w:tc>
          <w:tcPr>
            <w:tcW w:w="1288" w:type="dxa"/>
            <w:shd w:val="clear" w:color="auto" w:fill="DAEEF3" w:themeFill="accent5" w:themeFillTint="33"/>
          </w:tcPr>
          <w:p w14:paraId="2DA12369" w14:textId="77777777" w:rsidR="00B17926" w:rsidRPr="00DD44CF" w:rsidRDefault="00B17926" w:rsidP="000A47AE">
            <w:pPr>
              <w:jc w:val="center"/>
              <w:rPr>
                <w:rFonts w:eastAsia="Times New Roman" w:cs="Arial"/>
                <w:color w:val="000000"/>
                <w:sz w:val="20"/>
                <w:szCs w:val="20"/>
              </w:rPr>
            </w:pPr>
          </w:p>
        </w:tc>
      </w:tr>
      <w:tr w:rsidR="00B17926" w:rsidRPr="00DD44CF" w14:paraId="7F096B16" w14:textId="77777777" w:rsidTr="00B17926">
        <w:trPr>
          <w:divId w:val="1915891284"/>
        </w:trPr>
        <w:tc>
          <w:tcPr>
            <w:tcW w:w="1555" w:type="dxa"/>
          </w:tcPr>
          <w:p w14:paraId="19985686" w14:textId="77777777" w:rsidR="00B17926" w:rsidRPr="00DD44CF" w:rsidRDefault="00B17926" w:rsidP="000A47AE">
            <w:pPr>
              <w:rPr>
                <w:sz w:val="20"/>
                <w:szCs w:val="20"/>
              </w:rPr>
            </w:pPr>
            <w:r w:rsidRPr="00DD44CF">
              <w:rPr>
                <w:sz w:val="20"/>
                <w:szCs w:val="20"/>
              </w:rPr>
              <w:t>No</w:t>
            </w:r>
          </w:p>
        </w:tc>
        <w:tc>
          <w:tcPr>
            <w:tcW w:w="1134" w:type="dxa"/>
          </w:tcPr>
          <w:p w14:paraId="043C1538"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133 (13%)</w:t>
            </w:r>
          </w:p>
        </w:tc>
        <w:tc>
          <w:tcPr>
            <w:tcW w:w="1175" w:type="dxa"/>
          </w:tcPr>
          <w:p w14:paraId="1006C436"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612 (60%)</w:t>
            </w:r>
          </w:p>
        </w:tc>
        <w:tc>
          <w:tcPr>
            <w:tcW w:w="1288" w:type="dxa"/>
          </w:tcPr>
          <w:p w14:paraId="6EA20E4D"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193 (19%)</w:t>
            </w:r>
          </w:p>
        </w:tc>
        <w:tc>
          <w:tcPr>
            <w:tcW w:w="1288" w:type="dxa"/>
          </w:tcPr>
          <w:p w14:paraId="5A0B9323"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42 (4%)</w:t>
            </w:r>
          </w:p>
        </w:tc>
        <w:tc>
          <w:tcPr>
            <w:tcW w:w="1288" w:type="dxa"/>
          </w:tcPr>
          <w:p w14:paraId="0918869A"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45 (4%)</w:t>
            </w:r>
          </w:p>
        </w:tc>
        <w:tc>
          <w:tcPr>
            <w:tcW w:w="1288" w:type="dxa"/>
          </w:tcPr>
          <w:p w14:paraId="0CF0701B"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1025</w:t>
            </w:r>
          </w:p>
        </w:tc>
      </w:tr>
      <w:tr w:rsidR="00B17926" w:rsidRPr="00DD44CF" w14:paraId="721794F6" w14:textId="77777777" w:rsidTr="00B17926">
        <w:trPr>
          <w:divId w:val="1915891284"/>
        </w:trPr>
        <w:tc>
          <w:tcPr>
            <w:tcW w:w="1555" w:type="dxa"/>
          </w:tcPr>
          <w:p w14:paraId="275E1C6F" w14:textId="77777777" w:rsidR="00B17926" w:rsidRPr="00DD44CF" w:rsidRDefault="00B17926" w:rsidP="000A47AE">
            <w:pPr>
              <w:rPr>
                <w:sz w:val="20"/>
                <w:szCs w:val="20"/>
              </w:rPr>
            </w:pPr>
            <w:r w:rsidRPr="00DD44CF">
              <w:rPr>
                <w:sz w:val="20"/>
                <w:szCs w:val="20"/>
              </w:rPr>
              <w:t>Yes</w:t>
            </w:r>
          </w:p>
        </w:tc>
        <w:tc>
          <w:tcPr>
            <w:tcW w:w="1134" w:type="dxa"/>
          </w:tcPr>
          <w:p w14:paraId="6075A876"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71 (13%)</w:t>
            </w:r>
          </w:p>
        </w:tc>
        <w:tc>
          <w:tcPr>
            <w:tcW w:w="1175" w:type="dxa"/>
          </w:tcPr>
          <w:p w14:paraId="1CCCA46A"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315 (60%)</w:t>
            </w:r>
          </w:p>
        </w:tc>
        <w:tc>
          <w:tcPr>
            <w:tcW w:w="1288" w:type="dxa"/>
          </w:tcPr>
          <w:p w14:paraId="71CC3F69"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74 (14%)</w:t>
            </w:r>
          </w:p>
        </w:tc>
        <w:tc>
          <w:tcPr>
            <w:tcW w:w="1288" w:type="dxa"/>
          </w:tcPr>
          <w:p w14:paraId="43A9953B"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17 (3%)</w:t>
            </w:r>
          </w:p>
        </w:tc>
        <w:tc>
          <w:tcPr>
            <w:tcW w:w="1288" w:type="dxa"/>
          </w:tcPr>
          <w:p w14:paraId="5BCEDC76"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52 (10%)</w:t>
            </w:r>
          </w:p>
        </w:tc>
        <w:tc>
          <w:tcPr>
            <w:tcW w:w="1288" w:type="dxa"/>
          </w:tcPr>
          <w:p w14:paraId="29EC8784" w14:textId="77777777" w:rsidR="00B17926" w:rsidRPr="00DD44CF" w:rsidRDefault="00B17926" w:rsidP="000A47AE">
            <w:pPr>
              <w:jc w:val="center"/>
              <w:rPr>
                <w:rFonts w:eastAsia="Times New Roman" w:cs="Arial"/>
                <w:color w:val="000000"/>
                <w:sz w:val="20"/>
                <w:szCs w:val="20"/>
              </w:rPr>
            </w:pPr>
            <w:r w:rsidRPr="00DD44CF">
              <w:rPr>
                <w:rFonts w:eastAsia="Times New Roman" w:cs="Arial"/>
                <w:color w:val="000000"/>
                <w:sz w:val="20"/>
                <w:szCs w:val="20"/>
              </w:rPr>
              <w:t>529</w:t>
            </w:r>
          </w:p>
        </w:tc>
      </w:tr>
      <w:tr w:rsidR="00B17926" w:rsidRPr="00DD44CF" w14:paraId="0CEA2442" w14:textId="77777777" w:rsidTr="00B17926">
        <w:trPr>
          <w:divId w:val="1915891284"/>
        </w:trPr>
        <w:tc>
          <w:tcPr>
            <w:tcW w:w="1555" w:type="dxa"/>
          </w:tcPr>
          <w:p w14:paraId="0DBAA28C" w14:textId="77777777" w:rsidR="00B17926" w:rsidRPr="00DD44CF" w:rsidRDefault="00B17926" w:rsidP="000A47AE">
            <w:pPr>
              <w:rPr>
                <w:b/>
                <w:bCs/>
                <w:sz w:val="20"/>
                <w:szCs w:val="20"/>
              </w:rPr>
            </w:pPr>
            <w:r w:rsidRPr="00DD44CF">
              <w:rPr>
                <w:b/>
                <w:bCs/>
                <w:sz w:val="20"/>
                <w:szCs w:val="20"/>
              </w:rPr>
              <w:t>Total</w:t>
            </w:r>
          </w:p>
        </w:tc>
        <w:tc>
          <w:tcPr>
            <w:tcW w:w="1134" w:type="dxa"/>
          </w:tcPr>
          <w:p w14:paraId="4BFA8E07" w14:textId="77777777" w:rsidR="00B17926" w:rsidRPr="00DD44CF" w:rsidRDefault="00B17926" w:rsidP="000A47AE">
            <w:pPr>
              <w:jc w:val="center"/>
              <w:rPr>
                <w:rFonts w:eastAsia="Times New Roman" w:cs="Arial"/>
                <w:b/>
                <w:bCs/>
                <w:color w:val="000000"/>
                <w:sz w:val="20"/>
                <w:szCs w:val="20"/>
              </w:rPr>
            </w:pPr>
            <w:r w:rsidRPr="00DD44CF">
              <w:rPr>
                <w:rFonts w:eastAsia="Times New Roman" w:cs="Arial"/>
                <w:b/>
                <w:bCs/>
                <w:color w:val="000000"/>
                <w:sz w:val="20"/>
                <w:szCs w:val="20"/>
              </w:rPr>
              <w:t>204 (13%)</w:t>
            </w:r>
          </w:p>
        </w:tc>
        <w:tc>
          <w:tcPr>
            <w:tcW w:w="1175" w:type="dxa"/>
          </w:tcPr>
          <w:p w14:paraId="66279315" w14:textId="77777777" w:rsidR="00B17926" w:rsidRPr="00DD44CF" w:rsidRDefault="00B17926" w:rsidP="000A47AE">
            <w:pPr>
              <w:jc w:val="center"/>
              <w:rPr>
                <w:rFonts w:eastAsia="Times New Roman" w:cs="Arial"/>
                <w:b/>
                <w:bCs/>
                <w:color w:val="000000"/>
                <w:sz w:val="20"/>
                <w:szCs w:val="20"/>
              </w:rPr>
            </w:pPr>
            <w:r w:rsidRPr="00DD44CF">
              <w:rPr>
                <w:rFonts w:eastAsia="Times New Roman" w:cs="Arial"/>
                <w:b/>
                <w:bCs/>
                <w:color w:val="000000"/>
                <w:sz w:val="20"/>
                <w:szCs w:val="20"/>
              </w:rPr>
              <w:t>927 (60%)</w:t>
            </w:r>
          </w:p>
        </w:tc>
        <w:tc>
          <w:tcPr>
            <w:tcW w:w="1288" w:type="dxa"/>
          </w:tcPr>
          <w:p w14:paraId="17428617" w14:textId="77777777" w:rsidR="00B17926" w:rsidRPr="00DD44CF" w:rsidRDefault="00B17926" w:rsidP="000A47AE">
            <w:pPr>
              <w:jc w:val="center"/>
              <w:rPr>
                <w:rFonts w:eastAsia="Times New Roman" w:cs="Arial"/>
                <w:b/>
                <w:bCs/>
                <w:color w:val="000000"/>
                <w:sz w:val="20"/>
                <w:szCs w:val="20"/>
              </w:rPr>
            </w:pPr>
            <w:r w:rsidRPr="00DD44CF">
              <w:rPr>
                <w:rFonts w:eastAsia="Times New Roman" w:cs="Arial"/>
                <w:b/>
                <w:bCs/>
                <w:color w:val="000000"/>
                <w:sz w:val="20"/>
                <w:szCs w:val="20"/>
              </w:rPr>
              <w:t>267 (17%)</w:t>
            </w:r>
          </w:p>
        </w:tc>
        <w:tc>
          <w:tcPr>
            <w:tcW w:w="1288" w:type="dxa"/>
          </w:tcPr>
          <w:p w14:paraId="6E1EE4B0" w14:textId="77777777" w:rsidR="00B17926" w:rsidRPr="00DD44CF" w:rsidRDefault="00B17926" w:rsidP="000A47AE">
            <w:pPr>
              <w:jc w:val="center"/>
              <w:rPr>
                <w:rFonts w:eastAsia="Times New Roman" w:cs="Arial"/>
                <w:b/>
                <w:bCs/>
                <w:color w:val="000000"/>
                <w:sz w:val="20"/>
                <w:szCs w:val="20"/>
              </w:rPr>
            </w:pPr>
            <w:r w:rsidRPr="00DD44CF">
              <w:rPr>
                <w:rFonts w:eastAsia="Times New Roman" w:cs="Arial"/>
                <w:b/>
                <w:bCs/>
                <w:color w:val="000000"/>
                <w:sz w:val="20"/>
                <w:szCs w:val="20"/>
              </w:rPr>
              <w:t>59 (4%)</w:t>
            </w:r>
          </w:p>
        </w:tc>
        <w:tc>
          <w:tcPr>
            <w:tcW w:w="1288" w:type="dxa"/>
          </w:tcPr>
          <w:p w14:paraId="323826F4" w14:textId="77777777" w:rsidR="00B17926" w:rsidRPr="00DD44CF" w:rsidRDefault="00B17926" w:rsidP="000A47AE">
            <w:pPr>
              <w:jc w:val="center"/>
              <w:rPr>
                <w:rFonts w:eastAsia="Times New Roman" w:cs="Arial"/>
                <w:b/>
                <w:bCs/>
                <w:color w:val="000000"/>
                <w:sz w:val="20"/>
                <w:szCs w:val="20"/>
              </w:rPr>
            </w:pPr>
            <w:r w:rsidRPr="00DD44CF">
              <w:rPr>
                <w:rFonts w:eastAsia="Times New Roman" w:cs="Arial"/>
                <w:b/>
                <w:bCs/>
                <w:color w:val="000000"/>
                <w:sz w:val="20"/>
                <w:szCs w:val="20"/>
              </w:rPr>
              <w:t>97 (6%)</w:t>
            </w:r>
          </w:p>
        </w:tc>
        <w:tc>
          <w:tcPr>
            <w:tcW w:w="1288" w:type="dxa"/>
          </w:tcPr>
          <w:p w14:paraId="2F3B3196" w14:textId="77777777" w:rsidR="00B17926" w:rsidRPr="00DD44CF" w:rsidRDefault="00B17926" w:rsidP="000A47AE">
            <w:pPr>
              <w:jc w:val="center"/>
              <w:rPr>
                <w:rFonts w:eastAsia="Times New Roman" w:cs="Arial"/>
                <w:b/>
                <w:bCs/>
                <w:color w:val="000000"/>
                <w:sz w:val="20"/>
                <w:szCs w:val="20"/>
              </w:rPr>
            </w:pPr>
            <w:r w:rsidRPr="00DD44CF">
              <w:rPr>
                <w:rFonts w:eastAsia="Times New Roman" w:cs="Arial"/>
                <w:b/>
                <w:bCs/>
                <w:color w:val="000000"/>
                <w:sz w:val="20"/>
                <w:szCs w:val="20"/>
              </w:rPr>
              <w:t>1554</w:t>
            </w:r>
          </w:p>
        </w:tc>
      </w:tr>
      <w:tr w:rsidR="00B17926" w:rsidRPr="00DD44CF" w14:paraId="37B6157A" w14:textId="77777777" w:rsidTr="00B17926">
        <w:trPr>
          <w:divId w:val="1915891284"/>
        </w:trPr>
        <w:tc>
          <w:tcPr>
            <w:tcW w:w="1555" w:type="dxa"/>
            <w:shd w:val="clear" w:color="auto" w:fill="DBE5F1" w:themeFill="accent1" w:themeFillTint="33"/>
          </w:tcPr>
          <w:p w14:paraId="0D7DA683" w14:textId="77777777" w:rsidR="00B17926" w:rsidRPr="00DD44CF" w:rsidRDefault="00B17926" w:rsidP="000A47AE">
            <w:pPr>
              <w:rPr>
                <w:sz w:val="20"/>
                <w:szCs w:val="20"/>
              </w:rPr>
            </w:pPr>
            <w:r w:rsidRPr="00DD44CF">
              <w:rPr>
                <w:sz w:val="20"/>
                <w:szCs w:val="20"/>
              </w:rPr>
              <w:t>Length of interaction</w:t>
            </w:r>
          </w:p>
        </w:tc>
        <w:tc>
          <w:tcPr>
            <w:tcW w:w="1134" w:type="dxa"/>
            <w:shd w:val="clear" w:color="auto" w:fill="DBE5F1" w:themeFill="accent1" w:themeFillTint="33"/>
          </w:tcPr>
          <w:p w14:paraId="28699B5A" w14:textId="77777777" w:rsidR="00B17926" w:rsidRPr="00DD44CF" w:rsidRDefault="00B17926" w:rsidP="000A47AE">
            <w:pPr>
              <w:jc w:val="center"/>
              <w:rPr>
                <w:rFonts w:eastAsia="Times New Roman" w:cs="Arial"/>
                <w:color w:val="000000"/>
                <w:sz w:val="20"/>
                <w:szCs w:val="20"/>
              </w:rPr>
            </w:pPr>
          </w:p>
        </w:tc>
        <w:tc>
          <w:tcPr>
            <w:tcW w:w="1175" w:type="dxa"/>
            <w:shd w:val="clear" w:color="auto" w:fill="DBE5F1" w:themeFill="accent1" w:themeFillTint="33"/>
          </w:tcPr>
          <w:p w14:paraId="7679822A" w14:textId="77777777" w:rsidR="00B17926" w:rsidRPr="00DD44CF" w:rsidRDefault="00B17926" w:rsidP="000A47AE">
            <w:pPr>
              <w:jc w:val="center"/>
              <w:rPr>
                <w:rFonts w:eastAsia="Times New Roman" w:cs="Arial"/>
                <w:b/>
                <w:bCs/>
                <w:color w:val="000000"/>
                <w:sz w:val="20"/>
                <w:szCs w:val="20"/>
              </w:rPr>
            </w:pPr>
          </w:p>
        </w:tc>
        <w:tc>
          <w:tcPr>
            <w:tcW w:w="1288" w:type="dxa"/>
            <w:shd w:val="clear" w:color="auto" w:fill="DBE5F1" w:themeFill="accent1" w:themeFillTint="33"/>
          </w:tcPr>
          <w:p w14:paraId="2E83877C" w14:textId="77777777" w:rsidR="00B17926" w:rsidRPr="00DD44CF" w:rsidRDefault="00B17926" w:rsidP="000A47AE">
            <w:pPr>
              <w:jc w:val="center"/>
              <w:rPr>
                <w:rFonts w:eastAsia="Times New Roman" w:cs="Arial"/>
                <w:b/>
                <w:bCs/>
                <w:color w:val="000000"/>
                <w:sz w:val="20"/>
                <w:szCs w:val="20"/>
              </w:rPr>
            </w:pPr>
          </w:p>
        </w:tc>
        <w:tc>
          <w:tcPr>
            <w:tcW w:w="1288" w:type="dxa"/>
            <w:shd w:val="clear" w:color="auto" w:fill="DBE5F1" w:themeFill="accent1" w:themeFillTint="33"/>
          </w:tcPr>
          <w:p w14:paraId="06F16E33" w14:textId="77777777" w:rsidR="00B17926" w:rsidRPr="00DD44CF" w:rsidRDefault="00B17926" w:rsidP="000A47AE">
            <w:pPr>
              <w:jc w:val="center"/>
              <w:rPr>
                <w:rFonts w:eastAsia="Times New Roman" w:cs="Arial"/>
                <w:b/>
                <w:bCs/>
                <w:color w:val="000000"/>
                <w:sz w:val="20"/>
                <w:szCs w:val="20"/>
              </w:rPr>
            </w:pPr>
          </w:p>
        </w:tc>
        <w:tc>
          <w:tcPr>
            <w:tcW w:w="1288" w:type="dxa"/>
            <w:shd w:val="clear" w:color="auto" w:fill="DBE5F1" w:themeFill="accent1" w:themeFillTint="33"/>
          </w:tcPr>
          <w:p w14:paraId="771D5F4F" w14:textId="77777777" w:rsidR="00B17926" w:rsidRPr="00DD44CF" w:rsidRDefault="00B17926" w:rsidP="000A47AE">
            <w:pPr>
              <w:jc w:val="center"/>
              <w:rPr>
                <w:rFonts w:eastAsia="Times New Roman" w:cs="Arial"/>
                <w:b/>
                <w:bCs/>
                <w:color w:val="000000"/>
                <w:sz w:val="20"/>
                <w:szCs w:val="20"/>
              </w:rPr>
            </w:pPr>
          </w:p>
        </w:tc>
        <w:tc>
          <w:tcPr>
            <w:tcW w:w="1288" w:type="dxa"/>
            <w:shd w:val="clear" w:color="auto" w:fill="DBE5F1" w:themeFill="accent1" w:themeFillTint="33"/>
          </w:tcPr>
          <w:p w14:paraId="3CDE5029" w14:textId="77777777" w:rsidR="00B17926" w:rsidRPr="00DD44CF" w:rsidRDefault="00B17926" w:rsidP="000A47AE">
            <w:pPr>
              <w:jc w:val="center"/>
              <w:rPr>
                <w:rFonts w:eastAsia="Times New Roman" w:cs="Arial"/>
                <w:b/>
                <w:bCs/>
                <w:color w:val="000000"/>
                <w:sz w:val="20"/>
                <w:szCs w:val="20"/>
              </w:rPr>
            </w:pPr>
          </w:p>
        </w:tc>
      </w:tr>
      <w:tr w:rsidR="00B17926" w:rsidRPr="00DD44CF" w14:paraId="153F2134" w14:textId="77777777" w:rsidTr="00B17926">
        <w:trPr>
          <w:divId w:val="1915891284"/>
        </w:trPr>
        <w:tc>
          <w:tcPr>
            <w:tcW w:w="1555" w:type="dxa"/>
          </w:tcPr>
          <w:p w14:paraId="5F62C854" w14:textId="77777777" w:rsidR="00B17926" w:rsidRPr="00DD44CF" w:rsidRDefault="00B17926" w:rsidP="000A47AE">
            <w:pPr>
              <w:rPr>
                <w:b/>
                <w:bCs/>
                <w:sz w:val="20"/>
                <w:szCs w:val="20"/>
              </w:rPr>
            </w:pPr>
            <w:r w:rsidRPr="00DD44CF">
              <w:rPr>
                <w:b/>
                <w:bCs/>
                <w:sz w:val="20"/>
                <w:szCs w:val="20"/>
              </w:rPr>
              <w:t>Less than 5 seconds</w:t>
            </w:r>
          </w:p>
        </w:tc>
        <w:tc>
          <w:tcPr>
            <w:tcW w:w="1134" w:type="dxa"/>
          </w:tcPr>
          <w:p w14:paraId="6BAC24A4" w14:textId="77777777" w:rsidR="00B17926" w:rsidRPr="00DD44CF" w:rsidRDefault="00B17926" w:rsidP="000A47AE">
            <w:pPr>
              <w:jc w:val="center"/>
              <w:rPr>
                <w:sz w:val="20"/>
                <w:szCs w:val="20"/>
              </w:rPr>
            </w:pPr>
            <w:r w:rsidRPr="00DD44CF">
              <w:rPr>
                <w:sz w:val="20"/>
                <w:szCs w:val="20"/>
              </w:rPr>
              <w:t xml:space="preserve">14 </w:t>
            </w:r>
            <w:r w:rsidRPr="00DD44CF">
              <w:rPr>
                <w:rFonts w:eastAsia="Times New Roman" w:cs="Arial"/>
                <w:color w:val="000000"/>
                <w:sz w:val="20"/>
                <w:szCs w:val="20"/>
              </w:rPr>
              <w:t>(10%)</w:t>
            </w:r>
          </w:p>
        </w:tc>
        <w:tc>
          <w:tcPr>
            <w:tcW w:w="1175" w:type="dxa"/>
          </w:tcPr>
          <w:p w14:paraId="46069785" w14:textId="77777777" w:rsidR="00B17926" w:rsidRPr="00DD44CF" w:rsidRDefault="00B17926" w:rsidP="000A47AE">
            <w:pPr>
              <w:jc w:val="center"/>
              <w:rPr>
                <w:sz w:val="20"/>
                <w:szCs w:val="20"/>
              </w:rPr>
            </w:pPr>
            <w:r w:rsidRPr="00DD44CF">
              <w:rPr>
                <w:sz w:val="20"/>
                <w:szCs w:val="20"/>
              </w:rPr>
              <w:t xml:space="preserve">46 </w:t>
            </w:r>
            <w:r w:rsidRPr="00DD44CF">
              <w:rPr>
                <w:rFonts w:eastAsia="Times New Roman" w:cs="Arial"/>
                <w:color w:val="000000"/>
                <w:sz w:val="20"/>
                <w:szCs w:val="20"/>
              </w:rPr>
              <w:t>(33%)</w:t>
            </w:r>
          </w:p>
        </w:tc>
        <w:tc>
          <w:tcPr>
            <w:tcW w:w="1288" w:type="dxa"/>
          </w:tcPr>
          <w:p w14:paraId="05EFB18C" w14:textId="77777777" w:rsidR="00B17926" w:rsidRPr="00DD44CF" w:rsidRDefault="00B17926" w:rsidP="000A47AE">
            <w:pPr>
              <w:jc w:val="center"/>
              <w:rPr>
                <w:sz w:val="20"/>
                <w:szCs w:val="20"/>
              </w:rPr>
            </w:pPr>
            <w:r w:rsidRPr="00DD44CF">
              <w:rPr>
                <w:sz w:val="20"/>
                <w:szCs w:val="20"/>
              </w:rPr>
              <w:t xml:space="preserve">74 </w:t>
            </w:r>
            <w:r w:rsidRPr="00DD44CF">
              <w:rPr>
                <w:rFonts w:eastAsia="Times New Roman" w:cs="Arial"/>
                <w:color w:val="000000"/>
                <w:sz w:val="20"/>
                <w:szCs w:val="20"/>
              </w:rPr>
              <w:t>(53%)</w:t>
            </w:r>
          </w:p>
        </w:tc>
        <w:tc>
          <w:tcPr>
            <w:tcW w:w="1288" w:type="dxa"/>
          </w:tcPr>
          <w:p w14:paraId="577AEE5F" w14:textId="77777777" w:rsidR="00B17926" w:rsidRPr="00DD44CF" w:rsidRDefault="00B17926" w:rsidP="000A47AE">
            <w:pPr>
              <w:jc w:val="center"/>
              <w:rPr>
                <w:sz w:val="20"/>
                <w:szCs w:val="20"/>
              </w:rPr>
            </w:pPr>
            <w:r w:rsidRPr="00DD44CF">
              <w:rPr>
                <w:sz w:val="20"/>
                <w:szCs w:val="20"/>
              </w:rPr>
              <w:t xml:space="preserve">1 </w:t>
            </w:r>
            <w:r w:rsidRPr="00DD44CF">
              <w:rPr>
                <w:rFonts w:eastAsia="Times New Roman" w:cs="Arial"/>
                <w:color w:val="000000"/>
                <w:sz w:val="20"/>
                <w:szCs w:val="20"/>
              </w:rPr>
              <w:t>(1%)</w:t>
            </w:r>
          </w:p>
        </w:tc>
        <w:tc>
          <w:tcPr>
            <w:tcW w:w="1288" w:type="dxa"/>
          </w:tcPr>
          <w:p w14:paraId="22179A4A" w14:textId="77777777" w:rsidR="00B17926" w:rsidRPr="00DD44CF" w:rsidRDefault="00B17926" w:rsidP="000A47AE">
            <w:pPr>
              <w:jc w:val="center"/>
              <w:rPr>
                <w:sz w:val="20"/>
                <w:szCs w:val="20"/>
              </w:rPr>
            </w:pPr>
            <w:r w:rsidRPr="00DD44CF">
              <w:rPr>
                <w:sz w:val="20"/>
                <w:szCs w:val="20"/>
              </w:rPr>
              <w:t xml:space="preserve">5 </w:t>
            </w:r>
            <w:r w:rsidRPr="00DD44CF">
              <w:rPr>
                <w:rFonts w:eastAsia="Times New Roman" w:cs="Arial"/>
                <w:color w:val="000000"/>
                <w:sz w:val="20"/>
                <w:szCs w:val="20"/>
              </w:rPr>
              <w:t>(4%)</w:t>
            </w:r>
          </w:p>
        </w:tc>
        <w:tc>
          <w:tcPr>
            <w:tcW w:w="1288" w:type="dxa"/>
          </w:tcPr>
          <w:p w14:paraId="7E86D24F" w14:textId="77777777" w:rsidR="00B17926" w:rsidRPr="00DD44CF" w:rsidRDefault="00B17926" w:rsidP="000A47AE">
            <w:pPr>
              <w:jc w:val="center"/>
              <w:rPr>
                <w:sz w:val="20"/>
                <w:szCs w:val="20"/>
              </w:rPr>
            </w:pPr>
            <w:r w:rsidRPr="00DD44CF">
              <w:rPr>
                <w:sz w:val="20"/>
                <w:szCs w:val="20"/>
              </w:rPr>
              <w:t>140</w:t>
            </w:r>
          </w:p>
        </w:tc>
      </w:tr>
      <w:tr w:rsidR="00B17926" w:rsidRPr="00DD44CF" w14:paraId="2453A1D1" w14:textId="77777777" w:rsidTr="00B17926">
        <w:trPr>
          <w:divId w:val="1915891284"/>
        </w:trPr>
        <w:tc>
          <w:tcPr>
            <w:tcW w:w="1555" w:type="dxa"/>
          </w:tcPr>
          <w:p w14:paraId="31E98F26" w14:textId="77777777" w:rsidR="00B17926" w:rsidRPr="00DD44CF" w:rsidRDefault="00B17926" w:rsidP="000A47AE">
            <w:pPr>
              <w:rPr>
                <w:b/>
                <w:bCs/>
                <w:sz w:val="20"/>
                <w:szCs w:val="20"/>
              </w:rPr>
            </w:pPr>
            <w:r w:rsidRPr="00DD44CF">
              <w:rPr>
                <w:b/>
                <w:bCs/>
                <w:sz w:val="20"/>
                <w:szCs w:val="20"/>
              </w:rPr>
              <w:t>5 seconds to &lt;1 minute</w:t>
            </w:r>
          </w:p>
        </w:tc>
        <w:tc>
          <w:tcPr>
            <w:tcW w:w="1134" w:type="dxa"/>
          </w:tcPr>
          <w:p w14:paraId="682574AD" w14:textId="77777777" w:rsidR="00B17926" w:rsidRPr="00DD44CF" w:rsidRDefault="00B17926" w:rsidP="000A47AE">
            <w:pPr>
              <w:jc w:val="center"/>
              <w:rPr>
                <w:sz w:val="20"/>
                <w:szCs w:val="20"/>
              </w:rPr>
            </w:pPr>
            <w:r w:rsidRPr="00DD44CF">
              <w:rPr>
                <w:sz w:val="20"/>
                <w:szCs w:val="20"/>
              </w:rPr>
              <w:t xml:space="preserve">64 </w:t>
            </w:r>
            <w:r w:rsidRPr="00DD44CF">
              <w:rPr>
                <w:rFonts w:eastAsia="Times New Roman" w:cs="Arial"/>
                <w:color w:val="000000"/>
                <w:sz w:val="20"/>
                <w:szCs w:val="20"/>
              </w:rPr>
              <w:t>(8%)</w:t>
            </w:r>
          </w:p>
        </w:tc>
        <w:tc>
          <w:tcPr>
            <w:tcW w:w="1175" w:type="dxa"/>
          </w:tcPr>
          <w:p w14:paraId="7FFA02CF" w14:textId="77777777" w:rsidR="00B17926" w:rsidRPr="00DD44CF" w:rsidRDefault="00B17926" w:rsidP="000A47AE">
            <w:pPr>
              <w:jc w:val="center"/>
              <w:rPr>
                <w:sz w:val="20"/>
                <w:szCs w:val="20"/>
              </w:rPr>
            </w:pPr>
            <w:r w:rsidRPr="00DD44CF">
              <w:rPr>
                <w:sz w:val="20"/>
                <w:szCs w:val="20"/>
              </w:rPr>
              <w:t xml:space="preserve">517 </w:t>
            </w:r>
            <w:r w:rsidRPr="00DD44CF">
              <w:rPr>
                <w:rFonts w:eastAsia="Times New Roman" w:cs="Arial"/>
                <w:color w:val="000000"/>
                <w:sz w:val="20"/>
                <w:szCs w:val="20"/>
              </w:rPr>
              <w:t>(61%)</w:t>
            </w:r>
          </w:p>
        </w:tc>
        <w:tc>
          <w:tcPr>
            <w:tcW w:w="1288" w:type="dxa"/>
          </w:tcPr>
          <w:p w14:paraId="354AC9F8" w14:textId="77777777" w:rsidR="00B17926" w:rsidRPr="00DD44CF" w:rsidRDefault="00B17926" w:rsidP="000A47AE">
            <w:pPr>
              <w:jc w:val="center"/>
              <w:rPr>
                <w:b/>
                <w:bCs/>
                <w:sz w:val="20"/>
                <w:szCs w:val="20"/>
              </w:rPr>
            </w:pPr>
            <w:r w:rsidRPr="00DD44CF">
              <w:rPr>
                <w:sz w:val="20"/>
                <w:szCs w:val="20"/>
              </w:rPr>
              <w:t xml:space="preserve">172 </w:t>
            </w:r>
            <w:r w:rsidRPr="00DD44CF">
              <w:rPr>
                <w:rFonts w:eastAsia="Times New Roman" w:cs="Arial"/>
                <w:color w:val="000000"/>
                <w:sz w:val="20"/>
                <w:szCs w:val="20"/>
              </w:rPr>
              <w:t>(20%)</w:t>
            </w:r>
          </w:p>
        </w:tc>
        <w:tc>
          <w:tcPr>
            <w:tcW w:w="1288" w:type="dxa"/>
          </w:tcPr>
          <w:p w14:paraId="1132F1DC" w14:textId="77777777" w:rsidR="00B17926" w:rsidRPr="00DD44CF" w:rsidRDefault="00B17926" w:rsidP="000A47AE">
            <w:pPr>
              <w:jc w:val="center"/>
              <w:rPr>
                <w:sz w:val="20"/>
                <w:szCs w:val="20"/>
              </w:rPr>
            </w:pPr>
            <w:r w:rsidRPr="00DD44CF">
              <w:rPr>
                <w:sz w:val="20"/>
                <w:szCs w:val="20"/>
              </w:rPr>
              <w:t xml:space="preserve">32 </w:t>
            </w:r>
            <w:r w:rsidRPr="00DD44CF">
              <w:rPr>
                <w:rFonts w:eastAsia="Times New Roman" w:cs="Arial"/>
                <w:color w:val="000000"/>
                <w:sz w:val="20"/>
                <w:szCs w:val="20"/>
              </w:rPr>
              <w:t>(4%)</w:t>
            </w:r>
          </w:p>
        </w:tc>
        <w:tc>
          <w:tcPr>
            <w:tcW w:w="1288" w:type="dxa"/>
          </w:tcPr>
          <w:p w14:paraId="6A753253" w14:textId="77777777" w:rsidR="00B17926" w:rsidRPr="00DD44CF" w:rsidRDefault="00B17926" w:rsidP="000A47AE">
            <w:pPr>
              <w:jc w:val="center"/>
              <w:rPr>
                <w:sz w:val="20"/>
                <w:szCs w:val="20"/>
              </w:rPr>
            </w:pPr>
            <w:r w:rsidRPr="00DD44CF">
              <w:rPr>
                <w:sz w:val="20"/>
                <w:szCs w:val="20"/>
              </w:rPr>
              <w:t xml:space="preserve">69 </w:t>
            </w:r>
            <w:r w:rsidRPr="00DD44CF">
              <w:rPr>
                <w:rFonts w:eastAsia="Times New Roman" w:cs="Arial"/>
                <w:color w:val="000000"/>
                <w:sz w:val="20"/>
                <w:szCs w:val="20"/>
              </w:rPr>
              <w:t>(8%)</w:t>
            </w:r>
          </w:p>
        </w:tc>
        <w:tc>
          <w:tcPr>
            <w:tcW w:w="1288" w:type="dxa"/>
          </w:tcPr>
          <w:p w14:paraId="2D189D34" w14:textId="77777777" w:rsidR="00B17926" w:rsidRPr="00DD44CF" w:rsidRDefault="00B17926" w:rsidP="000A47AE">
            <w:pPr>
              <w:jc w:val="center"/>
              <w:rPr>
                <w:sz w:val="20"/>
                <w:szCs w:val="20"/>
              </w:rPr>
            </w:pPr>
            <w:r w:rsidRPr="00DD44CF">
              <w:rPr>
                <w:sz w:val="20"/>
                <w:szCs w:val="20"/>
              </w:rPr>
              <w:t>854</w:t>
            </w:r>
          </w:p>
        </w:tc>
      </w:tr>
      <w:tr w:rsidR="00B17926" w:rsidRPr="00DD44CF" w14:paraId="38D77F11" w14:textId="77777777" w:rsidTr="00B17926">
        <w:trPr>
          <w:divId w:val="1915891284"/>
        </w:trPr>
        <w:tc>
          <w:tcPr>
            <w:tcW w:w="1555" w:type="dxa"/>
          </w:tcPr>
          <w:p w14:paraId="3773A52B" w14:textId="77777777" w:rsidR="00B17926" w:rsidRPr="00DD44CF" w:rsidRDefault="00B17926" w:rsidP="000A47AE">
            <w:pPr>
              <w:rPr>
                <w:b/>
                <w:bCs/>
                <w:sz w:val="20"/>
                <w:szCs w:val="20"/>
              </w:rPr>
            </w:pPr>
            <w:r w:rsidRPr="00DD44CF">
              <w:rPr>
                <w:b/>
                <w:bCs/>
                <w:sz w:val="20"/>
                <w:szCs w:val="20"/>
              </w:rPr>
              <w:t>1 to &lt;5 minutes</w:t>
            </w:r>
          </w:p>
        </w:tc>
        <w:tc>
          <w:tcPr>
            <w:tcW w:w="1134" w:type="dxa"/>
          </w:tcPr>
          <w:p w14:paraId="6A943F15" w14:textId="77777777" w:rsidR="00B17926" w:rsidRPr="00DD44CF" w:rsidRDefault="00B17926" w:rsidP="000A47AE">
            <w:pPr>
              <w:jc w:val="center"/>
              <w:rPr>
                <w:sz w:val="20"/>
                <w:szCs w:val="20"/>
              </w:rPr>
            </w:pPr>
            <w:r w:rsidRPr="00DD44CF">
              <w:rPr>
                <w:sz w:val="20"/>
                <w:szCs w:val="20"/>
              </w:rPr>
              <w:t xml:space="preserve">75 </w:t>
            </w:r>
            <w:r w:rsidRPr="00DD44CF">
              <w:rPr>
                <w:rFonts w:eastAsia="Times New Roman" w:cs="Arial"/>
                <w:color w:val="000000"/>
                <w:sz w:val="20"/>
                <w:szCs w:val="20"/>
              </w:rPr>
              <w:t>(17%)</w:t>
            </w:r>
          </w:p>
        </w:tc>
        <w:tc>
          <w:tcPr>
            <w:tcW w:w="1175" w:type="dxa"/>
          </w:tcPr>
          <w:p w14:paraId="5444E803" w14:textId="77777777" w:rsidR="00B17926" w:rsidRPr="00DD44CF" w:rsidRDefault="00B17926" w:rsidP="000A47AE">
            <w:pPr>
              <w:jc w:val="center"/>
              <w:rPr>
                <w:b/>
                <w:bCs/>
                <w:sz w:val="20"/>
                <w:szCs w:val="20"/>
              </w:rPr>
            </w:pPr>
            <w:r w:rsidRPr="00DD44CF">
              <w:rPr>
                <w:sz w:val="20"/>
                <w:szCs w:val="20"/>
              </w:rPr>
              <w:t xml:space="preserve">300 </w:t>
            </w:r>
            <w:r w:rsidRPr="00DD44CF">
              <w:rPr>
                <w:rFonts w:eastAsia="Times New Roman" w:cs="Arial"/>
                <w:color w:val="000000"/>
                <w:sz w:val="20"/>
                <w:szCs w:val="20"/>
              </w:rPr>
              <w:t>(69%)</w:t>
            </w:r>
          </w:p>
        </w:tc>
        <w:tc>
          <w:tcPr>
            <w:tcW w:w="1288" w:type="dxa"/>
          </w:tcPr>
          <w:p w14:paraId="72859DB1" w14:textId="77777777" w:rsidR="00B17926" w:rsidRPr="00DD44CF" w:rsidRDefault="00B17926" w:rsidP="000A47AE">
            <w:pPr>
              <w:jc w:val="center"/>
              <w:rPr>
                <w:sz w:val="20"/>
                <w:szCs w:val="20"/>
              </w:rPr>
            </w:pPr>
            <w:r w:rsidRPr="00DD44CF">
              <w:rPr>
                <w:sz w:val="20"/>
                <w:szCs w:val="20"/>
              </w:rPr>
              <w:t xml:space="preserve">21 </w:t>
            </w:r>
            <w:r w:rsidRPr="00DD44CF">
              <w:rPr>
                <w:rFonts w:eastAsia="Times New Roman" w:cs="Arial"/>
                <w:color w:val="000000"/>
                <w:sz w:val="20"/>
                <w:szCs w:val="20"/>
              </w:rPr>
              <w:t>(5%)</w:t>
            </w:r>
          </w:p>
        </w:tc>
        <w:tc>
          <w:tcPr>
            <w:tcW w:w="1288" w:type="dxa"/>
          </w:tcPr>
          <w:p w14:paraId="0AFF9101" w14:textId="77777777" w:rsidR="00B17926" w:rsidRPr="00DD44CF" w:rsidRDefault="00B17926" w:rsidP="000A47AE">
            <w:pPr>
              <w:jc w:val="center"/>
              <w:rPr>
                <w:sz w:val="20"/>
                <w:szCs w:val="20"/>
              </w:rPr>
            </w:pPr>
            <w:r w:rsidRPr="00DD44CF">
              <w:rPr>
                <w:sz w:val="20"/>
                <w:szCs w:val="20"/>
              </w:rPr>
              <w:t xml:space="preserve">19 </w:t>
            </w:r>
            <w:r w:rsidRPr="00DD44CF">
              <w:rPr>
                <w:rFonts w:eastAsia="Times New Roman" w:cs="Arial"/>
                <w:color w:val="000000"/>
                <w:sz w:val="20"/>
                <w:szCs w:val="20"/>
              </w:rPr>
              <w:t>(4%)</w:t>
            </w:r>
          </w:p>
        </w:tc>
        <w:tc>
          <w:tcPr>
            <w:tcW w:w="1288" w:type="dxa"/>
          </w:tcPr>
          <w:p w14:paraId="096A9707" w14:textId="77777777" w:rsidR="00B17926" w:rsidRPr="00DD44CF" w:rsidRDefault="00B17926" w:rsidP="000A47AE">
            <w:pPr>
              <w:jc w:val="center"/>
              <w:rPr>
                <w:sz w:val="20"/>
                <w:szCs w:val="20"/>
              </w:rPr>
            </w:pPr>
            <w:r w:rsidRPr="00DD44CF">
              <w:rPr>
                <w:sz w:val="20"/>
                <w:szCs w:val="20"/>
              </w:rPr>
              <w:t xml:space="preserve">21 </w:t>
            </w:r>
            <w:r w:rsidRPr="00DD44CF">
              <w:rPr>
                <w:rFonts w:eastAsia="Times New Roman" w:cs="Arial"/>
                <w:color w:val="000000"/>
                <w:sz w:val="20"/>
                <w:szCs w:val="20"/>
              </w:rPr>
              <w:t>(5%)</w:t>
            </w:r>
          </w:p>
        </w:tc>
        <w:tc>
          <w:tcPr>
            <w:tcW w:w="1288" w:type="dxa"/>
          </w:tcPr>
          <w:p w14:paraId="59309BD7" w14:textId="77777777" w:rsidR="00B17926" w:rsidRPr="00DD44CF" w:rsidRDefault="00B17926" w:rsidP="000A47AE">
            <w:pPr>
              <w:jc w:val="center"/>
              <w:rPr>
                <w:sz w:val="20"/>
                <w:szCs w:val="20"/>
              </w:rPr>
            </w:pPr>
            <w:r w:rsidRPr="00DD44CF">
              <w:rPr>
                <w:sz w:val="20"/>
                <w:szCs w:val="20"/>
              </w:rPr>
              <w:t>436</w:t>
            </w:r>
          </w:p>
        </w:tc>
      </w:tr>
      <w:tr w:rsidR="00B17926" w:rsidRPr="00DD44CF" w14:paraId="2B4DC759" w14:textId="77777777" w:rsidTr="00B17926">
        <w:trPr>
          <w:divId w:val="1915891284"/>
        </w:trPr>
        <w:tc>
          <w:tcPr>
            <w:tcW w:w="1555" w:type="dxa"/>
          </w:tcPr>
          <w:p w14:paraId="3E328199" w14:textId="77777777" w:rsidR="00B17926" w:rsidRPr="00DD44CF" w:rsidRDefault="00B17926" w:rsidP="000A47AE">
            <w:pPr>
              <w:rPr>
                <w:b/>
                <w:bCs/>
                <w:sz w:val="20"/>
                <w:szCs w:val="20"/>
              </w:rPr>
            </w:pPr>
            <w:r w:rsidRPr="00DD44CF">
              <w:rPr>
                <w:b/>
                <w:bCs/>
                <w:sz w:val="20"/>
                <w:szCs w:val="20"/>
              </w:rPr>
              <w:t>5 to &lt;10 minutes</w:t>
            </w:r>
          </w:p>
        </w:tc>
        <w:tc>
          <w:tcPr>
            <w:tcW w:w="1134" w:type="dxa"/>
          </w:tcPr>
          <w:p w14:paraId="32A29CEE" w14:textId="77777777" w:rsidR="00B17926" w:rsidRPr="00DD44CF" w:rsidRDefault="00B17926" w:rsidP="000A47AE">
            <w:pPr>
              <w:jc w:val="center"/>
              <w:rPr>
                <w:sz w:val="20"/>
                <w:szCs w:val="20"/>
              </w:rPr>
            </w:pPr>
            <w:r w:rsidRPr="00DD44CF">
              <w:rPr>
                <w:sz w:val="20"/>
                <w:szCs w:val="20"/>
              </w:rPr>
              <w:t xml:space="preserve">33 </w:t>
            </w:r>
            <w:r w:rsidRPr="00DD44CF">
              <w:rPr>
                <w:rFonts w:eastAsia="Times New Roman" w:cs="Arial"/>
                <w:color w:val="000000"/>
                <w:sz w:val="20"/>
                <w:szCs w:val="20"/>
              </w:rPr>
              <w:t>(38%)</w:t>
            </w:r>
          </w:p>
        </w:tc>
        <w:tc>
          <w:tcPr>
            <w:tcW w:w="1175" w:type="dxa"/>
          </w:tcPr>
          <w:p w14:paraId="236B21D7" w14:textId="77777777" w:rsidR="00B17926" w:rsidRPr="00DD44CF" w:rsidRDefault="00B17926" w:rsidP="000A47AE">
            <w:pPr>
              <w:jc w:val="center"/>
              <w:rPr>
                <w:sz w:val="20"/>
                <w:szCs w:val="20"/>
              </w:rPr>
            </w:pPr>
            <w:r w:rsidRPr="00DD44CF">
              <w:rPr>
                <w:sz w:val="20"/>
                <w:szCs w:val="20"/>
              </w:rPr>
              <w:t xml:space="preserve">48 </w:t>
            </w:r>
            <w:r w:rsidRPr="00DD44CF">
              <w:rPr>
                <w:rFonts w:eastAsia="Times New Roman" w:cs="Arial"/>
                <w:color w:val="000000"/>
                <w:sz w:val="20"/>
                <w:szCs w:val="20"/>
              </w:rPr>
              <w:t>(55%)</w:t>
            </w:r>
          </w:p>
        </w:tc>
        <w:tc>
          <w:tcPr>
            <w:tcW w:w="1288" w:type="dxa"/>
          </w:tcPr>
          <w:p w14:paraId="5FFE049A" w14:textId="77777777" w:rsidR="00B17926" w:rsidRPr="00DD44CF" w:rsidRDefault="00B17926" w:rsidP="000A47AE">
            <w:pPr>
              <w:jc w:val="center"/>
              <w:rPr>
                <w:sz w:val="20"/>
                <w:szCs w:val="20"/>
              </w:rPr>
            </w:pPr>
            <w:r w:rsidRPr="00DD44CF">
              <w:rPr>
                <w:sz w:val="20"/>
                <w:szCs w:val="20"/>
              </w:rPr>
              <w:t xml:space="preserve">0 </w:t>
            </w:r>
            <w:r w:rsidRPr="00DD44CF">
              <w:rPr>
                <w:rFonts w:eastAsia="Times New Roman" w:cs="Arial"/>
                <w:color w:val="000000"/>
                <w:sz w:val="20"/>
                <w:szCs w:val="20"/>
              </w:rPr>
              <w:t>(0%)</w:t>
            </w:r>
          </w:p>
        </w:tc>
        <w:tc>
          <w:tcPr>
            <w:tcW w:w="1288" w:type="dxa"/>
          </w:tcPr>
          <w:p w14:paraId="2F037D6F" w14:textId="77777777" w:rsidR="00B17926" w:rsidRPr="00DD44CF" w:rsidRDefault="00B17926" w:rsidP="000A47AE">
            <w:pPr>
              <w:jc w:val="center"/>
              <w:rPr>
                <w:sz w:val="20"/>
                <w:szCs w:val="20"/>
              </w:rPr>
            </w:pPr>
            <w:r w:rsidRPr="00DD44CF">
              <w:rPr>
                <w:sz w:val="20"/>
                <w:szCs w:val="20"/>
              </w:rPr>
              <w:t xml:space="preserve">5 </w:t>
            </w:r>
            <w:r w:rsidRPr="00DD44CF">
              <w:rPr>
                <w:rFonts w:eastAsia="Times New Roman" w:cs="Arial"/>
                <w:color w:val="000000"/>
                <w:sz w:val="20"/>
                <w:szCs w:val="20"/>
              </w:rPr>
              <w:t>(6%)</w:t>
            </w:r>
          </w:p>
        </w:tc>
        <w:tc>
          <w:tcPr>
            <w:tcW w:w="1288" w:type="dxa"/>
          </w:tcPr>
          <w:p w14:paraId="33EFDDF9" w14:textId="77777777" w:rsidR="00B17926" w:rsidRPr="00DD44CF" w:rsidRDefault="00B17926" w:rsidP="000A47AE">
            <w:pPr>
              <w:jc w:val="center"/>
              <w:rPr>
                <w:sz w:val="20"/>
                <w:szCs w:val="20"/>
              </w:rPr>
            </w:pPr>
            <w:r w:rsidRPr="00DD44CF">
              <w:rPr>
                <w:sz w:val="20"/>
                <w:szCs w:val="20"/>
              </w:rPr>
              <w:t xml:space="preserve">2 </w:t>
            </w:r>
            <w:r w:rsidRPr="00DD44CF">
              <w:rPr>
                <w:rFonts w:eastAsia="Times New Roman" w:cs="Arial"/>
                <w:color w:val="000000"/>
                <w:sz w:val="20"/>
                <w:szCs w:val="20"/>
              </w:rPr>
              <w:t>(2%)</w:t>
            </w:r>
          </w:p>
        </w:tc>
        <w:tc>
          <w:tcPr>
            <w:tcW w:w="1288" w:type="dxa"/>
          </w:tcPr>
          <w:p w14:paraId="14235A59" w14:textId="77777777" w:rsidR="00B17926" w:rsidRPr="00DD44CF" w:rsidRDefault="00B17926" w:rsidP="000A47AE">
            <w:pPr>
              <w:jc w:val="center"/>
              <w:rPr>
                <w:sz w:val="20"/>
                <w:szCs w:val="20"/>
              </w:rPr>
            </w:pPr>
            <w:r w:rsidRPr="00DD44CF">
              <w:rPr>
                <w:sz w:val="20"/>
                <w:szCs w:val="20"/>
              </w:rPr>
              <w:t>88</w:t>
            </w:r>
          </w:p>
        </w:tc>
      </w:tr>
      <w:tr w:rsidR="00B17926" w:rsidRPr="00DD44CF" w14:paraId="443DC679" w14:textId="77777777" w:rsidTr="00B17926">
        <w:trPr>
          <w:divId w:val="1915891284"/>
        </w:trPr>
        <w:tc>
          <w:tcPr>
            <w:tcW w:w="1555" w:type="dxa"/>
          </w:tcPr>
          <w:p w14:paraId="61E571F4" w14:textId="77777777" w:rsidR="00B17926" w:rsidRPr="00DD44CF" w:rsidRDefault="00B17926" w:rsidP="000A47AE">
            <w:pPr>
              <w:rPr>
                <w:b/>
                <w:bCs/>
                <w:sz w:val="20"/>
                <w:szCs w:val="20"/>
              </w:rPr>
            </w:pPr>
            <w:r w:rsidRPr="00DD44CF">
              <w:rPr>
                <w:b/>
                <w:bCs/>
                <w:sz w:val="20"/>
                <w:szCs w:val="20"/>
              </w:rPr>
              <w:t>10 to &lt;30 minutes</w:t>
            </w:r>
          </w:p>
        </w:tc>
        <w:tc>
          <w:tcPr>
            <w:tcW w:w="1134" w:type="dxa"/>
          </w:tcPr>
          <w:p w14:paraId="3A518890" w14:textId="77777777" w:rsidR="00B17926" w:rsidRPr="00DD44CF" w:rsidRDefault="00B17926" w:rsidP="000A47AE">
            <w:pPr>
              <w:jc w:val="center"/>
              <w:rPr>
                <w:sz w:val="20"/>
                <w:szCs w:val="20"/>
              </w:rPr>
            </w:pPr>
            <w:r w:rsidRPr="00DD44CF">
              <w:rPr>
                <w:sz w:val="20"/>
                <w:szCs w:val="20"/>
              </w:rPr>
              <w:t xml:space="preserve">17 </w:t>
            </w:r>
            <w:r w:rsidRPr="00DD44CF">
              <w:rPr>
                <w:rFonts w:eastAsia="Times New Roman" w:cs="Arial"/>
                <w:color w:val="000000"/>
                <w:sz w:val="20"/>
                <w:szCs w:val="20"/>
              </w:rPr>
              <w:t>(50%)</w:t>
            </w:r>
          </w:p>
        </w:tc>
        <w:tc>
          <w:tcPr>
            <w:tcW w:w="1175" w:type="dxa"/>
          </w:tcPr>
          <w:p w14:paraId="64F0DDDE" w14:textId="77777777" w:rsidR="00B17926" w:rsidRPr="00DD44CF" w:rsidRDefault="00B17926" w:rsidP="000A47AE">
            <w:pPr>
              <w:jc w:val="center"/>
              <w:rPr>
                <w:sz w:val="20"/>
                <w:szCs w:val="20"/>
              </w:rPr>
            </w:pPr>
            <w:r w:rsidRPr="00DD44CF">
              <w:rPr>
                <w:sz w:val="20"/>
                <w:szCs w:val="20"/>
              </w:rPr>
              <w:t xml:space="preserve">15 </w:t>
            </w:r>
            <w:r w:rsidRPr="00DD44CF">
              <w:rPr>
                <w:rFonts w:eastAsia="Times New Roman" w:cs="Arial"/>
                <w:color w:val="000000"/>
                <w:sz w:val="20"/>
                <w:szCs w:val="20"/>
              </w:rPr>
              <w:t>(44%)</w:t>
            </w:r>
          </w:p>
        </w:tc>
        <w:tc>
          <w:tcPr>
            <w:tcW w:w="1288" w:type="dxa"/>
          </w:tcPr>
          <w:p w14:paraId="077C7A86" w14:textId="77777777" w:rsidR="00B17926" w:rsidRPr="00DD44CF" w:rsidRDefault="00B17926" w:rsidP="000A47AE">
            <w:pPr>
              <w:jc w:val="center"/>
              <w:rPr>
                <w:sz w:val="20"/>
                <w:szCs w:val="20"/>
              </w:rPr>
            </w:pPr>
            <w:r w:rsidRPr="00DD44CF">
              <w:rPr>
                <w:sz w:val="20"/>
                <w:szCs w:val="20"/>
              </w:rPr>
              <w:t xml:space="preserve">0 </w:t>
            </w:r>
            <w:r w:rsidRPr="00DD44CF">
              <w:rPr>
                <w:rFonts w:eastAsia="Times New Roman" w:cs="Arial"/>
                <w:color w:val="000000"/>
                <w:sz w:val="20"/>
                <w:szCs w:val="20"/>
              </w:rPr>
              <w:t>(0%)</w:t>
            </w:r>
          </w:p>
        </w:tc>
        <w:tc>
          <w:tcPr>
            <w:tcW w:w="1288" w:type="dxa"/>
          </w:tcPr>
          <w:p w14:paraId="4D75173C" w14:textId="77777777" w:rsidR="00B17926" w:rsidRPr="00DD44CF" w:rsidRDefault="00B17926" w:rsidP="000A47AE">
            <w:pPr>
              <w:jc w:val="center"/>
              <w:rPr>
                <w:sz w:val="20"/>
                <w:szCs w:val="20"/>
              </w:rPr>
            </w:pPr>
            <w:r w:rsidRPr="00DD44CF">
              <w:rPr>
                <w:sz w:val="20"/>
                <w:szCs w:val="20"/>
              </w:rPr>
              <w:t xml:space="preserve">2 </w:t>
            </w:r>
            <w:r w:rsidRPr="00DD44CF">
              <w:rPr>
                <w:rFonts w:eastAsia="Times New Roman" w:cs="Arial"/>
                <w:color w:val="000000"/>
                <w:sz w:val="20"/>
                <w:szCs w:val="20"/>
              </w:rPr>
              <w:t>(6%)</w:t>
            </w:r>
          </w:p>
        </w:tc>
        <w:tc>
          <w:tcPr>
            <w:tcW w:w="1288" w:type="dxa"/>
          </w:tcPr>
          <w:p w14:paraId="20092740" w14:textId="77777777" w:rsidR="00B17926" w:rsidRPr="00DD44CF" w:rsidRDefault="00B17926" w:rsidP="000A47AE">
            <w:pPr>
              <w:jc w:val="center"/>
              <w:rPr>
                <w:sz w:val="20"/>
                <w:szCs w:val="20"/>
              </w:rPr>
            </w:pPr>
            <w:r w:rsidRPr="00DD44CF">
              <w:rPr>
                <w:sz w:val="20"/>
                <w:szCs w:val="20"/>
              </w:rPr>
              <w:t xml:space="preserve">0 </w:t>
            </w:r>
            <w:r w:rsidRPr="00DD44CF">
              <w:rPr>
                <w:rFonts w:eastAsia="Times New Roman" w:cs="Arial"/>
                <w:color w:val="000000"/>
                <w:sz w:val="20"/>
                <w:szCs w:val="20"/>
              </w:rPr>
              <w:t>(0%)</w:t>
            </w:r>
          </w:p>
        </w:tc>
        <w:tc>
          <w:tcPr>
            <w:tcW w:w="1288" w:type="dxa"/>
          </w:tcPr>
          <w:p w14:paraId="1A337C8C" w14:textId="77777777" w:rsidR="00B17926" w:rsidRPr="00DD44CF" w:rsidRDefault="00B17926" w:rsidP="000A47AE">
            <w:pPr>
              <w:jc w:val="center"/>
              <w:rPr>
                <w:sz w:val="20"/>
                <w:szCs w:val="20"/>
              </w:rPr>
            </w:pPr>
            <w:r w:rsidRPr="00DD44CF">
              <w:rPr>
                <w:sz w:val="20"/>
                <w:szCs w:val="20"/>
              </w:rPr>
              <w:t>34</w:t>
            </w:r>
          </w:p>
        </w:tc>
      </w:tr>
      <w:tr w:rsidR="00B17926" w:rsidRPr="00DD44CF" w14:paraId="18069E80" w14:textId="77777777" w:rsidTr="00B17926">
        <w:trPr>
          <w:divId w:val="1915891284"/>
        </w:trPr>
        <w:tc>
          <w:tcPr>
            <w:tcW w:w="1555" w:type="dxa"/>
          </w:tcPr>
          <w:p w14:paraId="10F3F1F7" w14:textId="77777777" w:rsidR="00B17926" w:rsidRPr="00DD44CF" w:rsidRDefault="00B17926" w:rsidP="000A47AE">
            <w:pPr>
              <w:rPr>
                <w:b/>
                <w:bCs/>
                <w:sz w:val="20"/>
                <w:szCs w:val="20"/>
              </w:rPr>
            </w:pPr>
            <w:r w:rsidRPr="00DD44CF">
              <w:rPr>
                <w:b/>
                <w:bCs/>
                <w:sz w:val="20"/>
                <w:szCs w:val="20"/>
              </w:rPr>
              <w:t>30 minutes or more</w:t>
            </w:r>
          </w:p>
        </w:tc>
        <w:tc>
          <w:tcPr>
            <w:tcW w:w="1134" w:type="dxa"/>
          </w:tcPr>
          <w:p w14:paraId="79965AAE" w14:textId="77777777" w:rsidR="00B17926" w:rsidRPr="00DD44CF" w:rsidRDefault="00B17926" w:rsidP="000A47AE">
            <w:pPr>
              <w:jc w:val="center"/>
              <w:rPr>
                <w:sz w:val="20"/>
                <w:szCs w:val="20"/>
              </w:rPr>
            </w:pPr>
            <w:r w:rsidRPr="00DD44CF">
              <w:rPr>
                <w:sz w:val="20"/>
                <w:szCs w:val="20"/>
              </w:rPr>
              <w:t xml:space="preserve">1 </w:t>
            </w:r>
            <w:r w:rsidRPr="00DD44CF">
              <w:rPr>
                <w:rFonts w:eastAsia="Times New Roman" w:cs="Arial"/>
                <w:color w:val="000000"/>
                <w:sz w:val="20"/>
                <w:szCs w:val="20"/>
              </w:rPr>
              <w:t>(50%)</w:t>
            </w:r>
          </w:p>
        </w:tc>
        <w:tc>
          <w:tcPr>
            <w:tcW w:w="1175" w:type="dxa"/>
          </w:tcPr>
          <w:p w14:paraId="1821D021" w14:textId="77777777" w:rsidR="00B17926" w:rsidRPr="00DD44CF" w:rsidRDefault="00B17926" w:rsidP="000A47AE">
            <w:pPr>
              <w:jc w:val="center"/>
              <w:rPr>
                <w:sz w:val="20"/>
                <w:szCs w:val="20"/>
              </w:rPr>
            </w:pPr>
            <w:r w:rsidRPr="00DD44CF">
              <w:rPr>
                <w:sz w:val="20"/>
                <w:szCs w:val="20"/>
              </w:rPr>
              <w:t xml:space="preserve">1 </w:t>
            </w:r>
            <w:r w:rsidRPr="00DD44CF">
              <w:rPr>
                <w:rFonts w:eastAsia="Times New Roman" w:cs="Arial"/>
                <w:color w:val="000000"/>
                <w:sz w:val="20"/>
                <w:szCs w:val="20"/>
              </w:rPr>
              <w:t>(50%)</w:t>
            </w:r>
          </w:p>
        </w:tc>
        <w:tc>
          <w:tcPr>
            <w:tcW w:w="1288" w:type="dxa"/>
          </w:tcPr>
          <w:p w14:paraId="643A52D6" w14:textId="77777777" w:rsidR="00B17926" w:rsidRPr="00DD44CF" w:rsidRDefault="00B17926" w:rsidP="000A47AE">
            <w:pPr>
              <w:jc w:val="center"/>
              <w:rPr>
                <w:sz w:val="20"/>
                <w:szCs w:val="20"/>
              </w:rPr>
            </w:pPr>
            <w:r w:rsidRPr="00DD44CF">
              <w:rPr>
                <w:sz w:val="20"/>
                <w:szCs w:val="20"/>
              </w:rPr>
              <w:t xml:space="preserve">0 </w:t>
            </w:r>
            <w:r w:rsidRPr="00DD44CF">
              <w:rPr>
                <w:rFonts w:eastAsia="Times New Roman" w:cs="Arial"/>
                <w:color w:val="000000"/>
                <w:sz w:val="20"/>
                <w:szCs w:val="20"/>
              </w:rPr>
              <w:t>(0%)</w:t>
            </w:r>
          </w:p>
        </w:tc>
        <w:tc>
          <w:tcPr>
            <w:tcW w:w="1288" w:type="dxa"/>
          </w:tcPr>
          <w:p w14:paraId="2C88B535" w14:textId="77777777" w:rsidR="00B17926" w:rsidRPr="00DD44CF" w:rsidRDefault="00B17926" w:rsidP="000A47AE">
            <w:pPr>
              <w:jc w:val="center"/>
              <w:rPr>
                <w:sz w:val="20"/>
                <w:szCs w:val="20"/>
              </w:rPr>
            </w:pPr>
            <w:r w:rsidRPr="00DD44CF">
              <w:rPr>
                <w:sz w:val="20"/>
                <w:szCs w:val="20"/>
              </w:rPr>
              <w:t xml:space="preserve">0 </w:t>
            </w:r>
            <w:r w:rsidRPr="00DD44CF">
              <w:rPr>
                <w:rFonts w:eastAsia="Times New Roman" w:cs="Arial"/>
                <w:color w:val="000000"/>
                <w:sz w:val="20"/>
                <w:szCs w:val="20"/>
              </w:rPr>
              <w:t>(0%)</w:t>
            </w:r>
          </w:p>
        </w:tc>
        <w:tc>
          <w:tcPr>
            <w:tcW w:w="1288" w:type="dxa"/>
          </w:tcPr>
          <w:p w14:paraId="139C8773" w14:textId="77777777" w:rsidR="00B17926" w:rsidRPr="00DD44CF" w:rsidRDefault="00B17926" w:rsidP="000A47AE">
            <w:pPr>
              <w:jc w:val="center"/>
              <w:rPr>
                <w:sz w:val="20"/>
                <w:szCs w:val="20"/>
              </w:rPr>
            </w:pPr>
            <w:r w:rsidRPr="00DD44CF">
              <w:rPr>
                <w:sz w:val="20"/>
                <w:szCs w:val="20"/>
              </w:rPr>
              <w:t xml:space="preserve">0 </w:t>
            </w:r>
            <w:r w:rsidRPr="00DD44CF">
              <w:rPr>
                <w:rFonts w:eastAsia="Times New Roman" w:cs="Arial"/>
                <w:color w:val="000000"/>
                <w:sz w:val="20"/>
                <w:szCs w:val="20"/>
              </w:rPr>
              <w:t>(0%)</w:t>
            </w:r>
          </w:p>
        </w:tc>
        <w:tc>
          <w:tcPr>
            <w:tcW w:w="1288" w:type="dxa"/>
          </w:tcPr>
          <w:p w14:paraId="77050E68" w14:textId="77777777" w:rsidR="00B17926" w:rsidRPr="00DD44CF" w:rsidRDefault="00B17926" w:rsidP="000A47AE">
            <w:pPr>
              <w:jc w:val="center"/>
              <w:rPr>
                <w:sz w:val="20"/>
                <w:szCs w:val="20"/>
              </w:rPr>
            </w:pPr>
            <w:r w:rsidRPr="00DD44CF">
              <w:rPr>
                <w:sz w:val="20"/>
                <w:szCs w:val="20"/>
              </w:rPr>
              <w:t>2</w:t>
            </w:r>
          </w:p>
        </w:tc>
      </w:tr>
      <w:tr w:rsidR="00B17926" w:rsidRPr="00DD44CF" w14:paraId="23B3BE3A" w14:textId="77777777" w:rsidTr="00B17926">
        <w:trPr>
          <w:divId w:val="1915891284"/>
        </w:trPr>
        <w:tc>
          <w:tcPr>
            <w:tcW w:w="1555" w:type="dxa"/>
          </w:tcPr>
          <w:p w14:paraId="50FB4B92" w14:textId="77777777" w:rsidR="00B17926" w:rsidRPr="00DD44CF" w:rsidRDefault="00B17926" w:rsidP="000A47AE">
            <w:pPr>
              <w:rPr>
                <w:b/>
                <w:bCs/>
                <w:sz w:val="20"/>
                <w:szCs w:val="20"/>
              </w:rPr>
            </w:pPr>
            <w:r w:rsidRPr="00DD44CF">
              <w:rPr>
                <w:b/>
                <w:bCs/>
                <w:sz w:val="20"/>
                <w:szCs w:val="20"/>
              </w:rPr>
              <w:t>Total</w:t>
            </w:r>
          </w:p>
        </w:tc>
        <w:tc>
          <w:tcPr>
            <w:tcW w:w="1134" w:type="dxa"/>
          </w:tcPr>
          <w:p w14:paraId="538F0D49" w14:textId="77777777" w:rsidR="00B17926" w:rsidRPr="00DD44CF" w:rsidRDefault="00B17926" w:rsidP="000A47AE">
            <w:pPr>
              <w:jc w:val="center"/>
              <w:rPr>
                <w:b/>
                <w:bCs/>
                <w:sz w:val="20"/>
                <w:szCs w:val="20"/>
              </w:rPr>
            </w:pPr>
            <w:r w:rsidRPr="00DD44CF">
              <w:rPr>
                <w:b/>
                <w:bCs/>
                <w:sz w:val="20"/>
                <w:szCs w:val="20"/>
              </w:rPr>
              <w:t xml:space="preserve">204 </w:t>
            </w:r>
            <w:r w:rsidRPr="00DD44CF">
              <w:rPr>
                <w:rFonts w:eastAsia="Times New Roman" w:cs="Arial"/>
                <w:b/>
                <w:bCs/>
                <w:color w:val="000000"/>
                <w:sz w:val="20"/>
                <w:szCs w:val="20"/>
              </w:rPr>
              <w:t>(13%)</w:t>
            </w:r>
          </w:p>
        </w:tc>
        <w:tc>
          <w:tcPr>
            <w:tcW w:w="1175" w:type="dxa"/>
          </w:tcPr>
          <w:p w14:paraId="31FD7CEA" w14:textId="77777777" w:rsidR="00B17926" w:rsidRPr="00DD44CF" w:rsidRDefault="00B17926" w:rsidP="000A47AE">
            <w:pPr>
              <w:jc w:val="center"/>
              <w:rPr>
                <w:b/>
                <w:bCs/>
                <w:sz w:val="20"/>
                <w:szCs w:val="20"/>
              </w:rPr>
            </w:pPr>
            <w:r w:rsidRPr="00DD44CF">
              <w:rPr>
                <w:b/>
                <w:bCs/>
                <w:sz w:val="20"/>
                <w:szCs w:val="20"/>
              </w:rPr>
              <w:t xml:space="preserve">927 </w:t>
            </w:r>
            <w:r w:rsidRPr="00DD44CF">
              <w:rPr>
                <w:rFonts w:eastAsia="Times New Roman" w:cs="Arial"/>
                <w:b/>
                <w:bCs/>
                <w:color w:val="000000"/>
                <w:sz w:val="20"/>
                <w:szCs w:val="20"/>
              </w:rPr>
              <w:t>(60%)</w:t>
            </w:r>
          </w:p>
        </w:tc>
        <w:tc>
          <w:tcPr>
            <w:tcW w:w="1288" w:type="dxa"/>
          </w:tcPr>
          <w:p w14:paraId="64ADFD37" w14:textId="77777777" w:rsidR="00B17926" w:rsidRPr="00DD44CF" w:rsidRDefault="00B17926" w:rsidP="000A47AE">
            <w:pPr>
              <w:jc w:val="center"/>
              <w:rPr>
                <w:b/>
                <w:bCs/>
                <w:sz w:val="20"/>
                <w:szCs w:val="20"/>
              </w:rPr>
            </w:pPr>
            <w:r w:rsidRPr="00DD44CF">
              <w:rPr>
                <w:b/>
                <w:bCs/>
                <w:sz w:val="20"/>
                <w:szCs w:val="20"/>
              </w:rPr>
              <w:t xml:space="preserve">267 </w:t>
            </w:r>
            <w:r w:rsidRPr="00DD44CF">
              <w:rPr>
                <w:rFonts w:eastAsia="Times New Roman" w:cs="Arial"/>
                <w:b/>
                <w:bCs/>
                <w:color w:val="000000"/>
                <w:sz w:val="20"/>
                <w:szCs w:val="20"/>
              </w:rPr>
              <w:t>(17%)</w:t>
            </w:r>
          </w:p>
        </w:tc>
        <w:tc>
          <w:tcPr>
            <w:tcW w:w="1288" w:type="dxa"/>
          </w:tcPr>
          <w:p w14:paraId="01D80984" w14:textId="77777777" w:rsidR="00B17926" w:rsidRPr="00DD44CF" w:rsidRDefault="00B17926" w:rsidP="000A47AE">
            <w:pPr>
              <w:jc w:val="center"/>
              <w:rPr>
                <w:b/>
                <w:bCs/>
                <w:sz w:val="20"/>
                <w:szCs w:val="20"/>
              </w:rPr>
            </w:pPr>
            <w:r w:rsidRPr="00DD44CF">
              <w:rPr>
                <w:b/>
                <w:bCs/>
                <w:sz w:val="20"/>
                <w:szCs w:val="20"/>
              </w:rPr>
              <w:t xml:space="preserve">59 </w:t>
            </w:r>
            <w:r w:rsidRPr="00DD44CF">
              <w:rPr>
                <w:rFonts w:eastAsia="Times New Roman" w:cs="Arial"/>
                <w:b/>
                <w:bCs/>
                <w:color w:val="000000"/>
                <w:sz w:val="20"/>
                <w:szCs w:val="20"/>
              </w:rPr>
              <w:t>(4%)</w:t>
            </w:r>
          </w:p>
        </w:tc>
        <w:tc>
          <w:tcPr>
            <w:tcW w:w="1288" w:type="dxa"/>
          </w:tcPr>
          <w:p w14:paraId="57F1BAF5" w14:textId="77777777" w:rsidR="00B17926" w:rsidRPr="00DD44CF" w:rsidRDefault="00B17926" w:rsidP="000A47AE">
            <w:pPr>
              <w:jc w:val="center"/>
              <w:rPr>
                <w:b/>
                <w:bCs/>
                <w:sz w:val="20"/>
                <w:szCs w:val="20"/>
              </w:rPr>
            </w:pPr>
            <w:r w:rsidRPr="00DD44CF">
              <w:rPr>
                <w:b/>
                <w:bCs/>
                <w:sz w:val="20"/>
                <w:szCs w:val="20"/>
              </w:rPr>
              <w:t xml:space="preserve">97 </w:t>
            </w:r>
            <w:r w:rsidRPr="00DD44CF">
              <w:rPr>
                <w:rFonts w:eastAsia="Times New Roman" w:cs="Arial"/>
                <w:b/>
                <w:bCs/>
                <w:color w:val="000000"/>
                <w:sz w:val="20"/>
                <w:szCs w:val="20"/>
              </w:rPr>
              <w:t>(6%)</w:t>
            </w:r>
          </w:p>
        </w:tc>
        <w:tc>
          <w:tcPr>
            <w:tcW w:w="1288" w:type="dxa"/>
          </w:tcPr>
          <w:p w14:paraId="6F9E3713" w14:textId="77777777" w:rsidR="00B17926" w:rsidRPr="00DD44CF" w:rsidRDefault="00B17926" w:rsidP="000A47AE">
            <w:pPr>
              <w:jc w:val="center"/>
              <w:rPr>
                <w:b/>
                <w:bCs/>
                <w:sz w:val="20"/>
                <w:szCs w:val="20"/>
              </w:rPr>
            </w:pPr>
            <w:r w:rsidRPr="00DD44CF">
              <w:rPr>
                <w:b/>
                <w:bCs/>
                <w:sz w:val="20"/>
                <w:szCs w:val="20"/>
              </w:rPr>
              <w:t>1554</w:t>
            </w:r>
          </w:p>
        </w:tc>
      </w:tr>
    </w:tbl>
    <w:p w14:paraId="41958752" w14:textId="77777777" w:rsidR="00B17926" w:rsidRPr="00DD44CF" w:rsidRDefault="00B17926" w:rsidP="00B17926">
      <w:pPr>
        <w:divId w:val="1915891284"/>
        <w:rPr>
          <w:sz w:val="20"/>
          <w:szCs w:val="20"/>
        </w:rPr>
      </w:pPr>
    </w:p>
    <w:p w14:paraId="20751CDF" w14:textId="77777777" w:rsidR="00B17926" w:rsidRPr="00DD44CF" w:rsidRDefault="00B17926" w:rsidP="00B17926">
      <w:pPr>
        <w:divId w:val="1915891284"/>
        <w:rPr>
          <w:sz w:val="20"/>
          <w:szCs w:val="20"/>
        </w:rPr>
      </w:pPr>
    </w:p>
    <w:p w14:paraId="47E166CF" w14:textId="77777777" w:rsidR="00B17926" w:rsidRPr="00DD44CF" w:rsidRDefault="00B17926" w:rsidP="00B17926">
      <w:pPr>
        <w:divId w:val="1915891284"/>
      </w:pPr>
    </w:p>
    <w:p w14:paraId="2D31FE33" w14:textId="77777777" w:rsidR="00DF1AFE" w:rsidRPr="00DD44CF" w:rsidRDefault="00DF1AFE">
      <w:pPr>
        <w:spacing w:after="200" w:line="276" w:lineRule="auto"/>
      </w:pPr>
      <w:r w:rsidRPr="00DD44CF">
        <w:br w:type="page"/>
      </w:r>
    </w:p>
    <w:p w14:paraId="71F1ACB0" w14:textId="4C98E1B6" w:rsidR="00B17926" w:rsidRPr="00E43FBD" w:rsidRDefault="00B17926" w:rsidP="002D7DBB">
      <w:pPr>
        <w:keepNext/>
        <w:keepLines/>
        <w:spacing w:before="240"/>
        <w:outlineLvl w:val="0"/>
        <w:divId w:val="1915891284"/>
        <w:rPr>
          <w:rFonts w:eastAsiaTheme="majorEastAsia" w:cstheme="majorBidi"/>
          <w:color w:val="000000" w:themeColor="text1"/>
        </w:rPr>
      </w:pPr>
      <w:r w:rsidRPr="00E43FBD">
        <w:rPr>
          <w:rFonts w:eastAsiaTheme="majorEastAsia" w:cstheme="majorBidi"/>
          <w:color w:val="000000" w:themeColor="text1"/>
        </w:rPr>
        <w:lastRenderedPageBreak/>
        <w:t xml:space="preserve">Table 5: </w:t>
      </w:r>
      <w:r w:rsidRPr="00E43FBD">
        <w:t>Multilevel</w:t>
      </w:r>
      <w:r w:rsidR="00C16707">
        <w:t>*</w:t>
      </w:r>
      <w:r w:rsidRPr="00E43FBD">
        <w:t xml:space="preserve"> logistic regression results: </w:t>
      </w:r>
      <w:r w:rsidR="002D7DBB" w:rsidRPr="00DA0060">
        <w:t>odds ratios (OR) of a</w:t>
      </w:r>
      <w:r w:rsidR="009D2B0C" w:rsidRPr="00DA0060">
        <w:t xml:space="preserve"> negative</w:t>
      </w:r>
      <w:r w:rsidR="002D7DBB" w:rsidRPr="00D87CAD">
        <w:t xml:space="preserve"> (combined over protective and restrictive) </w:t>
      </w:r>
      <w:r w:rsidR="009D2B0C" w:rsidRPr="00D87CAD">
        <w:t>interaction (</w:t>
      </w:r>
      <w:r w:rsidR="002D7DBB" w:rsidRPr="00E43FBD">
        <w:t>n</w:t>
      </w:r>
      <w:r w:rsidR="009D2B0C" w:rsidRPr="00E43FBD">
        <w:t>=1554)</w:t>
      </w:r>
    </w:p>
    <w:p w14:paraId="5F7AC4B0" w14:textId="77777777" w:rsidR="002D7DBB" w:rsidRPr="00DD44CF" w:rsidRDefault="002D7DBB" w:rsidP="002D7DBB">
      <w:pPr>
        <w:divId w:val="1915891284"/>
      </w:pPr>
    </w:p>
    <w:tbl>
      <w:tblPr>
        <w:tblStyle w:val="TableGrid"/>
        <w:tblW w:w="92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1731"/>
        <w:gridCol w:w="2184"/>
        <w:gridCol w:w="1701"/>
      </w:tblGrid>
      <w:tr w:rsidR="002D7DBB" w:rsidRPr="00DD44CF" w14:paraId="2D5CDCEB" w14:textId="77777777" w:rsidTr="008E059E">
        <w:trPr>
          <w:divId w:val="1915891284"/>
          <w:trHeight w:val="476"/>
          <w:jc w:val="center"/>
        </w:trPr>
        <w:tc>
          <w:tcPr>
            <w:tcW w:w="3619" w:type="dxa"/>
            <w:tcBorders>
              <w:top w:val="single" w:sz="4" w:space="0" w:color="auto"/>
              <w:left w:val="single" w:sz="4" w:space="0" w:color="auto"/>
              <w:bottom w:val="single" w:sz="4" w:space="0" w:color="auto"/>
              <w:right w:val="single" w:sz="4" w:space="0" w:color="auto"/>
            </w:tcBorders>
          </w:tcPr>
          <w:p w14:paraId="03D86B62" w14:textId="77777777" w:rsidR="002D7DBB" w:rsidRPr="00DD44CF" w:rsidRDefault="002D7DBB" w:rsidP="002D7DBB">
            <w:pPr>
              <w:jc w:val="center"/>
              <w:rPr>
                <w:b/>
                <w:bCs/>
                <w:sz w:val="16"/>
                <w:szCs w:val="16"/>
              </w:rPr>
            </w:pPr>
          </w:p>
          <w:p w14:paraId="209C411B" w14:textId="77777777" w:rsidR="002D7DBB" w:rsidRPr="00DD44CF" w:rsidRDefault="002D7DBB" w:rsidP="008E059E">
            <w:pPr>
              <w:rPr>
                <w:b/>
                <w:bCs/>
                <w:sz w:val="16"/>
                <w:szCs w:val="16"/>
              </w:rPr>
            </w:pPr>
            <w:r w:rsidRPr="00DD44CF">
              <w:rPr>
                <w:b/>
                <w:bCs/>
                <w:sz w:val="16"/>
                <w:szCs w:val="16"/>
              </w:rPr>
              <w:t>Variables</w:t>
            </w:r>
          </w:p>
        </w:tc>
        <w:tc>
          <w:tcPr>
            <w:tcW w:w="1731" w:type="dxa"/>
            <w:tcBorders>
              <w:top w:val="single" w:sz="4" w:space="0" w:color="auto"/>
              <w:left w:val="single" w:sz="4" w:space="0" w:color="auto"/>
              <w:bottom w:val="single" w:sz="4" w:space="0" w:color="auto"/>
              <w:right w:val="single" w:sz="4" w:space="0" w:color="auto"/>
            </w:tcBorders>
            <w:hideMark/>
          </w:tcPr>
          <w:p w14:paraId="56E8C888" w14:textId="77777777" w:rsidR="009F4544" w:rsidRDefault="009F4544" w:rsidP="00DF1AFE">
            <w:pPr>
              <w:jc w:val="center"/>
              <w:rPr>
                <w:b/>
                <w:bCs/>
                <w:sz w:val="16"/>
                <w:szCs w:val="16"/>
              </w:rPr>
            </w:pPr>
            <w:r>
              <w:rPr>
                <w:b/>
                <w:bCs/>
                <w:sz w:val="16"/>
                <w:szCs w:val="16"/>
              </w:rPr>
              <w:t>Model A</w:t>
            </w:r>
          </w:p>
          <w:p w14:paraId="257A6C9F" w14:textId="2017DFE1" w:rsidR="002D7DBB" w:rsidRPr="00DD44CF" w:rsidRDefault="009F4544" w:rsidP="00DF1AFE">
            <w:pPr>
              <w:jc w:val="center"/>
              <w:rPr>
                <w:b/>
                <w:bCs/>
                <w:sz w:val="16"/>
                <w:szCs w:val="16"/>
              </w:rPr>
            </w:pPr>
            <w:r>
              <w:rPr>
                <w:b/>
                <w:bCs/>
                <w:sz w:val="16"/>
                <w:szCs w:val="16"/>
              </w:rPr>
              <w:t>(each predictive variable on its own)</w:t>
            </w:r>
          </w:p>
          <w:p w14:paraId="64A5D1FF" w14:textId="77777777" w:rsidR="002D7DBB" w:rsidRPr="00DD44CF" w:rsidRDefault="002D7DBB" w:rsidP="002D7DBB">
            <w:pPr>
              <w:jc w:val="center"/>
              <w:rPr>
                <w:b/>
                <w:bCs/>
                <w:sz w:val="16"/>
                <w:szCs w:val="16"/>
              </w:rPr>
            </w:pPr>
            <w:r w:rsidRPr="00DD44CF">
              <w:rPr>
                <w:b/>
                <w:bCs/>
                <w:sz w:val="16"/>
                <w:szCs w:val="16"/>
              </w:rPr>
              <w:t>OR [95%CI]</w:t>
            </w:r>
          </w:p>
        </w:tc>
        <w:tc>
          <w:tcPr>
            <w:tcW w:w="2184" w:type="dxa"/>
            <w:tcBorders>
              <w:top w:val="single" w:sz="4" w:space="0" w:color="auto"/>
              <w:left w:val="single" w:sz="4" w:space="0" w:color="auto"/>
              <w:bottom w:val="single" w:sz="4" w:space="0" w:color="auto"/>
              <w:right w:val="single" w:sz="4" w:space="0" w:color="auto"/>
            </w:tcBorders>
            <w:hideMark/>
          </w:tcPr>
          <w:p w14:paraId="4876135B" w14:textId="17370BFA" w:rsidR="002D7DBB" w:rsidRDefault="009F4544" w:rsidP="00DF1AFE">
            <w:pPr>
              <w:jc w:val="center"/>
              <w:rPr>
                <w:b/>
                <w:bCs/>
                <w:sz w:val="16"/>
                <w:szCs w:val="16"/>
              </w:rPr>
            </w:pPr>
            <w:r>
              <w:rPr>
                <w:b/>
                <w:bCs/>
                <w:sz w:val="16"/>
                <w:szCs w:val="16"/>
              </w:rPr>
              <w:t>Model B</w:t>
            </w:r>
          </w:p>
          <w:p w14:paraId="5F4B84A0" w14:textId="446327E5" w:rsidR="009F4544" w:rsidRPr="00DD44CF" w:rsidRDefault="009F4544" w:rsidP="00DF1AFE">
            <w:pPr>
              <w:jc w:val="center"/>
              <w:rPr>
                <w:b/>
                <w:bCs/>
                <w:sz w:val="16"/>
                <w:szCs w:val="16"/>
              </w:rPr>
            </w:pPr>
            <w:r>
              <w:rPr>
                <w:b/>
                <w:bCs/>
                <w:sz w:val="16"/>
                <w:szCs w:val="16"/>
              </w:rPr>
              <w:t>(for all predictive variables)</w:t>
            </w:r>
          </w:p>
          <w:p w14:paraId="74D15D3A" w14:textId="2CB61AD9" w:rsidR="002D7DBB" w:rsidRPr="00DD44CF" w:rsidRDefault="009F4544" w:rsidP="002D7DBB">
            <w:pPr>
              <w:jc w:val="center"/>
              <w:rPr>
                <w:b/>
                <w:bCs/>
                <w:sz w:val="16"/>
                <w:szCs w:val="16"/>
              </w:rPr>
            </w:pPr>
            <w:r>
              <w:rPr>
                <w:b/>
                <w:bCs/>
                <w:sz w:val="16"/>
                <w:szCs w:val="16"/>
              </w:rPr>
              <w:t xml:space="preserve">Adjusted </w:t>
            </w:r>
            <w:r w:rsidR="002D7DBB" w:rsidRPr="00DD44CF">
              <w:rPr>
                <w:b/>
                <w:bCs/>
                <w:sz w:val="16"/>
                <w:szCs w:val="16"/>
              </w:rPr>
              <w:t>OR [95%CI]</w:t>
            </w:r>
          </w:p>
        </w:tc>
        <w:tc>
          <w:tcPr>
            <w:tcW w:w="1701" w:type="dxa"/>
            <w:tcBorders>
              <w:top w:val="single" w:sz="4" w:space="0" w:color="auto"/>
              <w:left w:val="single" w:sz="4" w:space="0" w:color="auto"/>
              <w:bottom w:val="single" w:sz="4" w:space="0" w:color="auto"/>
              <w:right w:val="single" w:sz="4" w:space="0" w:color="auto"/>
            </w:tcBorders>
            <w:hideMark/>
          </w:tcPr>
          <w:p w14:paraId="1EF26BBD" w14:textId="35D32C4B" w:rsidR="002D7DBB" w:rsidRDefault="009F4544" w:rsidP="00DF1AFE">
            <w:pPr>
              <w:jc w:val="center"/>
              <w:rPr>
                <w:b/>
                <w:bCs/>
                <w:sz w:val="16"/>
                <w:szCs w:val="16"/>
              </w:rPr>
            </w:pPr>
            <w:r>
              <w:rPr>
                <w:b/>
                <w:bCs/>
                <w:sz w:val="16"/>
                <w:szCs w:val="16"/>
              </w:rPr>
              <w:t>Model C</w:t>
            </w:r>
          </w:p>
          <w:p w14:paraId="7B6924A0" w14:textId="53BD35BF" w:rsidR="009F4544" w:rsidRPr="00DD44CF" w:rsidRDefault="009F4544" w:rsidP="00DF1AFE">
            <w:pPr>
              <w:jc w:val="center"/>
              <w:rPr>
                <w:b/>
                <w:bCs/>
                <w:sz w:val="16"/>
                <w:szCs w:val="16"/>
              </w:rPr>
            </w:pPr>
            <w:r>
              <w:rPr>
                <w:b/>
                <w:bCs/>
                <w:sz w:val="16"/>
                <w:szCs w:val="16"/>
              </w:rPr>
              <w:t>(for patient and staff contextual variables)</w:t>
            </w:r>
          </w:p>
          <w:p w14:paraId="551BFA44" w14:textId="1CC3B25C" w:rsidR="002D7DBB" w:rsidRPr="00DD44CF" w:rsidRDefault="009F4544" w:rsidP="002D7DBB">
            <w:pPr>
              <w:jc w:val="center"/>
              <w:rPr>
                <w:b/>
                <w:bCs/>
                <w:sz w:val="16"/>
                <w:szCs w:val="16"/>
              </w:rPr>
            </w:pPr>
            <w:r>
              <w:rPr>
                <w:b/>
                <w:bCs/>
                <w:sz w:val="16"/>
                <w:szCs w:val="16"/>
              </w:rPr>
              <w:t xml:space="preserve">adjusted </w:t>
            </w:r>
            <w:r w:rsidR="002D7DBB" w:rsidRPr="00DD44CF">
              <w:rPr>
                <w:b/>
                <w:bCs/>
                <w:sz w:val="16"/>
                <w:szCs w:val="16"/>
              </w:rPr>
              <w:t>OR [95% CI]</w:t>
            </w:r>
          </w:p>
        </w:tc>
      </w:tr>
      <w:tr w:rsidR="002D7DBB" w:rsidRPr="00DD44CF" w14:paraId="2058B355" w14:textId="77777777" w:rsidTr="008E059E">
        <w:trPr>
          <w:divId w:val="1915891284"/>
          <w:trHeight w:val="204"/>
          <w:jc w:val="center"/>
        </w:trPr>
        <w:tc>
          <w:tcPr>
            <w:tcW w:w="753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E93F185" w14:textId="0BAF00C5" w:rsidR="002D7DBB" w:rsidRPr="00DD44CF" w:rsidRDefault="002D7DBB" w:rsidP="002D7DBB">
            <w:pPr>
              <w:rPr>
                <w:rFonts w:eastAsia="SimSun" w:cs="Arial"/>
                <w:b/>
                <w:bCs/>
                <w:sz w:val="16"/>
                <w:szCs w:val="16"/>
              </w:rPr>
            </w:pPr>
            <w:r w:rsidRPr="00DD44CF">
              <w:rPr>
                <w:rFonts w:eastAsia="SimSun" w:cs="Arial"/>
                <w:b/>
                <w:bCs/>
                <w:sz w:val="16"/>
                <w:szCs w:val="16"/>
              </w:rPr>
              <w:t>Patient’s characteristics</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A56676" w14:textId="77777777" w:rsidR="002D7DBB" w:rsidRPr="00DD44CF" w:rsidRDefault="002D7DBB" w:rsidP="002D7DBB">
            <w:pPr>
              <w:rPr>
                <w:rFonts w:eastAsia="SimSun" w:cs="Arial"/>
                <w:sz w:val="16"/>
                <w:szCs w:val="16"/>
              </w:rPr>
            </w:pPr>
          </w:p>
        </w:tc>
      </w:tr>
      <w:tr w:rsidR="002D7DBB" w:rsidRPr="00DD44CF" w14:paraId="514B1433" w14:textId="77777777" w:rsidTr="008E059E">
        <w:trPr>
          <w:divId w:val="1915891284"/>
          <w:trHeight w:val="183"/>
          <w:jc w:val="center"/>
        </w:trPr>
        <w:tc>
          <w:tcPr>
            <w:tcW w:w="3619" w:type="dxa"/>
            <w:tcBorders>
              <w:top w:val="single" w:sz="4" w:space="0" w:color="auto"/>
              <w:left w:val="single" w:sz="4" w:space="0" w:color="auto"/>
              <w:bottom w:val="single" w:sz="4" w:space="0" w:color="auto"/>
              <w:right w:val="single" w:sz="4" w:space="0" w:color="auto"/>
            </w:tcBorders>
            <w:hideMark/>
          </w:tcPr>
          <w:p w14:paraId="05E47E1A" w14:textId="0157151D" w:rsidR="002D7DBB" w:rsidRPr="00DD44CF" w:rsidRDefault="002D7DBB" w:rsidP="005121A1">
            <w:pPr>
              <w:rPr>
                <w:sz w:val="16"/>
                <w:szCs w:val="16"/>
              </w:rPr>
            </w:pPr>
            <w:r w:rsidRPr="00DD44CF">
              <w:rPr>
                <w:sz w:val="16"/>
                <w:szCs w:val="16"/>
              </w:rPr>
              <w:t xml:space="preserve">Age (per </w:t>
            </w:r>
            <w:r w:rsidR="005121A1">
              <w:rPr>
                <w:sz w:val="16"/>
                <w:szCs w:val="16"/>
              </w:rPr>
              <w:t>year</w:t>
            </w:r>
            <w:r w:rsidR="005121A1" w:rsidRPr="00DD44CF">
              <w:rPr>
                <w:sz w:val="16"/>
                <w:szCs w:val="16"/>
              </w:rPr>
              <w:t xml:space="preserve"> </w:t>
            </w:r>
            <w:r w:rsidRPr="00DD44CF">
              <w:rPr>
                <w:sz w:val="16"/>
                <w:szCs w:val="16"/>
              </w:rPr>
              <w:t>increase)</w:t>
            </w:r>
          </w:p>
        </w:tc>
        <w:tc>
          <w:tcPr>
            <w:tcW w:w="1731" w:type="dxa"/>
            <w:tcBorders>
              <w:top w:val="single" w:sz="4" w:space="0" w:color="auto"/>
              <w:left w:val="single" w:sz="4" w:space="0" w:color="auto"/>
              <w:bottom w:val="single" w:sz="4" w:space="0" w:color="auto"/>
              <w:right w:val="single" w:sz="4" w:space="0" w:color="auto"/>
            </w:tcBorders>
            <w:hideMark/>
          </w:tcPr>
          <w:p w14:paraId="29C66418" w14:textId="77777777" w:rsidR="002D7DBB" w:rsidRPr="00DD44CF" w:rsidRDefault="002D7DBB" w:rsidP="002D7DBB">
            <w:pPr>
              <w:jc w:val="center"/>
              <w:rPr>
                <w:b/>
                <w:bCs/>
                <w:sz w:val="16"/>
                <w:szCs w:val="16"/>
              </w:rPr>
            </w:pPr>
            <w:r w:rsidRPr="00DD44CF">
              <w:rPr>
                <w:b/>
                <w:bCs/>
                <w:sz w:val="16"/>
                <w:szCs w:val="16"/>
              </w:rPr>
              <w:t>1.05 [1.01, 1.10]</w:t>
            </w:r>
          </w:p>
        </w:tc>
        <w:tc>
          <w:tcPr>
            <w:tcW w:w="2184" w:type="dxa"/>
            <w:tcBorders>
              <w:top w:val="single" w:sz="4" w:space="0" w:color="auto"/>
              <w:left w:val="single" w:sz="4" w:space="0" w:color="auto"/>
              <w:bottom w:val="single" w:sz="4" w:space="0" w:color="auto"/>
              <w:right w:val="single" w:sz="4" w:space="0" w:color="auto"/>
            </w:tcBorders>
            <w:hideMark/>
          </w:tcPr>
          <w:p w14:paraId="3AFAAC7C" w14:textId="77777777" w:rsidR="002D7DBB" w:rsidRPr="00DD44CF" w:rsidRDefault="002D7DBB" w:rsidP="002D7DBB">
            <w:pPr>
              <w:jc w:val="center"/>
              <w:rPr>
                <w:sz w:val="16"/>
                <w:szCs w:val="16"/>
              </w:rPr>
            </w:pPr>
            <w:r w:rsidRPr="00DD44CF">
              <w:rPr>
                <w:sz w:val="16"/>
                <w:szCs w:val="16"/>
              </w:rPr>
              <w:t>1.02 [0.98, 1.07]</w:t>
            </w:r>
          </w:p>
        </w:tc>
        <w:tc>
          <w:tcPr>
            <w:tcW w:w="1701" w:type="dxa"/>
            <w:tcBorders>
              <w:top w:val="single" w:sz="4" w:space="0" w:color="auto"/>
              <w:left w:val="single" w:sz="4" w:space="0" w:color="auto"/>
              <w:bottom w:val="single" w:sz="4" w:space="0" w:color="auto"/>
              <w:right w:val="single" w:sz="4" w:space="0" w:color="auto"/>
            </w:tcBorders>
            <w:hideMark/>
          </w:tcPr>
          <w:p w14:paraId="3DB7DAA0" w14:textId="77777777" w:rsidR="002D7DBB" w:rsidRPr="00DD44CF" w:rsidRDefault="002D7DBB" w:rsidP="002D7DBB">
            <w:pPr>
              <w:jc w:val="center"/>
              <w:rPr>
                <w:sz w:val="16"/>
                <w:szCs w:val="16"/>
              </w:rPr>
            </w:pPr>
            <w:r w:rsidRPr="00DD44CF">
              <w:rPr>
                <w:sz w:val="16"/>
                <w:szCs w:val="16"/>
              </w:rPr>
              <w:t>1.05 [0.99, 1.10]</w:t>
            </w:r>
          </w:p>
        </w:tc>
      </w:tr>
      <w:tr w:rsidR="002D7DBB" w:rsidRPr="00DD44CF" w14:paraId="38F986F9" w14:textId="77777777" w:rsidTr="008E059E">
        <w:trPr>
          <w:divId w:val="1915891284"/>
          <w:trHeight w:val="132"/>
          <w:jc w:val="center"/>
        </w:trPr>
        <w:tc>
          <w:tcPr>
            <w:tcW w:w="3619" w:type="dxa"/>
            <w:tcBorders>
              <w:top w:val="single" w:sz="4" w:space="0" w:color="auto"/>
              <w:left w:val="single" w:sz="4" w:space="0" w:color="auto"/>
              <w:bottom w:val="single" w:sz="4" w:space="0" w:color="auto"/>
              <w:right w:val="single" w:sz="4" w:space="0" w:color="auto"/>
            </w:tcBorders>
            <w:hideMark/>
          </w:tcPr>
          <w:p w14:paraId="4852CDD5" w14:textId="77777777" w:rsidR="002D7DBB" w:rsidRPr="00DD44CF" w:rsidRDefault="002D7DBB" w:rsidP="002D7DBB">
            <w:pPr>
              <w:rPr>
                <w:sz w:val="16"/>
                <w:szCs w:val="16"/>
              </w:rPr>
            </w:pPr>
            <w:r w:rsidRPr="00DD44CF">
              <w:rPr>
                <w:sz w:val="16"/>
                <w:szCs w:val="16"/>
              </w:rPr>
              <w:t>Male (vs female)</w:t>
            </w:r>
          </w:p>
        </w:tc>
        <w:tc>
          <w:tcPr>
            <w:tcW w:w="1731" w:type="dxa"/>
            <w:tcBorders>
              <w:top w:val="single" w:sz="4" w:space="0" w:color="auto"/>
              <w:left w:val="single" w:sz="4" w:space="0" w:color="auto"/>
              <w:bottom w:val="single" w:sz="4" w:space="0" w:color="auto"/>
              <w:right w:val="single" w:sz="4" w:space="0" w:color="auto"/>
            </w:tcBorders>
            <w:hideMark/>
          </w:tcPr>
          <w:p w14:paraId="2BAF2E09" w14:textId="77777777" w:rsidR="002D7DBB" w:rsidRPr="00DD44CF" w:rsidRDefault="002D7DBB" w:rsidP="002D7DBB">
            <w:pPr>
              <w:jc w:val="center"/>
              <w:rPr>
                <w:sz w:val="16"/>
                <w:szCs w:val="16"/>
              </w:rPr>
            </w:pPr>
            <w:r w:rsidRPr="00DD44CF">
              <w:rPr>
                <w:sz w:val="16"/>
                <w:szCs w:val="16"/>
              </w:rPr>
              <w:t>1.12 [0.27, 4.65]</w:t>
            </w:r>
          </w:p>
        </w:tc>
        <w:tc>
          <w:tcPr>
            <w:tcW w:w="2184" w:type="dxa"/>
            <w:tcBorders>
              <w:top w:val="single" w:sz="4" w:space="0" w:color="auto"/>
              <w:left w:val="single" w:sz="4" w:space="0" w:color="auto"/>
              <w:bottom w:val="single" w:sz="4" w:space="0" w:color="auto"/>
              <w:right w:val="single" w:sz="4" w:space="0" w:color="auto"/>
            </w:tcBorders>
            <w:hideMark/>
          </w:tcPr>
          <w:p w14:paraId="7A85D7F2" w14:textId="77777777" w:rsidR="002D7DBB" w:rsidRPr="00DD44CF" w:rsidRDefault="002D7DBB" w:rsidP="002D7DBB">
            <w:pPr>
              <w:jc w:val="center"/>
              <w:rPr>
                <w:sz w:val="16"/>
                <w:szCs w:val="16"/>
              </w:rPr>
            </w:pPr>
            <w:r w:rsidRPr="00DD44CF">
              <w:rPr>
                <w:sz w:val="16"/>
                <w:szCs w:val="16"/>
              </w:rPr>
              <w:t>2.65 [0.39, 18.01]</w:t>
            </w:r>
          </w:p>
        </w:tc>
        <w:tc>
          <w:tcPr>
            <w:tcW w:w="1701" w:type="dxa"/>
            <w:tcBorders>
              <w:top w:val="single" w:sz="4" w:space="0" w:color="auto"/>
              <w:left w:val="single" w:sz="4" w:space="0" w:color="auto"/>
              <w:bottom w:val="single" w:sz="4" w:space="0" w:color="auto"/>
              <w:right w:val="single" w:sz="4" w:space="0" w:color="auto"/>
            </w:tcBorders>
            <w:hideMark/>
          </w:tcPr>
          <w:p w14:paraId="7BBA6675" w14:textId="77777777" w:rsidR="002D7DBB" w:rsidRPr="00DD44CF" w:rsidRDefault="002D7DBB" w:rsidP="002D7DBB">
            <w:pPr>
              <w:jc w:val="center"/>
              <w:rPr>
                <w:sz w:val="16"/>
                <w:szCs w:val="16"/>
              </w:rPr>
            </w:pPr>
            <w:r w:rsidRPr="00DD44CF">
              <w:rPr>
                <w:sz w:val="16"/>
                <w:szCs w:val="16"/>
              </w:rPr>
              <w:t>1.89 [0.42, 8.47]</w:t>
            </w:r>
          </w:p>
        </w:tc>
      </w:tr>
      <w:tr w:rsidR="002D7DBB" w:rsidRPr="00DD44CF" w14:paraId="6DDD5B96" w14:textId="77777777" w:rsidTr="008E059E">
        <w:trPr>
          <w:divId w:val="1915891284"/>
          <w:trHeight w:val="195"/>
          <w:jc w:val="center"/>
        </w:trPr>
        <w:tc>
          <w:tcPr>
            <w:tcW w:w="3619" w:type="dxa"/>
            <w:tcBorders>
              <w:top w:val="single" w:sz="4" w:space="0" w:color="auto"/>
              <w:left w:val="single" w:sz="4" w:space="0" w:color="auto"/>
              <w:bottom w:val="single" w:sz="4" w:space="0" w:color="auto"/>
              <w:right w:val="single" w:sz="4" w:space="0" w:color="auto"/>
            </w:tcBorders>
            <w:hideMark/>
          </w:tcPr>
          <w:p w14:paraId="57BBCAA8" w14:textId="77777777" w:rsidR="002D7DBB" w:rsidRPr="00DD44CF" w:rsidRDefault="002D7DBB" w:rsidP="002D7DBB">
            <w:pPr>
              <w:rPr>
                <w:sz w:val="16"/>
                <w:szCs w:val="16"/>
              </w:rPr>
            </w:pPr>
            <w:r w:rsidRPr="00DD44CF">
              <w:rPr>
                <w:sz w:val="16"/>
                <w:szCs w:val="16"/>
              </w:rPr>
              <w:t>With cognitive Impairment (vs without)</w:t>
            </w:r>
          </w:p>
        </w:tc>
        <w:tc>
          <w:tcPr>
            <w:tcW w:w="1731" w:type="dxa"/>
            <w:tcBorders>
              <w:top w:val="single" w:sz="4" w:space="0" w:color="auto"/>
              <w:left w:val="single" w:sz="4" w:space="0" w:color="auto"/>
              <w:bottom w:val="single" w:sz="4" w:space="0" w:color="auto"/>
              <w:right w:val="single" w:sz="4" w:space="0" w:color="auto"/>
            </w:tcBorders>
            <w:hideMark/>
          </w:tcPr>
          <w:p w14:paraId="5A5A84D1" w14:textId="77777777" w:rsidR="002D7DBB" w:rsidRPr="00DD44CF" w:rsidRDefault="002D7DBB" w:rsidP="002D7DBB">
            <w:pPr>
              <w:jc w:val="center"/>
              <w:rPr>
                <w:sz w:val="16"/>
                <w:szCs w:val="16"/>
              </w:rPr>
            </w:pPr>
            <w:r w:rsidRPr="00DD44CF">
              <w:rPr>
                <w:sz w:val="16"/>
                <w:szCs w:val="16"/>
              </w:rPr>
              <w:t>1.69 [0.73, 3.91]</w:t>
            </w:r>
          </w:p>
        </w:tc>
        <w:tc>
          <w:tcPr>
            <w:tcW w:w="2184" w:type="dxa"/>
            <w:tcBorders>
              <w:top w:val="single" w:sz="4" w:space="0" w:color="auto"/>
              <w:left w:val="single" w:sz="4" w:space="0" w:color="auto"/>
              <w:bottom w:val="single" w:sz="4" w:space="0" w:color="auto"/>
              <w:right w:val="single" w:sz="4" w:space="0" w:color="auto"/>
            </w:tcBorders>
            <w:hideMark/>
          </w:tcPr>
          <w:p w14:paraId="5DA63472" w14:textId="77777777" w:rsidR="002D7DBB" w:rsidRPr="00DD44CF" w:rsidRDefault="002D7DBB" w:rsidP="002D7DBB">
            <w:pPr>
              <w:jc w:val="center"/>
              <w:rPr>
                <w:sz w:val="16"/>
                <w:szCs w:val="16"/>
              </w:rPr>
            </w:pPr>
            <w:r w:rsidRPr="00DD44CF">
              <w:rPr>
                <w:sz w:val="16"/>
                <w:szCs w:val="16"/>
              </w:rPr>
              <w:t>1.15 [0.53, 2.50]</w:t>
            </w:r>
          </w:p>
        </w:tc>
        <w:tc>
          <w:tcPr>
            <w:tcW w:w="1701" w:type="dxa"/>
            <w:tcBorders>
              <w:top w:val="single" w:sz="4" w:space="0" w:color="auto"/>
              <w:left w:val="single" w:sz="4" w:space="0" w:color="auto"/>
              <w:bottom w:val="single" w:sz="4" w:space="0" w:color="auto"/>
              <w:right w:val="single" w:sz="4" w:space="0" w:color="auto"/>
            </w:tcBorders>
            <w:hideMark/>
          </w:tcPr>
          <w:p w14:paraId="4C36D02E" w14:textId="77777777" w:rsidR="002D7DBB" w:rsidRPr="00DD44CF" w:rsidRDefault="002D7DBB" w:rsidP="002D7DBB">
            <w:pPr>
              <w:jc w:val="center"/>
              <w:rPr>
                <w:sz w:val="16"/>
                <w:szCs w:val="16"/>
              </w:rPr>
            </w:pPr>
            <w:r w:rsidRPr="00DD44CF">
              <w:rPr>
                <w:sz w:val="16"/>
                <w:szCs w:val="16"/>
              </w:rPr>
              <w:t>1.37 [0.59, 3.18]</w:t>
            </w:r>
          </w:p>
        </w:tc>
      </w:tr>
      <w:tr w:rsidR="002D7DBB" w:rsidRPr="00DD44CF" w14:paraId="7F44B355" w14:textId="77777777" w:rsidTr="008E059E">
        <w:trPr>
          <w:divId w:val="1915891284"/>
          <w:trHeight w:val="201"/>
          <w:jc w:val="center"/>
        </w:trPr>
        <w:tc>
          <w:tcPr>
            <w:tcW w:w="3619" w:type="dxa"/>
            <w:tcBorders>
              <w:top w:val="single" w:sz="4" w:space="0" w:color="auto"/>
              <w:left w:val="single" w:sz="4" w:space="0" w:color="auto"/>
              <w:bottom w:val="single" w:sz="4" w:space="0" w:color="auto"/>
              <w:right w:val="single" w:sz="4" w:space="0" w:color="auto"/>
            </w:tcBorders>
            <w:hideMark/>
          </w:tcPr>
          <w:p w14:paraId="600F7264" w14:textId="77777777" w:rsidR="002D7DBB" w:rsidRPr="00DD44CF" w:rsidRDefault="002D7DBB" w:rsidP="002D7DBB">
            <w:pPr>
              <w:rPr>
                <w:sz w:val="16"/>
                <w:szCs w:val="16"/>
              </w:rPr>
            </w:pPr>
            <w:r w:rsidRPr="00DD44CF">
              <w:rPr>
                <w:sz w:val="16"/>
                <w:szCs w:val="16"/>
              </w:rPr>
              <w:t>Patient was agitated (vs non agitated)</w:t>
            </w:r>
          </w:p>
        </w:tc>
        <w:tc>
          <w:tcPr>
            <w:tcW w:w="1731" w:type="dxa"/>
            <w:tcBorders>
              <w:top w:val="single" w:sz="4" w:space="0" w:color="auto"/>
              <w:left w:val="single" w:sz="4" w:space="0" w:color="auto"/>
              <w:bottom w:val="single" w:sz="4" w:space="0" w:color="auto"/>
              <w:right w:val="single" w:sz="4" w:space="0" w:color="auto"/>
            </w:tcBorders>
            <w:hideMark/>
          </w:tcPr>
          <w:p w14:paraId="4BA44B8E" w14:textId="77777777" w:rsidR="002D7DBB" w:rsidRPr="00DD44CF" w:rsidRDefault="002D7DBB" w:rsidP="002D7DBB">
            <w:pPr>
              <w:jc w:val="center"/>
              <w:rPr>
                <w:b/>
                <w:bCs/>
                <w:sz w:val="16"/>
                <w:szCs w:val="16"/>
              </w:rPr>
            </w:pPr>
            <w:r w:rsidRPr="00DD44CF">
              <w:rPr>
                <w:b/>
                <w:bCs/>
                <w:sz w:val="16"/>
                <w:szCs w:val="16"/>
              </w:rPr>
              <w:t>5.82 [2.21, 15.31]</w:t>
            </w:r>
          </w:p>
        </w:tc>
        <w:tc>
          <w:tcPr>
            <w:tcW w:w="2184" w:type="dxa"/>
            <w:tcBorders>
              <w:top w:val="single" w:sz="4" w:space="0" w:color="auto"/>
              <w:left w:val="single" w:sz="4" w:space="0" w:color="auto"/>
              <w:bottom w:val="single" w:sz="4" w:space="0" w:color="auto"/>
              <w:right w:val="single" w:sz="4" w:space="0" w:color="auto"/>
            </w:tcBorders>
            <w:hideMark/>
          </w:tcPr>
          <w:p w14:paraId="78F36FA2" w14:textId="77777777" w:rsidR="002D7DBB" w:rsidRPr="00DD44CF" w:rsidRDefault="002D7DBB" w:rsidP="002D7DBB">
            <w:pPr>
              <w:jc w:val="center"/>
              <w:rPr>
                <w:sz w:val="16"/>
                <w:szCs w:val="16"/>
              </w:rPr>
            </w:pPr>
            <w:r w:rsidRPr="00DD44CF">
              <w:rPr>
                <w:sz w:val="16"/>
                <w:szCs w:val="16"/>
              </w:rPr>
              <w:t>2.44 [0.82, 7.26]</w:t>
            </w:r>
          </w:p>
        </w:tc>
        <w:tc>
          <w:tcPr>
            <w:tcW w:w="1701" w:type="dxa"/>
            <w:tcBorders>
              <w:top w:val="single" w:sz="4" w:space="0" w:color="auto"/>
              <w:left w:val="single" w:sz="4" w:space="0" w:color="auto"/>
              <w:bottom w:val="single" w:sz="4" w:space="0" w:color="auto"/>
              <w:right w:val="single" w:sz="4" w:space="0" w:color="auto"/>
            </w:tcBorders>
            <w:hideMark/>
          </w:tcPr>
          <w:p w14:paraId="2E0E8D05" w14:textId="77777777" w:rsidR="002D7DBB" w:rsidRPr="00DD44CF" w:rsidRDefault="002D7DBB" w:rsidP="002D7DBB">
            <w:pPr>
              <w:jc w:val="center"/>
              <w:rPr>
                <w:sz w:val="16"/>
                <w:szCs w:val="16"/>
              </w:rPr>
            </w:pPr>
            <w:r w:rsidRPr="00DD44CF">
              <w:rPr>
                <w:b/>
                <w:bCs/>
                <w:sz w:val="16"/>
                <w:szCs w:val="16"/>
              </w:rPr>
              <w:t>5.97 [2.23, 16.01]</w:t>
            </w:r>
          </w:p>
        </w:tc>
      </w:tr>
      <w:tr w:rsidR="00DF1AFE" w:rsidRPr="00DD44CF" w14:paraId="76C3147B" w14:textId="77777777" w:rsidTr="00A859B2">
        <w:trPr>
          <w:divId w:val="1915891284"/>
          <w:trHeight w:val="207"/>
          <w:jc w:val="center"/>
        </w:trPr>
        <w:tc>
          <w:tcPr>
            <w:tcW w:w="9235" w:type="dxa"/>
            <w:gridSpan w:val="4"/>
            <w:tcBorders>
              <w:top w:val="nil"/>
              <w:left w:val="single" w:sz="4" w:space="0" w:color="auto"/>
              <w:bottom w:val="single" w:sz="4" w:space="0" w:color="auto"/>
              <w:right w:val="single" w:sz="4" w:space="0" w:color="auto"/>
            </w:tcBorders>
            <w:shd w:val="clear" w:color="auto" w:fill="B8CCE4" w:themeFill="accent1" w:themeFillTint="66"/>
            <w:hideMark/>
          </w:tcPr>
          <w:p w14:paraId="09A0BEC4" w14:textId="77777777" w:rsidR="00DF1AFE" w:rsidRPr="00DD44CF" w:rsidRDefault="00DF1AFE" w:rsidP="008E059E">
            <w:pPr>
              <w:rPr>
                <w:sz w:val="16"/>
                <w:szCs w:val="16"/>
              </w:rPr>
            </w:pPr>
            <w:r w:rsidRPr="00DD44CF">
              <w:rPr>
                <w:b/>
                <w:bCs/>
                <w:sz w:val="16"/>
                <w:szCs w:val="16"/>
              </w:rPr>
              <w:t>Type of staff (when only one member of staff is present)</w:t>
            </w:r>
          </w:p>
        </w:tc>
      </w:tr>
      <w:tr w:rsidR="002D7DBB" w:rsidRPr="00DD44CF" w14:paraId="3A9793BC" w14:textId="77777777" w:rsidTr="008E059E">
        <w:trPr>
          <w:divId w:val="1915891284"/>
          <w:jc w:val="center"/>
        </w:trPr>
        <w:tc>
          <w:tcPr>
            <w:tcW w:w="3619" w:type="dxa"/>
            <w:tcBorders>
              <w:top w:val="nil"/>
              <w:left w:val="single" w:sz="4" w:space="0" w:color="auto"/>
              <w:bottom w:val="single" w:sz="4" w:space="0" w:color="auto"/>
              <w:right w:val="single" w:sz="4" w:space="0" w:color="auto"/>
            </w:tcBorders>
            <w:shd w:val="clear" w:color="auto" w:fill="FFFFFF" w:themeFill="background1"/>
            <w:hideMark/>
          </w:tcPr>
          <w:p w14:paraId="34F5A420" w14:textId="77777777" w:rsidR="002D7DBB" w:rsidRPr="00DD44CF" w:rsidRDefault="002D7DBB" w:rsidP="002D7DBB">
            <w:pPr>
              <w:rPr>
                <w:sz w:val="16"/>
                <w:szCs w:val="16"/>
              </w:rPr>
            </w:pPr>
            <w:r w:rsidRPr="00DD44CF">
              <w:rPr>
                <w:sz w:val="16"/>
                <w:szCs w:val="16"/>
              </w:rPr>
              <w:t>Registered nurse (n=517)</w:t>
            </w:r>
          </w:p>
        </w:tc>
        <w:tc>
          <w:tcPr>
            <w:tcW w:w="17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639C3" w14:textId="77777777" w:rsidR="002D7DBB" w:rsidRPr="00DD44CF" w:rsidRDefault="002D7DBB" w:rsidP="002D7DBB">
            <w:pPr>
              <w:jc w:val="center"/>
              <w:rPr>
                <w:sz w:val="16"/>
                <w:szCs w:val="16"/>
              </w:rPr>
            </w:pPr>
            <w:r w:rsidRPr="00DD44CF">
              <w:rPr>
                <w:sz w:val="16"/>
                <w:szCs w:val="16"/>
              </w:rPr>
              <w:t>1.00</w:t>
            </w:r>
          </w:p>
        </w:tc>
        <w:tc>
          <w:tcPr>
            <w:tcW w:w="218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02DB62" w14:textId="77777777" w:rsidR="002D7DBB" w:rsidRPr="00DD44CF" w:rsidRDefault="002D7DBB" w:rsidP="002D7DBB">
            <w:pPr>
              <w:jc w:val="center"/>
              <w:rPr>
                <w:sz w:val="16"/>
                <w:szCs w:val="16"/>
              </w:rPr>
            </w:pPr>
            <w:r w:rsidRPr="00DD44CF">
              <w:rPr>
                <w:sz w:val="16"/>
                <w:szCs w:val="16"/>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A72DDF" w14:textId="77777777" w:rsidR="002D7DBB" w:rsidRPr="00DD44CF" w:rsidRDefault="002D7DBB" w:rsidP="002D7DBB">
            <w:pPr>
              <w:jc w:val="center"/>
              <w:rPr>
                <w:sz w:val="16"/>
                <w:szCs w:val="16"/>
              </w:rPr>
            </w:pPr>
            <w:r w:rsidRPr="00DD44CF">
              <w:rPr>
                <w:sz w:val="16"/>
                <w:szCs w:val="16"/>
              </w:rPr>
              <w:t>1.00</w:t>
            </w:r>
          </w:p>
        </w:tc>
      </w:tr>
      <w:tr w:rsidR="002D7DBB" w:rsidRPr="00DD44CF" w14:paraId="69E3E774" w14:textId="77777777" w:rsidTr="008E059E">
        <w:trPr>
          <w:divId w:val="1915891284"/>
          <w:trHeight w:val="105"/>
          <w:jc w:val="center"/>
        </w:trPr>
        <w:tc>
          <w:tcPr>
            <w:tcW w:w="3619" w:type="dxa"/>
            <w:tcBorders>
              <w:top w:val="nil"/>
              <w:left w:val="single" w:sz="4" w:space="0" w:color="auto"/>
              <w:bottom w:val="single" w:sz="4" w:space="0" w:color="auto"/>
              <w:right w:val="single" w:sz="4" w:space="0" w:color="auto"/>
            </w:tcBorders>
            <w:hideMark/>
          </w:tcPr>
          <w:p w14:paraId="640B7753" w14:textId="77777777" w:rsidR="002D7DBB" w:rsidRPr="00DD44CF" w:rsidRDefault="002D7DBB" w:rsidP="002D7DBB">
            <w:pPr>
              <w:rPr>
                <w:sz w:val="16"/>
                <w:szCs w:val="16"/>
              </w:rPr>
            </w:pPr>
            <w:r w:rsidRPr="00DD44CF">
              <w:rPr>
                <w:sz w:val="16"/>
                <w:szCs w:val="16"/>
              </w:rPr>
              <w:t>Student nurse (n=4)</w:t>
            </w:r>
          </w:p>
        </w:tc>
        <w:tc>
          <w:tcPr>
            <w:tcW w:w="1731" w:type="dxa"/>
            <w:tcBorders>
              <w:top w:val="single" w:sz="4" w:space="0" w:color="auto"/>
              <w:left w:val="single" w:sz="4" w:space="0" w:color="auto"/>
              <w:bottom w:val="single" w:sz="4" w:space="0" w:color="auto"/>
              <w:right w:val="single" w:sz="4" w:space="0" w:color="auto"/>
            </w:tcBorders>
            <w:hideMark/>
          </w:tcPr>
          <w:p w14:paraId="26ED97CD" w14:textId="77777777" w:rsidR="002D7DBB" w:rsidRPr="00DD44CF" w:rsidRDefault="002D7DBB" w:rsidP="002D7DBB">
            <w:pPr>
              <w:jc w:val="center"/>
              <w:rPr>
                <w:sz w:val="16"/>
                <w:szCs w:val="16"/>
              </w:rPr>
            </w:pPr>
            <w:r w:rsidRPr="00DD44CF">
              <w:rPr>
                <w:sz w:val="16"/>
                <w:szCs w:val="16"/>
              </w:rPr>
              <w:t>9.51 [0.75, 120.62]</w:t>
            </w:r>
          </w:p>
        </w:tc>
        <w:tc>
          <w:tcPr>
            <w:tcW w:w="2184" w:type="dxa"/>
            <w:tcBorders>
              <w:top w:val="single" w:sz="4" w:space="0" w:color="auto"/>
              <w:left w:val="single" w:sz="4" w:space="0" w:color="auto"/>
              <w:bottom w:val="single" w:sz="4" w:space="0" w:color="auto"/>
              <w:right w:val="single" w:sz="4" w:space="0" w:color="auto"/>
            </w:tcBorders>
            <w:hideMark/>
          </w:tcPr>
          <w:p w14:paraId="03E5557D" w14:textId="77777777" w:rsidR="002D7DBB" w:rsidRPr="00DD44CF" w:rsidRDefault="002D7DBB" w:rsidP="002D7DBB">
            <w:pPr>
              <w:jc w:val="center"/>
              <w:rPr>
                <w:sz w:val="16"/>
                <w:szCs w:val="16"/>
              </w:rPr>
            </w:pPr>
            <w:r w:rsidRPr="00DD44CF">
              <w:rPr>
                <w:sz w:val="16"/>
                <w:szCs w:val="16"/>
              </w:rPr>
              <w:t>7.56 [0.46, 125.09]</w:t>
            </w:r>
          </w:p>
        </w:tc>
        <w:tc>
          <w:tcPr>
            <w:tcW w:w="1701" w:type="dxa"/>
            <w:tcBorders>
              <w:top w:val="single" w:sz="4" w:space="0" w:color="auto"/>
              <w:left w:val="single" w:sz="4" w:space="0" w:color="auto"/>
              <w:bottom w:val="single" w:sz="4" w:space="0" w:color="auto"/>
              <w:right w:val="single" w:sz="4" w:space="0" w:color="auto"/>
            </w:tcBorders>
            <w:hideMark/>
          </w:tcPr>
          <w:p w14:paraId="100D50DD" w14:textId="77777777" w:rsidR="002D7DBB" w:rsidRPr="00DD44CF" w:rsidRDefault="002D7DBB" w:rsidP="002D7DBB">
            <w:pPr>
              <w:jc w:val="center"/>
              <w:rPr>
                <w:sz w:val="16"/>
                <w:szCs w:val="16"/>
              </w:rPr>
            </w:pPr>
            <w:r w:rsidRPr="00DD44CF">
              <w:rPr>
                <w:sz w:val="16"/>
                <w:szCs w:val="16"/>
              </w:rPr>
              <w:t>10.99 [0.87, 138.95]</w:t>
            </w:r>
          </w:p>
        </w:tc>
      </w:tr>
      <w:tr w:rsidR="002D7DBB" w:rsidRPr="00DD44CF" w14:paraId="3305076C" w14:textId="77777777" w:rsidTr="008E059E">
        <w:trPr>
          <w:divId w:val="1915891284"/>
          <w:jc w:val="center"/>
        </w:trPr>
        <w:tc>
          <w:tcPr>
            <w:tcW w:w="3619" w:type="dxa"/>
            <w:tcBorders>
              <w:top w:val="nil"/>
              <w:left w:val="single" w:sz="4" w:space="0" w:color="auto"/>
              <w:bottom w:val="single" w:sz="4" w:space="0" w:color="auto"/>
              <w:right w:val="single" w:sz="4" w:space="0" w:color="auto"/>
            </w:tcBorders>
            <w:hideMark/>
          </w:tcPr>
          <w:p w14:paraId="67333DAE" w14:textId="04D1A12D" w:rsidR="002D7DBB" w:rsidRPr="00DD44CF" w:rsidRDefault="00DC7AB7" w:rsidP="002D7DBB">
            <w:pPr>
              <w:rPr>
                <w:sz w:val="16"/>
                <w:szCs w:val="16"/>
              </w:rPr>
            </w:pPr>
            <w:r>
              <w:rPr>
                <w:sz w:val="16"/>
                <w:szCs w:val="16"/>
              </w:rPr>
              <w:t>Health care assistant</w:t>
            </w:r>
            <w:r w:rsidRPr="00DD44CF">
              <w:rPr>
                <w:sz w:val="16"/>
                <w:szCs w:val="16"/>
              </w:rPr>
              <w:t xml:space="preserve"> </w:t>
            </w:r>
            <w:r w:rsidR="002D7DBB" w:rsidRPr="00DD44CF">
              <w:rPr>
                <w:sz w:val="16"/>
                <w:szCs w:val="16"/>
              </w:rPr>
              <w:t>(n=494)</w:t>
            </w:r>
          </w:p>
        </w:tc>
        <w:tc>
          <w:tcPr>
            <w:tcW w:w="1731" w:type="dxa"/>
            <w:tcBorders>
              <w:top w:val="single" w:sz="4" w:space="0" w:color="auto"/>
              <w:left w:val="single" w:sz="4" w:space="0" w:color="auto"/>
              <w:bottom w:val="single" w:sz="4" w:space="0" w:color="auto"/>
              <w:right w:val="single" w:sz="4" w:space="0" w:color="auto"/>
            </w:tcBorders>
            <w:hideMark/>
          </w:tcPr>
          <w:p w14:paraId="33D235AC" w14:textId="77777777" w:rsidR="002D7DBB" w:rsidRPr="00DD44CF" w:rsidRDefault="002D7DBB" w:rsidP="002D7DBB">
            <w:pPr>
              <w:jc w:val="center"/>
              <w:rPr>
                <w:sz w:val="16"/>
                <w:szCs w:val="16"/>
              </w:rPr>
            </w:pPr>
            <w:r w:rsidRPr="00DD44CF">
              <w:rPr>
                <w:sz w:val="16"/>
                <w:szCs w:val="16"/>
              </w:rPr>
              <w:t>0.91[0.54,1.52]</w:t>
            </w:r>
          </w:p>
        </w:tc>
        <w:tc>
          <w:tcPr>
            <w:tcW w:w="2184" w:type="dxa"/>
            <w:tcBorders>
              <w:top w:val="single" w:sz="4" w:space="0" w:color="auto"/>
              <w:left w:val="single" w:sz="4" w:space="0" w:color="auto"/>
              <w:bottom w:val="single" w:sz="4" w:space="0" w:color="auto"/>
              <w:right w:val="single" w:sz="4" w:space="0" w:color="auto"/>
            </w:tcBorders>
            <w:hideMark/>
          </w:tcPr>
          <w:p w14:paraId="2261CBD2" w14:textId="77777777" w:rsidR="002D7DBB" w:rsidRPr="00DD44CF" w:rsidRDefault="002D7DBB" w:rsidP="002D7DBB">
            <w:pPr>
              <w:jc w:val="center"/>
              <w:rPr>
                <w:sz w:val="16"/>
                <w:szCs w:val="16"/>
              </w:rPr>
            </w:pPr>
            <w:r w:rsidRPr="00DD44CF">
              <w:rPr>
                <w:sz w:val="16"/>
                <w:szCs w:val="16"/>
              </w:rPr>
              <w:t>0.81 [0.44, 1.49]</w:t>
            </w:r>
          </w:p>
        </w:tc>
        <w:tc>
          <w:tcPr>
            <w:tcW w:w="1701" w:type="dxa"/>
            <w:tcBorders>
              <w:top w:val="single" w:sz="4" w:space="0" w:color="auto"/>
              <w:left w:val="single" w:sz="4" w:space="0" w:color="auto"/>
              <w:bottom w:val="single" w:sz="4" w:space="0" w:color="auto"/>
              <w:right w:val="single" w:sz="4" w:space="0" w:color="auto"/>
            </w:tcBorders>
            <w:hideMark/>
          </w:tcPr>
          <w:p w14:paraId="1CD503F1" w14:textId="77777777" w:rsidR="002D7DBB" w:rsidRPr="00DD44CF" w:rsidRDefault="002D7DBB" w:rsidP="002D7DBB">
            <w:pPr>
              <w:jc w:val="center"/>
              <w:rPr>
                <w:sz w:val="16"/>
                <w:szCs w:val="16"/>
              </w:rPr>
            </w:pPr>
            <w:r w:rsidRPr="00DD44CF">
              <w:rPr>
                <w:sz w:val="16"/>
                <w:szCs w:val="16"/>
              </w:rPr>
              <w:t>0.90 [0.53, 1.53]</w:t>
            </w:r>
          </w:p>
        </w:tc>
      </w:tr>
      <w:tr w:rsidR="002D7DBB" w:rsidRPr="00DD44CF" w14:paraId="2E6D6949" w14:textId="77777777" w:rsidTr="008E059E">
        <w:trPr>
          <w:divId w:val="1915891284"/>
          <w:jc w:val="center"/>
        </w:trPr>
        <w:tc>
          <w:tcPr>
            <w:tcW w:w="3619" w:type="dxa"/>
            <w:tcBorders>
              <w:top w:val="nil"/>
              <w:left w:val="single" w:sz="4" w:space="0" w:color="auto"/>
              <w:bottom w:val="single" w:sz="4" w:space="0" w:color="auto"/>
              <w:right w:val="single" w:sz="4" w:space="0" w:color="auto"/>
            </w:tcBorders>
            <w:hideMark/>
          </w:tcPr>
          <w:p w14:paraId="62FA9007" w14:textId="77777777" w:rsidR="002D7DBB" w:rsidRPr="00DD44CF" w:rsidRDefault="002D7DBB" w:rsidP="002D7DBB">
            <w:pPr>
              <w:rPr>
                <w:sz w:val="16"/>
                <w:szCs w:val="16"/>
              </w:rPr>
            </w:pPr>
            <w:r w:rsidRPr="00DD44CF">
              <w:rPr>
                <w:sz w:val="16"/>
                <w:szCs w:val="16"/>
              </w:rPr>
              <w:t>Doctor (n=46)</w:t>
            </w:r>
          </w:p>
        </w:tc>
        <w:tc>
          <w:tcPr>
            <w:tcW w:w="1731" w:type="dxa"/>
            <w:tcBorders>
              <w:top w:val="single" w:sz="4" w:space="0" w:color="auto"/>
              <w:left w:val="single" w:sz="4" w:space="0" w:color="auto"/>
              <w:bottom w:val="single" w:sz="4" w:space="0" w:color="auto"/>
              <w:right w:val="single" w:sz="4" w:space="0" w:color="auto"/>
            </w:tcBorders>
            <w:hideMark/>
          </w:tcPr>
          <w:p w14:paraId="4174358F" w14:textId="77777777" w:rsidR="002D7DBB" w:rsidRPr="00DD44CF" w:rsidRDefault="002D7DBB" w:rsidP="002D7DBB">
            <w:pPr>
              <w:jc w:val="center"/>
              <w:rPr>
                <w:sz w:val="16"/>
                <w:szCs w:val="16"/>
              </w:rPr>
            </w:pPr>
            <w:r w:rsidRPr="00DD44CF">
              <w:rPr>
                <w:sz w:val="16"/>
                <w:szCs w:val="16"/>
              </w:rPr>
              <w:t>0.97 [0.31, 3.05]</w:t>
            </w:r>
          </w:p>
        </w:tc>
        <w:tc>
          <w:tcPr>
            <w:tcW w:w="2184" w:type="dxa"/>
            <w:tcBorders>
              <w:top w:val="single" w:sz="4" w:space="0" w:color="auto"/>
              <w:left w:val="single" w:sz="4" w:space="0" w:color="auto"/>
              <w:bottom w:val="single" w:sz="4" w:space="0" w:color="auto"/>
              <w:right w:val="single" w:sz="4" w:space="0" w:color="auto"/>
            </w:tcBorders>
            <w:hideMark/>
          </w:tcPr>
          <w:p w14:paraId="223780B3" w14:textId="77777777" w:rsidR="002D7DBB" w:rsidRPr="00DD44CF" w:rsidRDefault="002D7DBB" w:rsidP="002D7DBB">
            <w:pPr>
              <w:jc w:val="center"/>
              <w:rPr>
                <w:sz w:val="16"/>
                <w:szCs w:val="16"/>
              </w:rPr>
            </w:pPr>
            <w:r w:rsidRPr="00DD44CF">
              <w:rPr>
                <w:sz w:val="16"/>
                <w:szCs w:val="16"/>
              </w:rPr>
              <w:t>1.33 [0.37, 4.76]</w:t>
            </w:r>
          </w:p>
        </w:tc>
        <w:tc>
          <w:tcPr>
            <w:tcW w:w="1701" w:type="dxa"/>
            <w:tcBorders>
              <w:top w:val="single" w:sz="4" w:space="0" w:color="auto"/>
              <w:left w:val="single" w:sz="4" w:space="0" w:color="auto"/>
              <w:bottom w:val="single" w:sz="4" w:space="0" w:color="auto"/>
              <w:right w:val="single" w:sz="4" w:space="0" w:color="auto"/>
            </w:tcBorders>
            <w:hideMark/>
          </w:tcPr>
          <w:p w14:paraId="46510D06" w14:textId="77777777" w:rsidR="002D7DBB" w:rsidRPr="00DD44CF" w:rsidRDefault="002D7DBB" w:rsidP="002D7DBB">
            <w:pPr>
              <w:jc w:val="center"/>
              <w:rPr>
                <w:sz w:val="16"/>
                <w:szCs w:val="16"/>
              </w:rPr>
            </w:pPr>
            <w:r w:rsidRPr="00DD44CF">
              <w:rPr>
                <w:sz w:val="16"/>
                <w:szCs w:val="16"/>
              </w:rPr>
              <w:t>1.07 [0.34, 3.43]</w:t>
            </w:r>
          </w:p>
        </w:tc>
      </w:tr>
      <w:tr w:rsidR="002D7DBB" w:rsidRPr="00DD44CF" w14:paraId="6017C848" w14:textId="77777777" w:rsidTr="008E059E">
        <w:trPr>
          <w:divId w:val="1915891284"/>
          <w:jc w:val="center"/>
        </w:trPr>
        <w:tc>
          <w:tcPr>
            <w:tcW w:w="3619" w:type="dxa"/>
            <w:tcBorders>
              <w:top w:val="nil"/>
              <w:left w:val="single" w:sz="4" w:space="0" w:color="auto"/>
              <w:bottom w:val="single" w:sz="4" w:space="0" w:color="auto"/>
              <w:right w:val="single" w:sz="4" w:space="0" w:color="auto"/>
            </w:tcBorders>
            <w:hideMark/>
          </w:tcPr>
          <w:p w14:paraId="366CE1A6" w14:textId="7920F231" w:rsidR="002D7DBB" w:rsidRPr="00DD44CF" w:rsidRDefault="002D7DBB" w:rsidP="00DC7AB7">
            <w:pPr>
              <w:rPr>
                <w:sz w:val="16"/>
                <w:szCs w:val="16"/>
              </w:rPr>
            </w:pPr>
            <w:r w:rsidRPr="00DD44CF">
              <w:rPr>
                <w:sz w:val="16"/>
                <w:szCs w:val="16"/>
              </w:rPr>
              <w:t xml:space="preserve">Allied </w:t>
            </w:r>
            <w:r w:rsidR="00DC7AB7">
              <w:rPr>
                <w:sz w:val="16"/>
                <w:szCs w:val="16"/>
              </w:rPr>
              <w:t>health professional</w:t>
            </w:r>
            <w:r w:rsidR="00DC7AB7" w:rsidRPr="00DD44CF">
              <w:rPr>
                <w:sz w:val="16"/>
                <w:szCs w:val="16"/>
              </w:rPr>
              <w:t xml:space="preserve"> </w:t>
            </w:r>
            <w:r w:rsidRPr="00DD44CF">
              <w:rPr>
                <w:sz w:val="16"/>
                <w:szCs w:val="16"/>
              </w:rPr>
              <w:t>(n=41)</w:t>
            </w:r>
          </w:p>
        </w:tc>
        <w:tc>
          <w:tcPr>
            <w:tcW w:w="1731" w:type="dxa"/>
            <w:tcBorders>
              <w:top w:val="single" w:sz="4" w:space="0" w:color="auto"/>
              <w:left w:val="single" w:sz="4" w:space="0" w:color="auto"/>
              <w:bottom w:val="single" w:sz="4" w:space="0" w:color="auto"/>
              <w:right w:val="single" w:sz="4" w:space="0" w:color="auto"/>
            </w:tcBorders>
            <w:hideMark/>
          </w:tcPr>
          <w:p w14:paraId="0A1965C4" w14:textId="77777777" w:rsidR="002D7DBB" w:rsidRPr="00DD44CF" w:rsidRDefault="002D7DBB" w:rsidP="002D7DBB">
            <w:pPr>
              <w:jc w:val="center"/>
              <w:rPr>
                <w:sz w:val="16"/>
                <w:szCs w:val="16"/>
              </w:rPr>
            </w:pPr>
            <w:r w:rsidRPr="00DD44CF">
              <w:rPr>
                <w:sz w:val="16"/>
                <w:szCs w:val="16"/>
              </w:rPr>
              <w:t>0.89 [0.22, 3.59]</w:t>
            </w:r>
          </w:p>
        </w:tc>
        <w:tc>
          <w:tcPr>
            <w:tcW w:w="2184" w:type="dxa"/>
            <w:tcBorders>
              <w:top w:val="single" w:sz="4" w:space="0" w:color="auto"/>
              <w:left w:val="single" w:sz="4" w:space="0" w:color="auto"/>
              <w:bottom w:val="single" w:sz="4" w:space="0" w:color="auto"/>
              <w:right w:val="single" w:sz="4" w:space="0" w:color="auto"/>
            </w:tcBorders>
            <w:hideMark/>
          </w:tcPr>
          <w:p w14:paraId="0B61B61F" w14:textId="77777777" w:rsidR="002D7DBB" w:rsidRPr="00DD44CF" w:rsidRDefault="002D7DBB" w:rsidP="002D7DBB">
            <w:pPr>
              <w:jc w:val="center"/>
              <w:rPr>
                <w:sz w:val="16"/>
                <w:szCs w:val="16"/>
              </w:rPr>
            </w:pPr>
            <w:r w:rsidRPr="00DD44CF">
              <w:rPr>
                <w:sz w:val="16"/>
                <w:szCs w:val="16"/>
              </w:rPr>
              <w:t>1.34 [0.26, 6.82]</w:t>
            </w:r>
          </w:p>
        </w:tc>
        <w:tc>
          <w:tcPr>
            <w:tcW w:w="1701" w:type="dxa"/>
            <w:tcBorders>
              <w:top w:val="single" w:sz="4" w:space="0" w:color="auto"/>
              <w:left w:val="single" w:sz="4" w:space="0" w:color="auto"/>
              <w:bottom w:val="single" w:sz="4" w:space="0" w:color="auto"/>
              <w:right w:val="single" w:sz="4" w:space="0" w:color="auto"/>
            </w:tcBorders>
            <w:hideMark/>
          </w:tcPr>
          <w:p w14:paraId="3E94734B" w14:textId="77777777" w:rsidR="002D7DBB" w:rsidRPr="00DD44CF" w:rsidRDefault="002D7DBB" w:rsidP="002D7DBB">
            <w:pPr>
              <w:jc w:val="center"/>
              <w:rPr>
                <w:sz w:val="16"/>
                <w:szCs w:val="16"/>
              </w:rPr>
            </w:pPr>
            <w:r w:rsidRPr="00DD44CF">
              <w:rPr>
                <w:sz w:val="16"/>
                <w:szCs w:val="16"/>
              </w:rPr>
              <w:t>1.03 [0.25, 4.27]</w:t>
            </w:r>
          </w:p>
        </w:tc>
      </w:tr>
      <w:tr w:rsidR="002D7DBB" w:rsidRPr="00DD44CF" w14:paraId="1742A99A" w14:textId="77777777" w:rsidTr="008E059E">
        <w:trPr>
          <w:divId w:val="1915891284"/>
          <w:jc w:val="center"/>
        </w:trPr>
        <w:tc>
          <w:tcPr>
            <w:tcW w:w="3619" w:type="dxa"/>
            <w:tcBorders>
              <w:top w:val="nil"/>
              <w:left w:val="single" w:sz="4" w:space="0" w:color="auto"/>
              <w:bottom w:val="single" w:sz="4" w:space="0" w:color="auto"/>
              <w:right w:val="single" w:sz="4" w:space="0" w:color="auto"/>
            </w:tcBorders>
            <w:hideMark/>
          </w:tcPr>
          <w:p w14:paraId="0B6B494D" w14:textId="77777777" w:rsidR="002D7DBB" w:rsidRPr="00DD44CF" w:rsidRDefault="002D7DBB" w:rsidP="002D7DBB">
            <w:pPr>
              <w:rPr>
                <w:sz w:val="16"/>
                <w:szCs w:val="16"/>
              </w:rPr>
            </w:pPr>
            <w:r w:rsidRPr="00DD44CF">
              <w:rPr>
                <w:sz w:val="16"/>
                <w:szCs w:val="16"/>
              </w:rPr>
              <w:t>Other type of staff (n=318)</w:t>
            </w:r>
          </w:p>
        </w:tc>
        <w:tc>
          <w:tcPr>
            <w:tcW w:w="1731" w:type="dxa"/>
            <w:tcBorders>
              <w:top w:val="single" w:sz="4" w:space="0" w:color="auto"/>
              <w:left w:val="single" w:sz="4" w:space="0" w:color="auto"/>
              <w:bottom w:val="single" w:sz="4" w:space="0" w:color="auto"/>
              <w:right w:val="single" w:sz="4" w:space="0" w:color="auto"/>
            </w:tcBorders>
            <w:hideMark/>
          </w:tcPr>
          <w:p w14:paraId="2DE7CBF7" w14:textId="77777777" w:rsidR="002D7DBB" w:rsidRPr="00DD44CF" w:rsidRDefault="002D7DBB" w:rsidP="002D7DBB">
            <w:pPr>
              <w:jc w:val="center"/>
              <w:rPr>
                <w:sz w:val="16"/>
                <w:szCs w:val="16"/>
              </w:rPr>
            </w:pPr>
            <w:r w:rsidRPr="00DD44CF">
              <w:rPr>
                <w:sz w:val="16"/>
                <w:szCs w:val="16"/>
              </w:rPr>
              <w:t>1.20 [1.03, 4.98]</w:t>
            </w:r>
          </w:p>
        </w:tc>
        <w:tc>
          <w:tcPr>
            <w:tcW w:w="2184" w:type="dxa"/>
            <w:tcBorders>
              <w:top w:val="single" w:sz="4" w:space="0" w:color="auto"/>
              <w:left w:val="single" w:sz="4" w:space="0" w:color="auto"/>
              <w:bottom w:val="single" w:sz="4" w:space="0" w:color="auto"/>
              <w:right w:val="single" w:sz="4" w:space="0" w:color="auto"/>
            </w:tcBorders>
            <w:hideMark/>
          </w:tcPr>
          <w:p w14:paraId="30889707" w14:textId="77777777" w:rsidR="002D7DBB" w:rsidRPr="00DD44CF" w:rsidRDefault="002D7DBB" w:rsidP="002D7DBB">
            <w:pPr>
              <w:jc w:val="center"/>
              <w:rPr>
                <w:sz w:val="16"/>
                <w:szCs w:val="16"/>
              </w:rPr>
            </w:pPr>
            <w:r w:rsidRPr="00DD44CF">
              <w:rPr>
                <w:sz w:val="16"/>
                <w:szCs w:val="16"/>
              </w:rPr>
              <w:t>0.96 [0.45, 2.03]</w:t>
            </w:r>
          </w:p>
        </w:tc>
        <w:tc>
          <w:tcPr>
            <w:tcW w:w="1701" w:type="dxa"/>
            <w:tcBorders>
              <w:top w:val="single" w:sz="4" w:space="0" w:color="auto"/>
              <w:left w:val="single" w:sz="4" w:space="0" w:color="auto"/>
              <w:bottom w:val="single" w:sz="4" w:space="0" w:color="auto"/>
              <w:right w:val="single" w:sz="4" w:space="0" w:color="auto"/>
            </w:tcBorders>
            <w:hideMark/>
          </w:tcPr>
          <w:p w14:paraId="0316A849" w14:textId="77777777" w:rsidR="002D7DBB" w:rsidRPr="00DD44CF" w:rsidRDefault="002D7DBB" w:rsidP="002D7DBB">
            <w:pPr>
              <w:jc w:val="center"/>
              <w:rPr>
                <w:sz w:val="16"/>
                <w:szCs w:val="16"/>
              </w:rPr>
            </w:pPr>
            <w:r w:rsidRPr="00DD44CF">
              <w:rPr>
                <w:sz w:val="16"/>
                <w:szCs w:val="16"/>
              </w:rPr>
              <w:t>1.30 [0.75, 2.27]</w:t>
            </w:r>
          </w:p>
        </w:tc>
      </w:tr>
      <w:tr w:rsidR="002D7DBB" w:rsidRPr="00DD44CF" w14:paraId="6A724552" w14:textId="77777777" w:rsidTr="008E059E">
        <w:trPr>
          <w:divId w:val="1915891284"/>
          <w:jc w:val="center"/>
        </w:trPr>
        <w:tc>
          <w:tcPr>
            <w:tcW w:w="3619" w:type="dxa"/>
            <w:tcBorders>
              <w:top w:val="nil"/>
              <w:left w:val="single" w:sz="4" w:space="0" w:color="auto"/>
              <w:bottom w:val="single" w:sz="4" w:space="0" w:color="auto"/>
              <w:right w:val="single" w:sz="4" w:space="0" w:color="auto"/>
            </w:tcBorders>
            <w:shd w:val="clear" w:color="auto" w:fill="B8CCE4" w:themeFill="accent1" w:themeFillTint="66"/>
            <w:hideMark/>
          </w:tcPr>
          <w:p w14:paraId="73712B72" w14:textId="77777777" w:rsidR="002D7DBB" w:rsidRPr="00DD44CF" w:rsidRDefault="002D7DBB" w:rsidP="002D7DBB">
            <w:pPr>
              <w:rPr>
                <w:b/>
                <w:bCs/>
                <w:sz w:val="16"/>
                <w:szCs w:val="16"/>
              </w:rPr>
            </w:pPr>
            <w:r w:rsidRPr="00DD44CF">
              <w:rPr>
                <w:b/>
                <w:bCs/>
                <w:sz w:val="16"/>
                <w:szCs w:val="16"/>
              </w:rPr>
              <w:t>Interaction characteristics</w:t>
            </w:r>
          </w:p>
        </w:tc>
        <w:tc>
          <w:tcPr>
            <w:tcW w:w="17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9CB597" w14:textId="77777777" w:rsidR="002D7DBB" w:rsidRPr="00DD44CF" w:rsidRDefault="002D7DBB" w:rsidP="002D7DB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EF4164" w14:textId="77777777" w:rsidR="002D7DBB" w:rsidRPr="00DD44CF" w:rsidRDefault="002D7DBB" w:rsidP="002D7DBB">
            <w:pPr>
              <w:jc w:val="center"/>
              <w:rPr>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AC6382" w14:textId="77777777" w:rsidR="002D7DBB" w:rsidRPr="00DD44CF" w:rsidRDefault="002D7DBB" w:rsidP="002D7DBB">
            <w:pPr>
              <w:jc w:val="center"/>
              <w:rPr>
                <w:sz w:val="16"/>
                <w:szCs w:val="16"/>
              </w:rPr>
            </w:pPr>
          </w:p>
        </w:tc>
      </w:tr>
      <w:tr w:rsidR="002D7DBB" w:rsidRPr="00DD44CF" w14:paraId="69A35729" w14:textId="77777777" w:rsidTr="008E059E">
        <w:trPr>
          <w:divId w:val="1915891284"/>
          <w:jc w:val="center"/>
        </w:trPr>
        <w:tc>
          <w:tcPr>
            <w:tcW w:w="3619" w:type="dxa"/>
            <w:tcBorders>
              <w:top w:val="single" w:sz="4" w:space="0" w:color="auto"/>
              <w:left w:val="single" w:sz="4" w:space="0" w:color="auto"/>
              <w:bottom w:val="single" w:sz="4" w:space="0" w:color="auto"/>
              <w:right w:val="single" w:sz="4" w:space="0" w:color="auto"/>
            </w:tcBorders>
            <w:hideMark/>
          </w:tcPr>
          <w:p w14:paraId="3CDA457D" w14:textId="77777777" w:rsidR="002D7DBB" w:rsidRPr="00DD44CF" w:rsidRDefault="002D7DBB" w:rsidP="002D7DBB">
            <w:pPr>
              <w:rPr>
                <w:sz w:val="16"/>
                <w:szCs w:val="16"/>
              </w:rPr>
            </w:pPr>
            <w:r w:rsidRPr="00DD44CF">
              <w:rPr>
                <w:sz w:val="16"/>
                <w:szCs w:val="16"/>
              </w:rPr>
              <w:t>Length of interaction (in seconds)</w:t>
            </w:r>
          </w:p>
        </w:tc>
        <w:tc>
          <w:tcPr>
            <w:tcW w:w="1731" w:type="dxa"/>
            <w:tcBorders>
              <w:top w:val="single" w:sz="4" w:space="0" w:color="auto"/>
              <w:left w:val="single" w:sz="4" w:space="0" w:color="auto"/>
              <w:bottom w:val="single" w:sz="4" w:space="0" w:color="auto"/>
              <w:right w:val="single" w:sz="4" w:space="0" w:color="auto"/>
            </w:tcBorders>
            <w:hideMark/>
          </w:tcPr>
          <w:p w14:paraId="1CA89910" w14:textId="77777777" w:rsidR="002D7DBB" w:rsidRPr="00DD44CF" w:rsidRDefault="002D7DBB" w:rsidP="002D7DBB">
            <w:pPr>
              <w:jc w:val="center"/>
              <w:rPr>
                <w:sz w:val="16"/>
                <w:szCs w:val="16"/>
              </w:rPr>
            </w:pPr>
            <w:r w:rsidRPr="00DD44CF">
              <w:rPr>
                <w:sz w:val="16"/>
                <w:szCs w:val="16"/>
              </w:rPr>
              <w:t>1.00 [0.99, 1.00]</w:t>
            </w:r>
          </w:p>
        </w:tc>
        <w:tc>
          <w:tcPr>
            <w:tcW w:w="2184" w:type="dxa"/>
            <w:tcBorders>
              <w:top w:val="single" w:sz="4" w:space="0" w:color="auto"/>
              <w:left w:val="single" w:sz="4" w:space="0" w:color="auto"/>
              <w:bottom w:val="single" w:sz="4" w:space="0" w:color="auto"/>
              <w:right w:val="single" w:sz="4" w:space="0" w:color="auto"/>
            </w:tcBorders>
            <w:hideMark/>
          </w:tcPr>
          <w:p w14:paraId="0B04CDB0" w14:textId="77777777" w:rsidR="002D7DBB" w:rsidRPr="00DD44CF" w:rsidRDefault="002D7DBB" w:rsidP="002D7DBB">
            <w:pPr>
              <w:jc w:val="center"/>
              <w:rPr>
                <w:b/>
                <w:bCs/>
                <w:sz w:val="16"/>
                <w:szCs w:val="16"/>
              </w:rPr>
            </w:pPr>
            <w:r w:rsidRPr="00DD44CF">
              <w:rPr>
                <w:sz w:val="16"/>
                <w:szCs w:val="16"/>
              </w:rPr>
              <w:t>1.00 [0.99, 1.00]</w:t>
            </w:r>
          </w:p>
        </w:tc>
        <w:tc>
          <w:tcPr>
            <w:tcW w:w="1701" w:type="dxa"/>
            <w:tcBorders>
              <w:top w:val="single" w:sz="4" w:space="0" w:color="auto"/>
              <w:left w:val="single" w:sz="4" w:space="0" w:color="auto"/>
              <w:bottom w:val="single" w:sz="4" w:space="0" w:color="auto"/>
              <w:right w:val="single" w:sz="4" w:space="0" w:color="auto"/>
            </w:tcBorders>
          </w:tcPr>
          <w:p w14:paraId="5253885E" w14:textId="77777777" w:rsidR="002D7DBB" w:rsidRPr="00DD44CF" w:rsidRDefault="002D7DBB" w:rsidP="002D7DBB">
            <w:pPr>
              <w:jc w:val="center"/>
              <w:rPr>
                <w:sz w:val="16"/>
                <w:szCs w:val="16"/>
              </w:rPr>
            </w:pPr>
          </w:p>
        </w:tc>
      </w:tr>
      <w:tr w:rsidR="002D7DBB" w:rsidRPr="00DD44CF" w14:paraId="0CC35643" w14:textId="77777777" w:rsidTr="008E059E">
        <w:trPr>
          <w:divId w:val="1915891284"/>
          <w:jc w:val="center"/>
        </w:trPr>
        <w:tc>
          <w:tcPr>
            <w:tcW w:w="3619" w:type="dxa"/>
            <w:tcBorders>
              <w:top w:val="single" w:sz="4" w:space="0" w:color="auto"/>
              <w:left w:val="single" w:sz="4" w:space="0" w:color="auto"/>
              <w:bottom w:val="single" w:sz="4" w:space="0" w:color="auto"/>
              <w:right w:val="single" w:sz="4" w:space="0" w:color="auto"/>
            </w:tcBorders>
            <w:hideMark/>
          </w:tcPr>
          <w:p w14:paraId="3A53B801" w14:textId="77777777" w:rsidR="002D7DBB" w:rsidRPr="00DD44CF" w:rsidRDefault="002D7DBB" w:rsidP="002D7DBB">
            <w:pPr>
              <w:rPr>
                <w:sz w:val="16"/>
                <w:szCs w:val="16"/>
              </w:rPr>
            </w:pPr>
            <w:r w:rsidRPr="00DD44CF">
              <w:rPr>
                <w:sz w:val="16"/>
                <w:szCs w:val="16"/>
              </w:rPr>
              <w:t>Visitors present (vs no visitors)</w:t>
            </w:r>
          </w:p>
        </w:tc>
        <w:tc>
          <w:tcPr>
            <w:tcW w:w="1731" w:type="dxa"/>
            <w:tcBorders>
              <w:top w:val="single" w:sz="4" w:space="0" w:color="auto"/>
              <w:left w:val="single" w:sz="4" w:space="0" w:color="auto"/>
              <w:bottom w:val="single" w:sz="4" w:space="0" w:color="auto"/>
              <w:right w:val="single" w:sz="4" w:space="0" w:color="auto"/>
            </w:tcBorders>
            <w:hideMark/>
          </w:tcPr>
          <w:p w14:paraId="38C6DEB9" w14:textId="77777777" w:rsidR="002D7DBB" w:rsidRPr="00DD44CF" w:rsidRDefault="002D7DBB" w:rsidP="002D7DBB">
            <w:pPr>
              <w:jc w:val="center"/>
              <w:rPr>
                <w:b/>
                <w:bCs/>
                <w:sz w:val="16"/>
                <w:szCs w:val="16"/>
              </w:rPr>
            </w:pPr>
            <w:r w:rsidRPr="00DD44CF">
              <w:rPr>
                <w:b/>
                <w:bCs/>
                <w:sz w:val="16"/>
                <w:szCs w:val="16"/>
              </w:rPr>
              <w:t>0.17 [0.05, 0.59]</w:t>
            </w:r>
          </w:p>
        </w:tc>
        <w:tc>
          <w:tcPr>
            <w:tcW w:w="2184" w:type="dxa"/>
            <w:tcBorders>
              <w:top w:val="single" w:sz="4" w:space="0" w:color="auto"/>
              <w:left w:val="single" w:sz="4" w:space="0" w:color="auto"/>
              <w:bottom w:val="single" w:sz="4" w:space="0" w:color="auto"/>
              <w:right w:val="single" w:sz="4" w:space="0" w:color="auto"/>
            </w:tcBorders>
            <w:hideMark/>
          </w:tcPr>
          <w:p w14:paraId="405B2950" w14:textId="77777777" w:rsidR="002D7DBB" w:rsidRPr="00DD44CF" w:rsidRDefault="002D7DBB" w:rsidP="002D7DBB">
            <w:pPr>
              <w:jc w:val="center"/>
              <w:rPr>
                <w:color w:val="FF0000"/>
                <w:sz w:val="16"/>
                <w:szCs w:val="16"/>
              </w:rPr>
            </w:pPr>
            <w:r w:rsidRPr="00DD44CF">
              <w:rPr>
                <w:sz w:val="16"/>
                <w:szCs w:val="16"/>
              </w:rPr>
              <w:t>0.31 [0.09, 1.09]</w:t>
            </w:r>
          </w:p>
        </w:tc>
        <w:tc>
          <w:tcPr>
            <w:tcW w:w="1701" w:type="dxa"/>
            <w:tcBorders>
              <w:top w:val="single" w:sz="4" w:space="0" w:color="auto"/>
              <w:left w:val="single" w:sz="4" w:space="0" w:color="auto"/>
              <w:bottom w:val="single" w:sz="4" w:space="0" w:color="auto"/>
              <w:right w:val="single" w:sz="4" w:space="0" w:color="auto"/>
            </w:tcBorders>
            <w:hideMark/>
          </w:tcPr>
          <w:p w14:paraId="044CAE32" w14:textId="77777777" w:rsidR="002D7DBB" w:rsidRPr="00DD44CF" w:rsidRDefault="002D7DBB" w:rsidP="002D7DBB">
            <w:pPr>
              <w:jc w:val="center"/>
              <w:rPr>
                <w:sz w:val="16"/>
                <w:szCs w:val="16"/>
              </w:rPr>
            </w:pPr>
            <w:r w:rsidRPr="00DD44CF">
              <w:rPr>
                <w:b/>
                <w:bCs/>
                <w:sz w:val="16"/>
                <w:szCs w:val="16"/>
              </w:rPr>
              <w:t>0.24 [0.07, 0.84]</w:t>
            </w:r>
          </w:p>
        </w:tc>
      </w:tr>
      <w:tr w:rsidR="002D7DBB" w:rsidRPr="00DD44CF" w14:paraId="272AB58A" w14:textId="77777777" w:rsidTr="008E059E">
        <w:trPr>
          <w:divId w:val="1915891284"/>
          <w:trHeight w:val="227"/>
          <w:jc w:val="center"/>
        </w:trPr>
        <w:tc>
          <w:tcPr>
            <w:tcW w:w="3619" w:type="dxa"/>
            <w:tcBorders>
              <w:top w:val="nil"/>
              <w:left w:val="single" w:sz="4" w:space="0" w:color="auto"/>
              <w:bottom w:val="single" w:sz="4" w:space="0" w:color="auto"/>
              <w:right w:val="single" w:sz="4" w:space="0" w:color="auto"/>
            </w:tcBorders>
            <w:hideMark/>
          </w:tcPr>
          <w:p w14:paraId="3CD0EE41" w14:textId="77777777" w:rsidR="002D7DBB" w:rsidRPr="00DD44CF" w:rsidRDefault="002D7DBB" w:rsidP="002D7DBB">
            <w:pPr>
              <w:rPr>
                <w:sz w:val="16"/>
                <w:szCs w:val="16"/>
              </w:rPr>
            </w:pPr>
            <w:r w:rsidRPr="00DD44CF">
              <w:rPr>
                <w:sz w:val="16"/>
                <w:szCs w:val="16"/>
              </w:rPr>
              <w:t>Interaction initiated by patient (vs interaction initiated by staff)</w:t>
            </w:r>
          </w:p>
        </w:tc>
        <w:tc>
          <w:tcPr>
            <w:tcW w:w="1731" w:type="dxa"/>
            <w:tcBorders>
              <w:top w:val="single" w:sz="4" w:space="0" w:color="auto"/>
              <w:left w:val="single" w:sz="4" w:space="0" w:color="auto"/>
              <w:bottom w:val="single" w:sz="4" w:space="0" w:color="auto"/>
              <w:right w:val="single" w:sz="4" w:space="0" w:color="auto"/>
            </w:tcBorders>
            <w:hideMark/>
          </w:tcPr>
          <w:p w14:paraId="36510A02" w14:textId="77777777" w:rsidR="002D7DBB" w:rsidRPr="00DD44CF" w:rsidRDefault="002D7DBB" w:rsidP="002D7DBB">
            <w:pPr>
              <w:jc w:val="center"/>
              <w:rPr>
                <w:b/>
                <w:bCs/>
                <w:sz w:val="16"/>
                <w:szCs w:val="16"/>
              </w:rPr>
            </w:pPr>
            <w:r w:rsidRPr="00DD44CF">
              <w:rPr>
                <w:b/>
                <w:bCs/>
                <w:sz w:val="16"/>
                <w:szCs w:val="16"/>
              </w:rPr>
              <w:t>7.43 [4.67, 11.85]</w:t>
            </w:r>
          </w:p>
        </w:tc>
        <w:tc>
          <w:tcPr>
            <w:tcW w:w="2184" w:type="dxa"/>
            <w:tcBorders>
              <w:top w:val="single" w:sz="4" w:space="0" w:color="auto"/>
              <w:left w:val="single" w:sz="4" w:space="0" w:color="auto"/>
              <w:bottom w:val="single" w:sz="4" w:space="0" w:color="auto"/>
              <w:right w:val="single" w:sz="4" w:space="0" w:color="auto"/>
            </w:tcBorders>
            <w:hideMark/>
          </w:tcPr>
          <w:p w14:paraId="5DF9B2C3" w14:textId="77777777" w:rsidR="002D7DBB" w:rsidRPr="00DD44CF" w:rsidRDefault="002D7DBB" w:rsidP="002D7DBB">
            <w:pPr>
              <w:jc w:val="center"/>
              <w:rPr>
                <w:b/>
                <w:bCs/>
                <w:sz w:val="16"/>
                <w:szCs w:val="16"/>
              </w:rPr>
            </w:pPr>
            <w:r w:rsidRPr="00DD44CF">
              <w:rPr>
                <w:b/>
                <w:bCs/>
                <w:sz w:val="16"/>
                <w:szCs w:val="16"/>
              </w:rPr>
              <w:t>5.30 [3.07, 9.16]</w:t>
            </w:r>
          </w:p>
        </w:tc>
        <w:tc>
          <w:tcPr>
            <w:tcW w:w="1701" w:type="dxa"/>
            <w:tcBorders>
              <w:top w:val="single" w:sz="4" w:space="0" w:color="auto"/>
              <w:left w:val="single" w:sz="4" w:space="0" w:color="auto"/>
              <w:bottom w:val="single" w:sz="4" w:space="0" w:color="auto"/>
              <w:right w:val="single" w:sz="4" w:space="0" w:color="auto"/>
            </w:tcBorders>
          </w:tcPr>
          <w:p w14:paraId="4F4BB9FB" w14:textId="77777777" w:rsidR="002D7DBB" w:rsidRPr="00DD44CF" w:rsidRDefault="002D7DBB" w:rsidP="002D7DBB">
            <w:pPr>
              <w:jc w:val="center"/>
              <w:rPr>
                <w:b/>
                <w:bCs/>
                <w:sz w:val="16"/>
                <w:szCs w:val="16"/>
              </w:rPr>
            </w:pPr>
          </w:p>
        </w:tc>
      </w:tr>
      <w:tr w:rsidR="002D7DBB" w:rsidRPr="00DD44CF" w14:paraId="5300CFAD" w14:textId="77777777" w:rsidTr="008E059E">
        <w:trPr>
          <w:divId w:val="1915891284"/>
          <w:trHeight w:val="249"/>
          <w:jc w:val="center"/>
        </w:trPr>
        <w:tc>
          <w:tcPr>
            <w:tcW w:w="3619" w:type="dxa"/>
            <w:tcBorders>
              <w:top w:val="single" w:sz="4" w:space="0" w:color="auto"/>
              <w:left w:val="single" w:sz="4" w:space="0" w:color="auto"/>
              <w:bottom w:val="single" w:sz="4" w:space="0" w:color="auto"/>
              <w:right w:val="single" w:sz="4" w:space="0" w:color="auto"/>
            </w:tcBorders>
            <w:hideMark/>
          </w:tcPr>
          <w:p w14:paraId="2C83436E" w14:textId="77777777" w:rsidR="002D7DBB" w:rsidRPr="00DD44CF" w:rsidRDefault="002D7DBB" w:rsidP="002D7DBB">
            <w:pPr>
              <w:rPr>
                <w:sz w:val="16"/>
                <w:szCs w:val="16"/>
              </w:rPr>
            </w:pPr>
            <w:r w:rsidRPr="00DD44CF">
              <w:rPr>
                <w:sz w:val="16"/>
                <w:szCs w:val="16"/>
              </w:rPr>
              <w:t>One way communication (vs two way communication)</w:t>
            </w:r>
          </w:p>
        </w:tc>
        <w:tc>
          <w:tcPr>
            <w:tcW w:w="1731" w:type="dxa"/>
            <w:tcBorders>
              <w:top w:val="single" w:sz="4" w:space="0" w:color="auto"/>
              <w:left w:val="single" w:sz="4" w:space="0" w:color="auto"/>
              <w:bottom w:val="single" w:sz="4" w:space="0" w:color="auto"/>
              <w:right w:val="single" w:sz="4" w:space="0" w:color="auto"/>
            </w:tcBorders>
            <w:hideMark/>
          </w:tcPr>
          <w:p w14:paraId="42BE93B3" w14:textId="77777777" w:rsidR="002D7DBB" w:rsidRPr="00DD44CF" w:rsidRDefault="002D7DBB" w:rsidP="002D7DBB">
            <w:pPr>
              <w:jc w:val="center"/>
              <w:rPr>
                <w:b/>
                <w:bCs/>
                <w:sz w:val="16"/>
                <w:szCs w:val="16"/>
              </w:rPr>
            </w:pPr>
            <w:r w:rsidRPr="00DD44CF">
              <w:rPr>
                <w:b/>
                <w:bCs/>
                <w:sz w:val="16"/>
                <w:szCs w:val="16"/>
              </w:rPr>
              <w:t>7.75 [4.64, 12.94]</w:t>
            </w:r>
          </w:p>
        </w:tc>
        <w:tc>
          <w:tcPr>
            <w:tcW w:w="2184" w:type="dxa"/>
            <w:tcBorders>
              <w:top w:val="single" w:sz="4" w:space="0" w:color="auto"/>
              <w:left w:val="single" w:sz="4" w:space="0" w:color="auto"/>
              <w:bottom w:val="single" w:sz="4" w:space="0" w:color="auto"/>
              <w:right w:val="single" w:sz="4" w:space="0" w:color="auto"/>
            </w:tcBorders>
            <w:hideMark/>
          </w:tcPr>
          <w:p w14:paraId="24351178" w14:textId="77777777" w:rsidR="002D7DBB" w:rsidRPr="00DD44CF" w:rsidRDefault="002D7DBB" w:rsidP="002D7DBB">
            <w:pPr>
              <w:jc w:val="center"/>
              <w:rPr>
                <w:b/>
                <w:bCs/>
                <w:sz w:val="16"/>
                <w:szCs w:val="16"/>
              </w:rPr>
            </w:pPr>
            <w:r w:rsidRPr="00DD44CF">
              <w:rPr>
                <w:b/>
                <w:bCs/>
                <w:sz w:val="16"/>
                <w:szCs w:val="16"/>
              </w:rPr>
              <w:t>10.70 [5.64, 20.28]</w:t>
            </w:r>
          </w:p>
        </w:tc>
        <w:tc>
          <w:tcPr>
            <w:tcW w:w="1701" w:type="dxa"/>
            <w:tcBorders>
              <w:top w:val="single" w:sz="4" w:space="0" w:color="auto"/>
              <w:left w:val="single" w:sz="4" w:space="0" w:color="auto"/>
              <w:bottom w:val="single" w:sz="4" w:space="0" w:color="auto"/>
              <w:right w:val="single" w:sz="4" w:space="0" w:color="auto"/>
            </w:tcBorders>
          </w:tcPr>
          <w:p w14:paraId="22EC0176" w14:textId="77777777" w:rsidR="002D7DBB" w:rsidRPr="00DD44CF" w:rsidRDefault="002D7DBB" w:rsidP="002D7DBB">
            <w:pPr>
              <w:jc w:val="center"/>
              <w:rPr>
                <w:b/>
                <w:bCs/>
                <w:sz w:val="16"/>
                <w:szCs w:val="16"/>
              </w:rPr>
            </w:pPr>
          </w:p>
        </w:tc>
      </w:tr>
      <w:tr w:rsidR="002D7DBB" w:rsidRPr="00DD44CF" w14:paraId="4E7C72D1" w14:textId="77777777" w:rsidTr="008E059E">
        <w:trPr>
          <w:divId w:val="1915891284"/>
          <w:jc w:val="center"/>
        </w:trPr>
        <w:tc>
          <w:tcPr>
            <w:tcW w:w="3619" w:type="dxa"/>
            <w:tcBorders>
              <w:top w:val="single" w:sz="4" w:space="0" w:color="auto"/>
              <w:left w:val="single" w:sz="4" w:space="0" w:color="auto"/>
              <w:bottom w:val="nil"/>
              <w:right w:val="single" w:sz="4" w:space="0" w:color="auto"/>
            </w:tcBorders>
            <w:hideMark/>
          </w:tcPr>
          <w:p w14:paraId="612C0872" w14:textId="77777777" w:rsidR="002D7DBB" w:rsidRPr="00DD44CF" w:rsidRDefault="002D7DBB" w:rsidP="002D7DBB">
            <w:pPr>
              <w:rPr>
                <w:sz w:val="16"/>
                <w:szCs w:val="16"/>
              </w:rPr>
            </w:pPr>
            <w:r w:rsidRPr="00DD44CF">
              <w:rPr>
                <w:sz w:val="16"/>
                <w:szCs w:val="16"/>
              </w:rPr>
              <w:t>Interaction content</w:t>
            </w:r>
          </w:p>
        </w:tc>
        <w:tc>
          <w:tcPr>
            <w:tcW w:w="1731" w:type="dxa"/>
            <w:tcBorders>
              <w:top w:val="single" w:sz="4" w:space="0" w:color="auto"/>
              <w:left w:val="single" w:sz="4" w:space="0" w:color="auto"/>
              <w:bottom w:val="single" w:sz="4" w:space="0" w:color="auto"/>
              <w:right w:val="single" w:sz="4" w:space="0" w:color="auto"/>
            </w:tcBorders>
          </w:tcPr>
          <w:p w14:paraId="714CED21" w14:textId="77777777" w:rsidR="002D7DBB" w:rsidRPr="00DD44CF" w:rsidRDefault="002D7DBB" w:rsidP="002D7DBB">
            <w:pPr>
              <w:jc w:val="center"/>
              <w:rPr>
                <w:color w:val="FF0000"/>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F320486" w14:textId="77777777" w:rsidR="002D7DBB" w:rsidRPr="00DD44CF" w:rsidRDefault="002D7DBB" w:rsidP="002D7DBB">
            <w:pPr>
              <w:jc w:val="center"/>
              <w:rPr>
                <w:color w:val="FF0000"/>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CE45422" w14:textId="77777777" w:rsidR="002D7DBB" w:rsidRPr="00DD44CF" w:rsidRDefault="002D7DBB" w:rsidP="002D7DBB">
            <w:pPr>
              <w:jc w:val="center"/>
              <w:rPr>
                <w:color w:val="FF0000"/>
                <w:sz w:val="16"/>
                <w:szCs w:val="16"/>
              </w:rPr>
            </w:pPr>
          </w:p>
        </w:tc>
      </w:tr>
      <w:tr w:rsidR="002D7DBB" w:rsidRPr="00DD44CF" w14:paraId="79B59993" w14:textId="77777777" w:rsidTr="008E059E">
        <w:trPr>
          <w:divId w:val="1915891284"/>
          <w:jc w:val="center"/>
        </w:trPr>
        <w:tc>
          <w:tcPr>
            <w:tcW w:w="3619" w:type="dxa"/>
            <w:tcBorders>
              <w:top w:val="nil"/>
              <w:left w:val="single" w:sz="4" w:space="0" w:color="auto"/>
              <w:bottom w:val="nil"/>
              <w:right w:val="single" w:sz="4" w:space="0" w:color="auto"/>
            </w:tcBorders>
            <w:hideMark/>
          </w:tcPr>
          <w:p w14:paraId="174DAD4C" w14:textId="77777777" w:rsidR="002D7DBB" w:rsidRPr="00DD44CF" w:rsidRDefault="002D7DBB" w:rsidP="002D7DBB">
            <w:pPr>
              <w:ind w:firstLine="454"/>
              <w:rPr>
                <w:sz w:val="16"/>
                <w:szCs w:val="16"/>
              </w:rPr>
            </w:pPr>
            <w:r w:rsidRPr="00DD44CF">
              <w:rPr>
                <w:sz w:val="16"/>
                <w:szCs w:val="16"/>
              </w:rPr>
              <w:t>Assessment</w:t>
            </w:r>
          </w:p>
        </w:tc>
        <w:tc>
          <w:tcPr>
            <w:tcW w:w="1731" w:type="dxa"/>
            <w:tcBorders>
              <w:top w:val="single" w:sz="4" w:space="0" w:color="auto"/>
              <w:left w:val="single" w:sz="4" w:space="0" w:color="auto"/>
              <w:bottom w:val="single" w:sz="4" w:space="0" w:color="auto"/>
              <w:right w:val="single" w:sz="4" w:space="0" w:color="auto"/>
            </w:tcBorders>
            <w:hideMark/>
          </w:tcPr>
          <w:p w14:paraId="19FDE945" w14:textId="77777777" w:rsidR="002D7DBB" w:rsidRPr="00DD44CF" w:rsidRDefault="002D7DBB" w:rsidP="002D7DBB">
            <w:pPr>
              <w:jc w:val="center"/>
              <w:rPr>
                <w:sz w:val="16"/>
                <w:szCs w:val="16"/>
              </w:rPr>
            </w:pPr>
            <w:r w:rsidRPr="00DD44CF">
              <w:rPr>
                <w:sz w:val="16"/>
                <w:szCs w:val="16"/>
              </w:rPr>
              <w:t>1.17 [0.34, 4.07]</w:t>
            </w:r>
          </w:p>
        </w:tc>
        <w:tc>
          <w:tcPr>
            <w:tcW w:w="2184" w:type="dxa"/>
            <w:tcBorders>
              <w:top w:val="single" w:sz="4" w:space="0" w:color="auto"/>
              <w:left w:val="single" w:sz="4" w:space="0" w:color="auto"/>
              <w:bottom w:val="single" w:sz="4" w:space="0" w:color="auto"/>
              <w:right w:val="single" w:sz="4" w:space="0" w:color="auto"/>
            </w:tcBorders>
            <w:hideMark/>
          </w:tcPr>
          <w:p w14:paraId="3CEAB96F" w14:textId="77777777" w:rsidR="002D7DBB" w:rsidRPr="00DD44CF" w:rsidRDefault="002D7DBB" w:rsidP="002D7DBB">
            <w:pPr>
              <w:jc w:val="center"/>
              <w:rPr>
                <w:color w:val="FF0000"/>
                <w:sz w:val="16"/>
                <w:szCs w:val="16"/>
              </w:rPr>
            </w:pPr>
            <w:r w:rsidRPr="00DD44CF">
              <w:rPr>
                <w:sz w:val="16"/>
                <w:szCs w:val="16"/>
              </w:rPr>
              <w:t>1.48 [0.34, 6.45]</w:t>
            </w:r>
          </w:p>
        </w:tc>
        <w:tc>
          <w:tcPr>
            <w:tcW w:w="1701" w:type="dxa"/>
            <w:tcBorders>
              <w:top w:val="single" w:sz="4" w:space="0" w:color="auto"/>
              <w:left w:val="single" w:sz="4" w:space="0" w:color="auto"/>
              <w:bottom w:val="single" w:sz="4" w:space="0" w:color="auto"/>
              <w:right w:val="single" w:sz="4" w:space="0" w:color="auto"/>
            </w:tcBorders>
          </w:tcPr>
          <w:p w14:paraId="13D8A81A" w14:textId="77777777" w:rsidR="002D7DBB" w:rsidRPr="00DD44CF" w:rsidRDefault="002D7DBB" w:rsidP="002D7DBB">
            <w:pPr>
              <w:jc w:val="center"/>
              <w:rPr>
                <w:sz w:val="16"/>
                <w:szCs w:val="16"/>
              </w:rPr>
            </w:pPr>
          </w:p>
        </w:tc>
      </w:tr>
      <w:tr w:rsidR="002D7DBB" w:rsidRPr="00DD44CF" w14:paraId="01F76267" w14:textId="77777777" w:rsidTr="008E059E">
        <w:trPr>
          <w:divId w:val="1915891284"/>
          <w:jc w:val="center"/>
        </w:trPr>
        <w:tc>
          <w:tcPr>
            <w:tcW w:w="3619" w:type="dxa"/>
            <w:tcBorders>
              <w:top w:val="nil"/>
              <w:left w:val="single" w:sz="4" w:space="0" w:color="auto"/>
              <w:bottom w:val="nil"/>
              <w:right w:val="single" w:sz="4" w:space="0" w:color="auto"/>
            </w:tcBorders>
            <w:hideMark/>
          </w:tcPr>
          <w:p w14:paraId="46D19C14" w14:textId="77777777" w:rsidR="002D7DBB" w:rsidRPr="00DD44CF" w:rsidRDefault="002D7DBB" w:rsidP="002D7DBB">
            <w:pPr>
              <w:ind w:firstLine="454"/>
              <w:rPr>
                <w:sz w:val="16"/>
                <w:szCs w:val="16"/>
              </w:rPr>
            </w:pPr>
            <w:r w:rsidRPr="00DD44CF">
              <w:rPr>
                <w:sz w:val="16"/>
                <w:szCs w:val="16"/>
              </w:rPr>
              <w:t>Communication</w:t>
            </w:r>
          </w:p>
        </w:tc>
        <w:tc>
          <w:tcPr>
            <w:tcW w:w="1731" w:type="dxa"/>
            <w:tcBorders>
              <w:top w:val="single" w:sz="4" w:space="0" w:color="auto"/>
              <w:left w:val="single" w:sz="4" w:space="0" w:color="auto"/>
              <w:bottom w:val="single" w:sz="4" w:space="0" w:color="auto"/>
              <w:right w:val="single" w:sz="4" w:space="0" w:color="auto"/>
            </w:tcBorders>
            <w:hideMark/>
          </w:tcPr>
          <w:p w14:paraId="725D98E2" w14:textId="77777777" w:rsidR="002D7DBB" w:rsidRPr="00DD44CF" w:rsidRDefault="002D7DBB" w:rsidP="002D7DBB">
            <w:pPr>
              <w:jc w:val="center"/>
              <w:rPr>
                <w:b/>
                <w:bCs/>
                <w:sz w:val="16"/>
                <w:szCs w:val="16"/>
              </w:rPr>
            </w:pPr>
            <w:r w:rsidRPr="00DD44CF">
              <w:rPr>
                <w:b/>
                <w:bCs/>
                <w:sz w:val="16"/>
                <w:szCs w:val="16"/>
              </w:rPr>
              <w:t>3.67 [1.93, 6.99]</w:t>
            </w:r>
          </w:p>
        </w:tc>
        <w:tc>
          <w:tcPr>
            <w:tcW w:w="2184" w:type="dxa"/>
            <w:tcBorders>
              <w:top w:val="single" w:sz="4" w:space="0" w:color="auto"/>
              <w:left w:val="single" w:sz="4" w:space="0" w:color="auto"/>
              <w:bottom w:val="single" w:sz="4" w:space="0" w:color="auto"/>
              <w:right w:val="single" w:sz="4" w:space="0" w:color="auto"/>
            </w:tcBorders>
            <w:hideMark/>
          </w:tcPr>
          <w:p w14:paraId="0BBF0C58" w14:textId="77777777" w:rsidR="002D7DBB" w:rsidRPr="00DD44CF" w:rsidRDefault="002D7DBB" w:rsidP="002D7DBB">
            <w:pPr>
              <w:jc w:val="center"/>
              <w:rPr>
                <w:b/>
                <w:bCs/>
                <w:sz w:val="16"/>
                <w:szCs w:val="16"/>
              </w:rPr>
            </w:pPr>
            <w:r w:rsidRPr="00DD44CF">
              <w:rPr>
                <w:b/>
                <w:bCs/>
                <w:sz w:val="16"/>
                <w:szCs w:val="16"/>
              </w:rPr>
              <w:t>2.56[1.18, 5.54]</w:t>
            </w:r>
          </w:p>
        </w:tc>
        <w:tc>
          <w:tcPr>
            <w:tcW w:w="1701" w:type="dxa"/>
            <w:tcBorders>
              <w:top w:val="single" w:sz="4" w:space="0" w:color="auto"/>
              <w:left w:val="single" w:sz="4" w:space="0" w:color="auto"/>
              <w:bottom w:val="single" w:sz="4" w:space="0" w:color="auto"/>
              <w:right w:val="single" w:sz="4" w:space="0" w:color="auto"/>
            </w:tcBorders>
          </w:tcPr>
          <w:p w14:paraId="3B49315C" w14:textId="77777777" w:rsidR="002D7DBB" w:rsidRPr="00DD44CF" w:rsidRDefault="002D7DBB" w:rsidP="002D7DBB">
            <w:pPr>
              <w:jc w:val="center"/>
              <w:rPr>
                <w:b/>
                <w:bCs/>
                <w:sz w:val="16"/>
                <w:szCs w:val="16"/>
              </w:rPr>
            </w:pPr>
          </w:p>
        </w:tc>
      </w:tr>
      <w:tr w:rsidR="002D7DBB" w:rsidRPr="00DD44CF" w14:paraId="15309868" w14:textId="77777777" w:rsidTr="008E059E">
        <w:trPr>
          <w:divId w:val="1915891284"/>
          <w:jc w:val="center"/>
        </w:trPr>
        <w:tc>
          <w:tcPr>
            <w:tcW w:w="3619" w:type="dxa"/>
            <w:tcBorders>
              <w:top w:val="nil"/>
              <w:left w:val="single" w:sz="4" w:space="0" w:color="auto"/>
              <w:bottom w:val="nil"/>
              <w:right w:val="single" w:sz="4" w:space="0" w:color="auto"/>
            </w:tcBorders>
            <w:hideMark/>
          </w:tcPr>
          <w:p w14:paraId="0A86C3F1" w14:textId="77777777" w:rsidR="002D7DBB" w:rsidRPr="00DD44CF" w:rsidRDefault="002D7DBB" w:rsidP="002D7DBB">
            <w:pPr>
              <w:ind w:firstLine="454"/>
              <w:rPr>
                <w:sz w:val="16"/>
                <w:szCs w:val="16"/>
              </w:rPr>
            </w:pPr>
            <w:r w:rsidRPr="00DD44CF">
              <w:rPr>
                <w:sz w:val="16"/>
                <w:szCs w:val="16"/>
              </w:rPr>
              <w:t>Functional</w:t>
            </w:r>
          </w:p>
        </w:tc>
        <w:tc>
          <w:tcPr>
            <w:tcW w:w="1731" w:type="dxa"/>
            <w:tcBorders>
              <w:top w:val="single" w:sz="4" w:space="0" w:color="auto"/>
              <w:left w:val="single" w:sz="4" w:space="0" w:color="auto"/>
              <w:bottom w:val="single" w:sz="4" w:space="0" w:color="auto"/>
              <w:right w:val="single" w:sz="4" w:space="0" w:color="auto"/>
            </w:tcBorders>
            <w:hideMark/>
          </w:tcPr>
          <w:p w14:paraId="6F17A2B5" w14:textId="77777777" w:rsidR="002D7DBB" w:rsidRPr="00DD44CF" w:rsidRDefault="002D7DBB" w:rsidP="002D7DBB">
            <w:pPr>
              <w:jc w:val="center"/>
              <w:rPr>
                <w:sz w:val="16"/>
                <w:szCs w:val="16"/>
              </w:rPr>
            </w:pPr>
            <w:r w:rsidRPr="00DD44CF">
              <w:rPr>
                <w:sz w:val="16"/>
                <w:szCs w:val="16"/>
              </w:rPr>
              <w:t xml:space="preserve">1.00 </w:t>
            </w:r>
          </w:p>
        </w:tc>
        <w:tc>
          <w:tcPr>
            <w:tcW w:w="2184" w:type="dxa"/>
            <w:tcBorders>
              <w:top w:val="single" w:sz="4" w:space="0" w:color="auto"/>
              <w:left w:val="single" w:sz="4" w:space="0" w:color="auto"/>
              <w:bottom w:val="single" w:sz="4" w:space="0" w:color="auto"/>
              <w:right w:val="single" w:sz="4" w:space="0" w:color="auto"/>
            </w:tcBorders>
            <w:hideMark/>
          </w:tcPr>
          <w:p w14:paraId="78C9E663" w14:textId="77777777" w:rsidR="002D7DBB" w:rsidRPr="00DD44CF" w:rsidRDefault="002D7DBB" w:rsidP="002D7DBB">
            <w:pPr>
              <w:jc w:val="center"/>
              <w:rPr>
                <w:sz w:val="16"/>
                <w:szCs w:val="16"/>
              </w:rPr>
            </w:pPr>
            <w:r w:rsidRPr="00DD44CF">
              <w:rPr>
                <w:sz w:val="16"/>
                <w:szCs w:val="16"/>
              </w:rPr>
              <w:t>1.00</w:t>
            </w:r>
          </w:p>
        </w:tc>
        <w:tc>
          <w:tcPr>
            <w:tcW w:w="1701" w:type="dxa"/>
            <w:tcBorders>
              <w:top w:val="single" w:sz="4" w:space="0" w:color="auto"/>
              <w:left w:val="single" w:sz="4" w:space="0" w:color="auto"/>
              <w:bottom w:val="single" w:sz="4" w:space="0" w:color="auto"/>
              <w:right w:val="single" w:sz="4" w:space="0" w:color="auto"/>
            </w:tcBorders>
          </w:tcPr>
          <w:p w14:paraId="74986391" w14:textId="77777777" w:rsidR="002D7DBB" w:rsidRPr="00DD44CF" w:rsidRDefault="002D7DBB" w:rsidP="002D7DBB">
            <w:pPr>
              <w:jc w:val="center"/>
              <w:rPr>
                <w:sz w:val="16"/>
                <w:szCs w:val="16"/>
              </w:rPr>
            </w:pPr>
          </w:p>
        </w:tc>
      </w:tr>
      <w:tr w:rsidR="002D7DBB" w:rsidRPr="00DD44CF" w14:paraId="24CFD97D" w14:textId="77777777" w:rsidTr="008E059E">
        <w:trPr>
          <w:divId w:val="1915891284"/>
          <w:jc w:val="center"/>
        </w:trPr>
        <w:tc>
          <w:tcPr>
            <w:tcW w:w="3619" w:type="dxa"/>
            <w:tcBorders>
              <w:top w:val="nil"/>
              <w:left w:val="single" w:sz="4" w:space="0" w:color="auto"/>
              <w:bottom w:val="nil"/>
              <w:right w:val="single" w:sz="4" w:space="0" w:color="auto"/>
            </w:tcBorders>
            <w:hideMark/>
          </w:tcPr>
          <w:p w14:paraId="04538276" w14:textId="77777777" w:rsidR="002D7DBB" w:rsidRPr="00DD44CF" w:rsidRDefault="002D7DBB" w:rsidP="002D7DBB">
            <w:pPr>
              <w:ind w:firstLine="454"/>
              <w:rPr>
                <w:sz w:val="16"/>
                <w:szCs w:val="16"/>
              </w:rPr>
            </w:pPr>
            <w:r w:rsidRPr="00DD44CF">
              <w:rPr>
                <w:sz w:val="16"/>
                <w:szCs w:val="16"/>
              </w:rPr>
              <w:t>Personal care</w:t>
            </w:r>
          </w:p>
        </w:tc>
        <w:tc>
          <w:tcPr>
            <w:tcW w:w="1731" w:type="dxa"/>
            <w:tcBorders>
              <w:top w:val="single" w:sz="4" w:space="0" w:color="auto"/>
              <w:left w:val="single" w:sz="4" w:space="0" w:color="auto"/>
              <w:bottom w:val="single" w:sz="4" w:space="0" w:color="auto"/>
              <w:right w:val="single" w:sz="4" w:space="0" w:color="auto"/>
            </w:tcBorders>
            <w:hideMark/>
          </w:tcPr>
          <w:p w14:paraId="12C09095" w14:textId="77777777" w:rsidR="002D7DBB" w:rsidRPr="00DD44CF" w:rsidRDefault="002D7DBB" w:rsidP="002D7DBB">
            <w:pPr>
              <w:jc w:val="center"/>
              <w:rPr>
                <w:b/>
                <w:bCs/>
                <w:sz w:val="16"/>
                <w:szCs w:val="16"/>
              </w:rPr>
            </w:pPr>
            <w:r w:rsidRPr="00DD44CF">
              <w:rPr>
                <w:b/>
                <w:bCs/>
                <w:sz w:val="16"/>
                <w:szCs w:val="16"/>
              </w:rPr>
              <w:t>3.67 [1.90, 7.11]</w:t>
            </w:r>
          </w:p>
        </w:tc>
        <w:tc>
          <w:tcPr>
            <w:tcW w:w="2184" w:type="dxa"/>
            <w:tcBorders>
              <w:top w:val="single" w:sz="4" w:space="0" w:color="auto"/>
              <w:left w:val="single" w:sz="4" w:space="0" w:color="auto"/>
              <w:bottom w:val="single" w:sz="4" w:space="0" w:color="auto"/>
              <w:right w:val="single" w:sz="4" w:space="0" w:color="auto"/>
            </w:tcBorders>
            <w:hideMark/>
          </w:tcPr>
          <w:p w14:paraId="007761F3" w14:textId="77777777" w:rsidR="002D7DBB" w:rsidRPr="00DD44CF" w:rsidRDefault="002D7DBB" w:rsidP="002D7DBB">
            <w:pPr>
              <w:jc w:val="center"/>
              <w:rPr>
                <w:b/>
                <w:bCs/>
                <w:sz w:val="16"/>
                <w:szCs w:val="16"/>
              </w:rPr>
            </w:pPr>
            <w:r w:rsidRPr="00DD44CF">
              <w:rPr>
                <w:b/>
                <w:bCs/>
                <w:sz w:val="16"/>
                <w:szCs w:val="16"/>
              </w:rPr>
              <w:t>4.10 [1.84, 9.14]</w:t>
            </w:r>
          </w:p>
        </w:tc>
        <w:tc>
          <w:tcPr>
            <w:tcW w:w="1701" w:type="dxa"/>
            <w:tcBorders>
              <w:top w:val="single" w:sz="4" w:space="0" w:color="auto"/>
              <w:left w:val="single" w:sz="4" w:space="0" w:color="auto"/>
              <w:bottom w:val="single" w:sz="4" w:space="0" w:color="auto"/>
              <w:right w:val="single" w:sz="4" w:space="0" w:color="auto"/>
            </w:tcBorders>
          </w:tcPr>
          <w:p w14:paraId="7EF55521" w14:textId="77777777" w:rsidR="002D7DBB" w:rsidRPr="00DD44CF" w:rsidRDefault="002D7DBB" w:rsidP="002D7DBB">
            <w:pPr>
              <w:jc w:val="center"/>
              <w:rPr>
                <w:b/>
                <w:bCs/>
                <w:sz w:val="16"/>
                <w:szCs w:val="16"/>
              </w:rPr>
            </w:pPr>
          </w:p>
        </w:tc>
      </w:tr>
      <w:tr w:rsidR="002D7DBB" w:rsidRPr="00DD44CF" w14:paraId="5218CFB4" w14:textId="77777777" w:rsidTr="008E059E">
        <w:trPr>
          <w:divId w:val="1915891284"/>
          <w:jc w:val="center"/>
        </w:trPr>
        <w:tc>
          <w:tcPr>
            <w:tcW w:w="3619" w:type="dxa"/>
            <w:tcBorders>
              <w:top w:val="nil"/>
              <w:left w:val="single" w:sz="4" w:space="0" w:color="auto"/>
              <w:bottom w:val="nil"/>
              <w:right w:val="single" w:sz="4" w:space="0" w:color="auto"/>
            </w:tcBorders>
            <w:hideMark/>
          </w:tcPr>
          <w:p w14:paraId="54D75139" w14:textId="77777777" w:rsidR="002D7DBB" w:rsidRPr="00DD44CF" w:rsidRDefault="002D7DBB" w:rsidP="002D7DBB">
            <w:pPr>
              <w:ind w:firstLine="454"/>
              <w:rPr>
                <w:sz w:val="16"/>
                <w:szCs w:val="16"/>
              </w:rPr>
            </w:pPr>
            <w:r w:rsidRPr="00DD44CF">
              <w:rPr>
                <w:sz w:val="16"/>
                <w:szCs w:val="16"/>
              </w:rPr>
              <w:t>Planning</w:t>
            </w:r>
          </w:p>
        </w:tc>
        <w:tc>
          <w:tcPr>
            <w:tcW w:w="1731" w:type="dxa"/>
            <w:tcBorders>
              <w:top w:val="single" w:sz="4" w:space="0" w:color="auto"/>
              <w:left w:val="single" w:sz="4" w:space="0" w:color="auto"/>
              <w:bottom w:val="single" w:sz="4" w:space="0" w:color="auto"/>
              <w:right w:val="single" w:sz="4" w:space="0" w:color="auto"/>
            </w:tcBorders>
            <w:hideMark/>
          </w:tcPr>
          <w:p w14:paraId="6353D61D" w14:textId="77777777" w:rsidR="002D7DBB" w:rsidRPr="00DD44CF" w:rsidRDefault="002D7DBB" w:rsidP="002D7DBB">
            <w:pPr>
              <w:jc w:val="center"/>
              <w:rPr>
                <w:sz w:val="16"/>
                <w:szCs w:val="16"/>
              </w:rPr>
            </w:pPr>
            <w:r w:rsidRPr="00DD44CF">
              <w:rPr>
                <w:sz w:val="16"/>
                <w:szCs w:val="16"/>
              </w:rPr>
              <w:t>1.37 [0.56, 3.35]</w:t>
            </w:r>
          </w:p>
        </w:tc>
        <w:tc>
          <w:tcPr>
            <w:tcW w:w="2184" w:type="dxa"/>
            <w:tcBorders>
              <w:top w:val="single" w:sz="4" w:space="0" w:color="auto"/>
              <w:left w:val="single" w:sz="4" w:space="0" w:color="auto"/>
              <w:bottom w:val="single" w:sz="4" w:space="0" w:color="auto"/>
              <w:right w:val="single" w:sz="4" w:space="0" w:color="auto"/>
            </w:tcBorders>
            <w:hideMark/>
          </w:tcPr>
          <w:p w14:paraId="224A11A5" w14:textId="77777777" w:rsidR="002D7DBB" w:rsidRPr="00DD44CF" w:rsidRDefault="002D7DBB" w:rsidP="002D7DBB">
            <w:pPr>
              <w:jc w:val="center"/>
              <w:rPr>
                <w:sz w:val="16"/>
                <w:szCs w:val="16"/>
              </w:rPr>
            </w:pPr>
            <w:r w:rsidRPr="00DD44CF">
              <w:rPr>
                <w:sz w:val="16"/>
                <w:szCs w:val="16"/>
              </w:rPr>
              <w:t>1.67 [0.60, 4.71]</w:t>
            </w:r>
          </w:p>
        </w:tc>
        <w:tc>
          <w:tcPr>
            <w:tcW w:w="1701" w:type="dxa"/>
            <w:tcBorders>
              <w:top w:val="single" w:sz="4" w:space="0" w:color="auto"/>
              <w:left w:val="single" w:sz="4" w:space="0" w:color="auto"/>
              <w:bottom w:val="single" w:sz="4" w:space="0" w:color="auto"/>
              <w:right w:val="single" w:sz="4" w:space="0" w:color="auto"/>
            </w:tcBorders>
          </w:tcPr>
          <w:p w14:paraId="0E93AB21" w14:textId="77777777" w:rsidR="002D7DBB" w:rsidRPr="00DD44CF" w:rsidRDefault="002D7DBB" w:rsidP="002D7DBB">
            <w:pPr>
              <w:jc w:val="center"/>
              <w:rPr>
                <w:sz w:val="16"/>
                <w:szCs w:val="16"/>
              </w:rPr>
            </w:pPr>
          </w:p>
        </w:tc>
      </w:tr>
      <w:tr w:rsidR="002D7DBB" w:rsidRPr="00DD44CF" w14:paraId="3A5E6F24" w14:textId="77777777" w:rsidTr="008E059E">
        <w:trPr>
          <w:divId w:val="1915891284"/>
          <w:jc w:val="center"/>
        </w:trPr>
        <w:tc>
          <w:tcPr>
            <w:tcW w:w="3619" w:type="dxa"/>
            <w:tcBorders>
              <w:top w:val="nil"/>
              <w:left w:val="single" w:sz="4" w:space="0" w:color="auto"/>
              <w:bottom w:val="nil"/>
              <w:right w:val="single" w:sz="4" w:space="0" w:color="auto"/>
            </w:tcBorders>
            <w:hideMark/>
          </w:tcPr>
          <w:p w14:paraId="1CE50782" w14:textId="77777777" w:rsidR="002D7DBB" w:rsidRPr="00DD44CF" w:rsidRDefault="002D7DBB" w:rsidP="002D7DBB">
            <w:pPr>
              <w:ind w:firstLine="454"/>
              <w:rPr>
                <w:sz w:val="16"/>
                <w:szCs w:val="16"/>
              </w:rPr>
            </w:pPr>
            <w:r w:rsidRPr="00DD44CF">
              <w:rPr>
                <w:sz w:val="16"/>
                <w:szCs w:val="16"/>
              </w:rPr>
              <w:t>Treatments</w:t>
            </w:r>
          </w:p>
        </w:tc>
        <w:tc>
          <w:tcPr>
            <w:tcW w:w="1731" w:type="dxa"/>
            <w:tcBorders>
              <w:top w:val="single" w:sz="4" w:space="0" w:color="auto"/>
              <w:left w:val="single" w:sz="4" w:space="0" w:color="auto"/>
              <w:bottom w:val="single" w:sz="4" w:space="0" w:color="auto"/>
              <w:right w:val="single" w:sz="4" w:space="0" w:color="auto"/>
            </w:tcBorders>
            <w:hideMark/>
          </w:tcPr>
          <w:p w14:paraId="195DB4E9" w14:textId="77777777" w:rsidR="002D7DBB" w:rsidRPr="00DD44CF" w:rsidRDefault="002D7DBB" w:rsidP="002D7DBB">
            <w:pPr>
              <w:jc w:val="center"/>
              <w:rPr>
                <w:sz w:val="16"/>
                <w:szCs w:val="16"/>
              </w:rPr>
            </w:pPr>
            <w:r w:rsidRPr="00DD44CF">
              <w:rPr>
                <w:sz w:val="16"/>
                <w:szCs w:val="16"/>
              </w:rPr>
              <w:t>2.17 [0.81, 5.83]</w:t>
            </w:r>
          </w:p>
        </w:tc>
        <w:tc>
          <w:tcPr>
            <w:tcW w:w="2184" w:type="dxa"/>
            <w:tcBorders>
              <w:top w:val="single" w:sz="4" w:space="0" w:color="auto"/>
              <w:left w:val="single" w:sz="4" w:space="0" w:color="auto"/>
              <w:bottom w:val="single" w:sz="4" w:space="0" w:color="auto"/>
              <w:right w:val="single" w:sz="4" w:space="0" w:color="auto"/>
            </w:tcBorders>
            <w:hideMark/>
          </w:tcPr>
          <w:p w14:paraId="3AF20857" w14:textId="77777777" w:rsidR="002D7DBB" w:rsidRPr="00DD44CF" w:rsidRDefault="002D7DBB" w:rsidP="002D7DBB">
            <w:pPr>
              <w:jc w:val="center"/>
              <w:rPr>
                <w:sz w:val="16"/>
                <w:szCs w:val="16"/>
              </w:rPr>
            </w:pPr>
            <w:r w:rsidRPr="00DD44CF">
              <w:rPr>
                <w:sz w:val="16"/>
                <w:szCs w:val="16"/>
              </w:rPr>
              <w:t>2.76 [0.85, 8.94]</w:t>
            </w:r>
          </w:p>
        </w:tc>
        <w:tc>
          <w:tcPr>
            <w:tcW w:w="1701" w:type="dxa"/>
            <w:tcBorders>
              <w:top w:val="single" w:sz="4" w:space="0" w:color="auto"/>
              <w:left w:val="single" w:sz="4" w:space="0" w:color="auto"/>
              <w:bottom w:val="single" w:sz="4" w:space="0" w:color="auto"/>
              <w:right w:val="single" w:sz="4" w:space="0" w:color="auto"/>
            </w:tcBorders>
          </w:tcPr>
          <w:p w14:paraId="7236C632" w14:textId="77777777" w:rsidR="002D7DBB" w:rsidRPr="00DD44CF" w:rsidRDefault="002D7DBB" w:rsidP="002D7DBB">
            <w:pPr>
              <w:jc w:val="center"/>
              <w:rPr>
                <w:sz w:val="16"/>
                <w:szCs w:val="16"/>
              </w:rPr>
            </w:pPr>
          </w:p>
        </w:tc>
      </w:tr>
      <w:tr w:rsidR="002D7DBB" w:rsidRPr="00DD44CF" w14:paraId="3B0709F4" w14:textId="77777777" w:rsidTr="008E059E">
        <w:trPr>
          <w:divId w:val="1915891284"/>
          <w:trHeight w:val="100"/>
          <w:jc w:val="center"/>
        </w:trPr>
        <w:tc>
          <w:tcPr>
            <w:tcW w:w="3619" w:type="dxa"/>
            <w:tcBorders>
              <w:top w:val="nil"/>
              <w:left w:val="single" w:sz="4" w:space="0" w:color="auto"/>
              <w:bottom w:val="single" w:sz="4" w:space="0" w:color="auto"/>
              <w:right w:val="single" w:sz="4" w:space="0" w:color="auto"/>
            </w:tcBorders>
            <w:hideMark/>
          </w:tcPr>
          <w:p w14:paraId="53DA7F09" w14:textId="77777777" w:rsidR="002D7DBB" w:rsidRPr="00DD44CF" w:rsidRDefault="002D7DBB" w:rsidP="002D7DBB">
            <w:pPr>
              <w:ind w:firstLine="454"/>
              <w:rPr>
                <w:sz w:val="16"/>
                <w:szCs w:val="16"/>
              </w:rPr>
            </w:pPr>
            <w:r w:rsidRPr="00DD44CF">
              <w:rPr>
                <w:sz w:val="16"/>
                <w:szCs w:val="16"/>
              </w:rPr>
              <w:t>Other</w:t>
            </w:r>
          </w:p>
        </w:tc>
        <w:tc>
          <w:tcPr>
            <w:tcW w:w="1731" w:type="dxa"/>
            <w:tcBorders>
              <w:top w:val="single" w:sz="4" w:space="0" w:color="auto"/>
              <w:left w:val="single" w:sz="4" w:space="0" w:color="auto"/>
              <w:bottom w:val="single" w:sz="4" w:space="0" w:color="auto"/>
              <w:right w:val="single" w:sz="4" w:space="0" w:color="auto"/>
            </w:tcBorders>
            <w:hideMark/>
          </w:tcPr>
          <w:p w14:paraId="004856A3" w14:textId="77777777" w:rsidR="002D7DBB" w:rsidRPr="00DD44CF" w:rsidRDefault="002D7DBB" w:rsidP="002D7DBB">
            <w:pPr>
              <w:jc w:val="center"/>
              <w:rPr>
                <w:b/>
                <w:bCs/>
                <w:sz w:val="16"/>
                <w:szCs w:val="16"/>
              </w:rPr>
            </w:pPr>
            <w:r w:rsidRPr="00DD44CF">
              <w:rPr>
                <w:b/>
                <w:bCs/>
                <w:sz w:val="16"/>
                <w:szCs w:val="16"/>
              </w:rPr>
              <w:t>20.93 [6.89, 63.59]</w:t>
            </w:r>
          </w:p>
        </w:tc>
        <w:tc>
          <w:tcPr>
            <w:tcW w:w="2184" w:type="dxa"/>
            <w:tcBorders>
              <w:top w:val="single" w:sz="4" w:space="0" w:color="auto"/>
              <w:left w:val="single" w:sz="4" w:space="0" w:color="auto"/>
              <w:bottom w:val="single" w:sz="4" w:space="0" w:color="auto"/>
              <w:right w:val="single" w:sz="4" w:space="0" w:color="auto"/>
            </w:tcBorders>
            <w:hideMark/>
          </w:tcPr>
          <w:p w14:paraId="723060F0" w14:textId="77777777" w:rsidR="002D7DBB" w:rsidRPr="00DD44CF" w:rsidRDefault="002D7DBB" w:rsidP="002D7DBB">
            <w:pPr>
              <w:jc w:val="center"/>
              <w:rPr>
                <w:b/>
                <w:bCs/>
                <w:sz w:val="16"/>
                <w:szCs w:val="16"/>
              </w:rPr>
            </w:pPr>
            <w:r w:rsidRPr="00DD44CF">
              <w:rPr>
                <w:b/>
                <w:bCs/>
                <w:sz w:val="16"/>
                <w:szCs w:val="16"/>
              </w:rPr>
              <w:t>8.36 [2.42, 28.91]</w:t>
            </w:r>
          </w:p>
        </w:tc>
        <w:tc>
          <w:tcPr>
            <w:tcW w:w="1701" w:type="dxa"/>
            <w:tcBorders>
              <w:top w:val="single" w:sz="4" w:space="0" w:color="auto"/>
              <w:left w:val="single" w:sz="4" w:space="0" w:color="auto"/>
              <w:bottom w:val="single" w:sz="4" w:space="0" w:color="auto"/>
              <w:right w:val="single" w:sz="4" w:space="0" w:color="auto"/>
            </w:tcBorders>
          </w:tcPr>
          <w:p w14:paraId="4503BA18" w14:textId="77777777" w:rsidR="002D7DBB" w:rsidRPr="00DD44CF" w:rsidRDefault="002D7DBB" w:rsidP="002D7DBB">
            <w:pPr>
              <w:jc w:val="center"/>
              <w:rPr>
                <w:b/>
                <w:bCs/>
                <w:sz w:val="16"/>
                <w:szCs w:val="16"/>
              </w:rPr>
            </w:pPr>
          </w:p>
        </w:tc>
      </w:tr>
      <w:tr w:rsidR="002D7DBB" w:rsidRPr="00DD44CF" w14:paraId="3E1BA50D" w14:textId="77777777" w:rsidTr="008E059E">
        <w:trPr>
          <w:divId w:val="1915891284"/>
          <w:trHeight w:val="100"/>
          <w:jc w:val="center"/>
        </w:trPr>
        <w:tc>
          <w:tcPr>
            <w:tcW w:w="3619" w:type="dxa"/>
            <w:tcBorders>
              <w:top w:val="nil"/>
              <w:left w:val="single" w:sz="4" w:space="0" w:color="auto"/>
              <w:bottom w:val="single" w:sz="4" w:space="0" w:color="auto"/>
              <w:right w:val="single" w:sz="4" w:space="0" w:color="auto"/>
            </w:tcBorders>
            <w:hideMark/>
          </w:tcPr>
          <w:p w14:paraId="1815AA50" w14:textId="77777777" w:rsidR="002D7DBB" w:rsidRPr="00DD44CF" w:rsidRDefault="002D7DBB" w:rsidP="002D7DBB">
            <w:pPr>
              <w:rPr>
                <w:sz w:val="16"/>
                <w:szCs w:val="16"/>
              </w:rPr>
            </w:pPr>
            <w:r w:rsidRPr="00DD44CF">
              <w:rPr>
                <w:sz w:val="16"/>
                <w:szCs w:val="16"/>
              </w:rPr>
              <w:t>Number of staff in interaction</w:t>
            </w:r>
          </w:p>
          <w:p w14:paraId="12337C48" w14:textId="77777777" w:rsidR="002D7DBB" w:rsidRPr="00DD44CF" w:rsidRDefault="002D7DBB" w:rsidP="002D7DBB">
            <w:pPr>
              <w:rPr>
                <w:sz w:val="16"/>
                <w:szCs w:val="16"/>
              </w:rPr>
            </w:pPr>
            <w:r w:rsidRPr="00DD44CF">
              <w:rPr>
                <w:sz w:val="16"/>
                <w:szCs w:val="16"/>
              </w:rPr>
              <w:t xml:space="preserve">        1</w:t>
            </w:r>
          </w:p>
          <w:p w14:paraId="5C3398FE" w14:textId="77777777" w:rsidR="002D7DBB" w:rsidRPr="00DD44CF" w:rsidRDefault="002D7DBB" w:rsidP="002D7DBB">
            <w:pPr>
              <w:rPr>
                <w:sz w:val="16"/>
                <w:szCs w:val="16"/>
              </w:rPr>
            </w:pPr>
            <w:r w:rsidRPr="00DD44CF">
              <w:rPr>
                <w:sz w:val="16"/>
                <w:szCs w:val="16"/>
              </w:rPr>
              <w:t xml:space="preserve">        2</w:t>
            </w:r>
          </w:p>
          <w:p w14:paraId="42812303" w14:textId="77777777" w:rsidR="002D7DBB" w:rsidRPr="00DD44CF" w:rsidRDefault="002D7DBB" w:rsidP="002D7DBB">
            <w:pPr>
              <w:rPr>
                <w:b/>
                <w:bCs/>
                <w:sz w:val="16"/>
                <w:szCs w:val="16"/>
              </w:rPr>
            </w:pPr>
            <w:r w:rsidRPr="00DD44CF">
              <w:rPr>
                <w:sz w:val="16"/>
                <w:szCs w:val="16"/>
              </w:rPr>
              <w:t xml:space="preserve">        3+</w:t>
            </w:r>
          </w:p>
        </w:tc>
        <w:tc>
          <w:tcPr>
            <w:tcW w:w="1731" w:type="dxa"/>
            <w:tcBorders>
              <w:top w:val="single" w:sz="4" w:space="0" w:color="auto"/>
              <w:left w:val="single" w:sz="4" w:space="0" w:color="auto"/>
              <w:bottom w:val="single" w:sz="4" w:space="0" w:color="auto"/>
              <w:right w:val="single" w:sz="4" w:space="0" w:color="auto"/>
            </w:tcBorders>
          </w:tcPr>
          <w:p w14:paraId="6F2902A7" w14:textId="77777777" w:rsidR="002D7DBB" w:rsidRPr="00DD44CF" w:rsidRDefault="002D7DBB" w:rsidP="002D7DBB">
            <w:pPr>
              <w:jc w:val="center"/>
              <w:rPr>
                <w:color w:val="FF0000"/>
                <w:sz w:val="16"/>
                <w:szCs w:val="16"/>
              </w:rPr>
            </w:pPr>
          </w:p>
          <w:p w14:paraId="1357B556" w14:textId="77777777" w:rsidR="002D7DBB" w:rsidRPr="00DD44CF" w:rsidRDefault="002D7DBB" w:rsidP="002D7DBB">
            <w:pPr>
              <w:jc w:val="center"/>
              <w:rPr>
                <w:sz w:val="16"/>
                <w:szCs w:val="16"/>
              </w:rPr>
            </w:pPr>
            <w:r w:rsidRPr="00DD44CF">
              <w:rPr>
                <w:sz w:val="16"/>
                <w:szCs w:val="16"/>
              </w:rPr>
              <w:t xml:space="preserve">1.00 </w:t>
            </w:r>
          </w:p>
          <w:p w14:paraId="26D450AD" w14:textId="77777777" w:rsidR="002D7DBB" w:rsidRPr="00DD44CF" w:rsidRDefault="002D7DBB" w:rsidP="002D7DBB">
            <w:pPr>
              <w:jc w:val="center"/>
              <w:rPr>
                <w:b/>
                <w:bCs/>
                <w:sz w:val="16"/>
                <w:szCs w:val="16"/>
              </w:rPr>
            </w:pPr>
            <w:r w:rsidRPr="00DD44CF">
              <w:rPr>
                <w:b/>
                <w:bCs/>
                <w:sz w:val="16"/>
                <w:szCs w:val="16"/>
              </w:rPr>
              <w:t>2.14 [1.02, 4.49]</w:t>
            </w:r>
          </w:p>
          <w:p w14:paraId="3A27CBAC" w14:textId="77777777" w:rsidR="002D7DBB" w:rsidRPr="00DD44CF" w:rsidRDefault="002D7DBB" w:rsidP="002D7DBB">
            <w:pPr>
              <w:jc w:val="center"/>
              <w:rPr>
                <w:b/>
                <w:bCs/>
                <w:sz w:val="16"/>
                <w:szCs w:val="16"/>
              </w:rPr>
            </w:pPr>
            <w:r w:rsidRPr="00DD44CF">
              <w:rPr>
                <w:sz w:val="16"/>
                <w:szCs w:val="16"/>
              </w:rPr>
              <w:t>2.76 [0.79, 9.62]</w:t>
            </w:r>
          </w:p>
        </w:tc>
        <w:tc>
          <w:tcPr>
            <w:tcW w:w="2184" w:type="dxa"/>
            <w:tcBorders>
              <w:top w:val="single" w:sz="4" w:space="0" w:color="auto"/>
              <w:left w:val="single" w:sz="4" w:space="0" w:color="auto"/>
              <w:bottom w:val="single" w:sz="4" w:space="0" w:color="auto"/>
              <w:right w:val="single" w:sz="4" w:space="0" w:color="auto"/>
            </w:tcBorders>
          </w:tcPr>
          <w:p w14:paraId="23BD629F" w14:textId="77777777" w:rsidR="002D7DBB" w:rsidRPr="00DD44CF" w:rsidRDefault="002D7DBB" w:rsidP="002D7DBB">
            <w:pPr>
              <w:jc w:val="center"/>
              <w:rPr>
                <w:color w:val="FF0000"/>
                <w:sz w:val="16"/>
                <w:szCs w:val="16"/>
              </w:rPr>
            </w:pPr>
          </w:p>
          <w:p w14:paraId="337D3F23" w14:textId="77777777" w:rsidR="002D7DBB" w:rsidRPr="00DD44CF" w:rsidRDefault="002D7DBB" w:rsidP="002D7DBB">
            <w:pPr>
              <w:jc w:val="center"/>
              <w:rPr>
                <w:sz w:val="16"/>
                <w:szCs w:val="16"/>
              </w:rPr>
            </w:pPr>
            <w:r w:rsidRPr="00DD44CF">
              <w:rPr>
                <w:sz w:val="16"/>
                <w:szCs w:val="16"/>
              </w:rPr>
              <w:t>1.00</w:t>
            </w:r>
          </w:p>
          <w:p w14:paraId="66EBDF3B" w14:textId="77777777" w:rsidR="002D7DBB" w:rsidRPr="00DD44CF" w:rsidRDefault="002D7DBB" w:rsidP="002D7DBB">
            <w:pPr>
              <w:jc w:val="center"/>
              <w:rPr>
                <w:b/>
                <w:bCs/>
                <w:sz w:val="16"/>
                <w:szCs w:val="16"/>
              </w:rPr>
            </w:pPr>
            <w:r w:rsidRPr="00DD44CF">
              <w:rPr>
                <w:b/>
                <w:bCs/>
                <w:sz w:val="16"/>
                <w:szCs w:val="16"/>
              </w:rPr>
              <w:t>5.86 [2.33, 14.74]</w:t>
            </w:r>
          </w:p>
          <w:p w14:paraId="01DFB926" w14:textId="77777777" w:rsidR="002D7DBB" w:rsidRPr="00DD44CF" w:rsidRDefault="002D7DBB" w:rsidP="002D7DBB">
            <w:pPr>
              <w:jc w:val="center"/>
              <w:rPr>
                <w:b/>
                <w:bCs/>
                <w:sz w:val="16"/>
                <w:szCs w:val="16"/>
              </w:rPr>
            </w:pPr>
            <w:r w:rsidRPr="00DD44CF">
              <w:rPr>
                <w:b/>
                <w:bCs/>
                <w:sz w:val="16"/>
                <w:szCs w:val="16"/>
              </w:rPr>
              <w:t>6.46 [1.45, 28.80]</w:t>
            </w:r>
          </w:p>
        </w:tc>
        <w:tc>
          <w:tcPr>
            <w:tcW w:w="1701" w:type="dxa"/>
            <w:tcBorders>
              <w:top w:val="single" w:sz="4" w:space="0" w:color="auto"/>
              <w:left w:val="single" w:sz="4" w:space="0" w:color="auto"/>
              <w:bottom w:val="single" w:sz="4" w:space="0" w:color="auto"/>
              <w:right w:val="single" w:sz="4" w:space="0" w:color="auto"/>
            </w:tcBorders>
          </w:tcPr>
          <w:p w14:paraId="7ECE8AB1" w14:textId="77777777" w:rsidR="002D7DBB" w:rsidRPr="00DD44CF" w:rsidRDefault="002D7DBB" w:rsidP="002D7DBB">
            <w:pPr>
              <w:jc w:val="center"/>
              <w:rPr>
                <w:b/>
                <w:bCs/>
                <w:sz w:val="16"/>
                <w:szCs w:val="16"/>
              </w:rPr>
            </w:pPr>
          </w:p>
          <w:p w14:paraId="54ABA8BB" w14:textId="77777777" w:rsidR="002D7DBB" w:rsidRPr="00DD44CF" w:rsidRDefault="002D7DBB" w:rsidP="002D7DBB">
            <w:pPr>
              <w:jc w:val="center"/>
              <w:rPr>
                <w:sz w:val="16"/>
                <w:szCs w:val="16"/>
              </w:rPr>
            </w:pPr>
            <w:r w:rsidRPr="00DD44CF">
              <w:rPr>
                <w:sz w:val="16"/>
                <w:szCs w:val="16"/>
              </w:rPr>
              <w:t>1.00</w:t>
            </w:r>
          </w:p>
          <w:p w14:paraId="5874E539" w14:textId="77777777" w:rsidR="002D7DBB" w:rsidRPr="00DD44CF" w:rsidRDefault="002D7DBB" w:rsidP="002D7DBB">
            <w:pPr>
              <w:jc w:val="center"/>
              <w:rPr>
                <w:b/>
                <w:bCs/>
                <w:sz w:val="16"/>
                <w:szCs w:val="16"/>
              </w:rPr>
            </w:pPr>
            <w:r w:rsidRPr="00DD44CF">
              <w:rPr>
                <w:b/>
                <w:bCs/>
                <w:sz w:val="16"/>
                <w:szCs w:val="16"/>
              </w:rPr>
              <w:t>2.65[1.17, 5.96]</w:t>
            </w:r>
          </w:p>
          <w:p w14:paraId="178AAD00" w14:textId="77777777" w:rsidR="002D7DBB" w:rsidRPr="004046AE" w:rsidRDefault="002D7DBB" w:rsidP="002D7DBB">
            <w:pPr>
              <w:jc w:val="center"/>
              <w:rPr>
                <w:bCs/>
                <w:sz w:val="16"/>
                <w:szCs w:val="16"/>
              </w:rPr>
            </w:pPr>
            <w:r w:rsidRPr="004046AE">
              <w:rPr>
                <w:bCs/>
                <w:sz w:val="16"/>
                <w:szCs w:val="16"/>
              </w:rPr>
              <w:t>2.26[0.60, 8.46]</w:t>
            </w:r>
          </w:p>
        </w:tc>
      </w:tr>
      <w:tr w:rsidR="002D7DBB" w:rsidRPr="00DD44CF" w14:paraId="4FF85343" w14:textId="77777777" w:rsidTr="008E059E">
        <w:trPr>
          <w:divId w:val="1915891284"/>
          <w:jc w:val="center"/>
        </w:trPr>
        <w:tc>
          <w:tcPr>
            <w:tcW w:w="361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597CB93" w14:textId="77777777" w:rsidR="002D7DBB" w:rsidRPr="00DD44CF" w:rsidRDefault="002D7DBB" w:rsidP="002D7DBB">
            <w:pPr>
              <w:rPr>
                <w:b/>
                <w:bCs/>
                <w:sz w:val="16"/>
                <w:szCs w:val="16"/>
              </w:rPr>
            </w:pPr>
            <w:r w:rsidRPr="00DD44CF">
              <w:rPr>
                <w:b/>
                <w:bCs/>
                <w:sz w:val="16"/>
                <w:szCs w:val="16"/>
              </w:rPr>
              <w:t>Observation session characteristics</w:t>
            </w:r>
          </w:p>
        </w:tc>
        <w:tc>
          <w:tcPr>
            <w:tcW w:w="17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6996CC" w14:textId="77777777" w:rsidR="002D7DBB" w:rsidRPr="00DD44CF" w:rsidRDefault="002D7DBB" w:rsidP="002D7DBB">
            <w:pPr>
              <w:jc w:val="center"/>
              <w:rPr>
                <w:color w:val="FF0000"/>
                <w:sz w:val="16"/>
                <w:szCs w:val="16"/>
              </w:rPr>
            </w:pPr>
          </w:p>
        </w:tc>
        <w:tc>
          <w:tcPr>
            <w:tcW w:w="218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CB0C7D" w14:textId="77777777" w:rsidR="002D7DBB" w:rsidRPr="00DD44CF" w:rsidRDefault="002D7DBB" w:rsidP="002D7DBB">
            <w:pPr>
              <w:jc w:val="center"/>
              <w:rPr>
                <w:color w:val="FF0000"/>
                <w:sz w:val="16"/>
                <w:szCs w:val="16"/>
              </w:rPr>
            </w:pP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AB0555" w14:textId="77777777" w:rsidR="002D7DBB" w:rsidRPr="00DD44CF" w:rsidRDefault="002D7DBB" w:rsidP="002D7DBB">
            <w:pPr>
              <w:jc w:val="center"/>
              <w:rPr>
                <w:color w:val="FF0000"/>
                <w:sz w:val="16"/>
                <w:szCs w:val="16"/>
              </w:rPr>
            </w:pPr>
          </w:p>
        </w:tc>
      </w:tr>
      <w:tr w:rsidR="002D7DBB" w:rsidRPr="00DD44CF" w14:paraId="5481C0E4" w14:textId="77777777" w:rsidTr="008E059E">
        <w:trPr>
          <w:divId w:val="1915891284"/>
          <w:jc w:val="center"/>
        </w:trPr>
        <w:tc>
          <w:tcPr>
            <w:tcW w:w="3619" w:type="dxa"/>
            <w:tcBorders>
              <w:top w:val="single" w:sz="4" w:space="0" w:color="auto"/>
              <w:left w:val="single" w:sz="4" w:space="0" w:color="auto"/>
              <w:bottom w:val="single" w:sz="4" w:space="0" w:color="auto"/>
              <w:right w:val="single" w:sz="4" w:space="0" w:color="auto"/>
            </w:tcBorders>
            <w:hideMark/>
          </w:tcPr>
          <w:p w14:paraId="049F12D3" w14:textId="77777777" w:rsidR="002D7DBB" w:rsidRPr="00DD44CF" w:rsidRDefault="002D7DBB" w:rsidP="002D7DBB">
            <w:pPr>
              <w:rPr>
                <w:sz w:val="16"/>
                <w:szCs w:val="16"/>
              </w:rPr>
            </w:pPr>
            <w:r w:rsidRPr="00DD44CF">
              <w:rPr>
                <w:sz w:val="16"/>
                <w:szCs w:val="16"/>
              </w:rPr>
              <w:t>Number of patients per nurse (per unit increase)</w:t>
            </w:r>
          </w:p>
        </w:tc>
        <w:tc>
          <w:tcPr>
            <w:tcW w:w="1731" w:type="dxa"/>
            <w:tcBorders>
              <w:top w:val="single" w:sz="4" w:space="0" w:color="auto"/>
              <w:left w:val="single" w:sz="4" w:space="0" w:color="auto"/>
              <w:bottom w:val="single" w:sz="4" w:space="0" w:color="auto"/>
              <w:right w:val="single" w:sz="4" w:space="0" w:color="auto"/>
            </w:tcBorders>
            <w:hideMark/>
          </w:tcPr>
          <w:p w14:paraId="65A1E831" w14:textId="77777777" w:rsidR="002D7DBB" w:rsidRPr="00DD44CF" w:rsidRDefault="002D7DBB" w:rsidP="002D7DBB">
            <w:pPr>
              <w:jc w:val="center"/>
              <w:rPr>
                <w:sz w:val="16"/>
                <w:szCs w:val="16"/>
              </w:rPr>
            </w:pPr>
            <w:r w:rsidRPr="00DD44CF">
              <w:rPr>
                <w:sz w:val="16"/>
                <w:szCs w:val="16"/>
              </w:rPr>
              <w:t>1.26 [0.60, 2.66]</w:t>
            </w:r>
          </w:p>
        </w:tc>
        <w:tc>
          <w:tcPr>
            <w:tcW w:w="2184" w:type="dxa"/>
            <w:tcBorders>
              <w:top w:val="single" w:sz="4" w:space="0" w:color="auto"/>
              <w:left w:val="single" w:sz="4" w:space="0" w:color="auto"/>
              <w:bottom w:val="single" w:sz="4" w:space="0" w:color="auto"/>
              <w:right w:val="single" w:sz="4" w:space="0" w:color="auto"/>
            </w:tcBorders>
            <w:hideMark/>
          </w:tcPr>
          <w:p w14:paraId="0F557AD8" w14:textId="77777777" w:rsidR="002D7DBB" w:rsidRPr="00DD44CF" w:rsidRDefault="002D7DBB" w:rsidP="002D7DBB">
            <w:pPr>
              <w:jc w:val="center"/>
              <w:rPr>
                <w:sz w:val="16"/>
                <w:szCs w:val="16"/>
              </w:rPr>
            </w:pPr>
            <w:r w:rsidRPr="00DD44CF">
              <w:rPr>
                <w:sz w:val="16"/>
                <w:szCs w:val="16"/>
              </w:rPr>
              <w:t>1.60 [0.50, 5.09]</w:t>
            </w:r>
          </w:p>
        </w:tc>
        <w:tc>
          <w:tcPr>
            <w:tcW w:w="1701" w:type="dxa"/>
            <w:tcBorders>
              <w:top w:val="single" w:sz="4" w:space="0" w:color="auto"/>
              <w:left w:val="single" w:sz="4" w:space="0" w:color="auto"/>
              <w:bottom w:val="single" w:sz="4" w:space="0" w:color="auto"/>
              <w:right w:val="single" w:sz="4" w:space="0" w:color="auto"/>
            </w:tcBorders>
            <w:hideMark/>
          </w:tcPr>
          <w:p w14:paraId="5D56582E" w14:textId="77777777" w:rsidR="002D7DBB" w:rsidRPr="00DD44CF" w:rsidRDefault="002D7DBB" w:rsidP="002D7DBB">
            <w:pPr>
              <w:jc w:val="center"/>
              <w:rPr>
                <w:sz w:val="16"/>
                <w:szCs w:val="16"/>
              </w:rPr>
            </w:pPr>
            <w:r w:rsidRPr="00DD44CF">
              <w:rPr>
                <w:sz w:val="16"/>
                <w:szCs w:val="16"/>
              </w:rPr>
              <w:t>1.02 [0.41, 2.51]</w:t>
            </w:r>
          </w:p>
        </w:tc>
      </w:tr>
      <w:tr w:rsidR="002D7DBB" w:rsidRPr="00DD44CF" w14:paraId="437792A1" w14:textId="77777777" w:rsidTr="008E059E">
        <w:trPr>
          <w:divId w:val="1915891284"/>
          <w:jc w:val="center"/>
        </w:trPr>
        <w:tc>
          <w:tcPr>
            <w:tcW w:w="3619" w:type="dxa"/>
            <w:tcBorders>
              <w:top w:val="single" w:sz="4" w:space="0" w:color="auto"/>
              <w:left w:val="single" w:sz="4" w:space="0" w:color="auto"/>
              <w:bottom w:val="single" w:sz="4" w:space="0" w:color="auto"/>
              <w:right w:val="single" w:sz="4" w:space="0" w:color="auto"/>
            </w:tcBorders>
            <w:hideMark/>
          </w:tcPr>
          <w:p w14:paraId="10D1BF0D" w14:textId="77777777" w:rsidR="002D7DBB" w:rsidRPr="00DD44CF" w:rsidRDefault="002D7DBB" w:rsidP="002D7DBB">
            <w:pPr>
              <w:rPr>
                <w:sz w:val="16"/>
                <w:szCs w:val="16"/>
              </w:rPr>
            </w:pPr>
            <w:r w:rsidRPr="00DD44CF">
              <w:rPr>
                <w:sz w:val="16"/>
                <w:szCs w:val="16"/>
              </w:rPr>
              <w:t>Skill mix  (per unit increase)</w:t>
            </w:r>
          </w:p>
        </w:tc>
        <w:tc>
          <w:tcPr>
            <w:tcW w:w="1731" w:type="dxa"/>
            <w:tcBorders>
              <w:top w:val="single" w:sz="4" w:space="0" w:color="auto"/>
              <w:left w:val="single" w:sz="4" w:space="0" w:color="auto"/>
              <w:bottom w:val="single" w:sz="4" w:space="0" w:color="auto"/>
              <w:right w:val="single" w:sz="4" w:space="0" w:color="auto"/>
            </w:tcBorders>
            <w:hideMark/>
          </w:tcPr>
          <w:p w14:paraId="599B0F7E" w14:textId="77777777" w:rsidR="002D7DBB" w:rsidRPr="00DD44CF" w:rsidRDefault="002D7DBB" w:rsidP="002D7DBB">
            <w:pPr>
              <w:jc w:val="center"/>
              <w:rPr>
                <w:sz w:val="16"/>
                <w:szCs w:val="16"/>
              </w:rPr>
            </w:pPr>
            <w:r w:rsidRPr="00DD44CF">
              <w:rPr>
                <w:sz w:val="16"/>
                <w:szCs w:val="16"/>
              </w:rPr>
              <w:t>0.00 [0.00, 4.26]</w:t>
            </w:r>
          </w:p>
        </w:tc>
        <w:tc>
          <w:tcPr>
            <w:tcW w:w="2184" w:type="dxa"/>
            <w:tcBorders>
              <w:top w:val="single" w:sz="4" w:space="0" w:color="auto"/>
              <w:left w:val="single" w:sz="4" w:space="0" w:color="auto"/>
              <w:bottom w:val="single" w:sz="4" w:space="0" w:color="auto"/>
              <w:right w:val="single" w:sz="4" w:space="0" w:color="auto"/>
            </w:tcBorders>
            <w:hideMark/>
          </w:tcPr>
          <w:p w14:paraId="2CAE3056" w14:textId="77777777" w:rsidR="002D7DBB" w:rsidRPr="00DD44CF" w:rsidRDefault="002D7DBB" w:rsidP="002D7DBB">
            <w:pPr>
              <w:jc w:val="center"/>
              <w:rPr>
                <w:sz w:val="16"/>
                <w:szCs w:val="16"/>
              </w:rPr>
            </w:pPr>
            <w:r w:rsidRPr="00DD44CF">
              <w:rPr>
                <w:sz w:val="16"/>
                <w:szCs w:val="16"/>
              </w:rPr>
              <w:t>0.00 [0.00, 45.03]</w:t>
            </w:r>
          </w:p>
        </w:tc>
        <w:tc>
          <w:tcPr>
            <w:tcW w:w="1701" w:type="dxa"/>
            <w:tcBorders>
              <w:top w:val="single" w:sz="4" w:space="0" w:color="auto"/>
              <w:left w:val="single" w:sz="4" w:space="0" w:color="auto"/>
              <w:bottom w:val="single" w:sz="4" w:space="0" w:color="auto"/>
              <w:right w:val="single" w:sz="4" w:space="0" w:color="auto"/>
            </w:tcBorders>
            <w:hideMark/>
          </w:tcPr>
          <w:p w14:paraId="31812BBC" w14:textId="77777777" w:rsidR="002D7DBB" w:rsidRPr="00DD44CF" w:rsidRDefault="002D7DBB" w:rsidP="002D7DBB">
            <w:pPr>
              <w:jc w:val="center"/>
              <w:rPr>
                <w:sz w:val="16"/>
                <w:szCs w:val="16"/>
              </w:rPr>
            </w:pPr>
            <w:r w:rsidRPr="00DD44CF">
              <w:rPr>
                <w:sz w:val="16"/>
                <w:szCs w:val="16"/>
              </w:rPr>
              <w:t>0.00 [0.00, 5.53]</w:t>
            </w:r>
          </w:p>
        </w:tc>
      </w:tr>
      <w:tr w:rsidR="002D7DBB" w:rsidRPr="00DD44CF" w14:paraId="7684FC83" w14:textId="77777777" w:rsidTr="008E059E">
        <w:trPr>
          <w:divId w:val="1915891284"/>
          <w:jc w:val="center"/>
        </w:trPr>
        <w:tc>
          <w:tcPr>
            <w:tcW w:w="3619" w:type="dxa"/>
            <w:tcBorders>
              <w:top w:val="single" w:sz="4" w:space="0" w:color="auto"/>
              <w:left w:val="single" w:sz="4" w:space="0" w:color="auto"/>
              <w:bottom w:val="single" w:sz="4" w:space="0" w:color="auto"/>
              <w:right w:val="single" w:sz="4" w:space="0" w:color="auto"/>
            </w:tcBorders>
            <w:hideMark/>
          </w:tcPr>
          <w:p w14:paraId="5D410154" w14:textId="77777777" w:rsidR="002D7DBB" w:rsidRPr="00DD44CF" w:rsidRDefault="002D7DBB" w:rsidP="002D7DBB">
            <w:pPr>
              <w:rPr>
                <w:sz w:val="16"/>
                <w:szCs w:val="16"/>
              </w:rPr>
            </w:pPr>
            <w:r w:rsidRPr="00DD44CF">
              <w:rPr>
                <w:sz w:val="16"/>
                <w:szCs w:val="16"/>
              </w:rPr>
              <w:t>Total number of interactions for that patient (per unit increase)</w:t>
            </w:r>
          </w:p>
        </w:tc>
        <w:tc>
          <w:tcPr>
            <w:tcW w:w="1731" w:type="dxa"/>
            <w:tcBorders>
              <w:top w:val="single" w:sz="4" w:space="0" w:color="auto"/>
              <w:left w:val="single" w:sz="4" w:space="0" w:color="auto"/>
              <w:bottom w:val="single" w:sz="4" w:space="0" w:color="auto"/>
              <w:right w:val="single" w:sz="4" w:space="0" w:color="auto"/>
            </w:tcBorders>
            <w:hideMark/>
          </w:tcPr>
          <w:p w14:paraId="21DCE15D" w14:textId="77777777" w:rsidR="002D7DBB" w:rsidRPr="00DD44CF" w:rsidRDefault="002D7DBB" w:rsidP="002D7DBB">
            <w:pPr>
              <w:jc w:val="center"/>
              <w:rPr>
                <w:b/>
                <w:bCs/>
                <w:sz w:val="16"/>
                <w:szCs w:val="16"/>
              </w:rPr>
            </w:pPr>
            <w:r w:rsidRPr="00DD44CF">
              <w:rPr>
                <w:b/>
                <w:bCs/>
                <w:sz w:val="16"/>
                <w:szCs w:val="16"/>
              </w:rPr>
              <w:t>1.11 [1.05, 1.18]</w:t>
            </w:r>
          </w:p>
        </w:tc>
        <w:tc>
          <w:tcPr>
            <w:tcW w:w="2184" w:type="dxa"/>
            <w:tcBorders>
              <w:top w:val="single" w:sz="4" w:space="0" w:color="auto"/>
              <w:left w:val="single" w:sz="4" w:space="0" w:color="auto"/>
              <w:bottom w:val="single" w:sz="4" w:space="0" w:color="auto"/>
              <w:right w:val="single" w:sz="4" w:space="0" w:color="auto"/>
            </w:tcBorders>
            <w:hideMark/>
          </w:tcPr>
          <w:p w14:paraId="31BE6B34" w14:textId="77777777" w:rsidR="002D7DBB" w:rsidRPr="00DD44CF" w:rsidRDefault="002D7DBB" w:rsidP="002D7DBB">
            <w:pPr>
              <w:jc w:val="center"/>
              <w:rPr>
                <w:b/>
                <w:bCs/>
                <w:sz w:val="16"/>
                <w:szCs w:val="16"/>
              </w:rPr>
            </w:pPr>
            <w:r w:rsidRPr="00DD44CF">
              <w:rPr>
                <w:b/>
                <w:bCs/>
                <w:sz w:val="16"/>
                <w:szCs w:val="16"/>
              </w:rPr>
              <w:t>1.09 [1.03, 1.15]</w:t>
            </w:r>
          </w:p>
        </w:tc>
        <w:tc>
          <w:tcPr>
            <w:tcW w:w="1701" w:type="dxa"/>
            <w:tcBorders>
              <w:top w:val="single" w:sz="4" w:space="0" w:color="auto"/>
              <w:left w:val="single" w:sz="4" w:space="0" w:color="auto"/>
              <w:bottom w:val="single" w:sz="4" w:space="0" w:color="auto"/>
              <w:right w:val="single" w:sz="4" w:space="0" w:color="auto"/>
            </w:tcBorders>
          </w:tcPr>
          <w:p w14:paraId="71236921" w14:textId="77777777" w:rsidR="002D7DBB" w:rsidRPr="00DD44CF" w:rsidRDefault="002D7DBB" w:rsidP="002D7DBB">
            <w:pPr>
              <w:jc w:val="center"/>
              <w:rPr>
                <w:b/>
                <w:bCs/>
                <w:sz w:val="16"/>
                <w:szCs w:val="16"/>
              </w:rPr>
            </w:pPr>
          </w:p>
        </w:tc>
      </w:tr>
      <w:tr w:rsidR="002D7DBB" w:rsidRPr="00DD44CF" w14:paraId="6271B922" w14:textId="77777777" w:rsidTr="008E059E">
        <w:trPr>
          <w:divId w:val="1915891284"/>
          <w:jc w:val="center"/>
        </w:trPr>
        <w:tc>
          <w:tcPr>
            <w:tcW w:w="753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D83296" w14:textId="77777777" w:rsidR="002D7DBB" w:rsidRPr="00DD44CF" w:rsidRDefault="00DF1AFE" w:rsidP="00DF1AFE">
            <w:pPr>
              <w:rPr>
                <w:b/>
                <w:bCs/>
                <w:sz w:val="16"/>
                <w:szCs w:val="16"/>
                <w:lang w:val="fr-ML"/>
              </w:rPr>
            </w:pPr>
            <w:r w:rsidRPr="00DD44CF">
              <w:rPr>
                <w:b/>
                <w:bCs/>
                <w:sz w:val="16"/>
                <w:szCs w:val="16"/>
                <w:lang w:val="fr-ML"/>
              </w:rPr>
              <w:t>Variance c</w:t>
            </w:r>
            <w:r w:rsidR="002D7DBB" w:rsidRPr="00DD44CF">
              <w:rPr>
                <w:b/>
                <w:bCs/>
                <w:sz w:val="16"/>
                <w:szCs w:val="16"/>
                <w:lang w:val="fr-ML"/>
              </w:rPr>
              <w:t>omp</w:t>
            </w:r>
            <w:r w:rsidRPr="00DD44CF">
              <w:rPr>
                <w:b/>
                <w:bCs/>
                <w:sz w:val="16"/>
                <w:szCs w:val="16"/>
                <w:lang w:val="fr-ML"/>
              </w:rPr>
              <w:t>onent</w:t>
            </w:r>
            <w:r w:rsidR="002D7DBB" w:rsidRPr="00DD44CF">
              <w:rPr>
                <w:b/>
                <w:bCs/>
                <w:sz w:val="16"/>
                <w:szCs w:val="16"/>
                <w:lang w:val="fr-ML"/>
              </w:rPr>
              <w:t xml:space="preserve"> (SE) [95% CI]</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F198E38" w14:textId="77777777" w:rsidR="002D7DBB" w:rsidRPr="00DD44CF" w:rsidRDefault="002D7DBB" w:rsidP="002D7DBB">
            <w:pPr>
              <w:rPr>
                <w:sz w:val="16"/>
                <w:szCs w:val="16"/>
                <w:lang w:val="fr-ML"/>
              </w:rPr>
            </w:pPr>
          </w:p>
        </w:tc>
      </w:tr>
      <w:tr w:rsidR="002D7DBB" w:rsidRPr="00DD44CF" w14:paraId="274D8F4B" w14:textId="77777777" w:rsidTr="008E059E">
        <w:trPr>
          <w:divId w:val="1915891284"/>
          <w:jc w:val="center"/>
        </w:trPr>
        <w:tc>
          <w:tcPr>
            <w:tcW w:w="3619" w:type="dxa"/>
            <w:tcBorders>
              <w:top w:val="single" w:sz="4" w:space="0" w:color="auto"/>
              <w:left w:val="single" w:sz="4" w:space="0" w:color="auto"/>
              <w:bottom w:val="single" w:sz="4" w:space="0" w:color="auto"/>
              <w:right w:val="single" w:sz="4" w:space="0" w:color="auto"/>
            </w:tcBorders>
            <w:hideMark/>
          </w:tcPr>
          <w:p w14:paraId="3FD82F6F" w14:textId="77777777" w:rsidR="002D7DBB" w:rsidRPr="00DD44CF" w:rsidRDefault="002D7DBB" w:rsidP="002D7DBB">
            <w:pPr>
              <w:rPr>
                <w:sz w:val="16"/>
                <w:szCs w:val="16"/>
              </w:rPr>
            </w:pPr>
            <w:r w:rsidRPr="00DD44CF">
              <w:rPr>
                <w:sz w:val="16"/>
                <w:szCs w:val="16"/>
              </w:rPr>
              <w:t>Ward (n=6)</w:t>
            </w:r>
          </w:p>
        </w:tc>
        <w:tc>
          <w:tcPr>
            <w:tcW w:w="1731" w:type="dxa"/>
            <w:tcBorders>
              <w:top w:val="single" w:sz="4" w:space="0" w:color="auto"/>
              <w:left w:val="single" w:sz="4" w:space="0" w:color="auto"/>
              <w:bottom w:val="single" w:sz="4" w:space="0" w:color="auto"/>
              <w:right w:val="single" w:sz="4" w:space="0" w:color="auto"/>
            </w:tcBorders>
          </w:tcPr>
          <w:p w14:paraId="63A0863F" w14:textId="77777777" w:rsidR="002D7DBB" w:rsidRPr="00DD44CF" w:rsidRDefault="002D7DBB" w:rsidP="002D7DB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hideMark/>
          </w:tcPr>
          <w:p w14:paraId="204AFF52" w14:textId="77777777" w:rsidR="002D7DBB" w:rsidRPr="00DD44CF" w:rsidRDefault="002D7DBB" w:rsidP="002D7DBB">
            <w:pPr>
              <w:jc w:val="center"/>
              <w:rPr>
                <w:sz w:val="16"/>
                <w:szCs w:val="16"/>
              </w:rPr>
            </w:pPr>
            <w:r w:rsidRPr="00DD44CF">
              <w:rPr>
                <w:sz w:val="16"/>
                <w:szCs w:val="16"/>
              </w:rPr>
              <w:t>1.76 (1.70) [0.27, 11.58]</w:t>
            </w:r>
          </w:p>
        </w:tc>
        <w:tc>
          <w:tcPr>
            <w:tcW w:w="1701" w:type="dxa"/>
            <w:tcBorders>
              <w:top w:val="single" w:sz="4" w:space="0" w:color="auto"/>
              <w:left w:val="single" w:sz="4" w:space="0" w:color="auto"/>
              <w:bottom w:val="single" w:sz="4" w:space="0" w:color="auto"/>
              <w:right w:val="single" w:sz="4" w:space="0" w:color="auto"/>
            </w:tcBorders>
            <w:hideMark/>
          </w:tcPr>
          <w:p w14:paraId="7831BDDC" w14:textId="77777777" w:rsidR="002D7DBB" w:rsidRPr="00DD44CF" w:rsidRDefault="002D7DBB" w:rsidP="002D7DBB">
            <w:pPr>
              <w:jc w:val="center"/>
              <w:rPr>
                <w:sz w:val="16"/>
                <w:szCs w:val="16"/>
              </w:rPr>
            </w:pPr>
            <w:r w:rsidRPr="00DD44CF">
              <w:rPr>
                <w:sz w:val="16"/>
                <w:szCs w:val="16"/>
              </w:rPr>
              <w:t>1.02 (1.00) [0.15, 6.93]</w:t>
            </w:r>
          </w:p>
        </w:tc>
      </w:tr>
      <w:tr w:rsidR="002D7DBB" w:rsidRPr="00DD44CF" w14:paraId="1DDC436B" w14:textId="77777777" w:rsidTr="008E059E">
        <w:trPr>
          <w:divId w:val="1915891284"/>
          <w:jc w:val="center"/>
        </w:trPr>
        <w:tc>
          <w:tcPr>
            <w:tcW w:w="3619" w:type="dxa"/>
            <w:tcBorders>
              <w:top w:val="single" w:sz="4" w:space="0" w:color="auto"/>
              <w:left w:val="single" w:sz="4" w:space="0" w:color="auto"/>
              <w:bottom w:val="single" w:sz="4" w:space="0" w:color="auto"/>
              <w:right w:val="single" w:sz="4" w:space="0" w:color="auto"/>
            </w:tcBorders>
            <w:hideMark/>
          </w:tcPr>
          <w:p w14:paraId="657EF926" w14:textId="77777777" w:rsidR="002D7DBB" w:rsidRPr="00DD44CF" w:rsidRDefault="002D7DBB">
            <w:pPr>
              <w:rPr>
                <w:sz w:val="16"/>
                <w:szCs w:val="16"/>
              </w:rPr>
            </w:pPr>
            <w:r w:rsidRPr="00DD44CF">
              <w:rPr>
                <w:sz w:val="16"/>
                <w:szCs w:val="16"/>
              </w:rPr>
              <w:t xml:space="preserve">Observation </w:t>
            </w:r>
            <w:r w:rsidR="00D80DC7">
              <w:rPr>
                <w:sz w:val="16"/>
                <w:szCs w:val="16"/>
              </w:rPr>
              <w:t>session</w:t>
            </w:r>
            <w:r w:rsidR="00D80DC7" w:rsidRPr="00DD44CF">
              <w:rPr>
                <w:sz w:val="16"/>
                <w:szCs w:val="16"/>
              </w:rPr>
              <w:t xml:space="preserve"> </w:t>
            </w:r>
            <w:r w:rsidRPr="00DD44CF">
              <w:rPr>
                <w:sz w:val="16"/>
                <w:szCs w:val="16"/>
              </w:rPr>
              <w:t>level (n=60)</w:t>
            </w:r>
          </w:p>
        </w:tc>
        <w:tc>
          <w:tcPr>
            <w:tcW w:w="1731" w:type="dxa"/>
            <w:tcBorders>
              <w:top w:val="single" w:sz="4" w:space="0" w:color="auto"/>
              <w:left w:val="single" w:sz="4" w:space="0" w:color="auto"/>
              <w:bottom w:val="single" w:sz="4" w:space="0" w:color="auto"/>
              <w:right w:val="single" w:sz="4" w:space="0" w:color="auto"/>
            </w:tcBorders>
          </w:tcPr>
          <w:p w14:paraId="53291CE4" w14:textId="77777777" w:rsidR="002D7DBB" w:rsidRPr="00DD44CF" w:rsidRDefault="002D7DBB" w:rsidP="002D7DB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hideMark/>
          </w:tcPr>
          <w:p w14:paraId="6B463ADB" w14:textId="77777777" w:rsidR="002D7DBB" w:rsidRPr="00DD44CF" w:rsidRDefault="002D7DBB" w:rsidP="002D7DBB">
            <w:pPr>
              <w:jc w:val="center"/>
              <w:rPr>
                <w:sz w:val="16"/>
                <w:szCs w:val="16"/>
              </w:rPr>
            </w:pPr>
            <w:r w:rsidRPr="00DD44CF">
              <w:rPr>
                <w:sz w:val="16"/>
                <w:szCs w:val="16"/>
              </w:rPr>
              <w:t>3.49 (1.29) [1.68, 7.22]</w:t>
            </w:r>
          </w:p>
        </w:tc>
        <w:tc>
          <w:tcPr>
            <w:tcW w:w="1701" w:type="dxa"/>
            <w:tcBorders>
              <w:top w:val="single" w:sz="4" w:space="0" w:color="auto"/>
              <w:left w:val="single" w:sz="4" w:space="0" w:color="auto"/>
              <w:bottom w:val="single" w:sz="4" w:space="0" w:color="auto"/>
              <w:right w:val="single" w:sz="4" w:space="0" w:color="auto"/>
            </w:tcBorders>
            <w:hideMark/>
          </w:tcPr>
          <w:p w14:paraId="004CD035" w14:textId="77777777" w:rsidR="002D7DBB" w:rsidRPr="00DD44CF" w:rsidRDefault="002D7DBB" w:rsidP="002D7DBB">
            <w:pPr>
              <w:jc w:val="center"/>
              <w:rPr>
                <w:sz w:val="16"/>
                <w:szCs w:val="16"/>
              </w:rPr>
            </w:pPr>
            <w:r w:rsidRPr="00DD44CF">
              <w:rPr>
                <w:sz w:val="16"/>
                <w:szCs w:val="16"/>
              </w:rPr>
              <w:t>1.60 (0.78) [0.61, 4.19]</w:t>
            </w:r>
          </w:p>
        </w:tc>
      </w:tr>
      <w:tr w:rsidR="002D7DBB" w:rsidRPr="00DD44CF" w14:paraId="72937AB7" w14:textId="77777777" w:rsidTr="008E059E">
        <w:trPr>
          <w:divId w:val="1915891284"/>
          <w:jc w:val="center"/>
        </w:trPr>
        <w:tc>
          <w:tcPr>
            <w:tcW w:w="3619" w:type="dxa"/>
            <w:tcBorders>
              <w:top w:val="single" w:sz="4" w:space="0" w:color="auto"/>
              <w:left w:val="single" w:sz="4" w:space="0" w:color="auto"/>
              <w:bottom w:val="single" w:sz="4" w:space="0" w:color="auto"/>
              <w:right w:val="single" w:sz="4" w:space="0" w:color="auto"/>
            </w:tcBorders>
            <w:hideMark/>
          </w:tcPr>
          <w:p w14:paraId="26132243" w14:textId="77777777" w:rsidR="002D7DBB" w:rsidRPr="00DD44CF" w:rsidRDefault="002D7DBB" w:rsidP="002D7DBB">
            <w:pPr>
              <w:rPr>
                <w:sz w:val="16"/>
                <w:szCs w:val="16"/>
              </w:rPr>
            </w:pPr>
            <w:r w:rsidRPr="00DD44CF">
              <w:rPr>
                <w:sz w:val="16"/>
                <w:szCs w:val="16"/>
              </w:rPr>
              <w:t>Patient level (n=133)</w:t>
            </w:r>
          </w:p>
        </w:tc>
        <w:tc>
          <w:tcPr>
            <w:tcW w:w="1731" w:type="dxa"/>
            <w:tcBorders>
              <w:top w:val="single" w:sz="4" w:space="0" w:color="auto"/>
              <w:left w:val="single" w:sz="4" w:space="0" w:color="auto"/>
              <w:bottom w:val="single" w:sz="4" w:space="0" w:color="auto"/>
              <w:right w:val="single" w:sz="4" w:space="0" w:color="auto"/>
            </w:tcBorders>
          </w:tcPr>
          <w:p w14:paraId="471623A7" w14:textId="77777777" w:rsidR="002D7DBB" w:rsidRPr="00DD44CF" w:rsidRDefault="002D7DBB" w:rsidP="002D7DB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hideMark/>
          </w:tcPr>
          <w:p w14:paraId="3762AA2A" w14:textId="77777777" w:rsidR="002D7DBB" w:rsidRPr="00DD44CF" w:rsidRDefault="002D7DBB" w:rsidP="002D7DBB">
            <w:pPr>
              <w:jc w:val="center"/>
              <w:rPr>
                <w:sz w:val="16"/>
                <w:szCs w:val="16"/>
              </w:rPr>
            </w:pPr>
            <w:r w:rsidRPr="00DD44CF">
              <w:rPr>
                <w:sz w:val="16"/>
                <w:szCs w:val="16"/>
              </w:rPr>
              <w:t>0.09 (0.28) [0.00, 35.59]</w:t>
            </w:r>
          </w:p>
        </w:tc>
        <w:tc>
          <w:tcPr>
            <w:tcW w:w="1701" w:type="dxa"/>
            <w:tcBorders>
              <w:top w:val="single" w:sz="4" w:space="0" w:color="auto"/>
              <w:left w:val="single" w:sz="4" w:space="0" w:color="auto"/>
              <w:bottom w:val="single" w:sz="4" w:space="0" w:color="auto"/>
              <w:right w:val="single" w:sz="4" w:space="0" w:color="auto"/>
            </w:tcBorders>
            <w:hideMark/>
          </w:tcPr>
          <w:p w14:paraId="5F26E7B2" w14:textId="77777777" w:rsidR="002D7DBB" w:rsidRPr="00DD44CF" w:rsidRDefault="002D7DBB" w:rsidP="002D7DBB">
            <w:pPr>
              <w:jc w:val="center"/>
              <w:rPr>
                <w:sz w:val="16"/>
                <w:szCs w:val="16"/>
              </w:rPr>
            </w:pPr>
            <w:r w:rsidRPr="00DD44CF">
              <w:rPr>
                <w:sz w:val="16"/>
                <w:szCs w:val="16"/>
              </w:rPr>
              <w:t>0.95 (0.47) [0.37, 2.49]</w:t>
            </w:r>
          </w:p>
        </w:tc>
      </w:tr>
    </w:tbl>
    <w:p w14:paraId="1ED7C3A1" w14:textId="7FF84BFF" w:rsidR="002D7DBB" w:rsidRPr="00DD44CF" w:rsidRDefault="002D7DBB" w:rsidP="002D7DBB">
      <w:pPr>
        <w:divId w:val="1915891284"/>
        <w:rPr>
          <w:sz w:val="16"/>
          <w:szCs w:val="16"/>
        </w:rPr>
      </w:pPr>
      <w:r w:rsidRPr="00DD44CF">
        <w:rPr>
          <w:sz w:val="16"/>
          <w:szCs w:val="16"/>
        </w:rPr>
        <w:t>*</w:t>
      </w:r>
      <w:r w:rsidR="00B03CCC">
        <w:rPr>
          <w:sz w:val="16"/>
          <w:szCs w:val="16"/>
        </w:rPr>
        <w:t>All</w:t>
      </w:r>
      <w:r w:rsidR="009F4544">
        <w:rPr>
          <w:sz w:val="16"/>
          <w:szCs w:val="16"/>
        </w:rPr>
        <w:t xml:space="preserve"> models include ward, observation session and patient as random effects. Bold results indicate statistically significant at 5% level. </w:t>
      </w:r>
    </w:p>
    <w:p w14:paraId="5678C8C9" w14:textId="77777777" w:rsidR="002D7DBB" w:rsidRPr="00DD44CF" w:rsidRDefault="002D7DBB" w:rsidP="002D7DBB">
      <w:pPr>
        <w:divId w:val="1915891284"/>
        <w:rPr>
          <w:sz w:val="16"/>
          <w:szCs w:val="16"/>
        </w:rPr>
      </w:pPr>
    </w:p>
    <w:p w14:paraId="72BBA3EE" w14:textId="77777777" w:rsidR="00C30777" w:rsidRPr="00820559" w:rsidRDefault="00C30777" w:rsidP="00820559">
      <w:pPr>
        <w:spacing w:after="200" w:line="276" w:lineRule="auto"/>
        <w:rPr>
          <w:lang w:val="en-US"/>
        </w:rPr>
      </w:pPr>
    </w:p>
    <w:sectPr w:rsidR="00C30777" w:rsidRPr="0082055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D03F2" w14:textId="77777777" w:rsidR="002B7454" w:rsidRDefault="002B7454" w:rsidP="00C64FE9">
      <w:r>
        <w:separator/>
      </w:r>
    </w:p>
  </w:endnote>
  <w:endnote w:type="continuationSeparator" w:id="0">
    <w:p w14:paraId="28E7D17E" w14:textId="77777777" w:rsidR="002B7454" w:rsidRDefault="002B7454" w:rsidP="00C6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1E14" w14:textId="77777777" w:rsidR="00C16707" w:rsidRDefault="00C16707" w:rsidP="00BD1442">
    <w:pPr>
      <w:pStyle w:val="Footer"/>
      <w:tabs>
        <w:tab w:val="clear" w:pos="4513"/>
        <w:tab w:val="clear" w:pos="9026"/>
        <w:tab w:val="left" w:pos="102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708F4" w14:textId="77777777" w:rsidR="002B7454" w:rsidRDefault="002B7454" w:rsidP="00C64FE9">
      <w:r>
        <w:separator/>
      </w:r>
    </w:p>
  </w:footnote>
  <w:footnote w:type="continuationSeparator" w:id="0">
    <w:p w14:paraId="604F264A" w14:textId="77777777" w:rsidR="002B7454" w:rsidRDefault="002B7454" w:rsidP="00C64FE9">
      <w:r>
        <w:continuationSeparator/>
      </w:r>
    </w:p>
  </w:footnote>
  <w:footnote w:id="1">
    <w:p w14:paraId="0F1F6328" w14:textId="77777777" w:rsidR="00C16707" w:rsidRDefault="00C16707" w:rsidP="00527854">
      <w:pPr>
        <w:pStyle w:val="FootnoteText"/>
      </w:pPr>
      <w:r w:rsidRPr="00A5367D">
        <w:rPr>
          <w:rStyle w:val="FootnoteReference"/>
        </w:rPr>
        <w:footnoteRef/>
      </w:r>
      <w:r>
        <w:t xml:space="preserve"> Adjusted odds ratio [95% confidence interval]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37627"/>
      <w:docPartObj>
        <w:docPartGallery w:val="Page Numbers (Top of Page)"/>
        <w:docPartUnique/>
      </w:docPartObj>
    </w:sdtPr>
    <w:sdtEndPr>
      <w:rPr>
        <w:noProof/>
      </w:rPr>
    </w:sdtEndPr>
    <w:sdtContent>
      <w:p w14:paraId="080C13E8" w14:textId="77777777" w:rsidR="00C16707" w:rsidRDefault="00C16707">
        <w:pPr>
          <w:pStyle w:val="Header"/>
          <w:jc w:val="right"/>
        </w:pPr>
        <w:r>
          <w:fldChar w:fldCharType="begin"/>
        </w:r>
        <w:r>
          <w:instrText xml:space="preserve"> PAGE   \* MERGEFORMAT </w:instrText>
        </w:r>
        <w:r>
          <w:fldChar w:fldCharType="separate"/>
        </w:r>
        <w:r w:rsidR="00C31272">
          <w:rPr>
            <w:noProof/>
          </w:rPr>
          <w:t>6</w:t>
        </w:r>
        <w:r>
          <w:rPr>
            <w:noProof/>
          </w:rPr>
          <w:fldChar w:fldCharType="end"/>
        </w:r>
      </w:p>
    </w:sdtContent>
  </w:sdt>
  <w:p w14:paraId="52645A09" w14:textId="77777777" w:rsidR="00C16707" w:rsidRDefault="00C16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175"/>
    <w:multiLevelType w:val="hybridMultilevel"/>
    <w:tmpl w:val="D5584584"/>
    <w:lvl w:ilvl="0" w:tplc="2E88A74E">
      <w:start w:val="1"/>
      <w:numFmt w:val="bullet"/>
      <w:lvlText w:val="•"/>
      <w:lvlJc w:val="left"/>
      <w:pPr>
        <w:tabs>
          <w:tab w:val="num" w:pos="720"/>
        </w:tabs>
        <w:ind w:left="720" w:hanging="360"/>
      </w:pPr>
      <w:rPr>
        <w:rFonts w:ascii="Times" w:hAnsi="Times" w:hint="default"/>
      </w:rPr>
    </w:lvl>
    <w:lvl w:ilvl="1" w:tplc="C5CEF9E8" w:tentative="1">
      <w:start w:val="1"/>
      <w:numFmt w:val="bullet"/>
      <w:lvlText w:val="•"/>
      <w:lvlJc w:val="left"/>
      <w:pPr>
        <w:tabs>
          <w:tab w:val="num" w:pos="1440"/>
        </w:tabs>
        <w:ind w:left="1440" w:hanging="360"/>
      </w:pPr>
      <w:rPr>
        <w:rFonts w:ascii="Times" w:hAnsi="Times" w:hint="default"/>
      </w:rPr>
    </w:lvl>
    <w:lvl w:ilvl="2" w:tplc="CF72EE10" w:tentative="1">
      <w:start w:val="1"/>
      <w:numFmt w:val="bullet"/>
      <w:lvlText w:val="•"/>
      <w:lvlJc w:val="left"/>
      <w:pPr>
        <w:tabs>
          <w:tab w:val="num" w:pos="2160"/>
        </w:tabs>
        <w:ind w:left="2160" w:hanging="360"/>
      </w:pPr>
      <w:rPr>
        <w:rFonts w:ascii="Times" w:hAnsi="Times" w:hint="default"/>
      </w:rPr>
    </w:lvl>
    <w:lvl w:ilvl="3" w:tplc="A2F4F446" w:tentative="1">
      <w:start w:val="1"/>
      <w:numFmt w:val="bullet"/>
      <w:lvlText w:val="•"/>
      <w:lvlJc w:val="left"/>
      <w:pPr>
        <w:tabs>
          <w:tab w:val="num" w:pos="2880"/>
        </w:tabs>
        <w:ind w:left="2880" w:hanging="360"/>
      </w:pPr>
      <w:rPr>
        <w:rFonts w:ascii="Times" w:hAnsi="Times" w:hint="default"/>
      </w:rPr>
    </w:lvl>
    <w:lvl w:ilvl="4" w:tplc="DE421F38" w:tentative="1">
      <w:start w:val="1"/>
      <w:numFmt w:val="bullet"/>
      <w:lvlText w:val="•"/>
      <w:lvlJc w:val="left"/>
      <w:pPr>
        <w:tabs>
          <w:tab w:val="num" w:pos="3600"/>
        </w:tabs>
        <w:ind w:left="3600" w:hanging="360"/>
      </w:pPr>
      <w:rPr>
        <w:rFonts w:ascii="Times" w:hAnsi="Times" w:hint="default"/>
      </w:rPr>
    </w:lvl>
    <w:lvl w:ilvl="5" w:tplc="F5240848" w:tentative="1">
      <w:start w:val="1"/>
      <w:numFmt w:val="bullet"/>
      <w:lvlText w:val="•"/>
      <w:lvlJc w:val="left"/>
      <w:pPr>
        <w:tabs>
          <w:tab w:val="num" w:pos="4320"/>
        </w:tabs>
        <w:ind w:left="4320" w:hanging="360"/>
      </w:pPr>
      <w:rPr>
        <w:rFonts w:ascii="Times" w:hAnsi="Times" w:hint="default"/>
      </w:rPr>
    </w:lvl>
    <w:lvl w:ilvl="6" w:tplc="FA74C8BE" w:tentative="1">
      <w:start w:val="1"/>
      <w:numFmt w:val="bullet"/>
      <w:lvlText w:val="•"/>
      <w:lvlJc w:val="left"/>
      <w:pPr>
        <w:tabs>
          <w:tab w:val="num" w:pos="5040"/>
        </w:tabs>
        <w:ind w:left="5040" w:hanging="360"/>
      </w:pPr>
      <w:rPr>
        <w:rFonts w:ascii="Times" w:hAnsi="Times" w:hint="default"/>
      </w:rPr>
    </w:lvl>
    <w:lvl w:ilvl="7" w:tplc="AEE053C8" w:tentative="1">
      <w:start w:val="1"/>
      <w:numFmt w:val="bullet"/>
      <w:lvlText w:val="•"/>
      <w:lvlJc w:val="left"/>
      <w:pPr>
        <w:tabs>
          <w:tab w:val="num" w:pos="5760"/>
        </w:tabs>
        <w:ind w:left="5760" w:hanging="360"/>
      </w:pPr>
      <w:rPr>
        <w:rFonts w:ascii="Times" w:hAnsi="Times" w:hint="default"/>
      </w:rPr>
    </w:lvl>
    <w:lvl w:ilvl="8" w:tplc="B8DE9AB6"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11C318F1"/>
    <w:multiLevelType w:val="hybridMultilevel"/>
    <w:tmpl w:val="A98847CA"/>
    <w:lvl w:ilvl="0" w:tplc="0D56E5F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545B2"/>
    <w:multiLevelType w:val="hybridMultilevel"/>
    <w:tmpl w:val="F1AE5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A4694"/>
    <w:multiLevelType w:val="hybridMultilevel"/>
    <w:tmpl w:val="9B78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127818"/>
    <w:multiLevelType w:val="hybridMultilevel"/>
    <w:tmpl w:val="096C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F401F"/>
    <w:multiLevelType w:val="hybridMultilevel"/>
    <w:tmpl w:val="5A46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zzaf5xbwsxt5ezwsapa29xasw2z0v25v5r&quot;&gt;My References&lt;record-ids&gt;&lt;item&gt;31223&lt;/item&gt;&lt;item&gt;38057&lt;/item&gt;&lt;item&gt;38062&lt;/item&gt;&lt;item&gt;38120&lt;/item&gt;&lt;item&gt;38346&lt;/item&gt;&lt;item&gt;38629&lt;/item&gt;&lt;/record-ids&gt;&lt;/item&gt;&lt;/Libraries&gt;"/>
  </w:docVars>
  <w:rsids>
    <w:rsidRoot w:val="007C7D13"/>
    <w:rsid w:val="00002633"/>
    <w:rsid w:val="0000336C"/>
    <w:rsid w:val="00010589"/>
    <w:rsid w:val="00010D14"/>
    <w:rsid w:val="0001610E"/>
    <w:rsid w:val="00022AB9"/>
    <w:rsid w:val="00022CF9"/>
    <w:rsid w:val="000235D0"/>
    <w:rsid w:val="00024CD1"/>
    <w:rsid w:val="000257A2"/>
    <w:rsid w:val="0002616D"/>
    <w:rsid w:val="00027CAB"/>
    <w:rsid w:val="00031686"/>
    <w:rsid w:val="000322A5"/>
    <w:rsid w:val="0003237C"/>
    <w:rsid w:val="00035695"/>
    <w:rsid w:val="00036A1A"/>
    <w:rsid w:val="0005243E"/>
    <w:rsid w:val="000526A2"/>
    <w:rsid w:val="00055632"/>
    <w:rsid w:val="00066D98"/>
    <w:rsid w:val="0007238D"/>
    <w:rsid w:val="00080172"/>
    <w:rsid w:val="00090003"/>
    <w:rsid w:val="0009199D"/>
    <w:rsid w:val="000A245D"/>
    <w:rsid w:val="000A3CC7"/>
    <w:rsid w:val="000A47AE"/>
    <w:rsid w:val="000B514A"/>
    <w:rsid w:val="000C3416"/>
    <w:rsid w:val="000C58ED"/>
    <w:rsid w:val="000D210C"/>
    <w:rsid w:val="000D238B"/>
    <w:rsid w:val="000D612A"/>
    <w:rsid w:val="000D7D57"/>
    <w:rsid w:val="000E3A45"/>
    <w:rsid w:val="000E51DB"/>
    <w:rsid w:val="000E524E"/>
    <w:rsid w:val="000E776D"/>
    <w:rsid w:val="000F6C66"/>
    <w:rsid w:val="001038D2"/>
    <w:rsid w:val="00105E13"/>
    <w:rsid w:val="00106B89"/>
    <w:rsid w:val="00110F5B"/>
    <w:rsid w:val="00112DCB"/>
    <w:rsid w:val="001130C9"/>
    <w:rsid w:val="00114170"/>
    <w:rsid w:val="00115B7F"/>
    <w:rsid w:val="00123B35"/>
    <w:rsid w:val="00137706"/>
    <w:rsid w:val="00147BC2"/>
    <w:rsid w:val="001524F9"/>
    <w:rsid w:val="00180B9D"/>
    <w:rsid w:val="00182432"/>
    <w:rsid w:val="001830D2"/>
    <w:rsid w:val="001834A2"/>
    <w:rsid w:val="00191840"/>
    <w:rsid w:val="00196ED1"/>
    <w:rsid w:val="001A1AFC"/>
    <w:rsid w:val="001A4AFC"/>
    <w:rsid w:val="001A53C6"/>
    <w:rsid w:val="001C6E49"/>
    <w:rsid w:val="001D11F2"/>
    <w:rsid w:val="001D1F35"/>
    <w:rsid w:val="001D2BCC"/>
    <w:rsid w:val="001D44D2"/>
    <w:rsid w:val="001E1573"/>
    <w:rsid w:val="001E2244"/>
    <w:rsid w:val="001E6670"/>
    <w:rsid w:val="001E6C7E"/>
    <w:rsid w:val="001F078D"/>
    <w:rsid w:val="001F270D"/>
    <w:rsid w:val="001F3D92"/>
    <w:rsid w:val="002011B8"/>
    <w:rsid w:val="00205668"/>
    <w:rsid w:val="002119F2"/>
    <w:rsid w:val="00222EF4"/>
    <w:rsid w:val="0022487B"/>
    <w:rsid w:val="00225E24"/>
    <w:rsid w:val="002276B2"/>
    <w:rsid w:val="00241768"/>
    <w:rsid w:val="00245188"/>
    <w:rsid w:val="00250BEB"/>
    <w:rsid w:val="002540B6"/>
    <w:rsid w:val="0026363E"/>
    <w:rsid w:val="00264FFF"/>
    <w:rsid w:val="00266410"/>
    <w:rsid w:val="002700E9"/>
    <w:rsid w:val="00273F8A"/>
    <w:rsid w:val="0028273C"/>
    <w:rsid w:val="00286CBD"/>
    <w:rsid w:val="002949FA"/>
    <w:rsid w:val="0029660A"/>
    <w:rsid w:val="002B2459"/>
    <w:rsid w:val="002B7454"/>
    <w:rsid w:val="002B7C1F"/>
    <w:rsid w:val="002C62C5"/>
    <w:rsid w:val="002D02B0"/>
    <w:rsid w:val="002D3835"/>
    <w:rsid w:val="002D7700"/>
    <w:rsid w:val="002D7DBB"/>
    <w:rsid w:val="002E7152"/>
    <w:rsid w:val="002E7500"/>
    <w:rsid w:val="002F050F"/>
    <w:rsid w:val="002F52A8"/>
    <w:rsid w:val="00300130"/>
    <w:rsid w:val="00301C52"/>
    <w:rsid w:val="00302395"/>
    <w:rsid w:val="00313279"/>
    <w:rsid w:val="00316553"/>
    <w:rsid w:val="00330241"/>
    <w:rsid w:val="0033410E"/>
    <w:rsid w:val="003352BF"/>
    <w:rsid w:val="00340FA7"/>
    <w:rsid w:val="00347AFC"/>
    <w:rsid w:val="00350BC8"/>
    <w:rsid w:val="00352A72"/>
    <w:rsid w:val="00360018"/>
    <w:rsid w:val="0036151B"/>
    <w:rsid w:val="00366738"/>
    <w:rsid w:val="00377F95"/>
    <w:rsid w:val="00380A00"/>
    <w:rsid w:val="00380E89"/>
    <w:rsid w:val="003811D3"/>
    <w:rsid w:val="00386537"/>
    <w:rsid w:val="00386F2E"/>
    <w:rsid w:val="003926C8"/>
    <w:rsid w:val="00392BD5"/>
    <w:rsid w:val="003A4B57"/>
    <w:rsid w:val="003B7E0A"/>
    <w:rsid w:val="003B7F5C"/>
    <w:rsid w:val="003C67E2"/>
    <w:rsid w:val="003C6C46"/>
    <w:rsid w:val="003C6E4B"/>
    <w:rsid w:val="003D217D"/>
    <w:rsid w:val="003E0929"/>
    <w:rsid w:val="003E3A89"/>
    <w:rsid w:val="003E6238"/>
    <w:rsid w:val="003E7551"/>
    <w:rsid w:val="003F3B11"/>
    <w:rsid w:val="003F5850"/>
    <w:rsid w:val="004046AE"/>
    <w:rsid w:val="00413707"/>
    <w:rsid w:val="00413F65"/>
    <w:rsid w:val="00420D50"/>
    <w:rsid w:val="004247D4"/>
    <w:rsid w:val="00426BE9"/>
    <w:rsid w:val="00432E49"/>
    <w:rsid w:val="004374E7"/>
    <w:rsid w:val="00443FC5"/>
    <w:rsid w:val="0044438D"/>
    <w:rsid w:val="00444D53"/>
    <w:rsid w:val="00447D13"/>
    <w:rsid w:val="00470E6D"/>
    <w:rsid w:val="0047280C"/>
    <w:rsid w:val="004911A4"/>
    <w:rsid w:val="00495D18"/>
    <w:rsid w:val="00495F85"/>
    <w:rsid w:val="00495FAD"/>
    <w:rsid w:val="004A64C5"/>
    <w:rsid w:val="004B1752"/>
    <w:rsid w:val="004C7514"/>
    <w:rsid w:val="004D0CFF"/>
    <w:rsid w:val="004D23D4"/>
    <w:rsid w:val="004D3204"/>
    <w:rsid w:val="004D71A4"/>
    <w:rsid w:val="004D762B"/>
    <w:rsid w:val="004E6B61"/>
    <w:rsid w:val="004E7D67"/>
    <w:rsid w:val="004F2402"/>
    <w:rsid w:val="005048FD"/>
    <w:rsid w:val="00511A43"/>
    <w:rsid w:val="005121A1"/>
    <w:rsid w:val="00512775"/>
    <w:rsid w:val="00513B9D"/>
    <w:rsid w:val="00524EF8"/>
    <w:rsid w:val="00527854"/>
    <w:rsid w:val="0054195F"/>
    <w:rsid w:val="00543F68"/>
    <w:rsid w:val="005544DC"/>
    <w:rsid w:val="00556D0B"/>
    <w:rsid w:val="00557271"/>
    <w:rsid w:val="00557DC4"/>
    <w:rsid w:val="00564CE0"/>
    <w:rsid w:val="00564D13"/>
    <w:rsid w:val="00571555"/>
    <w:rsid w:val="005719FD"/>
    <w:rsid w:val="005760E1"/>
    <w:rsid w:val="00581985"/>
    <w:rsid w:val="00581E78"/>
    <w:rsid w:val="00584476"/>
    <w:rsid w:val="00584A46"/>
    <w:rsid w:val="00585F46"/>
    <w:rsid w:val="00591D68"/>
    <w:rsid w:val="00594067"/>
    <w:rsid w:val="00595DE8"/>
    <w:rsid w:val="005B107F"/>
    <w:rsid w:val="005D06EC"/>
    <w:rsid w:val="005D56E7"/>
    <w:rsid w:val="005E219E"/>
    <w:rsid w:val="005E4ED1"/>
    <w:rsid w:val="005E7322"/>
    <w:rsid w:val="005F149B"/>
    <w:rsid w:val="005F2220"/>
    <w:rsid w:val="00601FDD"/>
    <w:rsid w:val="006032AD"/>
    <w:rsid w:val="0060794F"/>
    <w:rsid w:val="00611C30"/>
    <w:rsid w:val="006307F5"/>
    <w:rsid w:val="00633C10"/>
    <w:rsid w:val="00640632"/>
    <w:rsid w:val="0064187A"/>
    <w:rsid w:val="00655E9E"/>
    <w:rsid w:val="00657A21"/>
    <w:rsid w:val="00664C4D"/>
    <w:rsid w:val="00666237"/>
    <w:rsid w:val="006859EF"/>
    <w:rsid w:val="00691303"/>
    <w:rsid w:val="00693633"/>
    <w:rsid w:val="00695AA4"/>
    <w:rsid w:val="006A2B86"/>
    <w:rsid w:val="006A4A29"/>
    <w:rsid w:val="006A550B"/>
    <w:rsid w:val="006A7CDD"/>
    <w:rsid w:val="006B5BD3"/>
    <w:rsid w:val="006B77B4"/>
    <w:rsid w:val="006B782F"/>
    <w:rsid w:val="006C3AB7"/>
    <w:rsid w:val="006D0DFB"/>
    <w:rsid w:val="006D5EA7"/>
    <w:rsid w:val="006F58D7"/>
    <w:rsid w:val="006F6544"/>
    <w:rsid w:val="006F6D29"/>
    <w:rsid w:val="00701459"/>
    <w:rsid w:val="00704147"/>
    <w:rsid w:val="00707BE5"/>
    <w:rsid w:val="007111EE"/>
    <w:rsid w:val="00712FEB"/>
    <w:rsid w:val="007161B9"/>
    <w:rsid w:val="00717C53"/>
    <w:rsid w:val="00717E2C"/>
    <w:rsid w:val="00721FB4"/>
    <w:rsid w:val="00722BD8"/>
    <w:rsid w:val="00723497"/>
    <w:rsid w:val="00731037"/>
    <w:rsid w:val="0073231C"/>
    <w:rsid w:val="00735572"/>
    <w:rsid w:val="007363E5"/>
    <w:rsid w:val="0074192F"/>
    <w:rsid w:val="00742914"/>
    <w:rsid w:val="00754DC4"/>
    <w:rsid w:val="00754E48"/>
    <w:rsid w:val="00754FE5"/>
    <w:rsid w:val="007636EF"/>
    <w:rsid w:val="007729C1"/>
    <w:rsid w:val="0077400E"/>
    <w:rsid w:val="00777A4C"/>
    <w:rsid w:val="00780C1A"/>
    <w:rsid w:val="0078751E"/>
    <w:rsid w:val="00792A77"/>
    <w:rsid w:val="007A236E"/>
    <w:rsid w:val="007A7A95"/>
    <w:rsid w:val="007B1BD0"/>
    <w:rsid w:val="007B2BD5"/>
    <w:rsid w:val="007B6D02"/>
    <w:rsid w:val="007B7C43"/>
    <w:rsid w:val="007C7D13"/>
    <w:rsid w:val="007D400E"/>
    <w:rsid w:val="007E0238"/>
    <w:rsid w:val="007E12BD"/>
    <w:rsid w:val="007E1546"/>
    <w:rsid w:val="007E77AC"/>
    <w:rsid w:val="007E7818"/>
    <w:rsid w:val="007E7849"/>
    <w:rsid w:val="007F119C"/>
    <w:rsid w:val="007F2142"/>
    <w:rsid w:val="007F2583"/>
    <w:rsid w:val="007F71EC"/>
    <w:rsid w:val="00800AD8"/>
    <w:rsid w:val="008052E7"/>
    <w:rsid w:val="0080612E"/>
    <w:rsid w:val="00810259"/>
    <w:rsid w:val="008125E0"/>
    <w:rsid w:val="008127A9"/>
    <w:rsid w:val="00814E43"/>
    <w:rsid w:val="008151CE"/>
    <w:rsid w:val="00820559"/>
    <w:rsid w:val="00820E17"/>
    <w:rsid w:val="00826499"/>
    <w:rsid w:val="00831D1F"/>
    <w:rsid w:val="00842831"/>
    <w:rsid w:val="008467CA"/>
    <w:rsid w:val="00850722"/>
    <w:rsid w:val="008513CF"/>
    <w:rsid w:val="008556B4"/>
    <w:rsid w:val="00856ADD"/>
    <w:rsid w:val="0086078E"/>
    <w:rsid w:val="00861B17"/>
    <w:rsid w:val="0086584D"/>
    <w:rsid w:val="00877DAA"/>
    <w:rsid w:val="00883562"/>
    <w:rsid w:val="00884515"/>
    <w:rsid w:val="00884574"/>
    <w:rsid w:val="008875B6"/>
    <w:rsid w:val="00893237"/>
    <w:rsid w:val="00893EBC"/>
    <w:rsid w:val="008A6F17"/>
    <w:rsid w:val="008C25E5"/>
    <w:rsid w:val="008C2890"/>
    <w:rsid w:val="008C7385"/>
    <w:rsid w:val="008E059E"/>
    <w:rsid w:val="008E16C7"/>
    <w:rsid w:val="008E2544"/>
    <w:rsid w:val="008E654A"/>
    <w:rsid w:val="008F1660"/>
    <w:rsid w:val="008F537A"/>
    <w:rsid w:val="008F5E76"/>
    <w:rsid w:val="00900602"/>
    <w:rsid w:val="00902126"/>
    <w:rsid w:val="00902D49"/>
    <w:rsid w:val="009065A0"/>
    <w:rsid w:val="0090738B"/>
    <w:rsid w:val="00910079"/>
    <w:rsid w:val="00921BA7"/>
    <w:rsid w:val="009266D8"/>
    <w:rsid w:val="009302A1"/>
    <w:rsid w:val="009338F1"/>
    <w:rsid w:val="009340BA"/>
    <w:rsid w:val="00943E53"/>
    <w:rsid w:val="00944CA7"/>
    <w:rsid w:val="00945C38"/>
    <w:rsid w:val="00952702"/>
    <w:rsid w:val="009538A4"/>
    <w:rsid w:val="00965739"/>
    <w:rsid w:val="00970194"/>
    <w:rsid w:val="0097125E"/>
    <w:rsid w:val="00980198"/>
    <w:rsid w:val="00994AA1"/>
    <w:rsid w:val="009A0966"/>
    <w:rsid w:val="009A24E7"/>
    <w:rsid w:val="009A6A13"/>
    <w:rsid w:val="009B26D1"/>
    <w:rsid w:val="009B46D8"/>
    <w:rsid w:val="009B58C0"/>
    <w:rsid w:val="009B5A25"/>
    <w:rsid w:val="009D0C28"/>
    <w:rsid w:val="009D2B0C"/>
    <w:rsid w:val="009D4090"/>
    <w:rsid w:val="009D606C"/>
    <w:rsid w:val="009E0B9A"/>
    <w:rsid w:val="009E0BED"/>
    <w:rsid w:val="009F1EAB"/>
    <w:rsid w:val="009F4544"/>
    <w:rsid w:val="00A0178D"/>
    <w:rsid w:val="00A03E17"/>
    <w:rsid w:val="00A04EBE"/>
    <w:rsid w:val="00A05A29"/>
    <w:rsid w:val="00A1255E"/>
    <w:rsid w:val="00A228AF"/>
    <w:rsid w:val="00A3560D"/>
    <w:rsid w:val="00A4688F"/>
    <w:rsid w:val="00A5367D"/>
    <w:rsid w:val="00A62450"/>
    <w:rsid w:val="00A65101"/>
    <w:rsid w:val="00A70241"/>
    <w:rsid w:val="00A71E7C"/>
    <w:rsid w:val="00A75BE8"/>
    <w:rsid w:val="00A81E29"/>
    <w:rsid w:val="00A84045"/>
    <w:rsid w:val="00A84B1F"/>
    <w:rsid w:val="00A859B2"/>
    <w:rsid w:val="00A91EA6"/>
    <w:rsid w:val="00A92176"/>
    <w:rsid w:val="00A97701"/>
    <w:rsid w:val="00A97B0B"/>
    <w:rsid w:val="00AA6D89"/>
    <w:rsid w:val="00AB1C38"/>
    <w:rsid w:val="00AB2A30"/>
    <w:rsid w:val="00AB6C78"/>
    <w:rsid w:val="00AC42FA"/>
    <w:rsid w:val="00AD0993"/>
    <w:rsid w:val="00AE23FF"/>
    <w:rsid w:val="00AE7E90"/>
    <w:rsid w:val="00AF38CF"/>
    <w:rsid w:val="00AF4464"/>
    <w:rsid w:val="00AF56AC"/>
    <w:rsid w:val="00AF6A77"/>
    <w:rsid w:val="00B008FB"/>
    <w:rsid w:val="00B03CCC"/>
    <w:rsid w:val="00B07357"/>
    <w:rsid w:val="00B0751B"/>
    <w:rsid w:val="00B11EA3"/>
    <w:rsid w:val="00B121EA"/>
    <w:rsid w:val="00B122F7"/>
    <w:rsid w:val="00B125E8"/>
    <w:rsid w:val="00B173BB"/>
    <w:rsid w:val="00B17926"/>
    <w:rsid w:val="00B20EFA"/>
    <w:rsid w:val="00B21B1E"/>
    <w:rsid w:val="00B2450B"/>
    <w:rsid w:val="00B35BDB"/>
    <w:rsid w:val="00B37BBC"/>
    <w:rsid w:val="00B4051B"/>
    <w:rsid w:val="00B4446B"/>
    <w:rsid w:val="00B512B0"/>
    <w:rsid w:val="00B55E20"/>
    <w:rsid w:val="00B62A04"/>
    <w:rsid w:val="00B648A1"/>
    <w:rsid w:val="00B6499F"/>
    <w:rsid w:val="00B663C7"/>
    <w:rsid w:val="00B66BEB"/>
    <w:rsid w:val="00B7463D"/>
    <w:rsid w:val="00B7469B"/>
    <w:rsid w:val="00B77A22"/>
    <w:rsid w:val="00B81088"/>
    <w:rsid w:val="00B824BC"/>
    <w:rsid w:val="00B924BD"/>
    <w:rsid w:val="00B97121"/>
    <w:rsid w:val="00BA1A26"/>
    <w:rsid w:val="00BA46A0"/>
    <w:rsid w:val="00BA6ABE"/>
    <w:rsid w:val="00BB3675"/>
    <w:rsid w:val="00BB7A79"/>
    <w:rsid w:val="00BC57A9"/>
    <w:rsid w:val="00BD01ED"/>
    <w:rsid w:val="00BD1442"/>
    <w:rsid w:val="00BD7541"/>
    <w:rsid w:val="00BE49F0"/>
    <w:rsid w:val="00BF3942"/>
    <w:rsid w:val="00C055C0"/>
    <w:rsid w:val="00C05BBF"/>
    <w:rsid w:val="00C0606D"/>
    <w:rsid w:val="00C16707"/>
    <w:rsid w:val="00C20415"/>
    <w:rsid w:val="00C23656"/>
    <w:rsid w:val="00C26989"/>
    <w:rsid w:val="00C26F3F"/>
    <w:rsid w:val="00C30499"/>
    <w:rsid w:val="00C30777"/>
    <w:rsid w:val="00C31272"/>
    <w:rsid w:val="00C37B91"/>
    <w:rsid w:val="00C40323"/>
    <w:rsid w:val="00C4263F"/>
    <w:rsid w:val="00C452B2"/>
    <w:rsid w:val="00C60421"/>
    <w:rsid w:val="00C64FE9"/>
    <w:rsid w:val="00C6524E"/>
    <w:rsid w:val="00C673E9"/>
    <w:rsid w:val="00C721F7"/>
    <w:rsid w:val="00C87511"/>
    <w:rsid w:val="00C92FD8"/>
    <w:rsid w:val="00C93E4B"/>
    <w:rsid w:val="00C947AB"/>
    <w:rsid w:val="00C97DE9"/>
    <w:rsid w:val="00CA3345"/>
    <w:rsid w:val="00CA73E0"/>
    <w:rsid w:val="00CB07F2"/>
    <w:rsid w:val="00CB381E"/>
    <w:rsid w:val="00CB3D10"/>
    <w:rsid w:val="00CB70CD"/>
    <w:rsid w:val="00CD13D6"/>
    <w:rsid w:val="00CD1C5A"/>
    <w:rsid w:val="00CE2D98"/>
    <w:rsid w:val="00CE3CAF"/>
    <w:rsid w:val="00D0054A"/>
    <w:rsid w:val="00D142DA"/>
    <w:rsid w:val="00D1628B"/>
    <w:rsid w:val="00D233F6"/>
    <w:rsid w:val="00D4681E"/>
    <w:rsid w:val="00D468CA"/>
    <w:rsid w:val="00D524BA"/>
    <w:rsid w:val="00D53087"/>
    <w:rsid w:val="00D63ED8"/>
    <w:rsid w:val="00D67720"/>
    <w:rsid w:val="00D73EC1"/>
    <w:rsid w:val="00D768CB"/>
    <w:rsid w:val="00D80DC7"/>
    <w:rsid w:val="00D83D4C"/>
    <w:rsid w:val="00D87CAD"/>
    <w:rsid w:val="00D91ACD"/>
    <w:rsid w:val="00D91E07"/>
    <w:rsid w:val="00D97D18"/>
    <w:rsid w:val="00DA0060"/>
    <w:rsid w:val="00DA7BED"/>
    <w:rsid w:val="00DB3C49"/>
    <w:rsid w:val="00DB471D"/>
    <w:rsid w:val="00DB764B"/>
    <w:rsid w:val="00DC2C5F"/>
    <w:rsid w:val="00DC4301"/>
    <w:rsid w:val="00DC7AB7"/>
    <w:rsid w:val="00DD1A59"/>
    <w:rsid w:val="00DD33A7"/>
    <w:rsid w:val="00DD40D2"/>
    <w:rsid w:val="00DD44CF"/>
    <w:rsid w:val="00DD6B2A"/>
    <w:rsid w:val="00DE0347"/>
    <w:rsid w:val="00DE29FB"/>
    <w:rsid w:val="00DE36CA"/>
    <w:rsid w:val="00DE7CE2"/>
    <w:rsid w:val="00DF1AFE"/>
    <w:rsid w:val="00DF72CB"/>
    <w:rsid w:val="00E059A9"/>
    <w:rsid w:val="00E1595D"/>
    <w:rsid w:val="00E21D7D"/>
    <w:rsid w:val="00E27500"/>
    <w:rsid w:val="00E350B5"/>
    <w:rsid w:val="00E37CC7"/>
    <w:rsid w:val="00E412AD"/>
    <w:rsid w:val="00E43FBD"/>
    <w:rsid w:val="00E47F15"/>
    <w:rsid w:val="00E66666"/>
    <w:rsid w:val="00E6790F"/>
    <w:rsid w:val="00E706DE"/>
    <w:rsid w:val="00E7196C"/>
    <w:rsid w:val="00E85050"/>
    <w:rsid w:val="00E873CB"/>
    <w:rsid w:val="00E90E5F"/>
    <w:rsid w:val="00E940EB"/>
    <w:rsid w:val="00E9513F"/>
    <w:rsid w:val="00E96C05"/>
    <w:rsid w:val="00EA016E"/>
    <w:rsid w:val="00EA0674"/>
    <w:rsid w:val="00EA6710"/>
    <w:rsid w:val="00EB1E28"/>
    <w:rsid w:val="00EB487A"/>
    <w:rsid w:val="00ED706F"/>
    <w:rsid w:val="00EE675B"/>
    <w:rsid w:val="00F03AB4"/>
    <w:rsid w:val="00F165DE"/>
    <w:rsid w:val="00F22901"/>
    <w:rsid w:val="00F26B59"/>
    <w:rsid w:val="00F3621C"/>
    <w:rsid w:val="00F37126"/>
    <w:rsid w:val="00F37F64"/>
    <w:rsid w:val="00F430CD"/>
    <w:rsid w:val="00F47E96"/>
    <w:rsid w:val="00F60635"/>
    <w:rsid w:val="00F617E1"/>
    <w:rsid w:val="00F702E8"/>
    <w:rsid w:val="00F71C90"/>
    <w:rsid w:val="00F74825"/>
    <w:rsid w:val="00F769DD"/>
    <w:rsid w:val="00F84CBB"/>
    <w:rsid w:val="00F878C1"/>
    <w:rsid w:val="00F92B0E"/>
    <w:rsid w:val="00F93087"/>
    <w:rsid w:val="00FA5E4D"/>
    <w:rsid w:val="00FC0B89"/>
    <w:rsid w:val="00FC6AEB"/>
    <w:rsid w:val="00FD3CCB"/>
    <w:rsid w:val="00FE1817"/>
    <w:rsid w:val="00FE1A57"/>
    <w:rsid w:val="00FE2613"/>
    <w:rsid w:val="00FF5E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0DC59"/>
  <w15:docId w15:val="{D244D59B-B0E4-412B-84E1-DDC68C95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13"/>
    <w:pPr>
      <w:spacing w:after="0" w:line="240" w:lineRule="auto"/>
    </w:pPr>
    <w:rPr>
      <w:sz w:val="24"/>
      <w:szCs w:val="24"/>
      <w:lang w:eastAsia="en-US"/>
    </w:rPr>
  </w:style>
  <w:style w:type="paragraph" w:styleId="Heading1">
    <w:name w:val="heading 1"/>
    <w:basedOn w:val="Normal"/>
    <w:next w:val="Normal"/>
    <w:link w:val="Heading1Char"/>
    <w:uiPriority w:val="9"/>
    <w:qFormat/>
    <w:rsid w:val="00B17926"/>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4DC"/>
    <w:rPr>
      <w:rFonts w:ascii="Tahoma" w:hAnsi="Tahoma" w:cs="Tahoma"/>
      <w:sz w:val="16"/>
      <w:szCs w:val="16"/>
    </w:rPr>
  </w:style>
  <w:style w:type="character" w:customStyle="1" w:styleId="BalloonTextChar">
    <w:name w:val="Balloon Text Char"/>
    <w:basedOn w:val="DefaultParagraphFont"/>
    <w:link w:val="BalloonText"/>
    <w:uiPriority w:val="99"/>
    <w:semiHidden/>
    <w:rsid w:val="005544DC"/>
    <w:rPr>
      <w:rFonts w:ascii="Tahoma" w:hAnsi="Tahoma" w:cs="Tahoma"/>
      <w:sz w:val="16"/>
      <w:szCs w:val="16"/>
      <w:lang w:eastAsia="en-US"/>
    </w:rPr>
  </w:style>
  <w:style w:type="character" w:styleId="CommentReference">
    <w:name w:val="annotation reference"/>
    <w:basedOn w:val="DefaultParagraphFont"/>
    <w:uiPriority w:val="99"/>
    <w:semiHidden/>
    <w:unhideWhenUsed/>
    <w:rsid w:val="00944CA7"/>
    <w:rPr>
      <w:sz w:val="16"/>
      <w:szCs w:val="16"/>
    </w:rPr>
  </w:style>
  <w:style w:type="paragraph" w:styleId="CommentText">
    <w:name w:val="annotation text"/>
    <w:basedOn w:val="Normal"/>
    <w:link w:val="CommentTextChar"/>
    <w:uiPriority w:val="99"/>
    <w:semiHidden/>
    <w:unhideWhenUsed/>
    <w:rsid w:val="00944CA7"/>
    <w:rPr>
      <w:sz w:val="20"/>
      <w:szCs w:val="20"/>
    </w:rPr>
  </w:style>
  <w:style w:type="character" w:customStyle="1" w:styleId="CommentTextChar">
    <w:name w:val="Comment Text Char"/>
    <w:basedOn w:val="DefaultParagraphFont"/>
    <w:link w:val="CommentText"/>
    <w:uiPriority w:val="99"/>
    <w:semiHidden/>
    <w:rsid w:val="00944CA7"/>
    <w:rPr>
      <w:sz w:val="20"/>
      <w:szCs w:val="20"/>
      <w:lang w:eastAsia="en-US"/>
    </w:rPr>
  </w:style>
  <w:style w:type="paragraph" w:styleId="CommentSubject">
    <w:name w:val="annotation subject"/>
    <w:basedOn w:val="CommentText"/>
    <w:next w:val="CommentText"/>
    <w:link w:val="CommentSubjectChar"/>
    <w:uiPriority w:val="99"/>
    <w:semiHidden/>
    <w:unhideWhenUsed/>
    <w:rsid w:val="00944CA7"/>
    <w:rPr>
      <w:b/>
      <w:bCs/>
    </w:rPr>
  </w:style>
  <w:style w:type="character" w:customStyle="1" w:styleId="CommentSubjectChar">
    <w:name w:val="Comment Subject Char"/>
    <w:basedOn w:val="CommentTextChar"/>
    <w:link w:val="CommentSubject"/>
    <w:uiPriority w:val="99"/>
    <w:semiHidden/>
    <w:rsid w:val="00944CA7"/>
    <w:rPr>
      <w:b/>
      <w:bCs/>
      <w:sz w:val="20"/>
      <w:szCs w:val="20"/>
      <w:lang w:eastAsia="en-US"/>
    </w:rPr>
  </w:style>
  <w:style w:type="character" w:customStyle="1" w:styleId="apple-converted-space">
    <w:name w:val="apple-converted-space"/>
    <w:basedOn w:val="DefaultParagraphFont"/>
    <w:rsid w:val="009340BA"/>
  </w:style>
  <w:style w:type="character" w:styleId="Hyperlink">
    <w:name w:val="Hyperlink"/>
    <w:basedOn w:val="DefaultParagraphFont"/>
    <w:uiPriority w:val="99"/>
    <w:unhideWhenUsed/>
    <w:rsid w:val="009340BA"/>
    <w:rPr>
      <w:color w:val="0000FF"/>
      <w:u w:val="single"/>
    </w:rPr>
  </w:style>
  <w:style w:type="paragraph" w:styleId="NormalWeb">
    <w:name w:val="Normal (Web)"/>
    <w:basedOn w:val="Normal"/>
    <w:uiPriority w:val="99"/>
    <w:unhideWhenUsed/>
    <w:rsid w:val="0022487B"/>
    <w:pPr>
      <w:spacing w:before="100" w:beforeAutospacing="1" w:after="100" w:afterAutospacing="1"/>
    </w:pPr>
    <w:rPr>
      <w:rFonts w:ascii="Times" w:hAnsi="Times" w:cs="Times New Roman"/>
      <w:sz w:val="20"/>
      <w:szCs w:val="20"/>
    </w:rPr>
  </w:style>
  <w:style w:type="paragraph" w:customStyle="1" w:styleId="EndNoteBibliography">
    <w:name w:val="EndNote Bibliography"/>
    <w:basedOn w:val="Normal"/>
    <w:link w:val="EndNoteBibliographyChar"/>
    <w:rsid w:val="006A550B"/>
    <w:pPr>
      <w:spacing w:after="160"/>
    </w:pPr>
    <w:rPr>
      <w:rFonts w:ascii="Times" w:hAnsi="Times" w:cs="Times"/>
      <w:noProof/>
      <w:sz w:val="20"/>
      <w:szCs w:val="22"/>
      <w:lang w:eastAsia="zh-CN"/>
    </w:rPr>
  </w:style>
  <w:style w:type="character" w:customStyle="1" w:styleId="EndNoteBibliographyChar">
    <w:name w:val="EndNote Bibliography Char"/>
    <w:basedOn w:val="DefaultParagraphFont"/>
    <w:link w:val="EndNoteBibliography"/>
    <w:rsid w:val="006A550B"/>
    <w:rPr>
      <w:rFonts w:ascii="Times" w:hAnsi="Times" w:cs="Times"/>
      <w:noProof/>
      <w:sz w:val="20"/>
    </w:rPr>
  </w:style>
  <w:style w:type="paragraph" w:styleId="ListParagraph">
    <w:name w:val="List Paragraph"/>
    <w:basedOn w:val="Normal"/>
    <w:uiPriority w:val="34"/>
    <w:qFormat/>
    <w:rsid w:val="00F84CBB"/>
    <w:pPr>
      <w:ind w:left="720"/>
      <w:contextualSpacing/>
    </w:pPr>
  </w:style>
  <w:style w:type="paragraph" w:styleId="Header">
    <w:name w:val="header"/>
    <w:basedOn w:val="Normal"/>
    <w:link w:val="HeaderChar"/>
    <w:uiPriority w:val="99"/>
    <w:unhideWhenUsed/>
    <w:rsid w:val="00C64FE9"/>
    <w:pPr>
      <w:tabs>
        <w:tab w:val="center" w:pos="4513"/>
        <w:tab w:val="right" w:pos="9026"/>
      </w:tabs>
    </w:pPr>
  </w:style>
  <w:style w:type="character" w:customStyle="1" w:styleId="HeaderChar">
    <w:name w:val="Header Char"/>
    <w:basedOn w:val="DefaultParagraphFont"/>
    <w:link w:val="Header"/>
    <w:uiPriority w:val="99"/>
    <w:rsid w:val="00C64FE9"/>
    <w:rPr>
      <w:sz w:val="24"/>
      <w:szCs w:val="24"/>
      <w:lang w:eastAsia="en-US"/>
    </w:rPr>
  </w:style>
  <w:style w:type="paragraph" w:styleId="Footer">
    <w:name w:val="footer"/>
    <w:basedOn w:val="Normal"/>
    <w:link w:val="FooterChar"/>
    <w:uiPriority w:val="99"/>
    <w:unhideWhenUsed/>
    <w:rsid w:val="00C64FE9"/>
    <w:pPr>
      <w:tabs>
        <w:tab w:val="center" w:pos="4513"/>
        <w:tab w:val="right" w:pos="9026"/>
      </w:tabs>
    </w:pPr>
  </w:style>
  <w:style w:type="character" w:customStyle="1" w:styleId="FooterChar">
    <w:name w:val="Footer Char"/>
    <w:basedOn w:val="DefaultParagraphFont"/>
    <w:link w:val="Footer"/>
    <w:uiPriority w:val="99"/>
    <w:rsid w:val="00C64FE9"/>
    <w:rPr>
      <w:sz w:val="24"/>
      <w:szCs w:val="24"/>
      <w:lang w:eastAsia="en-US"/>
    </w:rPr>
  </w:style>
  <w:style w:type="character" w:styleId="FollowedHyperlink">
    <w:name w:val="FollowedHyperlink"/>
    <w:basedOn w:val="DefaultParagraphFont"/>
    <w:uiPriority w:val="99"/>
    <w:semiHidden/>
    <w:unhideWhenUsed/>
    <w:rsid w:val="00884515"/>
    <w:rPr>
      <w:color w:val="800080" w:themeColor="followedHyperlink"/>
      <w:u w:val="single"/>
    </w:rPr>
  </w:style>
  <w:style w:type="table" w:styleId="TableGrid">
    <w:name w:val="Table Grid"/>
    <w:basedOn w:val="TableNormal"/>
    <w:uiPriority w:val="59"/>
    <w:rsid w:val="007B7C43"/>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4FFF"/>
    <w:rPr>
      <w:sz w:val="20"/>
      <w:szCs w:val="20"/>
    </w:rPr>
  </w:style>
  <w:style w:type="character" w:customStyle="1" w:styleId="FootnoteTextChar">
    <w:name w:val="Footnote Text Char"/>
    <w:basedOn w:val="DefaultParagraphFont"/>
    <w:link w:val="FootnoteText"/>
    <w:uiPriority w:val="99"/>
    <w:semiHidden/>
    <w:rsid w:val="00264FFF"/>
    <w:rPr>
      <w:sz w:val="20"/>
      <w:szCs w:val="20"/>
      <w:lang w:eastAsia="en-US"/>
    </w:rPr>
  </w:style>
  <w:style w:type="character" w:styleId="FootnoteReference">
    <w:name w:val="footnote reference"/>
    <w:basedOn w:val="DefaultParagraphFont"/>
    <w:uiPriority w:val="99"/>
    <w:semiHidden/>
    <w:unhideWhenUsed/>
    <w:rsid w:val="00264FFF"/>
    <w:rPr>
      <w:vertAlign w:val="superscript"/>
    </w:rPr>
  </w:style>
  <w:style w:type="character" w:customStyle="1" w:styleId="Heading1Char">
    <w:name w:val="Heading 1 Char"/>
    <w:basedOn w:val="DefaultParagraphFont"/>
    <w:link w:val="Heading1"/>
    <w:uiPriority w:val="9"/>
    <w:rsid w:val="00B17926"/>
    <w:rPr>
      <w:rFonts w:asciiTheme="majorHAnsi" w:eastAsiaTheme="majorEastAsia" w:hAnsiTheme="majorHAnsi" w:cstheme="majorBidi"/>
      <w:color w:val="365F91" w:themeColor="accent1" w:themeShade="BF"/>
      <w:sz w:val="32"/>
      <w:szCs w:val="32"/>
    </w:rPr>
  </w:style>
  <w:style w:type="table" w:customStyle="1" w:styleId="GridTable1Light1">
    <w:name w:val="Grid Table 1 Light1"/>
    <w:basedOn w:val="TableNormal"/>
    <w:uiPriority w:val="46"/>
    <w:rsid w:val="00B17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B179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ndNoteBibliographyTitle">
    <w:name w:val="EndNote Bibliography Title"/>
    <w:basedOn w:val="Normal"/>
    <w:link w:val="EndNoteBibliographyTitleChar"/>
    <w:rsid w:val="009302A1"/>
    <w:pPr>
      <w:jc w:val="center"/>
    </w:pPr>
    <w:rPr>
      <w:rFonts w:ascii="Times" w:hAnsi="Times" w:cs="Times"/>
      <w:noProof/>
      <w:sz w:val="20"/>
      <w:lang w:val="en-US"/>
    </w:rPr>
  </w:style>
  <w:style w:type="character" w:customStyle="1" w:styleId="EndNoteBibliographyTitleChar">
    <w:name w:val="EndNote Bibliography Title Char"/>
    <w:basedOn w:val="DefaultParagraphFont"/>
    <w:link w:val="EndNoteBibliographyTitle"/>
    <w:rsid w:val="009302A1"/>
    <w:rPr>
      <w:rFonts w:ascii="Times" w:hAnsi="Times" w:cs="Times"/>
      <w:noProof/>
      <w:sz w:val="20"/>
      <w:szCs w:val="24"/>
      <w:lang w:val="en-US" w:eastAsia="en-US"/>
    </w:rPr>
  </w:style>
  <w:style w:type="paragraph" w:styleId="Revision">
    <w:name w:val="Revision"/>
    <w:hidden/>
    <w:uiPriority w:val="99"/>
    <w:semiHidden/>
    <w:rsid w:val="00366738"/>
    <w:pPr>
      <w:spacing w:after="0" w:line="240" w:lineRule="auto"/>
    </w:pPr>
    <w:rPr>
      <w:sz w:val="24"/>
      <w:szCs w:val="24"/>
      <w:lang w:eastAsia="en-US"/>
    </w:rPr>
  </w:style>
  <w:style w:type="character" w:styleId="EndnoteReference">
    <w:name w:val="endnote reference"/>
    <w:basedOn w:val="DefaultParagraphFont"/>
    <w:uiPriority w:val="99"/>
    <w:semiHidden/>
    <w:unhideWhenUsed/>
    <w:rsid w:val="00A536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3911">
      <w:bodyDiv w:val="1"/>
      <w:marLeft w:val="0"/>
      <w:marRight w:val="0"/>
      <w:marTop w:val="0"/>
      <w:marBottom w:val="0"/>
      <w:divBdr>
        <w:top w:val="none" w:sz="0" w:space="0" w:color="auto"/>
        <w:left w:val="none" w:sz="0" w:space="0" w:color="auto"/>
        <w:bottom w:val="none" w:sz="0" w:space="0" w:color="auto"/>
        <w:right w:val="none" w:sz="0" w:space="0" w:color="auto"/>
      </w:divBdr>
      <w:divsChild>
        <w:div w:id="1813978409">
          <w:marLeft w:val="0"/>
          <w:marRight w:val="0"/>
          <w:marTop w:val="0"/>
          <w:marBottom w:val="0"/>
          <w:divBdr>
            <w:top w:val="none" w:sz="0" w:space="0" w:color="auto"/>
            <w:left w:val="none" w:sz="0" w:space="0" w:color="auto"/>
            <w:bottom w:val="none" w:sz="0" w:space="0" w:color="auto"/>
            <w:right w:val="none" w:sz="0" w:space="0" w:color="auto"/>
          </w:divBdr>
          <w:divsChild>
            <w:div w:id="1823348953">
              <w:marLeft w:val="0"/>
              <w:marRight w:val="0"/>
              <w:marTop w:val="0"/>
              <w:marBottom w:val="0"/>
              <w:divBdr>
                <w:top w:val="none" w:sz="0" w:space="0" w:color="auto"/>
                <w:left w:val="none" w:sz="0" w:space="0" w:color="auto"/>
                <w:bottom w:val="none" w:sz="0" w:space="0" w:color="auto"/>
                <w:right w:val="none" w:sz="0" w:space="0" w:color="auto"/>
              </w:divBdr>
              <w:divsChild>
                <w:div w:id="761100626">
                  <w:marLeft w:val="0"/>
                  <w:marRight w:val="0"/>
                  <w:marTop w:val="0"/>
                  <w:marBottom w:val="0"/>
                  <w:divBdr>
                    <w:top w:val="none" w:sz="0" w:space="0" w:color="auto"/>
                    <w:left w:val="none" w:sz="0" w:space="0" w:color="auto"/>
                    <w:bottom w:val="none" w:sz="0" w:space="0" w:color="auto"/>
                    <w:right w:val="none" w:sz="0" w:space="0" w:color="auto"/>
                  </w:divBdr>
                  <w:divsChild>
                    <w:div w:id="972948634">
                      <w:marLeft w:val="0"/>
                      <w:marRight w:val="0"/>
                      <w:marTop w:val="0"/>
                      <w:marBottom w:val="0"/>
                      <w:divBdr>
                        <w:top w:val="none" w:sz="0" w:space="0" w:color="auto"/>
                        <w:left w:val="none" w:sz="0" w:space="0" w:color="auto"/>
                        <w:bottom w:val="none" w:sz="0" w:space="0" w:color="auto"/>
                        <w:right w:val="none" w:sz="0" w:space="0" w:color="auto"/>
                      </w:divBdr>
                      <w:divsChild>
                        <w:div w:id="2003268031">
                          <w:marLeft w:val="0"/>
                          <w:marRight w:val="0"/>
                          <w:marTop w:val="0"/>
                          <w:marBottom w:val="0"/>
                          <w:divBdr>
                            <w:top w:val="none" w:sz="0" w:space="0" w:color="auto"/>
                            <w:left w:val="none" w:sz="0" w:space="0" w:color="auto"/>
                            <w:bottom w:val="none" w:sz="0" w:space="0" w:color="auto"/>
                            <w:right w:val="none" w:sz="0" w:space="0" w:color="auto"/>
                          </w:divBdr>
                          <w:divsChild>
                            <w:div w:id="678388859">
                              <w:marLeft w:val="0"/>
                              <w:marRight w:val="0"/>
                              <w:marTop w:val="0"/>
                              <w:marBottom w:val="0"/>
                              <w:divBdr>
                                <w:top w:val="none" w:sz="0" w:space="0" w:color="auto"/>
                                <w:left w:val="none" w:sz="0" w:space="0" w:color="auto"/>
                                <w:bottom w:val="none" w:sz="0" w:space="0" w:color="auto"/>
                                <w:right w:val="none" w:sz="0" w:space="0" w:color="auto"/>
                              </w:divBdr>
                              <w:divsChild>
                                <w:div w:id="307706515">
                                  <w:marLeft w:val="0"/>
                                  <w:marRight w:val="0"/>
                                  <w:marTop w:val="0"/>
                                  <w:marBottom w:val="0"/>
                                  <w:divBdr>
                                    <w:top w:val="none" w:sz="0" w:space="0" w:color="auto"/>
                                    <w:left w:val="none" w:sz="0" w:space="0" w:color="auto"/>
                                    <w:bottom w:val="none" w:sz="0" w:space="0" w:color="auto"/>
                                    <w:right w:val="none" w:sz="0" w:space="0" w:color="auto"/>
                                  </w:divBdr>
                                  <w:divsChild>
                                    <w:div w:id="3478556">
                                      <w:marLeft w:val="0"/>
                                      <w:marRight w:val="0"/>
                                      <w:marTop w:val="0"/>
                                      <w:marBottom w:val="0"/>
                                      <w:divBdr>
                                        <w:top w:val="none" w:sz="0" w:space="0" w:color="auto"/>
                                        <w:left w:val="none" w:sz="0" w:space="0" w:color="auto"/>
                                        <w:bottom w:val="none" w:sz="0" w:space="0" w:color="auto"/>
                                        <w:right w:val="none" w:sz="0" w:space="0" w:color="auto"/>
                                      </w:divBdr>
                                      <w:divsChild>
                                        <w:div w:id="1407649604">
                                          <w:marLeft w:val="0"/>
                                          <w:marRight w:val="0"/>
                                          <w:marTop w:val="0"/>
                                          <w:marBottom w:val="0"/>
                                          <w:divBdr>
                                            <w:top w:val="none" w:sz="0" w:space="0" w:color="auto"/>
                                            <w:left w:val="none" w:sz="0" w:space="0" w:color="auto"/>
                                            <w:bottom w:val="none" w:sz="0" w:space="0" w:color="auto"/>
                                            <w:right w:val="none" w:sz="0" w:space="0" w:color="auto"/>
                                          </w:divBdr>
                                          <w:divsChild>
                                            <w:div w:id="114371613">
                                              <w:marLeft w:val="0"/>
                                              <w:marRight w:val="0"/>
                                              <w:marTop w:val="0"/>
                                              <w:marBottom w:val="0"/>
                                              <w:divBdr>
                                                <w:top w:val="none" w:sz="0" w:space="0" w:color="auto"/>
                                                <w:left w:val="none" w:sz="0" w:space="0" w:color="auto"/>
                                                <w:bottom w:val="none" w:sz="0" w:space="0" w:color="auto"/>
                                                <w:right w:val="none" w:sz="0" w:space="0" w:color="auto"/>
                                              </w:divBdr>
                                              <w:divsChild>
                                                <w:div w:id="1798796712">
                                                  <w:marLeft w:val="0"/>
                                                  <w:marRight w:val="0"/>
                                                  <w:marTop w:val="0"/>
                                                  <w:marBottom w:val="0"/>
                                                  <w:divBdr>
                                                    <w:top w:val="none" w:sz="0" w:space="0" w:color="auto"/>
                                                    <w:left w:val="none" w:sz="0" w:space="0" w:color="auto"/>
                                                    <w:bottom w:val="none" w:sz="0" w:space="0" w:color="auto"/>
                                                    <w:right w:val="none" w:sz="0" w:space="0" w:color="auto"/>
                                                  </w:divBdr>
                                                  <w:divsChild>
                                                    <w:div w:id="1831751979">
                                                      <w:marLeft w:val="0"/>
                                                      <w:marRight w:val="0"/>
                                                      <w:marTop w:val="0"/>
                                                      <w:marBottom w:val="0"/>
                                                      <w:divBdr>
                                                        <w:top w:val="none" w:sz="0" w:space="0" w:color="auto"/>
                                                        <w:left w:val="none" w:sz="0" w:space="0" w:color="auto"/>
                                                        <w:bottom w:val="none" w:sz="0" w:space="0" w:color="auto"/>
                                                        <w:right w:val="none" w:sz="0" w:space="0" w:color="auto"/>
                                                      </w:divBdr>
                                                      <w:divsChild>
                                                        <w:div w:id="912662514">
                                                          <w:marLeft w:val="0"/>
                                                          <w:marRight w:val="0"/>
                                                          <w:marTop w:val="0"/>
                                                          <w:marBottom w:val="0"/>
                                                          <w:divBdr>
                                                            <w:top w:val="none" w:sz="0" w:space="0" w:color="auto"/>
                                                            <w:left w:val="none" w:sz="0" w:space="0" w:color="auto"/>
                                                            <w:bottom w:val="none" w:sz="0" w:space="0" w:color="auto"/>
                                                            <w:right w:val="none" w:sz="0" w:space="0" w:color="auto"/>
                                                          </w:divBdr>
                                                          <w:divsChild>
                                                            <w:div w:id="1162815564">
                                                              <w:marLeft w:val="0"/>
                                                              <w:marRight w:val="0"/>
                                                              <w:marTop w:val="0"/>
                                                              <w:marBottom w:val="0"/>
                                                              <w:divBdr>
                                                                <w:top w:val="none" w:sz="0" w:space="0" w:color="auto"/>
                                                                <w:left w:val="none" w:sz="0" w:space="0" w:color="auto"/>
                                                                <w:bottom w:val="none" w:sz="0" w:space="0" w:color="auto"/>
                                                                <w:right w:val="none" w:sz="0" w:space="0" w:color="auto"/>
                                                              </w:divBdr>
                                                              <w:divsChild>
                                                                <w:div w:id="882983158">
                                                                  <w:marLeft w:val="0"/>
                                                                  <w:marRight w:val="0"/>
                                                                  <w:marTop w:val="0"/>
                                                                  <w:marBottom w:val="0"/>
                                                                  <w:divBdr>
                                                                    <w:top w:val="none" w:sz="0" w:space="0" w:color="auto"/>
                                                                    <w:left w:val="none" w:sz="0" w:space="0" w:color="auto"/>
                                                                    <w:bottom w:val="none" w:sz="0" w:space="0" w:color="auto"/>
                                                                    <w:right w:val="none" w:sz="0" w:space="0" w:color="auto"/>
                                                                  </w:divBdr>
                                                                  <w:divsChild>
                                                                    <w:div w:id="1404137751">
                                                                      <w:marLeft w:val="0"/>
                                                                      <w:marRight w:val="0"/>
                                                                      <w:marTop w:val="0"/>
                                                                      <w:marBottom w:val="0"/>
                                                                      <w:divBdr>
                                                                        <w:top w:val="none" w:sz="0" w:space="0" w:color="auto"/>
                                                                        <w:left w:val="none" w:sz="0" w:space="0" w:color="auto"/>
                                                                        <w:bottom w:val="none" w:sz="0" w:space="0" w:color="auto"/>
                                                                        <w:right w:val="none" w:sz="0" w:space="0" w:color="auto"/>
                                                                      </w:divBdr>
                                                                      <w:divsChild>
                                                                        <w:div w:id="1770389611">
                                                                          <w:marLeft w:val="0"/>
                                                                          <w:marRight w:val="0"/>
                                                                          <w:marTop w:val="0"/>
                                                                          <w:marBottom w:val="0"/>
                                                                          <w:divBdr>
                                                                            <w:top w:val="none" w:sz="0" w:space="0" w:color="auto"/>
                                                                            <w:left w:val="none" w:sz="0" w:space="0" w:color="auto"/>
                                                                            <w:bottom w:val="none" w:sz="0" w:space="0" w:color="auto"/>
                                                                            <w:right w:val="none" w:sz="0" w:space="0" w:color="auto"/>
                                                                          </w:divBdr>
                                                                          <w:divsChild>
                                                                            <w:div w:id="1118372097">
                                                                              <w:marLeft w:val="0"/>
                                                                              <w:marRight w:val="0"/>
                                                                              <w:marTop w:val="0"/>
                                                                              <w:marBottom w:val="0"/>
                                                                              <w:divBdr>
                                                                                <w:top w:val="none" w:sz="0" w:space="0" w:color="auto"/>
                                                                                <w:left w:val="none" w:sz="0" w:space="0" w:color="auto"/>
                                                                                <w:bottom w:val="none" w:sz="0" w:space="0" w:color="auto"/>
                                                                                <w:right w:val="none" w:sz="0" w:space="0" w:color="auto"/>
                                                                              </w:divBdr>
                                                                              <w:divsChild>
                                                                                <w:div w:id="1026373919">
                                                                                  <w:marLeft w:val="0"/>
                                                                                  <w:marRight w:val="0"/>
                                                                                  <w:marTop w:val="0"/>
                                                                                  <w:marBottom w:val="0"/>
                                                                                  <w:divBdr>
                                                                                    <w:top w:val="none" w:sz="0" w:space="0" w:color="auto"/>
                                                                                    <w:left w:val="none" w:sz="0" w:space="0" w:color="auto"/>
                                                                                    <w:bottom w:val="none" w:sz="0" w:space="0" w:color="auto"/>
                                                                                    <w:right w:val="none" w:sz="0" w:space="0" w:color="auto"/>
                                                                                  </w:divBdr>
                                                                                  <w:divsChild>
                                                                                    <w:div w:id="1180192472">
                                                                                      <w:marLeft w:val="0"/>
                                                                                      <w:marRight w:val="0"/>
                                                                                      <w:marTop w:val="0"/>
                                                                                      <w:marBottom w:val="0"/>
                                                                                      <w:divBdr>
                                                                                        <w:top w:val="none" w:sz="0" w:space="0" w:color="auto"/>
                                                                                        <w:left w:val="none" w:sz="0" w:space="0" w:color="auto"/>
                                                                                        <w:bottom w:val="none" w:sz="0" w:space="0" w:color="auto"/>
                                                                                        <w:right w:val="none" w:sz="0" w:space="0" w:color="auto"/>
                                                                                      </w:divBdr>
                                                                                      <w:divsChild>
                                                                                        <w:div w:id="73481804">
                                                                                          <w:marLeft w:val="0"/>
                                                                                          <w:marRight w:val="0"/>
                                                                                          <w:marTop w:val="0"/>
                                                                                          <w:marBottom w:val="0"/>
                                                                                          <w:divBdr>
                                                                                            <w:top w:val="none" w:sz="0" w:space="0" w:color="auto"/>
                                                                                            <w:left w:val="none" w:sz="0" w:space="0" w:color="auto"/>
                                                                                            <w:bottom w:val="none" w:sz="0" w:space="0" w:color="auto"/>
                                                                                            <w:right w:val="none" w:sz="0" w:space="0" w:color="auto"/>
                                                                                          </w:divBdr>
                                                                                          <w:divsChild>
                                                                                            <w:div w:id="702944463">
                                                                                              <w:marLeft w:val="0"/>
                                                                                              <w:marRight w:val="0"/>
                                                                                              <w:marTop w:val="0"/>
                                                                                              <w:marBottom w:val="0"/>
                                                                                              <w:divBdr>
                                                                                                <w:top w:val="none" w:sz="0" w:space="0" w:color="auto"/>
                                                                                                <w:left w:val="none" w:sz="0" w:space="0" w:color="auto"/>
                                                                                                <w:bottom w:val="none" w:sz="0" w:space="0" w:color="auto"/>
                                                                                                <w:right w:val="none" w:sz="0" w:space="0" w:color="auto"/>
                                                                                              </w:divBdr>
                                                                                              <w:divsChild>
                                                                                                <w:div w:id="62415275">
                                                                                                  <w:marLeft w:val="0"/>
                                                                                                  <w:marRight w:val="0"/>
                                                                                                  <w:marTop w:val="0"/>
                                                                                                  <w:marBottom w:val="0"/>
                                                                                                  <w:divBdr>
                                                                                                    <w:top w:val="none" w:sz="0" w:space="0" w:color="auto"/>
                                                                                                    <w:left w:val="none" w:sz="0" w:space="0" w:color="auto"/>
                                                                                                    <w:bottom w:val="none" w:sz="0" w:space="0" w:color="auto"/>
                                                                                                    <w:right w:val="none" w:sz="0" w:space="0" w:color="auto"/>
                                                                                                  </w:divBdr>
                                                                                                  <w:divsChild>
                                                                                                    <w:div w:id="1056244503">
                                                                                                      <w:marLeft w:val="0"/>
                                                                                                      <w:marRight w:val="0"/>
                                                                                                      <w:marTop w:val="0"/>
                                                                                                      <w:marBottom w:val="0"/>
                                                                                                      <w:divBdr>
                                                                                                        <w:top w:val="none" w:sz="0" w:space="0" w:color="auto"/>
                                                                                                        <w:left w:val="none" w:sz="0" w:space="0" w:color="auto"/>
                                                                                                        <w:bottom w:val="none" w:sz="0" w:space="0" w:color="auto"/>
                                                                                                        <w:right w:val="none" w:sz="0" w:space="0" w:color="auto"/>
                                                                                                      </w:divBdr>
                                                                                                      <w:divsChild>
                                                                                                        <w:div w:id="2147040875">
                                                                                                          <w:marLeft w:val="0"/>
                                                                                                          <w:marRight w:val="0"/>
                                                                                                          <w:marTop w:val="0"/>
                                                                                                          <w:marBottom w:val="0"/>
                                                                                                          <w:divBdr>
                                                                                                            <w:top w:val="none" w:sz="0" w:space="0" w:color="auto"/>
                                                                                                            <w:left w:val="none" w:sz="0" w:space="0" w:color="auto"/>
                                                                                                            <w:bottom w:val="none" w:sz="0" w:space="0" w:color="auto"/>
                                                                                                            <w:right w:val="none" w:sz="0" w:space="0" w:color="auto"/>
                                                                                                          </w:divBdr>
                                                                                                          <w:divsChild>
                                                                                                            <w:div w:id="1449087583">
                                                                                                              <w:marLeft w:val="0"/>
                                                                                                              <w:marRight w:val="0"/>
                                                                                                              <w:marTop w:val="0"/>
                                                                                                              <w:marBottom w:val="0"/>
                                                                                                              <w:divBdr>
                                                                                                                <w:top w:val="none" w:sz="0" w:space="0" w:color="auto"/>
                                                                                                                <w:left w:val="none" w:sz="0" w:space="0" w:color="auto"/>
                                                                                                                <w:bottom w:val="none" w:sz="0" w:space="0" w:color="auto"/>
                                                                                                                <w:right w:val="none" w:sz="0" w:space="0" w:color="auto"/>
                                                                                                              </w:divBdr>
                                                                                                              <w:divsChild>
                                                                                                                <w:div w:id="19137162">
                                                                                                                  <w:marLeft w:val="0"/>
                                                                                                                  <w:marRight w:val="0"/>
                                                                                                                  <w:marTop w:val="0"/>
                                                                                                                  <w:marBottom w:val="0"/>
                                                                                                                  <w:divBdr>
                                                                                                                    <w:top w:val="none" w:sz="0" w:space="0" w:color="auto"/>
                                                                                                                    <w:left w:val="none" w:sz="0" w:space="0" w:color="auto"/>
                                                                                                                    <w:bottom w:val="none" w:sz="0" w:space="0" w:color="auto"/>
                                                                                                                    <w:right w:val="none" w:sz="0" w:space="0" w:color="auto"/>
                                                                                                                  </w:divBdr>
                                                                                                                  <w:divsChild>
                                                                                                                    <w:div w:id="19158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8627211">
      <w:bodyDiv w:val="1"/>
      <w:marLeft w:val="0"/>
      <w:marRight w:val="0"/>
      <w:marTop w:val="0"/>
      <w:marBottom w:val="0"/>
      <w:divBdr>
        <w:top w:val="none" w:sz="0" w:space="0" w:color="auto"/>
        <w:left w:val="none" w:sz="0" w:space="0" w:color="auto"/>
        <w:bottom w:val="none" w:sz="0" w:space="0" w:color="auto"/>
        <w:right w:val="none" w:sz="0" w:space="0" w:color="auto"/>
      </w:divBdr>
    </w:div>
    <w:div w:id="1120421139">
      <w:bodyDiv w:val="1"/>
      <w:marLeft w:val="0"/>
      <w:marRight w:val="0"/>
      <w:marTop w:val="0"/>
      <w:marBottom w:val="0"/>
      <w:divBdr>
        <w:top w:val="none" w:sz="0" w:space="0" w:color="auto"/>
        <w:left w:val="none" w:sz="0" w:space="0" w:color="auto"/>
        <w:bottom w:val="none" w:sz="0" w:space="0" w:color="auto"/>
        <w:right w:val="none" w:sz="0" w:space="0" w:color="auto"/>
      </w:divBdr>
    </w:div>
    <w:div w:id="1621691357">
      <w:bodyDiv w:val="1"/>
      <w:marLeft w:val="0"/>
      <w:marRight w:val="0"/>
      <w:marTop w:val="0"/>
      <w:marBottom w:val="0"/>
      <w:divBdr>
        <w:top w:val="none" w:sz="0" w:space="0" w:color="auto"/>
        <w:left w:val="none" w:sz="0" w:space="0" w:color="auto"/>
        <w:bottom w:val="none" w:sz="0" w:space="0" w:color="auto"/>
        <w:right w:val="none" w:sz="0" w:space="0" w:color="auto"/>
      </w:divBdr>
      <w:divsChild>
        <w:div w:id="1827669849">
          <w:marLeft w:val="547"/>
          <w:marRight w:val="0"/>
          <w:marTop w:val="0"/>
          <w:marBottom w:val="403"/>
          <w:divBdr>
            <w:top w:val="none" w:sz="0" w:space="0" w:color="auto"/>
            <w:left w:val="none" w:sz="0" w:space="0" w:color="auto"/>
            <w:bottom w:val="none" w:sz="0" w:space="0" w:color="auto"/>
            <w:right w:val="none" w:sz="0" w:space="0" w:color="auto"/>
          </w:divBdr>
        </w:div>
        <w:div w:id="1987851068">
          <w:marLeft w:val="547"/>
          <w:marRight w:val="0"/>
          <w:marTop w:val="0"/>
          <w:marBottom w:val="403"/>
          <w:divBdr>
            <w:top w:val="none" w:sz="0" w:space="0" w:color="auto"/>
            <w:left w:val="none" w:sz="0" w:space="0" w:color="auto"/>
            <w:bottom w:val="none" w:sz="0" w:space="0" w:color="auto"/>
            <w:right w:val="none" w:sz="0" w:space="0" w:color="auto"/>
          </w:divBdr>
        </w:div>
        <w:div w:id="1915312994">
          <w:marLeft w:val="547"/>
          <w:marRight w:val="0"/>
          <w:marTop w:val="0"/>
          <w:marBottom w:val="403"/>
          <w:divBdr>
            <w:top w:val="none" w:sz="0" w:space="0" w:color="auto"/>
            <w:left w:val="none" w:sz="0" w:space="0" w:color="auto"/>
            <w:bottom w:val="none" w:sz="0" w:space="0" w:color="auto"/>
            <w:right w:val="none" w:sz="0" w:space="0" w:color="auto"/>
          </w:divBdr>
        </w:div>
      </w:divsChild>
    </w:div>
    <w:div w:id="20780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barker@soton.ac.uk" TargetMode="External"/><Relationship Id="rId13" Type="http://schemas.openxmlformats.org/officeDocument/2006/relationships/hyperlink" Target="mailto:Jackie.bridges@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j.gould@soton.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p@soton.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Mesa-Eguiagaray@soton.ac.uk" TargetMode="External"/><Relationship Id="rId4" Type="http://schemas.openxmlformats.org/officeDocument/2006/relationships/settings" Target="settings.xml"/><Relationship Id="rId9" Type="http://schemas.openxmlformats.org/officeDocument/2006/relationships/hyperlink" Target="mailto:Peter.griffiths@soton.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4712-DF6A-41AF-9AF2-33E557C1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17613</Words>
  <Characters>100395</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Barker H.R.</dc:creator>
  <cp:lastModifiedBy>Griffiths P. (Health Sciences)</cp:lastModifiedBy>
  <cp:revision>2</cp:revision>
  <cp:lastPrinted>2016-01-26T09:04:00Z</cp:lastPrinted>
  <dcterms:created xsi:type="dcterms:W3CDTF">2016-07-18T08:10:00Z</dcterms:created>
  <dcterms:modified xsi:type="dcterms:W3CDTF">2016-07-18T08:10:00Z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hannah.ruth.barker@gmail.com@www.mendeley.com</vt:lpwstr>
  </property>
  <property fmtid="{D5CDD505-2E9C-101B-9397-08002B2CF9AE}" pid="4" name="Mendeley Citation Style_1">
    <vt:lpwstr>http://www.zotero.org/styles/international-journal-of-nursing-studies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http://www.zotero.org/styles/international-journal-of-nursing-studies</vt:lpwstr>
  </property>
  <property fmtid="{D5CDD505-2E9C-101B-9397-08002B2CF9AE}" pid="18" name="Mendeley Recent Style Name 6_1">
    <vt:lpwstr>International Journal of Nursing Studies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