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F3E59" w14:textId="77777777" w:rsidR="004953BB" w:rsidRDefault="004953BB" w:rsidP="00561058">
      <w:pPr>
        <w:pStyle w:val="Title"/>
      </w:pPr>
      <w:r>
        <w:t>Adherence with NICE guidance on lifestyle advice for people with schizophrenia: a survey</w:t>
      </w:r>
    </w:p>
    <w:p w14:paraId="19F7BFFD" w14:textId="77777777" w:rsidR="004953BB" w:rsidRDefault="004953BB" w:rsidP="00561058"/>
    <w:p w14:paraId="508D16DD" w14:textId="5F76DCA1" w:rsidR="004953BB" w:rsidRDefault="004953BB" w:rsidP="00561058">
      <w:r>
        <w:t>Lizzie Swaby</w:t>
      </w:r>
      <w:r w:rsidRPr="00561058">
        <w:rPr>
          <w:vertAlign w:val="superscript"/>
        </w:rPr>
        <w:t>1</w:t>
      </w:r>
      <w:r>
        <w:t>, Daniel Hind</w:t>
      </w:r>
      <w:r w:rsidRPr="00561058">
        <w:rPr>
          <w:vertAlign w:val="superscript"/>
        </w:rPr>
        <w:t>1</w:t>
      </w:r>
      <w:r>
        <w:t>, Rebecca Gossage-Worrall</w:t>
      </w:r>
      <w:r w:rsidRPr="00561058">
        <w:rPr>
          <w:vertAlign w:val="superscript"/>
        </w:rPr>
        <w:t>1</w:t>
      </w:r>
      <w:r>
        <w:t>, David Shiers</w:t>
      </w:r>
      <w:r>
        <w:rPr>
          <w:vertAlign w:val="superscript"/>
        </w:rPr>
        <w:t>2</w:t>
      </w:r>
      <w:r>
        <w:t>, Jonathan Mitchell</w:t>
      </w:r>
      <w:r>
        <w:rPr>
          <w:vertAlign w:val="superscript"/>
        </w:rPr>
        <w:t>3</w:t>
      </w:r>
      <w:r>
        <w:t>, Richard IG Holt</w:t>
      </w:r>
      <w:r>
        <w:rPr>
          <w:vertAlign w:val="superscript"/>
        </w:rPr>
        <w:t>4</w:t>
      </w:r>
      <w:r>
        <w:t>,</w:t>
      </w:r>
    </w:p>
    <w:p w14:paraId="4FB300D7" w14:textId="77777777" w:rsidR="004953BB" w:rsidRDefault="004953BB" w:rsidP="00561058"/>
    <w:p w14:paraId="213408CE" w14:textId="6DFB07BE" w:rsidR="004953BB" w:rsidRDefault="004953BB" w:rsidP="00561058">
      <w:r>
        <w:t xml:space="preserve">1. Sheffield Clinical Trials Research Unit, </w:t>
      </w:r>
      <w:r w:rsidR="008100CA">
        <w:t xml:space="preserve">University of Sheffield, </w:t>
      </w:r>
      <w:r>
        <w:t>Regent Court, 30 Regent St, Sheffield, S1 4DA, UK.</w:t>
      </w:r>
    </w:p>
    <w:p w14:paraId="6442925D" w14:textId="77777777" w:rsidR="004953BB" w:rsidRDefault="004953BB" w:rsidP="00561058">
      <w:r>
        <w:t xml:space="preserve">2. </w:t>
      </w:r>
      <w:r w:rsidRPr="007558FF">
        <w:t xml:space="preserve">Psychosis Research Unit, Greater Manchester West Mental Health NHS Foundation Trust, </w:t>
      </w:r>
      <w:proofErr w:type="spellStart"/>
      <w:r w:rsidRPr="007558FF">
        <w:t>Harrop</w:t>
      </w:r>
      <w:proofErr w:type="spellEnd"/>
      <w:r w:rsidRPr="007558FF">
        <w:t xml:space="preserve"> House, Bury New Road, Prestwich, Manchester, M25 3BL, UK</w:t>
      </w:r>
    </w:p>
    <w:p w14:paraId="68F5D738" w14:textId="77777777" w:rsidR="004953BB" w:rsidRDefault="004953BB" w:rsidP="00561058">
      <w:r>
        <w:t xml:space="preserve">3. Sheffield Health &amp; Social Care NHS Foundation Trust, </w:t>
      </w:r>
      <w:proofErr w:type="spellStart"/>
      <w:r>
        <w:t>Fulwood</w:t>
      </w:r>
      <w:proofErr w:type="spellEnd"/>
      <w:r>
        <w:t xml:space="preserve"> House, Old </w:t>
      </w:r>
      <w:proofErr w:type="spellStart"/>
      <w:r>
        <w:t>Fulwood</w:t>
      </w:r>
      <w:proofErr w:type="spellEnd"/>
      <w:r>
        <w:t xml:space="preserve"> Road, Sheffield, S10 3TH, UK.</w:t>
      </w:r>
    </w:p>
    <w:p w14:paraId="3A4E6C97" w14:textId="77777777" w:rsidR="004953BB" w:rsidRPr="009053C5" w:rsidRDefault="004953BB" w:rsidP="0054611C">
      <w:pPr>
        <w:shd w:val="clear" w:color="auto" w:fill="FFFFFF"/>
        <w:rPr>
          <w:rFonts w:ascii="Arial" w:hAnsi="Arial"/>
          <w:color w:val="222222"/>
          <w:sz w:val="19"/>
          <w:szCs w:val="19"/>
          <w:lang w:eastAsia="en-GB"/>
        </w:rPr>
      </w:pPr>
      <w:r>
        <w:t xml:space="preserve">4. Human Development and Health Academic Unit, Faculty of Medicine, University of Southampton, Southampton General Hospital, </w:t>
      </w:r>
      <w:proofErr w:type="spellStart"/>
      <w:r>
        <w:t>Tremona</w:t>
      </w:r>
      <w:proofErr w:type="spellEnd"/>
      <w:r>
        <w:t xml:space="preserve"> Road, Southampton, SO16 6YD, UK.</w:t>
      </w:r>
    </w:p>
    <w:p w14:paraId="6DA8B040" w14:textId="77777777" w:rsidR="004953BB" w:rsidRDefault="004953BB" w:rsidP="00561058"/>
    <w:p w14:paraId="7B7E6774" w14:textId="77777777" w:rsidR="004953BB" w:rsidRDefault="004953BB">
      <w:pPr>
        <w:spacing w:line="276" w:lineRule="auto"/>
      </w:pPr>
      <w:r>
        <w:br w:type="page"/>
      </w:r>
    </w:p>
    <w:p w14:paraId="3B53D609" w14:textId="46191404" w:rsidR="004953BB" w:rsidRPr="00E0275D" w:rsidRDefault="004953BB" w:rsidP="00561058">
      <w:pPr>
        <w:pStyle w:val="Heading1"/>
      </w:pPr>
      <w:r w:rsidRPr="00E0275D">
        <w:lastRenderedPageBreak/>
        <w:t xml:space="preserve">Abstract </w:t>
      </w:r>
    </w:p>
    <w:p w14:paraId="1A46EBB7" w14:textId="77777777" w:rsidR="004953BB" w:rsidRPr="00E0275D" w:rsidRDefault="004953BB" w:rsidP="003F5365">
      <w:pPr>
        <w:pStyle w:val="Heading3"/>
      </w:pPr>
      <w:r w:rsidRPr="00E0275D">
        <w:t>Background</w:t>
      </w:r>
    </w:p>
    <w:p w14:paraId="2DCD9A28" w14:textId="6CF04450" w:rsidR="004953BB" w:rsidRPr="00E0275D" w:rsidRDefault="004953BB" w:rsidP="0054611C">
      <w:r>
        <w:t>S</w:t>
      </w:r>
      <w:r w:rsidRPr="00E0275D">
        <w:t xml:space="preserve">ubstantial weight gain is common in </w:t>
      </w:r>
      <w:r w:rsidR="007558FF">
        <w:t>people</w:t>
      </w:r>
      <w:r w:rsidR="007558FF" w:rsidRPr="00E0275D">
        <w:t xml:space="preserve"> taking</w:t>
      </w:r>
      <w:r w:rsidRPr="00E0275D">
        <w:t xml:space="preserve"> antipsychotic</w:t>
      </w:r>
      <w:r>
        <w:t>s</w:t>
      </w:r>
      <w:r w:rsidRPr="00E0275D">
        <w:t>. NICE recommend</w:t>
      </w:r>
      <w:r>
        <w:t>s</w:t>
      </w:r>
      <w:r w:rsidRPr="00E0275D">
        <w:t xml:space="preserve"> these patients are offered </w:t>
      </w:r>
      <w:r>
        <w:t>physical health screening and intervention</w:t>
      </w:r>
      <w:r w:rsidRPr="00E0275D">
        <w:t xml:space="preserve">. The STEPWISE trial is currently evaluating a </w:t>
      </w:r>
      <w:r>
        <w:t xml:space="preserve">lifestyle education </w:t>
      </w:r>
      <w:r w:rsidRPr="00E0275D">
        <w:t>programme in addition to usual care</w:t>
      </w:r>
      <w:r>
        <w:t>.</w:t>
      </w:r>
      <w:r w:rsidR="007558FF" w:rsidRPr="00E0275D">
        <w:t xml:space="preserve"> </w:t>
      </w:r>
      <w:r w:rsidR="007558FF">
        <w:t>However</w:t>
      </w:r>
      <w:r>
        <w:t>,</w:t>
      </w:r>
      <w:r w:rsidR="007558FF">
        <w:t xml:space="preserve"> </w:t>
      </w:r>
      <w:r w:rsidRPr="00E0275D">
        <w:t>it is difficult to define what constitutes “usual care”.</w:t>
      </w:r>
    </w:p>
    <w:p w14:paraId="439FBFBB" w14:textId="77777777" w:rsidR="004953BB" w:rsidRPr="00152502" w:rsidRDefault="004953BB" w:rsidP="003F5365">
      <w:pPr>
        <w:pStyle w:val="Heading3"/>
      </w:pPr>
      <w:r w:rsidRPr="00152502">
        <w:t>Aims</w:t>
      </w:r>
    </w:p>
    <w:p w14:paraId="628B428C" w14:textId="77777777" w:rsidR="004953BB" w:rsidRDefault="004953BB" w:rsidP="0054611C">
      <w:r>
        <w:t>To define “usual care” for lifestyle management in people with schizophrenia, schizoaffective disorder and first episode psychosis in STEPWISE study sites.</w:t>
      </w:r>
    </w:p>
    <w:p w14:paraId="1384D7FE" w14:textId="77777777" w:rsidR="004953BB" w:rsidRPr="00152502" w:rsidRDefault="004953BB" w:rsidP="00561058">
      <w:pPr>
        <w:pStyle w:val="Heading3"/>
      </w:pPr>
      <w:r w:rsidRPr="00152502">
        <w:t>Method</w:t>
      </w:r>
    </w:p>
    <w:p w14:paraId="6A5EEAA9" w14:textId="7D5EC5FE" w:rsidR="004953BB" w:rsidRPr="00152502" w:rsidRDefault="004953BB" w:rsidP="0054611C">
      <w:r w:rsidRPr="00152502">
        <w:t xml:space="preserve">Ten NHS Mental Health Trusts </w:t>
      </w:r>
      <w:r>
        <w:t>participated in</w:t>
      </w:r>
      <w:r w:rsidRPr="00152502">
        <w:t xml:space="preserve"> a bespoke survey based on </w:t>
      </w:r>
      <w:r w:rsidR="007558FF" w:rsidRPr="00152502">
        <w:t>NICE</w:t>
      </w:r>
      <w:r w:rsidR="007558FF">
        <w:t xml:space="preserve"> guidance</w:t>
      </w:r>
      <w:r>
        <w:t xml:space="preserve">. </w:t>
      </w:r>
    </w:p>
    <w:p w14:paraId="565D48DC" w14:textId="77777777" w:rsidR="004953BB" w:rsidRPr="00FF58D0" w:rsidRDefault="004953BB" w:rsidP="00561058">
      <w:pPr>
        <w:pStyle w:val="Heading3"/>
      </w:pPr>
      <w:r w:rsidRPr="00FF58D0">
        <w:t>Results</w:t>
      </w:r>
    </w:p>
    <w:p w14:paraId="53C0F63D" w14:textId="4D323E8B" w:rsidR="004953BB" w:rsidRPr="00FF58D0" w:rsidRDefault="004953BB" w:rsidP="009A32F5">
      <w:r w:rsidRPr="00FF58D0">
        <w:t xml:space="preserve">Eight trusts reported offering </w:t>
      </w:r>
      <w:r w:rsidR="0069682C">
        <w:t>lifestyle education</w:t>
      </w:r>
      <w:r>
        <w:t xml:space="preserve"> </w:t>
      </w:r>
      <w:r w:rsidRPr="00FF58D0">
        <w:t>programmes.</w:t>
      </w:r>
      <w:r w:rsidR="007558FF">
        <w:t xml:space="preserve"> </w:t>
      </w:r>
      <w:r w:rsidRPr="00FF58D0">
        <w:t xml:space="preserve">Nine </w:t>
      </w:r>
      <w:r w:rsidR="00E65B0F">
        <w:t>T</w:t>
      </w:r>
      <w:r w:rsidR="00E65B0F" w:rsidRPr="00FF58D0">
        <w:t xml:space="preserve">rusts </w:t>
      </w:r>
      <w:r w:rsidRPr="00FF58D0">
        <w:t xml:space="preserve">reported offering smoking </w:t>
      </w:r>
      <w:r>
        <w:t>cessation support</w:t>
      </w:r>
      <w:r w:rsidRPr="00FF58D0">
        <w:t xml:space="preserve">. </w:t>
      </w:r>
      <w:r>
        <w:t>Reported r</w:t>
      </w:r>
      <w:r w:rsidRPr="00FF58D0">
        <w:t xml:space="preserve">ecording of </w:t>
      </w:r>
      <w:r w:rsidR="009A32F5">
        <w:t>biomedical</w:t>
      </w:r>
      <w:r w:rsidR="009A32F5" w:rsidRPr="00FF58D0">
        <w:t xml:space="preserve"> </w:t>
      </w:r>
      <w:r w:rsidRPr="00FF58D0">
        <w:t>measures varied.</w:t>
      </w:r>
    </w:p>
    <w:p w14:paraId="2CB36597" w14:textId="77777777" w:rsidR="004953BB" w:rsidRPr="00152502" w:rsidRDefault="004953BB" w:rsidP="00561058">
      <w:pPr>
        <w:pStyle w:val="Heading3"/>
      </w:pPr>
      <w:r w:rsidRPr="00152502">
        <w:t>Conclusions</w:t>
      </w:r>
    </w:p>
    <w:p w14:paraId="794D2D1D" w14:textId="6C9629D9" w:rsidR="004953BB" w:rsidRPr="00152502" w:rsidRDefault="004953BB" w:rsidP="00152502">
      <w:r>
        <w:t xml:space="preserve">No consistent </w:t>
      </w:r>
      <w:r w:rsidR="0069682C">
        <w:t>lifestyle education</w:t>
      </w:r>
      <w:r>
        <w:t xml:space="preserve"> programme is currently offered across UK NHS Mental Health Trusts. The survey benchmark</w:t>
      </w:r>
      <w:r w:rsidR="00F80A24">
        <w:t>s</w:t>
      </w:r>
      <w:r>
        <w:t xml:space="preserve"> ‘usual care’ </w:t>
      </w:r>
      <w:r w:rsidR="00F80A24">
        <w:t xml:space="preserve">for the STEPWISE study on which changes </w:t>
      </w:r>
      <w:r>
        <w:t>can be measured.</w:t>
      </w:r>
    </w:p>
    <w:p w14:paraId="20C8BAE2" w14:textId="77777777" w:rsidR="004953BB" w:rsidRDefault="004953BB" w:rsidP="00561058">
      <w:pPr>
        <w:pStyle w:val="Heading3"/>
      </w:pPr>
      <w:r w:rsidRPr="007558FF">
        <w:t>Declarations of interest</w:t>
      </w:r>
    </w:p>
    <w:p w14:paraId="28DEEE69" w14:textId="2EDC2BE9" w:rsidR="00B66D2B" w:rsidRPr="007558FF" w:rsidRDefault="00F80A24" w:rsidP="007558FF">
      <w:pPr>
        <w:widowControl w:val="0"/>
        <w:autoSpaceDE w:val="0"/>
        <w:autoSpaceDN w:val="0"/>
        <w:adjustRightInd w:val="0"/>
        <w:spacing w:after="240"/>
      </w:pPr>
      <w:r w:rsidRPr="00F80A24">
        <w:t>DS</w:t>
      </w:r>
      <w:r w:rsidR="002742BA">
        <w:t xml:space="preserve"> is a</w:t>
      </w:r>
      <w:r w:rsidRPr="00F80A24">
        <w:t xml:space="preserve"> topic expert </w:t>
      </w:r>
      <w:r w:rsidR="002742BA">
        <w:t>for</w:t>
      </w:r>
      <w:r w:rsidRPr="00F80A24">
        <w:t xml:space="preserve"> </w:t>
      </w:r>
      <w:r w:rsidR="002742BA">
        <w:t xml:space="preserve">the current update of </w:t>
      </w:r>
      <w:r w:rsidRPr="00F80A24">
        <w:t xml:space="preserve">NICE guidance on psychosis and schizophrenia in children and young people: These are his personal views and not those of NICE. </w:t>
      </w:r>
    </w:p>
    <w:p w14:paraId="001B9E24" w14:textId="77777777" w:rsidR="00193F60" w:rsidRDefault="004953BB" w:rsidP="002742BA">
      <w:r w:rsidRPr="007558FF">
        <w:t xml:space="preserve">RIGH received fees for lecturing, consultancy work and attendance at conferences from the following: </w:t>
      </w:r>
      <w:proofErr w:type="spellStart"/>
      <w:r w:rsidRPr="007558FF">
        <w:t>Boehringer</w:t>
      </w:r>
      <w:proofErr w:type="spellEnd"/>
      <w:r w:rsidRPr="007558FF">
        <w:t xml:space="preserve"> </w:t>
      </w:r>
      <w:proofErr w:type="spellStart"/>
      <w:r w:rsidRPr="007558FF">
        <w:t>Ingelheim</w:t>
      </w:r>
      <w:proofErr w:type="spellEnd"/>
      <w:r w:rsidRPr="007558FF">
        <w:t xml:space="preserve">, Eli Lilly, Janssen, </w:t>
      </w:r>
      <w:proofErr w:type="spellStart"/>
      <w:r w:rsidRPr="007558FF">
        <w:t>Lundbeck</w:t>
      </w:r>
      <w:proofErr w:type="spellEnd"/>
      <w:r w:rsidRPr="007558FF">
        <w:t xml:space="preserve">, Novo Nordisk, Novartis, Otsuka, Sanofi, </w:t>
      </w:r>
      <w:proofErr w:type="spellStart"/>
      <w:r w:rsidRPr="007558FF">
        <w:t>Sunovion</w:t>
      </w:r>
      <w:proofErr w:type="spellEnd"/>
      <w:r w:rsidRPr="007558FF">
        <w:t xml:space="preserve">, Takeda, </w:t>
      </w:r>
      <w:proofErr w:type="gramStart"/>
      <w:r w:rsidRPr="007558FF">
        <w:t>MSD</w:t>
      </w:r>
      <w:proofErr w:type="gramEnd"/>
      <w:r w:rsidR="00E65B0F">
        <w:t>.</w:t>
      </w:r>
    </w:p>
    <w:p w14:paraId="205FFEEC" w14:textId="05C21FC0" w:rsidR="004953BB" w:rsidRDefault="00193F60" w:rsidP="002742BA">
      <w:r>
        <w:lastRenderedPageBreak/>
        <w:t>All remaining named authors did not disclose any declarations of interest.</w:t>
      </w:r>
      <w:r w:rsidR="004953BB">
        <w:br w:type="page"/>
      </w:r>
    </w:p>
    <w:p w14:paraId="1DC36839" w14:textId="77777777" w:rsidR="004953BB" w:rsidRDefault="004953BB" w:rsidP="00687864">
      <w:pPr>
        <w:pStyle w:val="Heading1"/>
      </w:pPr>
      <w:r w:rsidRPr="00B13399">
        <w:lastRenderedPageBreak/>
        <w:t>INTRODUCTION</w:t>
      </w:r>
    </w:p>
    <w:p w14:paraId="6C8206EE" w14:textId="77777777" w:rsidR="004953BB" w:rsidRDefault="004953BB" w:rsidP="00897AB4">
      <w:r>
        <w:t>The prevalence of overweight and obesity in people with schizophrenia is approximately two-fold higher in people with schizophrenia compared with the general population and while the prevalence of overweight and obesity has increased in the general population in the last 30 years, the rate of increase is greater in people with schizophrenia</w:t>
      </w:r>
      <w:r>
        <w:fldChar w:fldCharType="begin" w:fldLock="1"/>
      </w:r>
      <w:r w:rsidR="00063E2A">
        <w:instrText>ADDIN CSL_CITATION { "citationItems" : [ { "id" : "ITEM-1", "itemData" : { "ISSN" : "0920-9964", "PMID" : "12048151", "abstract" : "The advent of the novel or atypical antipsychotic drugs has improved the treatment and quality of life for many individuals. However, many of these newer agents confer a degree of weight gain that is both greater than conventional antipsychotics and of a clinically meaningful magnitude. To better place this issue into perspective, we evaluated body mass index (BMI; kg/m2) levels and the prevalence of overweight and obesity among schizophrenic versus non-schizophrenic individuals among nationally representative samples of the US adult population and evaluated whether there were changes in these rates during the decade from 1987 to 1996, a period in which use of novel/atypical agents increased. Results showed that mean BMI for individuals with schizophrenia is significantly higher than individuals who are not schizophrenic. The non-schizophrenic population shows steady and significant gains in BMI from 1987 to 1996 both as a whole and when stratified by gender and age. In contrast, time trends among the population of schizophrenic individuals show a more complex pattern. Specifically, for most groups, there is little evidence of a general trend in BMI over time. However, among females with schizophrenia ages 18-30, BMI has increased dramatically and significantly causing a much higher obesity rate among young women with schizophrenia in recent years relative to their non-schizophrenic counterparts. The mechanism that underlies this weight age and sex specific time trend is unclear.", "author" : [ { "dropping-particle" : "", "family" : "Homel", "given" : "Peter", "non-dropping-particle" : "", "parse-names" : false, "suffix" : "" }, { "dropping-particle" : "", "family" : "Casey", "given" : "Daniel", "non-dropping-particle" : "", "parse-names" : false, "suffix" : "" }, { "dropping-particle" : "", "family" : "Allison", "given" : "David B", "non-dropping-particle" : "", "parse-names" : false, "suffix" : "" } ], "container-title" : "Schizophrenia research", "id" : "ITEM-1", "issue" : "3", "issued" : { "date-parts" : [ [ "2002", "6" ] ] }, "page" : "277-84", "title" : "Changes in body mass index for individuals with and without schizophrenia, 1987-1996.", "type" : "article-journal", "volume" : "55" }, "uris" : [ "http://www.mendeley.com/documents/?uuid=f21f35d6-21df-4c45-99c0-8fd80a8f6b59", "http://www.mendeley.com/documents/?uuid=dd26ea40-f31c-459e-af04-4023e76376ed" ] } ], "mendeley" : { "formattedCitation" : "&lt;sup&gt;1&lt;/sup&gt;", "plainTextFormattedCitation" : "1", "previouslyFormattedCitation" : "&lt;sup&gt;1&lt;/sup&gt;" }, "properties" : { "noteIndex" : 0 }, "schema" : "https://github.com/citation-style-language/schema/raw/master/csl-citation.json" }</w:instrText>
      </w:r>
      <w:r>
        <w:fldChar w:fldCharType="separate"/>
      </w:r>
      <w:r w:rsidR="002235B1" w:rsidRPr="002235B1">
        <w:rPr>
          <w:noProof/>
          <w:vertAlign w:val="superscript"/>
        </w:rPr>
        <w:t>1</w:t>
      </w:r>
      <w:r>
        <w:fldChar w:fldCharType="end"/>
      </w:r>
      <w:r>
        <w:t xml:space="preserve">. </w:t>
      </w:r>
    </w:p>
    <w:p w14:paraId="5350C974" w14:textId="340BABCE" w:rsidR="004953BB" w:rsidRDefault="004953BB" w:rsidP="00897AB4">
      <w:r>
        <w:t>Weight gain in people with schizophrenia often occurs after initiation of antipsychotic treatment, and over 50% of individuals gain more than 7% of their initial body weight within the first 12 months of treatment</w:t>
      </w:r>
      <w:r w:rsidR="005C4C55">
        <w:t>, with up to 86% of individuals gaining weight with some types of antipsychotic</w:t>
      </w:r>
      <w:r>
        <w:fldChar w:fldCharType="begin" w:fldLock="1"/>
      </w:r>
      <w:r w:rsidR="00063E2A">
        <w:instrText>ADDIN CSL_CITATION { "citationItems" : [ { "id" : "ITEM-1", "itemData" : { "DOI" : "10.1016/S0140-6736(08)60486-9", "ISSN" : "1474-547X", "PMID" : "18374841", "abstract" : "BACKGROUND: Second-generation antipsychotic drugs were introduced over a decade ago for the treatment of schizophrenia; however, their purported clinical effectiveness compared with first-generation antipsychotic drugs is still debated. We aimed to compare the effectiveness of second-generation antipsychotic drugs with that of a low dose of haloperidol, in first-episode schizophrenia. METHODS: We did an open randomised controlled trial of haloperidol versus second-generation antipsychotic drugs in 50 sites, in 14 countries. Eligible patients were aged 18-40 years, and met diagnostic criteria for schizophrenia, schizophreniform disorder, or schizoaffective disorder. 498 patients were randomly assigned by a web-based online system to haloperidol (1-4 mg per day; n=103), amisulpride (200-800 mg per day; n=104), olanzapine (5-20 mg per day; n=105), quetiapine (200-750 mg per day; n=104), or ziprasidone (40-160 mg per day; n=82); follow-up was at 1 year. The primary outcome measure was all-cause treatment discontinuation. Patients and their treating physicians were not blinded to the assigned treatment. Analysis was by intention to treat. This study is registered as an International Standard Randomised Controlled Trial, number ISRCTN68736636. FINDINGS: The number of patients who discontinued treatment for any cause within 12 months was 63 (Kaplan-Meier estimate 72%) for haloperidol, 32 (40%) for amisulpride, 30 (33%) for olanzapine, 51 (53%) for quetiapine, and 31 (45%) for ziprasidone. Comparisons with haloperidol showed lower risks for any-cause discontinuation with amisulpride (hazard ratio [HR] 0.37, [95% CI 0.24-0.57]), olanzapine (HR 0.28 [0.18-0.43]), quetiapine (HR 0.52 [0.35-0.76]), and ziprasidone (HR 0.51 [0.32-0.81]). However, symptom reductions were virtually the same in all the groups, at around 60%. INTERPRETATION: This pragmatic trial suggests that clinically meaningful antipsychotic treatment of first-episode of schizophrenia is achievable, for at least 1 year. However, we cannot conclude that second-generation drugs are more efficacious than is haloperidol, since discontinuation rates are not necessarily consistent with symptomatic improvement.", "author" : [ { "dropping-particle" : "", "family" : "Kahn", "given" : "Ren\u00e9 S", "non-dropping-particle" : "", "parse-names" : false, "suffix" : "" }, { "dropping-particle" : "", "family" : "Fleischhacker", "given" : "W Wolfgang", "non-dropping-particle" : "", "parse-names" : false, "suffix" : "" }, { "dropping-particle" : "", "family" : "Boter", "given" : "Han", "non-dropping-particle" : "", "parse-names" : false, "suffix" : "" }, { "dropping-particle" : "", "family" : "Davidson", "given" : "Michael", "non-dropping-particle" : "", "parse-names" : false, "suffix" : "" }, { "dropping-particle" : "", "family" : "Vergouwe", "given" : "Yvonne", "non-dropping-particle" : "", "parse-names" : false, "suffix" : "" }, { "dropping-particle" : "", "family" : "Keet", "given" : "Ireneus P M", "non-dropping-particle" : "", "parse-names" : false, "suffix" : "" }, { "dropping-particle" : "", "family" : "Gheorghe", "given" : "Mihai D", "non-dropping-particle" : "", "parse-names" : false, "suffix" : "" }, { "dropping-particle" : "", "family" : "Rybakowski", "given" : "Janusz K", "non-dropping-particle" : "", "parse-names" : false, "suffix" : "" }, { "dropping-particle" : "", "family" : "Galderisi", "given" : "Silvana", "non-dropping-particle" : "", "parse-names" : false, "suffix" : "" }, { "dropping-particle" : "", "family" : "Libiger", "given" : "Jan", "non-dropping-particle" : "", "parse-names" : false, "suffix" : "" }, { "dropping-particle" : "", "family" : "Hummer", "given" : "Martina", "non-dropping-particle" : "", "parse-names" : false, "suffix" : "" }, { "dropping-particle" : "", "family" : "Dollfus", "given" : "Sonia", "non-dropping-particle" : "", "parse-names" : false, "suffix" : "" }, { "dropping-particle" : "", "family" : "L\u00f3pez-Ibor", "given" : "Juan J", "non-dropping-particle" : "", "parse-names" : false, "suffix" : "" }, { "dropping-particle" : "", "family" : "Hranov", "given" : "Luchezar G", "non-dropping-particle" : "", "parse-names" : false, "suffix" : "" }, { "dropping-particle" : "", "family" : "Gaebel", "given" : "Wolfgang", "non-dropping-particle" : "", "parse-names" : false, "suffix" : "" }, { "dropping-particle" : "", "family" : "Peuskens", "given" : "Joseph", "non-dropping-particle" : "", "parse-names" : false, "suffix" : "" }, { "dropping-particle" : "", "family" : "Lindefors", "given" : "Nils", "non-dropping-particle" : "", "parse-names" : false, "suffix" : "" }, { "dropping-particle" : "", "family" : "Riecher-R\u00f6ssler", "given" : "Anita", "non-dropping-particle" : "", "parse-names" : false, "suffix" : "" }, { "dropping-particle" : "", "family" : "Grobbee", "given" : "Diederick E", "non-dropping-particle" : "", "parse-names" : false, "suffix" : "" } ], "container-title" : "Lancet", "id" : "ITEM-1", "issue" : "9618", "issued" : { "date-parts" : [ [ "2008", "3" ] ] }, "page" : "1085-97", "title" : "Effectiveness of antipsychotic drugs in first-episode schizophrenia and schizophreniform disorder: an open randomised clinical trial.", "type" : "article-journal", "volume" : "371" }, "uris" : [ "http://www.mendeley.com/documents/?uuid=c11136a5-5a5d-4da2-8fda-21b2891815b6", "http://www.mendeley.com/documents/?uuid=16c43a29-a7ff-462e-afc3-d05735738df2" ] } ], "mendeley" : { "formattedCitation" : "&lt;sup&gt;2&lt;/sup&gt;", "plainTextFormattedCitation" : "2", "previouslyFormattedCitation" : "&lt;sup&gt;2&lt;/sup&gt;" }, "properties" : { "noteIndex" : 0 }, "schema" : "https://github.com/citation-style-language/schema/raw/master/csl-citation.json" }</w:instrText>
      </w:r>
      <w:r>
        <w:fldChar w:fldCharType="separate"/>
      </w:r>
      <w:r w:rsidR="002235B1" w:rsidRPr="002235B1">
        <w:rPr>
          <w:noProof/>
          <w:vertAlign w:val="superscript"/>
        </w:rPr>
        <w:t>2</w:t>
      </w:r>
      <w:r>
        <w:fldChar w:fldCharType="end"/>
      </w:r>
      <w:r>
        <w:t xml:space="preserve">. </w:t>
      </w:r>
    </w:p>
    <w:p w14:paraId="5D4D3DAE" w14:textId="6F9FC379" w:rsidR="004953BB" w:rsidRDefault="004953BB" w:rsidP="00A739A7">
      <w:r>
        <w:t xml:space="preserve">Compared to the general population, people with schizophrenia consume more fat and refined carbohydrates, and fewer vegetables </w:t>
      </w:r>
      <w:r>
        <w:fldChar w:fldCharType="begin" w:fldLock="1"/>
      </w:r>
      <w:r>
        <w:instrText>ADDIN CSL_CITATION { "citationItems" : [ { "id" : "ITEM-1", "itemData" : { "ISSN" : "0959-8138", "PMID" : "9740565", "author" : [ { "dropping-particle" : "", "family" : "McCreadie", "given" : "R", "non-dropping-particle" : "", "parse-names" : false, "suffix" : "" }, { "dropping-particle" : "", "family" : "Macdonald", "given" : "E", "non-dropping-particle" : "", "parse-names" : false, "suffix" : "" }, { "dropping-particle" : "", "family" : "Blacklock", "given" : "C", "non-dropping-particle" : "", "parse-names" : false, "suffix" : "" }, { "dropping-particle" : "", "family" : "Tilak-Singh", "given" : "D", "non-dropping-particle" : "", "parse-names" : false, "suffix" : "" }, { "dropping-particle" : "", "family" : "Wiles", "given" : "D", "non-dropping-particle" : "", "parse-names" : false, "suffix" : "" }, { "dropping-particle" : "", "family" : "Halliday", "given" : "J", "non-dropping-particle" : "", "parse-names" : false, "suffix" : "" }, { "dropping-particle" : "", "family" : "Paterson", "given" : "J", "non-dropping-particle" : "", "parse-names" : false, "suffix" : "" } ], "container-title" : "BMJ (Clinical research ed.)", "id" : "ITEM-1", "issue" : "7161", "issued" : { "date-parts" : [ [ "1998", "9" ] ] }, "page" : "784-5", "title" : "Dietary intake of schizophrenic patients in Nithsdale, Scotland: case-control study.", "type" : "article-journal", "volume" : "317" }, "uris" : [ "http://www.mendeley.com/documents/?uuid=fe185cdb-b339-4dab-b9e5-c25adbb237d8", "http://www.mendeley.com/documents/?uuid=d9199eb9-15e7-44c1-a876-a23673a256fc" ] }, { "id" : "ITEM-2", "itemData" : { "ISSN" : "0033-2917", "PMID" : "10405091", "abstract" : "BACKGROUND: Schizophrenia has a high natural mortality of a largely environmental aetiology. There is, however, little research about possible risk factors. This study measured the diet, cigarette and alcohol use, exercise and obesity of a cohort of people with schizophrenia and compared results to general population rates. METHODS: Semi-structured interview using validated research instruments on 102 middle-aged subjects with a diagnosis of schizophrenia, living in the community. Results were compared to general population norms using standard statistical tests. RESULTS: The subjects ate a diet higher in fat and lower in fibre than the general population. They look little exercise but were not significantly more obese. They smoked heavily but drank less alcohol. Most differences remained significant after controlling for social class. CONCLUSIONS: People with schizophrenia have an unhealthy lifestyle, which probably contributes to the excess mortality of the disease. They are therefore an appropriate target group for health promotion interventions.", "author" : [ { "dropping-particle" : "", "family" : "Brown", "given" : "S", "non-dropping-particle" : "", "parse-names" : false, "suffix" : "" }, { "dropping-particle" : "", "family" : "Birtwistle", "given" : "J", "non-dropping-particle" : "", "parse-names" : false, "suffix" : "" }, { "dropping-particle" : "", "family" : "Roe", "given" : "L", "non-dropping-particle" : "", "parse-names" : false, "suffix" : "" }, { "dropping-particle" : "", "family" : "Thompson", "given" : "C", "non-dropping-particle" : "", "parse-names" : false, "suffix" : "" } ], "container-title" : "Psychological medicine", "id" : "ITEM-2", "issue" : "3", "issued" : { "date-parts" : [ [ "1999", "5" ] ] }, "page" : "697-701", "title" : "The unhealthy lifestyle of people with schizophrenia.", "type" : "article-journal", "volume" : "29" }, "uris" : [ "http://www.mendeley.com/documents/?uuid=2b498afe-c927-4b3f-8495-897156db12f6", "http://www.mendeley.com/documents/?uuid=80bfdcc0-079a-4600-a75d-cfca0a073b78" ] }, { "id" : "ITEM-3", "itemData" : { "DOI" : "10.1111/j.1399-5618.2007.00386.x", "ISSN" : "1398-5647", "PMID" : "17680914", "abstract" : "OBJECTIVES: There have been few comprehensive studies of nutrition and exercise behaviors among patients with bipolar disorder (BPD). Based on a national sample of patients receiving care in the Veterans Affairs (VA) health care system, we compared nutrition and exercise behaviors among individuals diagnosed with BPD, others diagnosed with schizophrenia, and others who did not receive diagnoses of serious mental illness (SMI). METHODS: We conducted a cross-sectional study of patients who completed the VA's Large Health Survey of Veteran Enrollees section on health and nutrition in fiscal year (FY) 1999 and who either received a diagnosis of BPD (n = 2,032) or schizophrenia (n = 1,895), or were included in a random sample of non-SMI VA patients (n = 3,065). We compared nutrition and exercise behaviors using multivariable logistic regression, controlling for patient socio-economic and clinical factors, and adjusting for patients clustered by site using generalized estimating equations. RESULTS: Patients with BPD were more likely to report poor exercise habits, including infrequent walking (odds ratio, OR = 1.33, p &lt; 0.001) or strength exercises (OR = 1.28, p &lt; 0.001) than those with no SMI. They were also more likely to self-report suboptimal eating behaviors, including having fewer than two daily meals (OR = 1.32, p &lt; 0.001) and having difficulty obtaining or cooking food (OR = 1.48, p &lt; 0.001). Patients with BPD were also more likely to report having gained &gt;or=10 pounds in the past 6 months (OR = 1.59, p &lt; 0.001) and were the least likely to report that their health care provider discussed their eating habits (OR = 0.84, p &lt; 0.05) or physical activity (OR = 0.81, p &lt; 0.01). CONCLUSIONS: Greater efforts are needed to reduce the risk of poor nutrition and exercise habits among patients diagnosed with BPD.", "author" : [ { "dropping-particle" : "", "family" : "Kilbourne", "given" : "Amy M", "non-dropping-particle" : "", "parse-names" : false, "suffix" : "" }, { "dropping-particle" : "", "family" : "Rofey", "given" : "Dana L", "non-dropping-particle" : "", "parse-names" : false, "suffix" : "" }, { "dropping-particle" : "", "family" : "McCarthy", "given" : "John F", "non-dropping-particle" : "", "parse-names" : false, "suffix" : "" }, { "dropping-particle" : "", "family" : "Post", "given" : "Edward P", "non-dropping-particle" : "", "parse-names" : false, "suffix" : "" }, { "dropping-particle" : "", "family" : "Welsh", "given" : "Deborah", "non-dropping-particle" : "", "parse-names" : false, "suffix" : "" }, { "dropping-particle" : "", "family" : "Blow", "given" : "Frederic C", "non-dropping-particle" : "", "parse-names" : false, "suffix" : "" } ], "container-title" : "Bipolar disorders", "id" : "ITEM-3", "issue" : "5", "issued" : { "date-parts" : [ [ "2007", "8" ] ] }, "page" : "443-52", "title" : "Nutrition and exercise behavior among patients with bipolar disorder.", "type" : "article-journal", "volume" : "9" }, "uris" : [ "http://www.mendeley.com/documents/?uuid=e8250b83-1eb9-4476-b986-6cd9a8ec40ff", "http://www.mendeley.com/documents/?uuid=038014cb-bd62-4440-913f-4008f03308cd" ] } ], "mendeley" : { "formattedCitation" : "&lt;sup&gt;3\u20135&lt;/sup&gt;", "plainTextFormattedCitation" : "3\u20135", "previouslyFormattedCitation" : "&lt;sup&gt;3\u20135&lt;/sup&gt;" }, "properties" : { "noteIndex" : 0 }, "schema" : "https://github.com/citation-style-language/schema/raw/master/csl-citation.json" }</w:instrText>
      </w:r>
      <w:r>
        <w:fldChar w:fldCharType="separate"/>
      </w:r>
      <w:r w:rsidRPr="00AB263A">
        <w:rPr>
          <w:noProof/>
          <w:vertAlign w:val="superscript"/>
        </w:rPr>
        <w:t>3–5</w:t>
      </w:r>
      <w:r>
        <w:fldChar w:fldCharType="end"/>
      </w:r>
      <w:r w:rsidR="00A739A7">
        <w:t xml:space="preserve">, </w:t>
      </w:r>
      <w:r>
        <w:t>are less physically active and experience higher levels of deprivation than the general population</w:t>
      </w:r>
      <w:r w:rsidR="00A739A7">
        <w:t>,</w:t>
      </w:r>
      <w:r>
        <w:fldChar w:fldCharType="begin" w:fldLock="1"/>
      </w:r>
      <w:r>
        <w:instrText>ADDIN CSL_CITATION { "citationItems" : [ { "id" : "ITEM-1", "itemData" : { "DOI" : "10.1038/sj.npp.1301051", "ISSN" : "0893-133X", "PMID" : "16541087", "abstract" : "Obesity is highly prevalent among patients with schizophrenia and is associated with detrimental health consequences. Although excessive consumption of fast food and pharmacotherapy with such second-generation antipsychotic agents (SGAs) as clozapine and olanzapine has been implicated in the schizophrenia/obesity comorbidity, the pathophysiology of this link remains unclear. Here, we propose a mechanism based on brain reward function, a relevant etiologic factor in both schizophrenia and overeating. A comprehensive literature search on neurobiology of schizophrenia and of eating behavior was performed. The collected articles were critically reviewed and relevant data were extracted and summarized within four key areas: (1) energy homeostasis, (2) food reward and hedonics, (3) reward function in schizophrenia, and (4) metabolic effects of the SGAs. A mesolimbic hyperdopaminergic state may render motivational/incentive reward system insensitive to low salience/palatability food. This, together with poor cognitive control from hypofunctional prefrontal cortex and enhanced hedonic impact of food, owing to exaggerated opioidergic drive (clinically manifested as pain insensitivity), may underlie unhealthy eating habits in patients with schizophrenia. Treatment with SGAs purportedly improves dopamine-mediated reward aspects, but at the cost of increased appetite and worsened or at least not improved opiodergic capacity. These effects can further deteriorate eating patterns. Pathophysiological and therapeutic implications of these insights need further validation via prospective clinical trials and neuroimaging studies.", "author" : [ { "dropping-particle" : "", "family" : "Elman", "given" : "Igor", "non-dropping-particle" : "", "parse-names" : false, "suffix" : "" }, { "dropping-particle" : "", "family" : "Borsook", "given" : "David", "non-dropping-particle" : "", "parse-names" : false, "suffix" : "" }, { "dropping-particle" : "", "family" : "Lukas", "given" : "Scott E", "non-dropping-particle" : "", "parse-names" : false, "suffix" : "" } ], "container-title" : "Neuropsychopharmacology : official publication of the American College of Neuropsychopharmacology", "id" : "ITEM-1", "issue" : "10", "issued" : { "date-parts" : [ [ "2006", "10" ] ] }, "page" : "2091-120", "title" : "Food intake and reward mechanisms in patients with schizophrenia: implications for metabolic disturbances and treatment with second-generation antipsychotic agents.", "type" : "article-journal", "volume" : "31" }, "uris" : [ "http://www.mendeley.com/documents/?uuid=4a87693e-6665-473a-aec1-8ccb9bb3338b", "http://www.mendeley.com/documents/?uuid=6eeb4e71-496b-4933-8525-5e4d1c37b509" ] }, { "id" : "ITEM-2", "itemData" : { "ISSN" : "1470-2118", "PMID" : "15847005", "abstract" : "The effect on health of urbanisation is two-edged. On the one hand, there are the benefits of ready access to healthcare, sanitation, and secure nutrition, whilst on the other there are the evils of overcrowding, pollution, social deprivation, crime, and stress-related illness. In less developed countries, urbanisation also opens the door to 'western' diseases, including hypertension, heart disease, obesity, diabetes and asthma. Here we review some of the health-related aspects of urbanisation, and comment on strategies designed to improve urban health. Because there is such a clear divide between the long process of urbanisation in industrialised western nations and the relatively recent explosive expansion in resource-poor countries, they are discussed separately.", "author" : [ { "dropping-particle" : "", "family" : "Godfrey", "given" : "Richard", "non-dropping-particle" : "", "parse-names" : false, "suffix" : "" }, { "dropping-particle" : "", "family" : "Julien", "given" : "Marlene", "non-dropping-particle" : "", "parse-names" : false, "suffix" : "" } ], "container-title" : "Clinical medicine (London, England)", "id" : "ITEM-2", "issue" : "2", "issued" : { "date-parts" : [ [ "0" ] ] }, "page" : "137-41", "title" : "Urbanisation and health.", "type" : "article-journal", "volume" : "5" }, "uris" : [ "http://www.mendeley.com/documents/?uuid=79f08703-cf50-4f48-942f-5cd5c7a6b7e3", "http://www.mendeley.com/documents/?uuid=71437ff4-16a8-48de-96d9-5fca8426c7ea" ] }, { "id" : "ITEM-3", "itemData" : { "ISSN" : "0033-2917", "PMID" : "10405091", "abstract" : "BACKGROUND: Schizophrenia has a high natural mortality of a largely environmental aetiology. There is, however, little research about possible risk factors. This study measured the diet, cigarette and alcohol use, exercise and obesity of a cohort of people with schizophrenia and compared results to general population rates. METHODS: Semi-structured interview using validated research instruments on 102 middle-aged subjects with a diagnosis of schizophrenia, living in the community. Results were compared to general population norms using standard statistical tests. RESULTS: The subjects ate a diet higher in fat and lower in fibre than the general population. They look little exercise but were not significantly more obese. They smoked heavily but drank less alcohol. Most differences remained significant after controlling for social class. CONCLUSIONS: People with schizophrenia have an unhealthy lifestyle, which probably contributes to the excess mortality of the disease. They are therefore an appropriate target group for health promotion interventions.", "author" : [ { "dropping-particle" : "", "family" : "Brown", "given" : "S", "non-dropping-particle" : "", "parse-names" : false, "suffix" : "" }, { "dropping-particle" : "", "family" : "Birtwistle", "given" : "J", "non-dropping-particle" : "", "parse-names" : false, "suffix" : "" }, { "dropping-particle" : "", "family" : "Roe", "given" : "L", "non-dropping-particle" : "", "parse-names" : false, "suffix" : "" }, { "dropping-particle" : "", "family" : "Thompson", "given" : "C", "non-dropping-particle" : "", "parse-names" : false, "suffix" : "" } ], "container-title" : "Psychological medicine", "id" : "ITEM-3", "issue" : "3", "issued" : { "date-parts" : [ [ "1999", "5" ] ] }, "page" : "697-701", "title" : "The unhealthy lifestyle of people with schizophrenia.", "type" : "article-journal", "volume" : "29" }, "uris" : [ "http://www.mendeley.com/documents/?uuid=80bfdcc0-079a-4600-a75d-cfca0a073b78", "http://www.mendeley.com/documents/?uuid=2b498afe-c927-4b3f-8495-897156db12f6" ] }, { "id" : "ITEM-4", "itemData" : { "DOI" : "10.1111/j.1399-5618.2007.00386.x", "ISSN" : "1398-5647", "PMID" : "17680914", "abstract" : "OBJECTIVES: There have been few comprehensive studies of nutrition and exercise behaviors among patients with bipolar disorder (BPD). Based on a national sample of patients receiving care in the Veterans Affairs (VA) health care system, we compared nutrition and exercise behaviors among individuals diagnosed with BPD, others diagnosed with schizophrenia, and others who did not receive diagnoses of serious mental illness (SMI). METHODS: We conducted a cross-sectional study of patients who completed the VA's Large Health Survey of Veteran Enrollees section on health and nutrition in fiscal year (FY) 1999 and who either received a diagnosis of BPD (n = 2,032) or schizophrenia (n = 1,895), or were included in a random sample of non-SMI VA patients (n = 3,065). We compared nutrition and exercise behaviors using multivariable logistic regression, controlling for patient socio-economic and clinical factors, and adjusting for patients clustered by site using generalized estimating equations. RESULTS: Patients with BPD were more likely to report poor exercise habits, including infrequent walking (odds ratio, OR = 1.33, p &lt; 0.001) or strength exercises (OR = 1.28, p &lt; 0.001) than those with no SMI. They were also more likely to self-report suboptimal eating behaviors, including having fewer than two daily meals (OR = 1.32, p &lt; 0.001) and having difficulty obtaining or cooking food (OR = 1.48, p &lt; 0.001). Patients with BPD were also more likely to report having gained &gt;or=10 pounds in the past 6 months (OR = 1.59, p &lt; 0.001) and were the least likely to report that their health care provider discussed their eating habits (OR = 0.84, p &lt; 0.05) or physical activity (OR = 0.81, p &lt; 0.01). CONCLUSIONS: Greater efforts are needed to reduce the risk of poor nutrition and exercise habits among patients diagnosed with BPD.", "author" : [ { "dropping-particle" : "", "family" : "Kilbourne", "given" : "Amy M", "non-dropping-particle" : "", "parse-names" : false, "suffix" : "" }, { "dropping-particle" : "", "family" : "Rofey", "given" : "Dana L", "non-dropping-particle" : "", "parse-names" : false, "suffix" : "" }, { "dropping-particle" : "", "family" : "McCarthy", "given" : "John F", "non-dropping-particle" : "", "parse-names" : false, "suffix" : "" }, { "dropping-particle" : "", "family" : "Post", "given" : "Edward P", "non-dropping-particle" : "", "parse-names" : false, "suffix" : "" }, { "dropping-particle" : "", "family" : "Welsh", "given" : "Deborah", "non-dropping-particle" : "", "parse-names" : false, "suffix" : "" }, { "dropping-particle" : "", "family" : "Blow", "given" : "Frederic C", "non-dropping-particle" : "", "parse-names" : false, "suffix" : "" } ], "container-title" : "Bipolar disorders", "id" : "ITEM-4", "issue" : "5", "issued" : { "date-parts" : [ [ "2007", "8" ] ] }, "page" : "443-52", "title" : "Nutrition and exercise behavior among patients with bipolar disorder.", "type" : "article-journal", "volume" : "9" }, "uris" : [ "http://www.mendeley.com/documents/?uuid=038014cb-bd62-4440-913f-4008f03308cd", "http://www.mendeley.com/documents/?uuid=e8250b83-1eb9-4476-b986-6cd9a8ec40ff", "http://www.mendeley.com/documents/?uuid=d7e191d8-68f3-4b01-9455-4aea19b9f40c" ] } ], "mendeley" : { "formattedCitation" : "&lt;sup&gt;4\u20137&lt;/sup&gt;", "plainTextFormattedCitation" : "4\u20137", "previouslyFormattedCitation" : "&lt;sup&gt;4\u20137&lt;/sup&gt;" }, "properties" : { "noteIndex" : 0 }, "schema" : "https://github.com/citation-style-language/schema/raw/master/csl-citation.json" }</w:instrText>
      </w:r>
      <w:r>
        <w:fldChar w:fldCharType="separate"/>
      </w:r>
      <w:r w:rsidRPr="00AB263A">
        <w:rPr>
          <w:noProof/>
          <w:vertAlign w:val="superscript"/>
        </w:rPr>
        <w:t>4–7</w:t>
      </w:r>
      <w:r>
        <w:fldChar w:fldCharType="end"/>
      </w:r>
      <w:r>
        <w:t xml:space="preserve"> all </w:t>
      </w:r>
      <w:r w:rsidR="00A739A7">
        <w:t xml:space="preserve">of which are </w:t>
      </w:r>
      <w:r>
        <w:t xml:space="preserve">associated with obesity.  </w:t>
      </w:r>
    </w:p>
    <w:p w14:paraId="7744348B" w14:textId="7B7AB4AD" w:rsidR="004953BB" w:rsidRDefault="004953BB" w:rsidP="00A739A7">
      <w:r>
        <w:t>The National Institute of Health and Care Excellence (NICE) recommends that people with psychosis or schizophrenia, particularly those taking antipsychotics, should be offered access to a combined healthy eating and physical activity programme to aid in the prevention of weight gain and its related co-morbidities leading to improved quality of life</w:t>
      </w:r>
      <w:r>
        <w:fldChar w:fldCharType="begin" w:fldLock="1"/>
      </w:r>
      <w:r>
        <w:instrText>ADDIN CSL_CITATION { "citationItems" : [ { "id" : "ITEM-1", "itemData" : { "DOI" : "10.1002/14651858.CD010823.pub2.Copyright", "ISBN" : "GC178", "PMID" : "25340235", "abstract" : "The summary of the published clinical guideline on Psychosis and schizophrenia in adults. It links to the published guidance and key documents.", "author" : [ { "dropping-particle" : "", "family" : "National Collaborating Centre for Mental Health", "given" : "", "non-dropping-particle" : "", "parse-names" : false, "suffix" : "" } ], "container-title" : "Nice", "id" : "ITEM-1", "issue" : "February", "issued" : { "date-parts" : [ [ "2014" ] ] }, "page" : "Feb 54 Clinical Guidelines n\u00b0 178", "title" : "Psychosis and schizophrenia in adults: treatment and management", "type" : "article-journal" }, "uris" : [ "http://www.mendeley.com/documents/?uuid=0228bee8-abd8-45f0-b91a-c5307051c938", "http://www.mendeley.com/documents/?uuid=ea98237f-b10a-47c3-b159-99e698e3b40f" ] } ], "mendeley" : { "formattedCitation" : "&lt;sup&gt;8&lt;/sup&gt;", "plainTextFormattedCitation" : "8", "previouslyFormattedCitation" : "&lt;sup&gt;8&lt;/sup&gt;" }, "properties" : { "noteIndex" : 0 }, "schema" : "https://github.com/citation-style-language/schema/raw/master/csl-citation.json" }</w:instrText>
      </w:r>
      <w:r>
        <w:fldChar w:fldCharType="separate"/>
      </w:r>
      <w:r w:rsidRPr="007C2D08">
        <w:rPr>
          <w:noProof/>
          <w:vertAlign w:val="superscript"/>
        </w:rPr>
        <w:t>8</w:t>
      </w:r>
      <w:r>
        <w:fldChar w:fldCharType="end"/>
      </w:r>
      <w:r>
        <w:t xml:space="preserve">. </w:t>
      </w:r>
      <w:r w:rsidR="00DB16DF">
        <w:t>They</w:t>
      </w:r>
      <w:r w:rsidR="00063E2A">
        <w:t xml:space="preserve"> should </w:t>
      </w:r>
      <w:r w:rsidR="005B642C">
        <w:t xml:space="preserve">be supported by clinicians to make choices </w:t>
      </w:r>
      <w:r w:rsidR="00DB16DF">
        <w:t>about antipsychotic medication</w:t>
      </w:r>
      <w:r w:rsidR="00A739A7">
        <w:t>,</w:t>
      </w:r>
      <w:r w:rsidR="00DB16DF">
        <w:t xml:space="preserve"> </w:t>
      </w:r>
      <w:r w:rsidR="005B642C">
        <w:t>informed by</w:t>
      </w:r>
      <w:r w:rsidR="00063E2A">
        <w:t xml:space="preserve"> discussions </w:t>
      </w:r>
      <w:r w:rsidR="00DB16DF">
        <w:t xml:space="preserve">of likely benefits, possible </w:t>
      </w:r>
      <w:r w:rsidR="00063E2A">
        <w:t>side effects</w:t>
      </w:r>
      <w:r w:rsidR="00A739A7">
        <w:t>,</w:t>
      </w:r>
      <w:r w:rsidR="00DB16DF" w:rsidRPr="00DB16DF">
        <w:t xml:space="preserve"> </w:t>
      </w:r>
      <w:r w:rsidR="00DB16DF">
        <w:t>such as weight gain and metabolic disturbance</w:t>
      </w:r>
      <w:r w:rsidR="00063E2A">
        <w:t>, and impact on other aspects of their physical health</w:t>
      </w:r>
      <w:r w:rsidR="00A739A7">
        <w:t xml:space="preserve">. </w:t>
      </w:r>
      <w:r w:rsidR="00035061">
        <w:t xml:space="preserve">For those who smoke, help </w:t>
      </w:r>
      <w:r w:rsidR="00063E2A">
        <w:t xml:space="preserve">should be offered to stop smoking </w:t>
      </w:r>
      <w:r w:rsidR="00063E2A">
        <w:fldChar w:fldCharType="begin" w:fldLock="1"/>
      </w:r>
      <w:r w:rsidR="008F1467">
        <w:instrText>ADDIN CSL_CITATION { "citationItems" : [ { "id" : "ITEM-1", "itemData" : { "DOI" : "10.1002/14651858.CD010823.pub2.Copyright", "ISBN" : "GC178", "PMID" : "25340235", "abstract" : "The summary of the published clinical guideline on Psychosis and schizophrenia in adults. It links to the published guidance and key documents.", "author" : [ { "dropping-particle" : "", "family" : "National Collaborating Centre for Mental Health", "given" : "", "non-dropping-particle" : "", "parse-names" : false, "suffix" : "" } ], "container-title" : "Nice", "id" : "ITEM-1", "issue" : "February", "issued" : { "date-parts" : [ [ "2014" ] ] }, "page" : "Feb 54 Clinical Guidelines n\u00b0 178", "title" : "Psychosis and schizophrenia in adults: treatment and management", "type" : "article-journal" }, "uris" : [ "http://www.mendeley.com/documents/?uuid=0228bee8-abd8-45f0-b91a-c5307051c938" ] } ], "mendeley" : { "formattedCitation" : "&lt;sup&gt;8&lt;/sup&gt;", "plainTextFormattedCitation" : "8", "previouslyFormattedCitation" : "&lt;sup&gt;8&lt;/sup&gt;" }, "properties" : { "noteIndex" : 0 }, "schema" : "https://github.com/citation-style-language/schema/raw/master/csl-citation.json" }</w:instrText>
      </w:r>
      <w:r w:rsidR="00063E2A">
        <w:fldChar w:fldCharType="separate"/>
      </w:r>
      <w:r w:rsidR="00063E2A" w:rsidRPr="00063E2A">
        <w:rPr>
          <w:noProof/>
          <w:vertAlign w:val="superscript"/>
        </w:rPr>
        <w:t>8</w:t>
      </w:r>
      <w:r w:rsidR="00063E2A">
        <w:fldChar w:fldCharType="end"/>
      </w:r>
      <w:r w:rsidR="00063E2A">
        <w:t>.</w:t>
      </w:r>
    </w:p>
    <w:p w14:paraId="0EA0ADC3" w14:textId="33855415" w:rsidR="004953BB" w:rsidRDefault="004953BB" w:rsidP="00897AB4">
      <w:r>
        <w:t>The STEPWISE study (</w:t>
      </w:r>
      <w:r w:rsidRPr="003B200D">
        <w:t>ISRCTN19447796</w:t>
      </w:r>
      <w:r>
        <w:t xml:space="preserve">) was commissioned </w:t>
      </w:r>
      <w:r w:rsidRPr="00B82BEA">
        <w:t xml:space="preserve">to evaluate the extent to which a structured lifestyle education programme, when delivered to </w:t>
      </w:r>
      <w:r>
        <w:t>adults</w:t>
      </w:r>
      <w:r w:rsidRPr="00B82BEA">
        <w:t xml:space="preserve"> with schizophrenia, including those with schizoaffective disorder or first episode psychosis, in a community mental health setting, can support weight loss</w:t>
      </w:r>
      <w:r w:rsidR="008F1467">
        <w:t>, compared to usual care</w:t>
      </w:r>
      <w:r>
        <w:t xml:space="preserve">. In pragmatic trials,  </w:t>
      </w:r>
      <w:r w:rsidRPr="00C27AD6">
        <w:t>practitioners</w:t>
      </w:r>
      <w:r>
        <w:t xml:space="preserve"> are </w:t>
      </w:r>
      <w:r w:rsidR="008F1467">
        <w:t xml:space="preserve">often </w:t>
      </w:r>
      <w:r>
        <w:t>allowed “</w:t>
      </w:r>
      <w:r w:rsidRPr="00C27AD6">
        <w:t xml:space="preserve">considerable leeway in deciding how to </w:t>
      </w:r>
      <w:r>
        <w:t xml:space="preserve">formulate and </w:t>
      </w:r>
      <w:r w:rsidRPr="00C27AD6">
        <w:t>apply</w:t>
      </w:r>
      <w:r w:rsidRPr="008F705A">
        <w:t>”</w:t>
      </w:r>
      <w:r>
        <w:t xml:space="preserve"> the treatment in a control arm defined as “usual care”</w:t>
      </w:r>
      <w:r w:rsidRPr="008F705A">
        <w:t>.</w:t>
      </w:r>
      <w:r>
        <w:fldChar w:fldCharType="begin" w:fldLock="1"/>
      </w:r>
      <w:r>
        <w:instrText>ADDIN CSL_CITATION { "citationItems" : [ { "id" : "ITEM-1", "itemData" : { "DOI" : "10.1016/j.jclinepi.2008.12.011", "ISSN" : "08954356", "PMID" : "19348971", "abstract" : "To propose a tool to assist trialists in making design decisions that are consistent with their trial's stated purpose. Randomized trials have been broadly categorized as either having a pragmatic or explanatory attitude. Pragmatic trials seek to answer the question, \u201d Does this intervention work under usual conditions?,\u201d whereas explanatory trials are focused on the question, \u201d Can this intervention work under ideal conditions?\u201d Design decisions make a trial more (or less) pragmatic or explanatory, but no tool currently exists to help researchers make the best decisions possible in accordance with their trial's primary goal. During the course of two international meetings, participants with experience in clinical care, research commissioning, health care financing, trial methodology, and reporting defined and refined aspects of trial design that distinguish pragmatic attitudes from explanatory. We have developed a tool (called PRECIS) with 10 key domains and which identifies criteria to help researchers determine how pragmatic or explanatory their trial is. The assessment is summarized graphically. We believe that PRECIS is a useful first step toward a tool that can help trialists to ensure that their design decisions are consistent with the stated purpose of the trial.", "author" : [ { "dropping-particle" : "", "family" : "Thorpe", "given" : "Kevin E", "non-dropping-particle" : "", "parse-names" : false, "suffix" : "" }, { "dropping-particle" : "", "family" : "Zwarenstein", "given" : "Merrick", "non-dropping-particle" : "", "parse-names" : false, "suffix" : "" }, { "dropping-particle" : "", "family" : "Oxman", "given" : "Andrew D", "non-dropping-particle" : "", "parse-names" : false, "suffix" : "" }, { "dropping-particle" : "", "family" : "Treweek", "given" : "Shaun", "non-dropping-particle" : "", "parse-names" : false, "suffix" : "" }, { "dropping-particle" : "", "family" : "Furberg", "given" : "Curt D", "non-dropping-particle" : "", "parse-names" : false, "suffix" : "" }, { "dropping-particle" : "", "family" : "Altman", "given" : "Douglas G", "non-dropping-particle" : "", "parse-names" : false, "suffix" : "" }, { "dropping-particle" : "", "family" : "Tunis", "given" : "Sean", "non-dropping-particle" : "", "parse-names" : false, "suffix" : "" }, { "dropping-particle" : "", "family" : "Bergel", "given" : "Eduardo", "non-dropping-particle" : "", "parse-names" : false, "suffix" : "" }, { "dropping-particle" : "", "family" : "Harvey", "given" : "Ian", "non-dropping-particle" : "", "parse-names" : false, "suffix" : "" }, { "dropping-particle" : "", "family" : "Magid", "given" : "David J", "non-dropping-particle" : "", "parse-names" : false, "suffix" : "" }, { "dropping-particle" : "", "family" : "Chalkidou", "given" : "Kalipso", "non-dropping-particle" : "", "parse-names" : false, "suffix" : "" } ], "container-title" : "Journal of Clinical Epidemiology", "id" : "ITEM-1", "issue" : "5", "issued" : { "date-parts" : [ [ "2009", "5" ] ] }, "page" : "464-475", "publisher" : "Elsevier Inc", "title" : "A pragmatic\u2013explanatory continuum indicator summary (PRECIS): a tool to help trial designers", "type" : "article-journal", "volume" : "62" }, "uris" : [ "http://www.mendeley.com/documents/?uuid=1bf8e7d4-62bf-4ac6-b5be-28ea83be4c47", "http://www.mendeley.com/documents/?uuid=23aee340-debe-49f5-a0da-81c6b2f23d4d" ] } ], "mendeley" : { "formattedCitation" : "&lt;sup&gt;9&lt;/sup&gt;", "plainTextFormattedCitation" : "9", "previouslyFormattedCitation" : "&lt;sup&gt;9&lt;/sup&gt;" }, "properties" : { "noteIndex" : 0 }, "schema" : "https://github.com/citation-style-language/schema/raw/master/csl-citation.json" }</w:instrText>
      </w:r>
      <w:r>
        <w:fldChar w:fldCharType="separate"/>
      </w:r>
      <w:r w:rsidRPr="003B200D">
        <w:rPr>
          <w:noProof/>
          <w:vertAlign w:val="superscript"/>
        </w:rPr>
        <w:t>9</w:t>
      </w:r>
      <w:r>
        <w:fldChar w:fldCharType="end"/>
      </w:r>
      <w:r>
        <w:t xml:space="preserve"> While the result may be reflective of the care received by patients outside the trial, there is often variation in care in an active control arm, which may be difficult to document</w:t>
      </w:r>
      <w:r>
        <w:fldChar w:fldCharType="begin" w:fldLock="1"/>
      </w:r>
      <w:r>
        <w:instrText>ADDIN CSL_CITATION { "citationItems" : [ { "id" : "ITEM-1", "itemData" : { "DOI" : "10.1080/08870446.2014.953528", "ISSN" : "1476-8321", "PMID" : "25118842", "abstract" : "OBJECTIVE: Poor descriptions of standard care may compromise interpretation of results in randomised controlled trials (RCTs) of health interventions. We investigated quality of standard care in RCTs of behaviour change interventions for young people with type 1 diabetes and consider implications for evaluating trial outcomes. DESIGN: We conducted systematic searches for articles published between 1999 and 2012. We extracted standard care descriptions and contacted trial authors to complete a checklist of standard care activities. The relationship between standard care quality and outcomes was examined via subgroup meta-analyses and meta-regression. MAIN OUTCOME MEASURES: Standard care descriptions, standard care quality, and relationships between standard care quality with medical and psychological outcomes. RESULTS: We identified 20 RCTs described across 26 articles. Published descriptions of standard care were limited to service-level features. Author responses indicated standard care provision extended beyond published accounts. Subgroup analyses suggested control groups receiving higher standard care quality showed larger improvements in both medical and psychological outcomes, although standard care quality did not predict outcomes significantly. CONCLUSION: The quality of care delivered to control group participants can influence outcomes of RCTs. Inadequate reporting exacerbates this issue by masking variations between trials. We argue for increased clarity in reporting standard care in future trials.", "author" : [ { "dropping-particle" : "", "family" : "Ayling", "given" : "K", "non-dropping-particle" : "", "parse-names" : false, "suffix" : "" }, { "dropping-particle" : "", "family" : "Brierley", "given" : "S", "non-dropping-particle" : "", "parse-names" : false, "suffix" : "" }, { "dropping-particle" : "", "family" : "Johnson", "given" : "B", "non-dropping-particle" : "", "parse-names" : false, "suffix" : "" }, { "dropping-particle" : "", "family" : "Heller", "given" : "S", "non-dropping-particle" : "", "parse-names" : false, "suffix" : "" }, { "dropping-particle" : "", "family" : "Eiser", "given" : "C", "non-dropping-particle" : "", "parse-names" : false, "suffix" : "" } ], "container-title" : "Psychology &amp; health", "id" : "ITEM-1", "issue" : "1", "issued" : { "date-parts" : [ [ "2015" ] ] }, "page" : "85-103", "title" : "How standard is standard care? Exploring control group outcomes in behaviour change interventions for young people with type 1 diabetes.", "type" : "article-journal", "volume" : "30" }, "uris" : [ "http://www.mendeley.com/documents/?uuid=9745c02b-83b0-4195-8fa9-d882bc33b31a", "http://www.mendeley.com/documents/?uuid=295373e8-a072-4901-a409-dbfef6e1b850", "http://www.mendeley.com/documents/?uuid=7c0e05f2-925a-4c24-913c-fb26fbc7030e" ] }, { "id" : "ITEM-2", "itemData" : { "DOI" : "10.1192/bjp.bp.108.062968", "ISSN" : "0007-1250", "author" : [ { "dropping-particle" : "", "family" : "Burns", "given" : "T.", "non-dropping-particle" : "", "parse-names" : false, "suffix" : "" } ], "container-title" : "The British Journal of Psychiatry", "id" : "ITEM-2", "issue" : "1", "issued" : { "date-parts" : [ [ "2009" ] ] }, "page" : "5-6", "title" : "End of the road for treatment-as-usual studies?", "type" : "article-journal", "volume" : "195" }, "uris" : [ "http://www.mendeley.com/documents/?uuid=6b5b3156-efb5-46fb-aec3-57d6fe50cfbf", "http://www.mendeley.com/documents/?uuid=052e00be-67ee-48f8-a9ce-02c2209a808f", "http://www.mendeley.com/documents/?uuid=ea39ba91-bb09-4ae1-a162-dfa6fd44b98b" ] } ], "mendeley" : { "formattedCitation" : "&lt;sup&gt;10,11&lt;/sup&gt;", "plainTextFormattedCitation" : "10,11", "previouslyFormattedCitation" : "&lt;sup&gt;10,11&lt;/sup&gt;" }, "properties" : { "noteIndex" : 0 }, "schema" : "https://github.com/citation-style-language/schema/raw/master/csl-citation.json" }</w:instrText>
      </w:r>
      <w:r>
        <w:fldChar w:fldCharType="separate"/>
      </w:r>
      <w:r w:rsidRPr="003B200D">
        <w:rPr>
          <w:noProof/>
          <w:vertAlign w:val="superscript"/>
        </w:rPr>
        <w:t>10,11</w:t>
      </w:r>
      <w:r>
        <w:fldChar w:fldCharType="end"/>
      </w:r>
      <w:r>
        <w:t xml:space="preserve">. For this reason, study teams </w:t>
      </w:r>
      <w:r w:rsidR="008F1467">
        <w:t xml:space="preserve">often try and capture </w:t>
      </w:r>
      <w:r>
        <w:t>the active content of the control arm of their trials</w:t>
      </w:r>
      <w:r>
        <w:fldChar w:fldCharType="begin" w:fldLock="1"/>
      </w:r>
      <w:r w:rsidR="003A7B45">
        <w:instrText>ADDIN CSL_CITATION { "citationItems" : [ { "id" : "ITEM-1", "itemData" : { "DOI" : "10.1080/08870446.2014.1001392", "ISSN" : "1476-8321", "PMID" : "25601425", "abstract" : "OBJECTIVE: Reporting guidelines call for descriptions of control group support in equal detail as for interventions. However, how to assess the active content (behaviour change techniques (BCTs)) of treatment-as-usual (TAU) delivered to control groups in trials remains unclear. The objective of this study is to pre-test a method of assessing TAU in a multicentre cost-effectiveness trial of an HIV-treatment adherence intervention.\\n\\nDESIGN: HIV-nurses (N\u00a0=\u00a021) completed a semi-structured open-ended questionnaire enquiring about TAU adherence counselling. Two coders independently coded BCTs.\\n\\nMAIN OUTCOME MEASURES: Completeness and clarity of nurse responses, inter-coder reliabilities and the type of BCTs reported were examined.\\n\\nRESULTS: The clarity and completeness of nurse responses were adequate. Twenty-three of the 26 identified BCTs could be reliably coded (mean \u03ba\u00a0=\u00a0.79; mean agreement rate\u00a0=\u00a096%) and three BCTs scored below \u03ba\u00a0=\u00a0.60. Total number of BCTs reported per nurse ranged between 7 and 19 (M\u00a0=\u00a013.86, SD\u00a0=\u00a03.35).\\n\\nCONCLUSIONS: This study suggests that the TAU open-ended questionnaire is a feasible and reliable tool to capture active content of support provided to control participants in a multicentre adherence intervention trial. Considerable variability in the number of BCTs provided to control patients was observed, illustrating the importance of reliably collecting and accurately reporting control group support.", "author" : [ { "dropping-particle" : "", "family" : "Oberj\u00e9", "given" : "Edwin J M", "non-dropping-particle" : "", "parse-names" : false, "suffix" : "" }, { "dropping-particle" : "", "family" : "Dima", "given" : "Alexandra L", "non-dropping-particle" : "", "parse-names" : false, "suffix" : "" }, { "dropping-particle" : "", "family" : "Pijnappel", "given" : "Frank J", "non-dropping-particle" : "", "parse-names" : false, "suffix" : "" }, { "dropping-particle" : "", "family" : "Prins", "given" : "Jan M", "non-dropping-particle" : "", "parse-names" : false, "suffix" : "" }, { "dropping-particle" : "", "family" : "Bruin", "given" : "Marijn", "non-dropping-particle" : "de", "parse-names" : false, "suffix" : "" } ], "container-title" : "Psychology &amp; health", "id" : "ITEM-1", "issue" : "8", "issued" : { "date-parts" : [ [ "2015" ] ] }, "page" : "897-910", "title" : "Assessing treatment-as-usual provided to control groups in adherence trials: Exploring the use of an open-ended questionnaire for identifying behaviour change techniques.", "type" : "article-journal", "volume" : "30" }, "uris" : [ "http://www.mendeley.com/documents/?uuid=f62b1b36-7e87-4831-bf09-6b341dac9177", "http://www.mendeley.com/documents/?uuid=e1c8a8e4-de9f-44ba-ab29-16b846559f6d" ] } ], "mendeley" : { "formattedCitation" : "&lt;sup&gt;12&lt;/sup&gt;", "plainTextFormattedCitation" : "12", "previouslyFormattedCitation" : "&lt;sup&gt;12&lt;/sup&gt;" }, "properties" : { "noteIndex" : 0 }, "schema" : "https://github.com/citation-style-language/schema/raw/master/csl-citation.json" }</w:instrText>
      </w:r>
      <w:r>
        <w:fldChar w:fldCharType="separate"/>
      </w:r>
      <w:r w:rsidR="008F1467" w:rsidRPr="008F1467">
        <w:rPr>
          <w:noProof/>
          <w:vertAlign w:val="superscript"/>
        </w:rPr>
        <w:t>12</w:t>
      </w:r>
      <w:r>
        <w:fldChar w:fldCharType="end"/>
      </w:r>
      <w:r>
        <w:t xml:space="preserve">. In </w:t>
      </w:r>
      <w:r>
        <w:lastRenderedPageBreak/>
        <w:t xml:space="preserve">this paper we describe a survey of ‘usual care’ for the management of weight and other lifestyle factors in people with schizophrenia, schizoaffective disorder and first episode psychosis in the ten participating study sites. </w:t>
      </w:r>
    </w:p>
    <w:p w14:paraId="4536CFA8" w14:textId="77777777" w:rsidR="004953BB" w:rsidRDefault="004953BB" w:rsidP="00561058">
      <w:pPr>
        <w:pStyle w:val="Heading1"/>
      </w:pPr>
      <w:r>
        <w:t>METHODS</w:t>
      </w:r>
    </w:p>
    <w:p w14:paraId="62C93440" w14:textId="77777777" w:rsidR="004953BB" w:rsidRDefault="004953BB" w:rsidP="005A6BB0">
      <w:pPr>
        <w:pStyle w:val="Heading2"/>
      </w:pPr>
      <w:r w:rsidRPr="00B13399">
        <w:t>Research Tool</w:t>
      </w:r>
    </w:p>
    <w:p w14:paraId="5BE65B62" w14:textId="77777777" w:rsidR="004953BB" w:rsidRDefault="004953BB" w:rsidP="00661530">
      <w:r>
        <w:t>The survey instrument consisted of 14 questions, which were a combination of closed and open design, with the aim of eliciting information about the implementation of the recent NICE guidance on psychosis and schizophrenia at NHS Mental Health Trusts in the UK, and consequently what is offered as “usual care”. The survey was developed for the research study, based on the physical health aspects of the NICE recommendations within Clinical Guideline 178 (Psychosis and schizophrenia in adults: prevention and management). Questions followed the baseline assessment tool published alongside the NICE guidance</w:t>
      </w:r>
      <w:r>
        <w:fldChar w:fldCharType="begin" w:fldLock="1"/>
      </w:r>
      <w:r>
        <w:instrText>ADDIN CSL_CITATION { "citationItems" : [ { "id" : "ITEM-1", "itemData" : { "DOI" : "10.1002/14651858.CD010823.pub2.Copyright", "ISBN" : "GC178", "PMID" : "25340235", "abstract" : "The summary of the published clinical guideline on Psychosis and schizophrenia in adults. It links to the published guidance and key documents.", "author" : [ { "dropping-particle" : "", "family" : "National Collaborating Centre for Mental Health", "given" : "", "non-dropping-particle" : "", "parse-names" : false, "suffix" : "" } ], "container-title" : "Nice", "id" : "ITEM-1", "issue" : "February", "issued" : { "date-parts" : [ [ "2014" ] ] }, "page" : "Feb 54 Clinical Guidelines n\u00b0 178", "title" : "Psychosis and schizophrenia in adults: treatment and management", "type" : "article-journal" }, "uris" : [ "http://www.mendeley.com/documents/?uuid=ea98237f-b10a-47c3-b159-99e698e3b40f", "http://www.mendeley.com/documents/?uuid=0228bee8-abd8-45f0-b91a-c5307051c938" ] } ], "mendeley" : { "formattedCitation" : "&lt;sup&gt;8&lt;/sup&gt;", "plainTextFormattedCitation" : "8", "previouslyFormattedCitation" : "&lt;sup&gt;8&lt;/sup&gt;" }, "properties" : { "noteIndex" : 0 }, "schema" : "https://github.com/citation-style-language/schema/raw/master/csl-citation.json" }</w:instrText>
      </w:r>
      <w:r>
        <w:fldChar w:fldCharType="separate"/>
      </w:r>
      <w:r w:rsidRPr="00206E99">
        <w:rPr>
          <w:noProof/>
          <w:vertAlign w:val="superscript"/>
        </w:rPr>
        <w:t>8</w:t>
      </w:r>
      <w:r>
        <w:fldChar w:fldCharType="end"/>
      </w:r>
      <w:r>
        <w:t xml:space="preserve">. </w:t>
      </w:r>
    </w:p>
    <w:p w14:paraId="2F4C9A2A" w14:textId="7B91D70D" w:rsidR="004953BB" w:rsidRDefault="004953BB" w:rsidP="00A739A7">
      <w:r>
        <w:t xml:space="preserve">The instrument was piloted with one study site investigator (JM), on two occasions, after each of which substantial changes were made to the tool. </w:t>
      </w:r>
      <w:r w:rsidRPr="005C6545">
        <w:t>For instance,</w:t>
      </w:r>
      <w:r>
        <w:t xml:space="preserve"> the second iteration revised questions to ascertain proportions of patients </w:t>
      </w:r>
      <w:r w:rsidR="00A739A7">
        <w:t xml:space="preserve">to whom </w:t>
      </w:r>
      <w:r>
        <w:t>certain criteria apply rather than closed questions such as “are patients referred to a healthy eating programme”. The final version of the tool also clarified which questions related to all patients with schizophrenia, schizoaffective disorder and first episode psychosis, and which questions related to patients with first episode psychosis only</w:t>
      </w:r>
      <w:r w:rsidR="00093667">
        <w:t xml:space="preserve"> (see Appendix 1)</w:t>
      </w:r>
      <w:r>
        <w:t xml:space="preserve">. </w:t>
      </w:r>
      <w:r w:rsidR="0055194B">
        <w:t>This is in line with the additional recommendations specified in the NICE guidance for patients with first episode psychosis, who have recently been prescribed antipsychotic medication; these additional questions were not applicable to the management of patients with established mental illnesses.</w:t>
      </w:r>
    </w:p>
    <w:p w14:paraId="28C315C0" w14:textId="77777777" w:rsidR="004953BB" w:rsidRDefault="004953BB" w:rsidP="005D2D3A">
      <w:pPr>
        <w:pStyle w:val="Heading2"/>
      </w:pPr>
      <w:r>
        <w:t>Survey Structure</w:t>
      </w:r>
    </w:p>
    <w:p w14:paraId="5F262E15" w14:textId="77777777" w:rsidR="004953BB" w:rsidRDefault="004953BB" w:rsidP="00661530">
      <w:r>
        <w:t>Trusts were initially asked whether they offered a healthy eating a</w:t>
      </w:r>
      <w:r w:rsidR="004118E3">
        <w:t xml:space="preserve">nd physical activity programme. Subsequent questions asked more information about these courses, including whether these were combined or separate for healthy eating and physical activity; how patients accessed them; and how </w:t>
      </w:r>
      <w:r w:rsidR="004118E3">
        <w:lastRenderedPageBreak/>
        <w:t>often patients are referred to such services. Additional information was sought on the availability of smoking cessation services in this population and whether discussions took place between patients and clinicians prior to antipsychotic treatment initiation; including benefits of treatment, interactions with other substances, and other possible side effects.</w:t>
      </w:r>
    </w:p>
    <w:p w14:paraId="56C2B278" w14:textId="77777777" w:rsidR="004953BB" w:rsidRDefault="004118E3" w:rsidP="00A0174F">
      <w:proofErr w:type="gramStart"/>
      <w:r>
        <w:t>In addition, NICE recommend that a</w:t>
      </w:r>
      <w:r w:rsidR="004953BB">
        <w:t xml:space="preserve"> number of physiological measures should be recorded both prior to the patient starting antipsychotic medication, and then annually thereafter.</w:t>
      </w:r>
      <w:proofErr w:type="gramEnd"/>
      <w:r w:rsidR="004953BB">
        <w:t xml:space="preserve"> Respondents were asked to comment on how likely each measure would be recorded at both of these time points in their trust. Respondents were also asked about how often patients taking antipsychotic medication have their weight recorded. The full survey can be viewed in Appendix 1.</w:t>
      </w:r>
    </w:p>
    <w:p w14:paraId="06459371" w14:textId="77777777" w:rsidR="004953BB" w:rsidRDefault="004953BB" w:rsidP="00EE0AC5">
      <w:pPr>
        <w:pStyle w:val="Heading2"/>
      </w:pPr>
      <w:r w:rsidRPr="00B13399">
        <w:t>Sample selection</w:t>
      </w:r>
    </w:p>
    <w:p w14:paraId="36361478" w14:textId="77777777" w:rsidR="004953BB" w:rsidRDefault="004953BB" w:rsidP="00A0174F">
      <w:r>
        <w:t>The STEPWISE trial has ten centres, across a variety of urban, suburban and rural locations across England</w:t>
      </w:r>
      <w:r w:rsidR="008E2774">
        <w:t xml:space="preserve">; </w:t>
      </w:r>
      <w:r w:rsidR="007B4603">
        <w:t xml:space="preserve">Sheffield Health &amp; Social Care NHS Foundation Trust, Leeds &amp; York Partnership NHS Foundation Trust, Bradford District Care NHS Foundation Trust, Greater Manchester West Mental Health NHS Foundation Trust, South London &amp; </w:t>
      </w:r>
      <w:proofErr w:type="spellStart"/>
      <w:r w:rsidR="007B4603">
        <w:t>Maudsley</w:t>
      </w:r>
      <w:proofErr w:type="spellEnd"/>
      <w:r w:rsidR="007B4603">
        <w:t xml:space="preserve"> NHS Foundation Trust, Sussex Partnership NHS Foundation Trust, Southern Health NHS Foundation Trust, Devon Partnership NHS Trust, </w:t>
      </w:r>
      <w:r w:rsidR="002235B1">
        <w:t xml:space="preserve">Somerset Partnership NHS Foundation Trust and Cornwall Partnership NHS Foundation Trust. </w:t>
      </w:r>
      <w:r>
        <w:t xml:space="preserve">A representative from each of these centres was invited to complete the survey on the </w:t>
      </w:r>
      <w:r w:rsidR="008E2774">
        <w:t xml:space="preserve">physical health aspects of </w:t>
      </w:r>
      <w:r>
        <w:t>usual care offered in their trust for patients with schizophrenia, schizoaffective disorder and first episode psychosis.</w:t>
      </w:r>
    </w:p>
    <w:p w14:paraId="53BBFED5" w14:textId="77777777" w:rsidR="004953BB" w:rsidRDefault="004953BB" w:rsidP="00394D5C">
      <w:pPr>
        <w:pStyle w:val="Heading2"/>
      </w:pPr>
      <w:r w:rsidRPr="00B13399">
        <w:t>Respondents</w:t>
      </w:r>
    </w:p>
    <w:p w14:paraId="6E2C16E7" w14:textId="77777777" w:rsidR="004953BB" w:rsidRDefault="004953BB" w:rsidP="00561058">
      <w:r>
        <w:t xml:space="preserve">The Principal Investigators at each of the ten </w:t>
      </w:r>
      <w:r w:rsidR="008E2774">
        <w:t>centres</w:t>
      </w:r>
      <w:r>
        <w:t xml:space="preserve"> for the STEPWISE Trial were approached initially, some of whom completed the survey, whilst others delegated to trust Physical Health Leads or equivalent </w:t>
      </w:r>
      <w:proofErr w:type="gramStart"/>
      <w:r>
        <w:t>who</w:t>
      </w:r>
      <w:proofErr w:type="gramEnd"/>
      <w:r>
        <w:t xml:space="preserve"> were better placed to answer the questions.</w:t>
      </w:r>
    </w:p>
    <w:p w14:paraId="2C77A0D8" w14:textId="2CD67018" w:rsidR="004953BB" w:rsidRDefault="004953BB" w:rsidP="00BE080B">
      <w:r>
        <w:t xml:space="preserve">Contact was made via email in the first instance, with an invitation to attend a teleconference with the STEPWISE Research Assistant (LS) to complete the survey. Reminder emails and/or phone calls were used for those who did not provide a response to the invitation within 4 weeks. </w:t>
      </w:r>
      <w:r w:rsidR="00BE080B">
        <w:t>S</w:t>
      </w:r>
      <w:r>
        <w:t xml:space="preserve">ix </w:t>
      </w:r>
      <w:r w:rsidR="00BE080B">
        <w:t xml:space="preserve">of the ten </w:t>
      </w:r>
      <w:r w:rsidR="00BE080B">
        <w:lastRenderedPageBreak/>
        <w:t xml:space="preserve">sites’ </w:t>
      </w:r>
      <w:r>
        <w:t xml:space="preserve">surveys were completed through discussion via teleconference. The remaining four sites’ surveys were completed independently by a trust representative and written responses provided to the STEPWISE Research Assistant. </w:t>
      </w:r>
    </w:p>
    <w:p w14:paraId="04623AF1" w14:textId="4F46FAD3" w:rsidR="004953BB" w:rsidRDefault="004953BB" w:rsidP="00BE080B">
      <w:r>
        <w:t xml:space="preserve">No sites required more than one reminder email/telephone call in order to arrange completion of the survey. As the survey information was requested from members of a research team, </w:t>
      </w:r>
      <w:r w:rsidR="00870774">
        <w:t xml:space="preserve">a favourable ethical opinion from an NHS Research Ethics Committee was not sought, and </w:t>
      </w:r>
      <w:r>
        <w:t xml:space="preserve">consent was unnecessary. </w:t>
      </w:r>
      <w:r w:rsidR="00870774">
        <w:t xml:space="preserve">Responses provided organisational data only, and did not collect any personal data. </w:t>
      </w:r>
      <w:r>
        <w:t>All those surveyed responded. Responses from all sites were received between 22 May 2015 and 28 October 2015.</w:t>
      </w:r>
    </w:p>
    <w:p w14:paraId="477BD311" w14:textId="77777777" w:rsidR="004953BB" w:rsidRDefault="004953BB" w:rsidP="002D5814">
      <w:pPr>
        <w:pStyle w:val="Heading2"/>
      </w:pPr>
      <w:r w:rsidRPr="00B13399">
        <w:t>Analysis</w:t>
      </w:r>
    </w:p>
    <w:p w14:paraId="745D10C2" w14:textId="77777777" w:rsidR="004953BB" w:rsidRPr="002D5814" w:rsidRDefault="004953BB" w:rsidP="002D5814">
      <w:r w:rsidRPr="000D2D6A">
        <w:t xml:space="preserve">Descriptive statistics </w:t>
      </w:r>
      <w:r>
        <w:t xml:space="preserve">in the form of counts </w:t>
      </w:r>
      <w:r w:rsidRPr="000D2D6A">
        <w:t xml:space="preserve">were produced for quantitative variables. </w:t>
      </w:r>
      <w:r>
        <w:t xml:space="preserve">Supporting information provided by respondents and information yielded from </w:t>
      </w:r>
      <w:r w:rsidRPr="00484027">
        <w:t>qualitative questions was summarised in narrative form.</w:t>
      </w:r>
    </w:p>
    <w:p w14:paraId="3158DDA9" w14:textId="77777777" w:rsidR="004953BB" w:rsidRPr="00923AF7" w:rsidRDefault="004953BB" w:rsidP="000D2D6A">
      <w:pPr>
        <w:pStyle w:val="Heading1"/>
      </w:pPr>
      <w:r w:rsidRPr="00B13399">
        <w:t>RESULTS</w:t>
      </w:r>
    </w:p>
    <w:p w14:paraId="393C678C" w14:textId="77777777" w:rsidR="004953BB" w:rsidRDefault="004953BB" w:rsidP="00873E63">
      <w:pPr>
        <w:pStyle w:val="Heading2"/>
      </w:pPr>
      <w:r w:rsidRPr="00B13399">
        <w:t>Healthy eating and Physical activity programmes</w:t>
      </w:r>
    </w:p>
    <w:p w14:paraId="5D5D46D1" w14:textId="77777777" w:rsidR="004953BB" w:rsidRDefault="004953BB" w:rsidP="000D2D6A">
      <w:r>
        <w:t xml:space="preserve">Eight respondents reported that their trust offered programmes, mostly separate healthy eating and physical activity programmes. Supplementary information indicated provision was </w:t>
      </w:r>
      <w:r w:rsidRPr="007402F1">
        <w:rPr>
          <w:i/>
        </w:rPr>
        <w:t>ad hoc</w:t>
      </w:r>
      <w:r>
        <w:t xml:space="preserve"> and interventions were rarely standardised. Most respondents reported routinely inviting patients to access services such as discounted local gym memberships, cooking groups and activity groups provided by local authorities and third sector organisations. Two trusts reported offering 1:1 advice sessions with healthy living advisors or health trainers, but that these sessions were usually advice-giving and often more clinically focussed rather than on the patient’s physical wellbeing.</w:t>
      </w:r>
    </w:p>
    <w:p w14:paraId="5E729B69" w14:textId="77777777" w:rsidR="004953BB" w:rsidRDefault="004953BB" w:rsidP="000D2D6A">
      <w:r>
        <w:t xml:space="preserve">Those trusts who offered trust-led programmes reported that they were available in principle to all of their patients rather than specific groups based on diagnosis. </w:t>
      </w:r>
      <w:r w:rsidR="00CB3988">
        <w:t xml:space="preserve">However, interventions offered were </w:t>
      </w:r>
      <w:r w:rsidR="00CB3988">
        <w:lastRenderedPageBreak/>
        <w:t xml:space="preserve">often accessed only by certain groups of patients, usually through particular clinicians or clinics. </w:t>
      </w:r>
      <w:r>
        <w:t xml:space="preserve">One trust estimated that 70% of their eligible patients are referred to such services by mental health professionals, based on recent </w:t>
      </w:r>
      <w:r w:rsidRPr="0083180F">
        <w:t>Commissioning for Quality and Innovation (CQUIN)</w:t>
      </w:r>
      <w:r>
        <w:t xml:space="preserve"> results; other respondents were unaware of routine data from which they could quantify referrals. Six trusts reported offering lifestyle advice through open-ended group courses, three through courses delivered over a fixed period and four through drop-in sessions.</w:t>
      </w:r>
    </w:p>
    <w:p w14:paraId="6DC10307" w14:textId="77777777" w:rsidR="004953BB" w:rsidRPr="000D2D6A" w:rsidRDefault="004953BB" w:rsidP="00873E63">
      <w:pPr>
        <w:pStyle w:val="Heading2"/>
      </w:pPr>
      <w:r w:rsidRPr="00B13399">
        <w:t>Smoking Cessation advice</w:t>
      </w:r>
    </w:p>
    <w:p w14:paraId="209E155C" w14:textId="7269A3E8" w:rsidR="004953BB" w:rsidRDefault="004953BB" w:rsidP="00561058">
      <w:r>
        <w:t xml:space="preserve">Six respondents indicated that </w:t>
      </w:r>
      <w:proofErr w:type="gramStart"/>
      <w:r>
        <w:t>patients</w:t>
      </w:r>
      <w:proofErr w:type="gramEnd"/>
      <w:r>
        <w:t xml:space="preserve"> who smoke, were offered help to stop some of the time; three reported all of the time, and one said this was not offered at all. Respondents who selected “some of the time” were unable to quantify this, but felt that this occurred most of the time.</w:t>
      </w:r>
    </w:p>
    <w:p w14:paraId="6BA640F6" w14:textId="77777777" w:rsidR="004953BB" w:rsidRDefault="004953BB" w:rsidP="00561058">
      <w:r>
        <w:t>Although it varied whether smoking cessation services were offered by the trusts or external services, most offered a combination of the two. Seven trusts reported offering trust-led smoking cessation services, whilst others had trained smoking cessation advisors, but no formal trust-offered service. Most trusts reported signposting outpatients to external services, some of which were managed by primary care, and that advice leaflets were available within the trust.</w:t>
      </w:r>
    </w:p>
    <w:p w14:paraId="641715B3" w14:textId="77777777" w:rsidR="004953BB" w:rsidRDefault="004953BB" w:rsidP="00873E63">
      <w:pPr>
        <w:pStyle w:val="Heading2"/>
      </w:pPr>
      <w:r w:rsidRPr="00B13399">
        <w:t>Antipsychotic treatment initiation</w:t>
      </w:r>
    </w:p>
    <w:p w14:paraId="0E84D716" w14:textId="77777777" w:rsidR="00610DD9" w:rsidRDefault="004953BB" w:rsidP="00610DD9">
      <w:pPr>
        <w:spacing w:line="360" w:lineRule="auto"/>
      </w:pPr>
      <w:r>
        <w:t>Table 1 shows the reported levels of discussion around likely benefits of treatment, as well as potential weight gain, diabetes and metabolic side effects and any other possible side effects, across all respondents.</w:t>
      </w:r>
    </w:p>
    <w:p w14:paraId="64A86970" w14:textId="05025770" w:rsidR="004953BB" w:rsidRPr="00610DD9" w:rsidRDefault="00610DD9" w:rsidP="00610DD9">
      <w:pPr>
        <w:spacing w:line="360" w:lineRule="auto"/>
        <w:rPr>
          <w:sz w:val="20"/>
        </w:rPr>
      </w:pPr>
      <w:r w:rsidRPr="00610DD9">
        <w:rPr>
          <w:b/>
          <w:sz w:val="20"/>
        </w:rPr>
        <w:t>Table 1: Respondents report of how often recommended discussions took place with patients when deciding on antipsychotic treatment (n=10 NHS trusts).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843"/>
        <w:gridCol w:w="1985"/>
        <w:gridCol w:w="1842"/>
      </w:tblGrid>
      <w:tr w:rsidR="004953BB" w:rsidRPr="00EC7F4F" w14:paraId="043F411A" w14:textId="77777777" w:rsidTr="00EC7F4F">
        <w:tc>
          <w:tcPr>
            <w:tcW w:w="3510" w:type="dxa"/>
          </w:tcPr>
          <w:p w14:paraId="2BE1DFBB" w14:textId="77777777" w:rsidR="004953BB" w:rsidRPr="000C64AD" w:rsidRDefault="004953BB" w:rsidP="00EC7F4F">
            <w:pPr>
              <w:spacing w:after="0" w:line="360" w:lineRule="auto"/>
              <w:rPr>
                <w:sz w:val="20"/>
              </w:rPr>
            </w:pPr>
          </w:p>
        </w:tc>
        <w:tc>
          <w:tcPr>
            <w:tcW w:w="1843" w:type="dxa"/>
          </w:tcPr>
          <w:p w14:paraId="1350CDF2" w14:textId="77777777" w:rsidR="004953BB" w:rsidRPr="000C64AD" w:rsidRDefault="004953BB" w:rsidP="00EC7F4F">
            <w:pPr>
              <w:spacing w:after="0" w:line="360" w:lineRule="auto"/>
              <w:jc w:val="center"/>
              <w:rPr>
                <w:sz w:val="20"/>
              </w:rPr>
            </w:pPr>
            <w:r w:rsidRPr="000C64AD">
              <w:rPr>
                <w:sz w:val="20"/>
              </w:rPr>
              <w:t>All of the time</w:t>
            </w:r>
          </w:p>
        </w:tc>
        <w:tc>
          <w:tcPr>
            <w:tcW w:w="1985" w:type="dxa"/>
          </w:tcPr>
          <w:p w14:paraId="1DF97B8E" w14:textId="77777777" w:rsidR="004953BB" w:rsidRPr="000C64AD" w:rsidRDefault="004953BB" w:rsidP="00EC7F4F">
            <w:pPr>
              <w:spacing w:after="0" w:line="360" w:lineRule="auto"/>
              <w:jc w:val="center"/>
              <w:rPr>
                <w:sz w:val="20"/>
              </w:rPr>
            </w:pPr>
            <w:r w:rsidRPr="000C64AD">
              <w:rPr>
                <w:sz w:val="20"/>
              </w:rPr>
              <w:t>Some of the time</w:t>
            </w:r>
          </w:p>
        </w:tc>
        <w:tc>
          <w:tcPr>
            <w:tcW w:w="1842" w:type="dxa"/>
          </w:tcPr>
          <w:p w14:paraId="0705CABC" w14:textId="77777777" w:rsidR="004953BB" w:rsidRPr="000C64AD" w:rsidRDefault="004953BB" w:rsidP="00EC7F4F">
            <w:pPr>
              <w:spacing w:after="0" w:line="360" w:lineRule="auto"/>
              <w:jc w:val="center"/>
              <w:rPr>
                <w:sz w:val="20"/>
              </w:rPr>
            </w:pPr>
            <w:r w:rsidRPr="000C64AD">
              <w:rPr>
                <w:sz w:val="20"/>
              </w:rPr>
              <w:t>Not at all</w:t>
            </w:r>
          </w:p>
        </w:tc>
      </w:tr>
      <w:tr w:rsidR="004953BB" w:rsidRPr="00EC7F4F" w14:paraId="2F37C706" w14:textId="77777777" w:rsidTr="00EC7F4F">
        <w:tc>
          <w:tcPr>
            <w:tcW w:w="3510" w:type="dxa"/>
          </w:tcPr>
          <w:p w14:paraId="09B13BC5" w14:textId="77777777" w:rsidR="004953BB" w:rsidRPr="000C64AD" w:rsidRDefault="004953BB" w:rsidP="00EC7F4F">
            <w:pPr>
              <w:spacing w:after="0" w:line="360" w:lineRule="auto"/>
              <w:rPr>
                <w:sz w:val="20"/>
              </w:rPr>
            </w:pPr>
            <w:r w:rsidRPr="000C64AD">
              <w:rPr>
                <w:sz w:val="20"/>
              </w:rPr>
              <w:t>Likely benefits</w:t>
            </w:r>
          </w:p>
        </w:tc>
        <w:tc>
          <w:tcPr>
            <w:tcW w:w="1843" w:type="dxa"/>
          </w:tcPr>
          <w:p w14:paraId="6F4EA651" w14:textId="77777777" w:rsidR="004953BB" w:rsidRPr="000C64AD" w:rsidRDefault="004953BB" w:rsidP="00EC7F4F">
            <w:pPr>
              <w:spacing w:after="0" w:line="360" w:lineRule="auto"/>
              <w:jc w:val="center"/>
              <w:rPr>
                <w:sz w:val="20"/>
              </w:rPr>
            </w:pPr>
            <w:r w:rsidRPr="000C64AD">
              <w:rPr>
                <w:sz w:val="20"/>
              </w:rPr>
              <w:t>7</w:t>
            </w:r>
          </w:p>
        </w:tc>
        <w:tc>
          <w:tcPr>
            <w:tcW w:w="1985" w:type="dxa"/>
          </w:tcPr>
          <w:p w14:paraId="374F62A5" w14:textId="77777777" w:rsidR="004953BB" w:rsidRPr="000C64AD" w:rsidRDefault="004953BB" w:rsidP="00EC7F4F">
            <w:pPr>
              <w:spacing w:after="0" w:line="360" w:lineRule="auto"/>
              <w:jc w:val="center"/>
              <w:rPr>
                <w:sz w:val="20"/>
              </w:rPr>
            </w:pPr>
            <w:r w:rsidRPr="000C64AD">
              <w:rPr>
                <w:sz w:val="20"/>
              </w:rPr>
              <w:t>3</w:t>
            </w:r>
          </w:p>
        </w:tc>
        <w:tc>
          <w:tcPr>
            <w:tcW w:w="1842" w:type="dxa"/>
          </w:tcPr>
          <w:p w14:paraId="7B881919" w14:textId="77777777" w:rsidR="004953BB" w:rsidRPr="000C64AD" w:rsidRDefault="004953BB" w:rsidP="00EC7F4F">
            <w:pPr>
              <w:spacing w:after="0" w:line="360" w:lineRule="auto"/>
              <w:jc w:val="center"/>
              <w:rPr>
                <w:sz w:val="20"/>
              </w:rPr>
            </w:pPr>
            <w:r w:rsidRPr="000C64AD">
              <w:rPr>
                <w:sz w:val="20"/>
              </w:rPr>
              <w:t>0</w:t>
            </w:r>
          </w:p>
        </w:tc>
      </w:tr>
      <w:tr w:rsidR="004953BB" w:rsidRPr="00EC7F4F" w14:paraId="651C84E2" w14:textId="77777777" w:rsidTr="00EC7F4F">
        <w:tc>
          <w:tcPr>
            <w:tcW w:w="3510" w:type="dxa"/>
          </w:tcPr>
          <w:p w14:paraId="09DAFD3C" w14:textId="77777777" w:rsidR="004953BB" w:rsidRPr="000C64AD" w:rsidRDefault="004953BB" w:rsidP="00EC7F4F">
            <w:pPr>
              <w:spacing w:after="0" w:line="360" w:lineRule="auto"/>
              <w:rPr>
                <w:sz w:val="20"/>
              </w:rPr>
            </w:pPr>
            <w:r w:rsidRPr="000C64AD">
              <w:rPr>
                <w:sz w:val="20"/>
              </w:rPr>
              <w:t>Weight gain</w:t>
            </w:r>
          </w:p>
        </w:tc>
        <w:tc>
          <w:tcPr>
            <w:tcW w:w="1843" w:type="dxa"/>
          </w:tcPr>
          <w:p w14:paraId="3131A849" w14:textId="77777777" w:rsidR="004953BB" w:rsidRPr="000C64AD" w:rsidRDefault="004953BB" w:rsidP="00EC7F4F">
            <w:pPr>
              <w:spacing w:after="0" w:line="360" w:lineRule="auto"/>
              <w:jc w:val="center"/>
              <w:rPr>
                <w:sz w:val="20"/>
              </w:rPr>
            </w:pPr>
            <w:r w:rsidRPr="000C64AD">
              <w:rPr>
                <w:sz w:val="20"/>
              </w:rPr>
              <w:t>5</w:t>
            </w:r>
          </w:p>
        </w:tc>
        <w:tc>
          <w:tcPr>
            <w:tcW w:w="1985" w:type="dxa"/>
          </w:tcPr>
          <w:p w14:paraId="5911C8EB" w14:textId="77777777" w:rsidR="004953BB" w:rsidRPr="000C64AD" w:rsidRDefault="004953BB" w:rsidP="00EC7F4F">
            <w:pPr>
              <w:spacing w:after="0" w:line="360" w:lineRule="auto"/>
              <w:jc w:val="center"/>
              <w:rPr>
                <w:sz w:val="20"/>
              </w:rPr>
            </w:pPr>
            <w:r w:rsidRPr="000C64AD">
              <w:rPr>
                <w:sz w:val="20"/>
              </w:rPr>
              <w:t>5</w:t>
            </w:r>
          </w:p>
        </w:tc>
        <w:tc>
          <w:tcPr>
            <w:tcW w:w="1842" w:type="dxa"/>
          </w:tcPr>
          <w:p w14:paraId="1A55B564" w14:textId="77777777" w:rsidR="004953BB" w:rsidRPr="000C64AD" w:rsidRDefault="004953BB" w:rsidP="00EC7F4F">
            <w:pPr>
              <w:spacing w:after="0" w:line="360" w:lineRule="auto"/>
              <w:jc w:val="center"/>
              <w:rPr>
                <w:sz w:val="20"/>
              </w:rPr>
            </w:pPr>
            <w:r w:rsidRPr="000C64AD">
              <w:rPr>
                <w:sz w:val="20"/>
              </w:rPr>
              <w:t>0</w:t>
            </w:r>
          </w:p>
        </w:tc>
      </w:tr>
      <w:tr w:rsidR="004953BB" w:rsidRPr="00EC7F4F" w14:paraId="2099B6A5" w14:textId="77777777" w:rsidTr="00EC7F4F">
        <w:tc>
          <w:tcPr>
            <w:tcW w:w="3510" w:type="dxa"/>
          </w:tcPr>
          <w:p w14:paraId="1222BDDA" w14:textId="77777777" w:rsidR="004953BB" w:rsidRPr="000C64AD" w:rsidRDefault="004953BB" w:rsidP="00EC7F4F">
            <w:pPr>
              <w:spacing w:after="0" w:line="360" w:lineRule="auto"/>
              <w:rPr>
                <w:sz w:val="20"/>
              </w:rPr>
            </w:pPr>
            <w:r w:rsidRPr="000C64AD">
              <w:rPr>
                <w:sz w:val="20"/>
              </w:rPr>
              <w:t>Diabetes and metabolic side effects</w:t>
            </w:r>
          </w:p>
        </w:tc>
        <w:tc>
          <w:tcPr>
            <w:tcW w:w="1843" w:type="dxa"/>
          </w:tcPr>
          <w:p w14:paraId="59DA0F50" w14:textId="77777777" w:rsidR="004953BB" w:rsidRPr="000C64AD" w:rsidRDefault="004953BB" w:rsidP="00EC7F4F">
            <w:pPr>
              <w:spacing w:after="0" w:line="360" w:lineRule="auto"/>
              <w:jc w:val="center"/>
              <w:rPr>
                <w:sz w:val="20"/>
              </w:rPr>
            </w:pPr>
            <w:r w:rsidRPr="000C64AD">
              <w:rPr>
                <w:sz w:val="20"/>
              </w:rPr>
              <w:t>3</w:t>
            </w:r>
          </w:p>
        </w:tc>
        <w:tc>
          <w:tcPr>
            <w:tcW w:w="1985" w:type="dxa"/>
          </w:tcPr>
          <w:p w14:paraId="1D8A55F8" w14:textId="77777777" w:rsidR="004953BB" w:rsidRPr="000C64AD" w:rsidRDefault="004953BB" w:rsidP="00EC7F4F">
            <w:pPr>
              <w:spacing w:after="0" w:line="360" w:lineRule="auto"/>
              <w:jc w:val="center"/>
              <w:rPr>
                <w:sz w:val="20"/>
              </w:rPr>
            </w:pPr>
            <w:r w:rsidRPr="000C64AD">
              <w:rPr>
                <w:sz w:val="20"/>
              </w:rPr>
              <w:t>7</w:t>
            </w:r>
          </w:p>
        </w:tc>
        <w:tc>
          <w:tcPr>
            <w:tcW w:w="1842" w:type="dxa"/>
          </w:tcPr>
          <w:p w14:paraId="5F10BFC4" w14:textId="77777777" w:rsidR="004953BB" w:rsidRPr="000C64AD" w:rsidRDefault="004953BB" w:rsidP="00EC7F4F">
            <w:pPr>
              <w:spacing w:after="0" w:line="360" w:lineRule="auto"/>
              <w:jc w:val="center"/>
              <w:rPr>
                <w:sz w:val="20"/>
              </w:rPr>
            </w:pPr>
            <w:r w:rsidRPr="000C64AD">
              <w:rPr>
                <w:sz w:val="20"/>
              </w:rPr>
              <w:t>0</w:t>
            </w:r>
          </w:p>
        </w:tc>
      </w:tr>
      <w:tr w:rsidR="004953BB" w:rsidRPr="00EC7F4F" w14:paraId="1A7246FA" w14:textId="77777777" w:rsidTr="00EC7F4F">
        <w:tc>
          <w:tcPr>
            <w:tcW w:w="3510" w:type="dxa"/>
          </w:tcPr>
          <w:p w14:paraId="440095C2" w14:textId="77777777" w:rsidR="004953BB" w:rsidRPr="000C64AD" w:rsidRDefault="004953BB" w:rsidP="00EC7F4F">
            <w:pPr>
              <w:spacing w:after="0" w:line="360" w:lineRule="auto"/>
              <w:rPr>
                <w:sz w:val="20"/>
              </w:rPr>
            </w:pPr>
            <w:r w:rsidRPr="000C64AD">
              <w:rPr>
                <w:sz w:val="20"/>
              </w:rPr>
              <w:t>Other possible side effects</w:t>
            </w:r>
          </w:p>
        </w:tc>
        <w:tc>
          <w:tcPr>
            <w:tcW w:w="1843" w:type="dxa"/>
          </w:tcPr>
          <w:p w14:paraId="657E07B2" w14:textId="77777777" w:rsidR="004953BB" w:rsidRPr="000C64AD" w:rsidRDefault="004953BB" w:rsidP="00EC7F4F">
            <w:pPr>
              <w:spacing w:after="0" w:line="360" w:lineRule="auto"/>
              <w:jc w:val="center"/>
              <w:rPr>
                <w:sz w:val="20"/>
              </w:rPr>
            </w:pPr>
            <w:r w:rsidRPr="000C64AD">
              <w:rPr>
                <w:sz w:val="20"/>
              </w:rPr>
              <w:t>5</w:t>
            </w:r>
          </w:p>
        </w:tc>
        <w:tc>
          <w:tcPr>
            <w:tcW w:w="1985" w:type="dxa"/>
          </w:tcPr>
          <w:p w14:paraId="2EFA17CC" w14:textId="77777777" w:rsidR="004953BB" w:rsidRPr="000C64AD" w:rsidRDefault="004953BB" w:rsidP="00EC7F4F">
            <w:pPr>
              <w:spacing w:after="0" w:line="360" w:lineRule="auto"/>
              <w:jc w:val="center"/>
              <w:rPr>
                <w:sz w:val="20"/>
              </w:rPr>
            </w:pPr>
            <w:r w:rsidRPr="000C64AD">
              <w:rPr>
                <w:sz w:val="20"/>
              </w:rPr>
              <w:t>5</w:t>
            </w:r>
          </w:p>
        </w:tc>
        <w:tc>
          <w:tcPr>
            <w:tcW w:w="1842" w:type="dxa"/>
          </w:tcPr>
          <w:p w14:paraId="4B6FC8AC" w14:textId="77777777" w:rsidR="004953BB" w:rsidRPr="000C64AD" w:rsidRDefault="004953BB" w:rsidP="00EC7F4F">
            <w:pPr>
              <w:spacing w:after="0" w:line="360" w:lineRule="auto"/>
              <w:jc w:val="center"/>
              <w:rPr>
                <w:sz w:val="20"/>
              </w:rPr>
            </w:pPr>
            <w:r w:rsidRPr="000C64AD">
              <w:rPr>
                <w:sz w:val="20"/>
              </w:rPr>
              <w:t>0</w:t>
            </w:r>
          </w:p>
        </w:tc>
      </w:tr>
    </w:tbl>
    <w:p w14:paraId="09B4F28B" w14:textId="77777777" w:rsidR="00610DD9" w:rsidRDefault="00610DD9" w:rsidP="000C64AD"/>
    <w:p w14:paraId="4CEE2B02" w14:textId="77777777" w:rsidR="004953BB" w:rsidRDefault="004953BB" w:rsidP="000C64AD">
      <w:r>
        <w:lastRenderedPageBreak/>
        <w:t>Most trusts who reported “some of the time” felt that this would be most of the time, but there was a lack of evidence to support this. One site reported that discussions would be dependent on the clinician, but that resources were available to clinicians to support these discussions. Another site suggested that these discussions may be part of an ongoing process rather than all in one session, depending on the patient’s level of capacity.</w:t>
      </w:r>
    </w:p>
    <w:p w14:paraId="67F4D992" w14:textId="77777777" w:rsidR="004953BB" w:rsidRDefault="004953BB" w:rsidP="000B2361">
      <w:r>
        <w:t>Table 2 shows how often respondents reported discussions taking place regarding the use of alcohol, tobacco, prescribed and non-prescribed medications and illicit drugs, at the time of antipsychotic treatment initiation.</w:t>
      </w:r>
    </w:p>
    <w:p w14:paraId="45E11DD5" w14:textId="44840A22" w:rsidR="00610DD9" w:rsidRPr="00610DD9" w:rsidRDefault="00610DD9" w:rsidP="0089059B">
      <w:pPr>
        <w:spacing w:after="0" w:line="360" w:lineRule="auto"/>
        <w:rPr>
          <w:sz w:val="20"/>
        </w:rPr>
      </w:pPr>
      <w:r w:rsidRPr="00610DD9">
        <w:rPr>
          <w:b/>
          <w:sz w:val="20"/>
        </w:rPr>
        <w:t>Table 2: Respondents report of how often recommended discussions around other medications and substances took place with patients when deciding on antipsychotic treatment (n=10 NHS trusts).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843"/>
        <w:gridCol w:w="1985"/>
        <w:gridCol w:w="1904"/>
      </w:tblGrid>
      <w:tr w:rsidR="004953BB" w:rsidRPr="00EC7F4F" w14:paraId="78432042" w14:textId="77777777" w:rsidTr="00EC7F4F">
        <w:tc>
          <w:tcPr>
            <w:tcW w:w="3510" w:type="dxa"/>
          </w:tcPr>
          <w:p w14:paraId="374B9AD2" w14:textId="77777777" w:rsidR="004953BB" w:rsidRPr="0089059B" w:rsidRDefault="004953BB" w:rsidP="00EC7F4F">
            <w:pPr>
              <w:spacing w:after="0" w:line="360" w:lineRule="auto"/>
              <w:rPr>
                <w:sz w:val="20"/>
              </w:rPr>
            </w:pPr>
          </w:p>
        </w:tc>
        <w:tc>
          <w:tcPr>
            <w:tcW w:w="1843" w:type="dxa"/>
          </w:tcPr>
          <w:p w14:paraId="6A7F2987" w14:textId="77777777" w:rsidR="004953BB" w:rsidRPr="0089059B" w:rsidRDefault="004953BB" w:rsidP="00EC7F4F">
            <w:pPr>
              <w:spacing w:after="0" w:line="360" w:lineRule="auto"/>
              <w:jc w:val="center"/>
              <w:rPr>
                <w:sz w:val="20"/>
              </w:rPr>
            </w:pPr>
            <w:r w:rsidRPr="0089059B">
              <w:rPr>
                <w:sz w:val="20"/>
              </w:rPr>
              <w:t>All of the time</w:t>
            </w:r>
          </w:p>
        </w:tc>
        <w:tc>
          <w:tcPr>
            <w:tcW w:w="1985" w:type="dxa"/>
          </w:tcPr>
          <w:p w14:paraId="2B690593" w14:textId="77777777" w:rsidR="004953BB" w:rsidRPr="0089059B" w:rsidRDefault="004953BB" w:rsidP="00EC7F4F">
            <w:pPr>
              <w:spacing w:after="0" w:line="360" w:lineRule="auto"/>
              <w:jc w:val="center"/>
              <w:rPr>
                <w:sz w:val="20"/>
              </w:rPr>
            </w:pPr>
            <w:r w:rsidRPr="0089059B">
              <w:rPr>
                <w:sz w:val="20"/>
              </w:rPr>
              <w:t>Some of the time</w:t>
            </w:r>
          </w:p>
        </w:tc>
        <w:tc>
          <w:tcPr>
            <w:tcW w:w="1904" w:type="dxa"/>
          </w:tcPr>
          <w:p w14:paraId="77079098" w14:textId="77777777" w:rsidR="004953BB" w:rsidRPr="0089059B" w:rsidRDefault="004953BB" w:rsidP="00EC7F4F">
            <w:pPr>
              <w:spacing w:after="0" w:line="360" w:lineRule="auto"/>
              <w:jc w:val="center"/>
              <w:rPr>
                <w:sz w:val="20"/>
              </w:rPr>
            </w:pPr>
            <w:r w:rsidRPr="0089059B">
              <w:rPr>
                <w:sz w:val="20"/>
              </w:rPr>
              <w:t>Not at all</w:t>
            </w:r>
          </w:p>
        </w:tc>
      </w:tr>
      <w:tr w:rsidR="004953BB" w:rsidRPr="00EC7F4F" w14:paraId="3923F299" w14:textId="77777777" w:rsidTr="00EC7F4F">
        <w:trPr>
          <w:trHeight w:val="389"/>
        </w:trPr>
        <w:tc>
          <w:tcPr>
            <w:tcW w:w="3510" w:type="dxa"/>
          </w:tcPr>
          <w:p w14:paraId="42398CB9" w14:textId="77777777" w:rsidR="004953BB" w:rsidRPr="0089059B" w:rsidRDefault="004953BB" w:rsidP="00EC7F4F">
            <w:pPr>
              <w:spacing w:after="0" w:line="360" w:lineRule="auto"/>
              <w:rPr>
                <w:sz w:val="20"/>
              </w:rPr>
            </w:pPr>
            <w:r w:rsidRPr="0089059B">
              <w:rPr>
                <w:sz w:val="20"/>
              </w:rPr>
              <w:t>Alcohol</w:t>
            </w:r>
          </w:p>
        </w:tc>
        <w:tc>
          <w:tcPr>
            <w:tcW w:w="1843" w:type="dxa"/>
          </w:tcPr>
          <w:p w14:paraId="34D85BB7" w14:textId="77777777" w:rsidR="004953BB" w:rsidRPr="0089059B" w:rsidRDefault="004953BB" w:rsidP="00EC7F4F">
            <w:pPr>
              <w:spacing w:after="0" w:line="360" w:lineRule="auto"/>
              <w:jc w:val="center"/>
              <w:rPr>
                <w:sz w:val="20"/>
              </w:rPr>
            </w:pPr>
            <w:r w:rsidRPr="0089059B">
              <w:rPr>
                <w:sz w:val="20"/>
              </w:rPr>
              <w:t>5</w:t>
            </w:r>
          </w:p>
        </w:tc>
        <w:tc>
          <w:tcPr>
            <w:tcW w:w="1985" w:type="dxa"/>
          </w:tcPr>
          <w:p w14:paraId="6B435265" w14:textId="77777777" w:rsidR="004953BB" w:rsidRPr="0089059B" w:rsidRDefault="004953BB" w:rsidP="00EC7F4F">
            <w:pPr>
              <w:spacing w:after="0" w:line="360" w:lineRule="auto"/>
              <w:jc w:val="center"/>
              <w:rPr>
                <w:sz w:val="20"/>
              </w:rPr>
            </w:pPr>
            <w:r w:rsidRPr="0089059B">
              <w:rPr>
                <w:sz w:val="20"/>
              </w:rPr>
              <w:t>5</w:t>
            </w:r>
          </w:p>
        </w:tc>
        <w:tc>
          <w:tcPr>
            <w:tcW w:w="1904" w:type="dxa"/>
          </w:tcPr>
          <w:p w14:paraId="10BCE182" w14:textId="77777777" w:rsidR="004953BB" w:rsidRPr="0089059B" w:rsidRDefault="004953BB" w:rsidP="00EC7F4F">
            <w:pPr>
              <w:spacing w:after="0" w:line="360" w:lineRule="auto"/>
              <w:jc w:val="center"/>
              <w:rPr>
                <w:sz w:val="20"/>
              </w:rPr>
            </w:pPr>
            <w:r w:rsidRPr="0089059B">
              <w:rPr>
                <w:sz w:val="20"/>
              </w:rPr>
              <w:t>0</w:t>
            </w:r>
          </w:p>
        </w:tc>
      </w:tr>
      <w:tr w:rsidR="004953BB" w:rsidRPr="00EC7F4F" w14:paraId="11CD660A" w14:textId="77777777" w:rsidTr="00EC7F4F">
        <w:tc>
          <w:tcPr>
            <w:tcW w:w="3510" w:type="dxa"/>
          </w:tcPr>
          <w:p w14:paraId="331E9E2A" w14:textId="77777777" w:rsidR="004953BB" w:rsidRPr="0089059B" w:rsidRDefault="004953BB" w:rsidP="00EC7F4F">
            <w:pPr>
              <w:spacing w:after="0" w:line="360" w:lineRule="auto"/>
              <w:rPr>
                <w:sz w:val="20"/>
              </w:rPr>
            </w:pPr>
            <w:r w:rsidRPr="0089059B">
              <w:rPr>
                <w:sz w:val="20"/>
              </w:rPr>
              <w:t>Tobacco</w:t>
            </w:r>
          </w:p>
        </w:tc>
        <w:tc>
          <w:tcPr>
            <w:tcW w:w="1843" w:type="dxa"/>
          </w:tcPr>
          <w:p w14:paraId="38A68F25" w14:textId="77777777" w:rsidR="004953BB" w:rsidRPr="0089059B" w:rsidRDefault="004953BB" w:rsidP="00EC7F4F">
            <w:pPr>
              <w:spacing w:after="0" w:line="360" w:lineRule="auto"/>
              <w:jc w:val="center"/>
              <w:rPr>
                <w:sz w:val="20"/>
              </w:rPr>
            </w:pPr>
            <w:r w:rsidRPr="0089059B">
              <w:rPr>
                <w:sz w:val="20"/>
              </w:rPr>
              <w:t>2</w:t>
            </w:r>
          </w:p>
        </w:tc>
        <w:tc>
          <w:tcPr>
            <w:tcW w:w="1985" w:type="dxa"/>
          </w:tcPr>
          <w:p w14:paraId="68CE48C5" w14:textId="77777777" w:rsidR="004953BB" w:rsidRPr="0089059B" w:rsidRDefault="004953BB" w:rsidP="00EC7F4F">
            <w:pPr>
              <w:spacing w:after="0" w:line="360" w:lineRule="auto"/>
              <w:jc w:val="center"/>
              <w:rPr>
                <w:sz w:val="20"/>
              </w:rPr>
            </w:pPr>
            <w:r w:rsidRPr="0089059B">
              <w:rPr>
                <w:sz w:val="20"/>
              </w:rPr>
              <w:t>8</w:t>
            </w:r>
          </w:p>
        </w:tc>
        <w:tc>
          <w:tcPr>
            <w:tcW w:w="1904" w:type="dxa"/>
          </w:tcPr>
          <w:p w14:paraId="4CCA8E99" w14:textId="77777777" w:rsidR="004953BB" w:rsidRPr="0089059B" w:rsidRDefault="004953BB" w:rsidP="00EC7F4F">
            <w:pPr>
              <w:spacing w:after="0" w:line="360" w:lineRule="auto"/>
              <w:jc w:val="center"/>
              <w:rPr>
                <w:sz w:val="20"/>
              </w:rPr>
            </w:pPr>
            <w:r w:rsidRPr="0089059B">
              <w:rPr>
                <w:sz w:val="20"/>
              </w:rPr>
              <w:t>0</w:t>
            </w:r>
          </w:p>
        </w:tc>
      </w:tr>
      <w:tr w:rsidR="004953BB" w:rsidRPr="00EC7F4F" w14:paraId="1A6ED03B" w14:textId="77777777" w:rsidTr="00EC7F4F">
        <w:tc>
          <w:tcPr>
            <w:tcW w:w="3510" w:type="dxa"/>
          </w:tcPr>
          <w:p w14:paraId="0FD05B09" w14:textId="77777777" w:rsidR="004953BB" w:rsidRPr="0089059B" w:rsidRDefault="004953BB" w:rsidP="00EC7F4F">
            <w:pPr>
              <w:spacing w:after="0" w:line="360" w:lineRule="auto"/>
              <w:rPr>
                <w:sz w:val="20"/>
              </w:rPr>
            </w:pPr>
            <w:r w:rsidRPr="0089059B">
              <w:rPr>
                <w:sz w:val="20"/>
              </w:rPr>
              <w:t>Other prescribed medications</w:t>
            </w:r>
          </w:p>
        </w:tc>
        <w:tc>
          <w:tcPr>
            <w:tcW w:w="1843" w:type="dxa"/>
          </w:tcPr>
          <w:p w14:paraId="47413419" w14:textId="77777777" w:rsidR="004953BB" w:rsidRPr="0089059B" w:rsidRDefault="004953BB" w:rsidP="00EC7F4F">
            <w:pPr>
              <w:spacing w:after="0" w:line="360" w:lineRule="auto"/>
              <w:jc w:val="center"/>
              <w:rPr>
                <w:sz w:val="20"/>
              </w:rPr>
            </w:pPr>
            <w:r w:rsidRPr="0089059B">
              <w:rPr>
                <w:sz w:val="20"/>
              </w:rPr>
              <w:t>3</w:t>
            </w:r>
          </w:p>
        </w:tc>
        <w:tc>
          <w:tcPr>
            <w:tcW w:w="1985" w:type="dxa"/>
          </w:tcPr>
          <w:p w14:paraId="2B787607" w14:textId="77777777" w:rsidR="004953BB" w:rsidRPr="0089059B" w:rsidRDefault="004953BB" w:rsidP="00EC7F4F">
            <w:pPr>
              <w:spacing w:after="0" w:line="360" w:lineRule="auto"/>
              <w:jc w:val="center"/>
              <w:rPr>
                <w:sz w:val="20"/>
              </w:rPr>
            </w:pPr>
            <w:r w:rsidRPr="0089059B">
              <w:rPr>
                <w:sz w:val="20"/>
              </w:rPr>
              <w:t>7</w:t>
            </w:r>
          </w:p>
        </w:tc>
        <w:tc>
          <w:tcPr>
            <w:tcW w:w="1904" w:type="dxa"/>
          </w:tcPr>
          <w:p w14:paraId="4754C74E" w14:textId="77777777" w:rsidR="004953BB" w:rsidRPr="0089059B" w:rsidRDefault="004953BB" w:rsidP="00EC7F4F">
            <w:pPr>
              <w:spacing w:after="0" w:line="360" w:lineRule="auto"/>
              <w:jc w:val="center"/>
              <w:rPr>
                <w:sz w:val="20"/>
              </w:rPr>
            </w:pPr>
            <w:r w:rsidRPr="0089059B">
              <w:rPr>
                <w:sz w:val="20"/>
              </w:rPr>
              <w:t>0</w:t>
            </w:r>
          </w:p>
        </w:tc>
      </w:tr>
      <w:tr w:rsidR="004953BB" w:rsidRPr="00EC7F4F" w14:paraId="61BD1BD7" w14:textId="77777777" w:rsidTr="00EC7F4F">
        <w:tc>
          <w:tcPr>
            <w:tcW w:w="3510" w:type="dxa"/>
          </w:tcPr>
          <w:p w14:paraId="2837398F" w14:textId="77777777" w:rsidR="004953BB" w:rsidRPr="0089059B" w:rsidRDefault="004953BB" w:rsidP="00EC7F4F">
            <w:pPr>
              <w:spacing w:after="0" w:line="360" w:lineRule="auto"/>
              <w:rPr>
                <w:sz w:val="20"/>
              </w:rPr>
            </w:pPr>
            <w:r w:rsidRPr="0089059B">
              <w:rPr>
                <w:sz w:val="20"/>
              </w:rPr>
              <w:t>Non-prescribed medications</w:t>
            </w:r>
          </w:p>
        </w:tc>
        <w:tc>
          <w:tcPr>
            <w:tcW w:w="1843" w:type="dxa"/>
          </w:tcPr>
          <w:p w14:paraId="69A7D96B" w14:textId="77777777" w:rsidR="004953BB" w:rsidRPr="0089059B" w:rsidRDefault="004953BB" w:rsidP="00EC7F4F">
            <w:pPr>
              <w:spacing w:after="0" w:line="360" w:lineRule="auto"/>
              <w:jc w:val="center"/>
              <w:rPr>
                <w:sz w:val="20"/>
              </w:rPr>
            </w:pPr>
            <w:r w:rsidRPr="0089059B">
              <w:rPr>
                <w:sz w:val="20"/>
              </w:rPr>
              <w:t>0</w:t>
            </w:r>
          </w:p>
        </w:tc>
        <w:tc>
          <w:tcPr>
            <w:tcW w:w="1985" w:type="dxa"/>
          </w:tcPr>
          <w:p w14:paraId="674CE018" w14:textId="77777777" w:rsidR="004953BB" w:rsidRPr="0089059B" w:rsidRDefault="004953BB" w:rsidP="00EC7F4F">
            <w:pPr>
              <w:spacing w:after="0" w:line="360" w:lineRule="auto"/>
              <w:jc w:val="center"/>
              <w:rPr>
                <w:sz w:val="20"/>
              </w:rPr>
            </w:pPr>
            <w:r w:rsidRPr="0089059B">
              <w:rPr>
                <w:sz w:val="20"/>
              </w:rPr>
              <w:t>10</w:t>
            </w:r>
          </w:p>
        </w:tc>
        <w:tc>
          <w:tcPr>
            <w:tcW w:w="1904" w:type="dxa"/>
          </w:tcPr>
          <w:p w14:paraId="0B3DED16" w14:textId="77777777" w:rsidR="004953BB" w:rsidRPr="0089059B" w:rsidRDefault="004953BB" w:rsidP="00EC7F4F">
            <w:pPr>
              <w:spacing w:after="0" w:line="360" w:lineRule="auto"/>
              <w:jc w:val="center"/>
              <w:rPr>
                <w:sz w:val="20"/>
              </w:rPr>
            </w:pPr>
            <w:r w:rsidRPr="0089059B">
              <w:rPr>
                <w:sz w:val="20"/>
              </w:rPr>
              <w:t>0</w:t>
            </w:r>
          </w:p>
        </w:tc>
      </w:tr>
      <w:tr w:rsidR="004953BB" w:rsidRPr="00EC7F4F" w14:paraId="0AED7EE4" w14:textId="77777777" w:rsidTr="00EC7F4F">
        <w:tc>
          <w:tcPr>
            <w:tcW w:w="3510" w:type="dxa"/>
          </w:tcPr>
          <w:p w14:paraId="2EE1DF73" w14:textId="77777777" w:rsidR="004953BB" w:rsidRPr="0089059B" w:rsidRDefault="004953BB" w:rsidP="00EC7F4F">
            <w:pPr>
              <w:spacing w:after="0" w:line="360" w:lineRule="auto"/>
              <w:rPr>
                <w:sz w:val="20"/>
              </w:rPr>
            </w:pPr>
            <w:r w:rsidRPr="0089059B">
              <w:rPr>
                <w:sz w:val="20"/>
              </w:rPr>
              <w:t>Illicit drugs</w:t>
            </w:r>
          </w:p>
        </w:tc>
        <w:tc>
          <w:tcPr>
            <w:tcW w:w="1843" w:type="dxa"/>
          </w:tcPr>
          <w:p w14:paraId="2A45F82D" w14:textId="77777777" w:rsidR="004953BB" w:rsidRPr="0089059B" w:rsidRDefault="004953BB" w:rsidP="00EC7F4F">
            <w:pPr>
              <w:spacing w:after="0" w:line="360" w:lineRule="auto"/>
              <w:jc w:val="center"/>
              <w:rPr>
                <w:sz w:val="20"/>
              </w:rPr>
            </w:pPr>
            <w:r w:rsidRPr="0089059B">
              <w:rPr>
                <w:sz w:val="20"/>
              </w:rPr>
              <w:t>3</w:t>
            </w:r>
          </w:p>
        </w:tc>
        <w:tc>
          <w:tcPr>
            <w:tcW w:w="1985" w:type="dxa"/>
          </w:tcPr>
          <w:p w14:paraId="594E8F11" w14:textId="77777777" w:rsidR="004953BB" w:rsidRPr="0089059B" w:rsidRDefault="004953BB" w:rsidP="00EC7F4F">
            <w:pPr>
              <w:spacing w:after="0" w:line="360" w:lineRule="auto"/>
              <w:jc w:val="center"/>
              <w:rPr>
                <w:sz w:val="20"/>
              </w:rPr>
            </w:pPr>
            <w:r w:rsidRPr="0089059B">
              <w:rPr>
                <w:sz w:val="20"/>
              </w:rPr>
              <w:t>7</w:t>
            </w:r>
          </w:p>
        </w:tc>
        <w:tc>
          <w:tcPr>
            <w:tcW w:w="1904" w:type="dxa"/>
          </w:tcPr>
          <w:p w14:paraId="35D36C46" w14:textId="77777777" w:rsidR="004953BB" w:rsidRPr="0089059B" w:rsidRDefault="004953BB" w:rsidP="00EC7F4F">
            <w:pPr>
              <w:spacing w:after="0" w:line="360" w:lineRule="auto"/>
              <w:jc w:val="center"/>
              <w:rPr>
                <w:sz w:val="20"/>
              </w:rPr>
            </w:pPr>
            <w:r w:rsidRPr="0089059B">
              <w:rPr>
                <w:sz w:val="20"/>
              </w:rPr>
              <w:t>0</w:t>
            </w:r>
          </w:p>
        </w:tc>
      </w:tr>
    </w:tbl>
    <w:p w14:paraId="526D41D9" w14:textId="77777777" w:rsidR="00610DD9" w:rsidRPr="0089059B" w:rsidRDefault="00610DD9" w:rsidP="000C64AD">
      <w:pPr>
        <w:rPr>
          <w:sz w:val="12"/>
        </w:rPr>
      </w:pPr>
    </w:p>
    <w:p w14:paraId="626E5360" w14:textId="77777777" w:rsidR="00610DD9" w:rsidRDefault="004953BB" w:rsidP="000C64AD">
      <w:r>
        <w:t>Table 3 shows how likely trusts considered physiological measures would be recorded prior to treatment initiation.</w:t>
      </w:r>
      <w:r w:rsidR="00610DD9" w:rsidRPr="00610DD9">
        <w:t xml:space="preserve"> </w:t>
      </w:r>
    </w:p>
    <w:p w14:paraId="5EC19CCA" w14:textId="01B3C646" w:rsidR="004953BB" w:rsidRPr="00610DD9" w:rsidRDefault="00610DD9" w:rsidP="0089059B">
      <w:pPr>
        <w:spacing w:after="0" w:line="360" w:lineRule="auto"/>
        <w:rPr>
          <w:sz w:val="20"/>
        </w:rPr>
      </w:pPr>
      <w:r w:rsidRPr="00610DD9">
        <w:rPr>
          <w:b/>
          <w:sz w:val="20"/>
        </w:rPr>
        <w:t>Table 3: Likelihood of physiological measures being recorded prior to antipsychotic treatment initiation (n=10 NHS trusts).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275"/>
        <w:gridCol w:w="1276"/>
        <w:gridCol w:w="1276"/>
        <w:gridCol w:w="1276"/>
        <w:gridCol w:w="1337"/>
      </w:tblGrid>
      <w:tr w:rsidR="004953BB" w:rsidRPr="00EC7F4F" w14:paraId="1EBDF422" w14:textId="77777777" w:rsidTr="00EC7F4F">
        <w:tc>
          <w:tcPr>
            <w:tcW w:w="2802" w:type="dxa"/>
          </w:tcPr>
          <w:p w14:paraId="44A8CCCC" w14:textId="77777777" w:rsidR="004953BB" w:rsidRPr="00EC7F4F" w:rsidRDefault="004953BB" w:rsidP="00EC7F4F">
            <w:pPr>
              <w:spacing w:after="0" w:line="360" w:lineRule="auto"/>
              <w:rPr>
                <w:sz w:val="18"/>
                <w:szCs w:val="18"/>
              </w:rPr>
            </w:pPr>
          </w:p>
        </w:tc>
        <w:tc>
          <w:tcPr>
            <w:tcW w:w="1275" w:type="dxa"/>
          </w:tcPr>
          <w:p w14:paraId="1AC578AA" w14:textId="77777777" w:rsidR="004953BB" w:rsidRPr="00EC7F4F" w:rsidRDefault="004953BB" w:rsidP="00EC7F4F">
            <w:pPr>
              <w:spacing w:after="0" w:line="360" w:lineRule="auto"/>
              <w:jc w:val="center"/>
              <w:rPr>
                <w:sz w:val="18"/>
                <w:szCs w:val="18"/>
              </w:rPr>
            </w:pPr>
            <w:r w:rsidRPr="00EC7F4F">
              <w:rPr>
                <w:sz w:val="18"/>
                <w:szCs w:val="18"/>
              </w:rPr>
              <w:t>Very likely</w:t>
            </w:r>
          </w:p>
        </w:tc>
        <w:tc>
          <w:tcPr>
            <w:tcW w:w="1276" w:type="dxa"/>
          </w:tcPr>
          <w:p w14:paraId="24B2E155" w14:textId="77777777" w:rsidR="004953BB" w:rsidRPr="00EC7F4F" w:rsidRDefault="004953BB" w:rsidP="00EC7F4F">
            <w:pPr>
              <w:spacing w:after="0" w:line="360" w:lineRule="auto"/>
              <w:jc w:val="center"/>
              <w:rPr>
                <w:sz w:val="18"/>
                <w:szCs w:val="18"/>
              </w:rPr>
            </w:pPr>
            <w:r w:rsidRPr="00EC7F4F">
              <w:rPr>
                <w:sz w:val="18"/>
                <w:szCs w:val="18"/>
              </w:rPr>
              <w:t>Likely</w:t>
            </w:r>
          </w:p>
        </w:tc>
        <w:tc>
          <w:tcPr>
            <w:tcW w:w="1276" w:type="dxa"/>
          </w:tcPr>
          <w:p w14:paraId="7D7B4FF8" w14:textId="77777777" w:rsidR="004953BB" w:rsidRPr="00EC7F4F" w:rsidRDefault="004953BB" w:rsidP="004B4837">
            <w:pPr>
              <w:spacing w:after="0" w:line="240" w:lineRule="auto"/>
              <w:jc w:val="center"/>
              <w:rPr>
                <w:sz w:val="18"/>
                <w:szCs w:val="18"/>
              </w:rPr>
            </w:pPr>
            <w:r w:rsidRPr="00EC7F4F">
              <w:rPr>
                <w:sz w:val="18"/>
                <w:szCs w:val="18"/>
              </w:rPr>
              <w:t>Neither likely or unlikely</w:t>
            </w:r>
          </w:p>
        </w:tc>
        <w:tc>
          <w:tcPr>
            <w:tcW w:w="1276" w:type="dxa"/>
          </w:tcPr>
          <w:p w14:paraId="7EB7D1FA" w14:textId="77777777" w:rsidR="004953BB" w:rsidRPr="00EC7F4F" w:rsidRDefault="004953BB" w:rsidP="00EC7F4F">
            <w:pPr>
              <w:spacing w:after="0" w:line="360" w:lineRule="auto"/>
              <w:jc w:val="center"/>
              <w:rPr>
                <w:sz w:val="18"/>
                <w:szCs w:val="18"/>
              </w:rPr>
            </w:pPr>
            <w:r w:rsidRPr="00EC7F4F">
              <w:rPr>
                <w:sz w:val="18"/>
                <w:szCs w:val="18"/>
              </w:rPr>
              <w:t>Unlikely</w:t>
            </w:r>
          </w:p>
        </w:tc>
        <w:tc>
          <w:tcPr>
            <w:tcW w:w="1337" w:type="dxa"/>
          </w:tcPr>
          <w:p w14:paraId="6CFF71CF" w14:textId="77777777" w:rsidR="004953BB" w:rsidRPr="00EC7F4F" w:rsidRDefault="004953BB" w:rsidP="00EC7F4F">
            <w:pPr>
              <w:spacing w:after="0" w:line="360" w:lineRule="auto"/>
              <w:jc w:val="center"/>
              <w:rPr>
                <w:sz w:val="18"/>
                <w:szCs w:val="18"/>
              </w:rPr>
            </w:pPr>
            <w:r w:rsidRPr="00EC7F4F">
              <w:rPr>
                <w:sz w:val="18"/>
                <w:szCs w:val="18"/>
              </w:rPr>
              <w:t>Very unlikely</w:t>
            </w:r>
          </w:p>
        </w:tc>
      </w:tr>
      <w:tr w:rsidR="004953BB" w:rsidRPr="00EC7F4F" w14:paraId="4D4F02D0" w14:textId="77777777" w:rsidTr="004B4837">
        <w:trPr>
          <w:trHeight w:val="151"/>
        </w:trPr>
        <w:tc>
          <w:tcPr>
            <w:tcW w:w="2802" w:type="dxa"/>
          </w:tcPr>
          <w:p w14:paraId="784B7F69" w14:textId="77777777" w:rsidR="004953BB" w:rsidRPr="00EC7F4F" w:rsidRDefault="004953BB" w:rsidP="00EC7F4F">
            <w:pPr>
              <w:spacing w:after="0" w:line="360" w:lineRule="auto"/>
              <w:rPr>
                <w:sz w:val="18"/>
                <w:szCs w:val="18"/>
              </w:rPr>
            </w:pPr>
            <w:r w:rsidRPr="00EC7F4F">
              <w:rPr>
                <w:sz w:val="18"/>
                <w:szCs w:val="18"/>
              </w:rPr>
              <w:t>Weight</w:t>
            </w:r>
          </w:p>
        </w:tc>
        <w:tc>
          <w:tcPr>
            <w:tcW w:w="1275" w:type="dxa"/>
          </w:tcPr>
          <w:p w14:paraId="0363CECB"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2700E7BD"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68C6F4A8"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33A4B74F"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51192937"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17F699DA" w14:textId="77777777" w:rsidTr="004B4837">
        <w:trPr>
          <w:trHeight w:val="70"/>
        </w:trPr>
        <w:tc>
          <w:tcPr>
            <w:tcW w:w="2802" w:type="dxa"/>
          </w:tcPr>
          <w:p w14:paraId="6B2BCB9D" w14:textId="77777777" w:rsidR="004953BB" w:rsidRPr="00EC7F4F" w:rsidRDefault="004953BB" w:rsidP="00EC7F4F">
            <w:pPr>
              <w:spacing w:after="0" w:line="360" w:lineRule="auto"/>
              <w:rPr>
                <w:sz w:val="18"/>
                <w:szCs w:val="18"/>
              </w:rPr>
            </w:pPr>
            <w:r w:rsidRPr="00EC7F4F">
              <w:rPr>
                <w:sz w:val="18"/>
                <w:szCs w:val="18"/>
              </w:rPr>
              <w:t>Weight plotted on a chart</w:t>
            </w:r>
          </w:p>
        </w:tc>
        <w:tc>
          <w:tcPr>
            <w:tcW w:w="1275" w:type="dxa"/>
          </w:tcPr>
          <w:p w14:paraId="0A2F2F03"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4F2B4BFF"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4B0F6188"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281D8DD4" w14:textId="77777777" w:rsidR="004953BB" w:rsidRPr="00EC7F4F" w:rsidRDefault="004953BB" w:rsidP="00EC7F4F">
            <w:pPr>
              <w:spacing w:after="0" w:line="360" w:lineRule="auto"/>
              <w:jc w:val="center"/>
              <w:rPr>
                <w:sz w:val="18"/>
                <w:szCs w:val="18"/>
              </w:rPr>
            </w:pPr>
            <w:r w:rsidRPr="00EC7F4F">
              <w:rPr>
                <w:sz w:val="18"/>
                <w:szCs w:val="18"/>
              </w:rPr>
              <w:t>3</w:t>
            </w:r>
          </w:p>
        </w:tc>
        <w:tc>
          <w:tcPr>
            <w:tcW w:w="1337" w:type="dxa"/>
          </w:tcPr>
          <w:p w14:paraId="10D6B551" w14:textId="77777777" w:rsidR="004953BB" w:rsidRPr="00EC7F4F" w:rsidRDefault="004953BB" w:rsidP="00EC7F4F">
            <w:pPr>
              <w:spacing w:after="0" w:line="360" w:lineRule="auto"/>
              <w:jc w:val="center"/>
              <w:rPr>
                <w:sz w:val="18"/>
                <w:szCs w:val="18"/>
              </w:rPr>
            </w:pPr>
            <w:r w:rsidRPr="00EC7F4F">
              <w:rPr>
                <w:sz w:val="18"/>
                <w:szCs w:val="18"/>
              </w:rPr>
              <w:t>2</w:t>
            </w:r>
          </w:p>
        </w:tc>
      </w:tr>
      <w:tr w:rsidR="004953BB" w:rsidRPr="00EC7F4F" w14:paraId="7C227C5A" w14:textId="77777777" w:rsidTr="00EC7F4F">
        <w:tc>
          <w:tcPr>
            <w:tcW w:w="2802" w:type="dxa"/>
          </w:tcPr>
          <w:p w14:paraId="6A79073A" w14:textId="77777777" w:rsidR="004953BB" w:rsidRPr="00EC7F4F" w:rsidRDefault="004953BB" w:rsidP="00EC7F4F">
            <w:pPr>
              <w:spacing w:after="0" w:line="360" w:lineRule="auto"/>
              <w:rPr>
                <w:sz w:val="18"/>
                <w:szCs w:val="18"/>
              </w:rPr>
            </w:pPr>
            <w:r w:rsidRPr="00EC7F4F">
              <w:rPr>
                <w:sz w:val="18"/>
                <w:szCs w:val="18"/>
              </w:rPr>
              <w:t>Waist circumference</w:t>
            </w:r>
          </w:p>
        </w:tc>
        <w:tc>
          <w:tcPr>
            <w:tcW w:w="1275" w:type="dxa"/>
          </w:tcPr>
          <w:p w14:paraId="40171D67"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51CFD062"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2C7A22E2"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6499056D" w14:textId="77777777" w:rsidR="004953BB" w:rsidRPr="00EC7F4F" w:rsidRDefault="004953BB" w:rsidP="00EC7F4F">
            <w:pPr>
              <w:spacing w:after="0" w:line="360" w:lineRule="auto"/>
              <w:jc w:val="center"/>
              <w:rPr>
                <w:sz w:val="18"/>
                <w:szCs w:val="18"/>
              </w:rPr>
            </w:pPr>
            <w:r w:rsidRPr="00EC7F4F">
              <w:rPr>
                <w:sz w:val="18"/>
                <w:szCs w:val="18"/>
              </w:rPr>
              <w:t>3</w:t>
            </w:r>
          </w:p>
        </w:tc>
        <w:tc>
          <w:tcPr>
            <w:tcW w:w="1337" w:type="dxa"/>
          </w:tcPr>
          <w:p w14:paraId="5D7211D2" w14:textId="77777777" w:rsidR="004953BB" w:rsidRPr="00EC7F4F" w:rsidRDefault="004953BB" w:rsidP="00EC7F4F">
            <w:pPr>
              <w:spacing w:after="0" w:line="360" w:lineRule="auto"/>
              <w:jc w:val="center"/>
              <w:rPr>
                <w:sz w:val="18"/>
                <w:szCs w:val="18"/>
              </w:rPr>
            </w:pPr>
            <w:r w:rsidRPr="00EC7F4F">
              <w:rPr>
                <w:sz w:val="18"/>
                <w:szCs w:val="18"/>
              </w:rPr>
              <w:t>2</w:t>
            </w:r>
          </w:p>
        </w:tc>
      </w:tr>
      <w:tr w:rsidR="004953BB" w:rsidRPr="00EC7F4F" w14:paraId="76A20EF0" w14:textId="77777777" w:rsidTr="00EC7F4F">
        <w:tc>
          <w:tcPr>
            <w:tcW w:w="2802" w:type="dxa"/>
          </w:tcPr>
          <w:p w14:paraId="52098B72" w14:textId="77777777" w:rsidR="004953BB" w:rsidRPr="00EC7F4F" w:rsidRDefault="004953BB" w:rsidP="00EC7F4F">
            <w:pPr>
              <w:spacing w:after="0" w:line="360" w:lineRule="auto"/>
              <w:rPr>
                <w:sz w:val="18"/>
                <w:szCs w:val="18"/>
              </w:rPr>
            </w:pPr>
            <w:r w:rsidRPr="00EC7F4F">
              <w:rPr>
                <w:sz w:val="18"/>
                <w:szCs w:val="18"/>
              </w:rPr>
              <w:t>Pulse</w:t>
            </w:r>
          </w:p>
        </w:tc>
        <w:tc>
          <w:tcPr>
            <w:tcW w:w="1275" w:type="dxa"/>
          </w:tcPr>
          <w:p w14:paraId="53376CE7"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1059C79E"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5F4BA8E0"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749A8738" w14:textId="77777777" w:rsidR="004953BB" w:rsidRPr="00EC7F4F" w:rsidRDefault="004953BB" w:rsidP="00EC7F4F">
            <w:pPr>
              <w:spacing w:after="0" w:line="360" w:lineRule="auto"/>
              <w:jc w:val="center"/>
              <w:rPr>
                <w:sz w:val="18"/>
                <w:szCs w:val="18"/>
              </w:rPr>
            </w:pPr>
            <w:r w:rsidRPr="00EC7F4F">
              <w:rPr>
                <w:sz w:val="18"/>
                <w:szCs w:val="18"/>
              </w:rPr>
              <w:t>1</w:t>
            </w:r>
          </w:p>
        </w:tc>
        <w:tc>
          <w:tcPr>
            <w:tcW w:w="1337" w:type="dxa"/>
          </w:tcPr>
          <w:p w14:paraId="6742541F" w14:textId="77777777" w:rsidR="004953BB" w:rsidRPr="00EC7F4F" w:rsidRDefault="004953BB" w:rsidP="00EC7F4F">
            <w:pPr>
              <w:spacing w:after="0" w:line="360" w:lineRule="auto"/>
              <w:jc w:val="center"/>
              <w:rPr>
                <w:sz w:val="18"/>
                <w:szCs w:val="18"/>
              </w:rPr>
            </w:pPr>
            <w:r w:rsidRPr="00EC7F4F">
              <w:rPr>
                <w:sz w:val="18"/>
                <w:szCs w:val="18"/>
              </w:rPr>
              <w:t>1</w:t>
            </w:r>
          </w:p>
        </w:tc>
      </w:tr>
      <w:tr w:rsidR="004953BB" w:rsidRPr="00EC7F4F" w14:paraId="2574CECC" w14:textId="77777777" w:rsidTr="00EC7F4F">
        <w:tc>
          <w:tcPr>
            <w:tcW w:w="2802" w:type="dxa"/>
          </w:tcPr>
          <w:p w14:paraId="4223F9AF" w14:textId="77777777" w:rsidR="004953BB" w:rsidRPr="00EC7F4F" w:rsidRDefault="004953BB" w:rsidP="00EC7F4F">
            <w:pPr>
              <w:spacing w:after="0" w:line="360" w:lineRule="auto"/>
              <w:rPr>
                <w:sz w:val="18"/>
                <w:szCs w:val="18"/>
              </w:rPr>
            </w:pPr>
            <w:r w:rsidRPr="00EC7F4F">
              <w:rPr>
                <w:sz w:val="18"/>
                <w:szCs w:val="18"/>
              </w:rPr>
              <w:t>Blood pressure</w:t>
            </w:r>
          </w:p>
        </w:tc>
        <w:tc>
          <w:tcPr>
            <w:tcW w:w="1275" w:type="dxa"/>
          </w:tcPr>
          <w:p w14:paraId="792E8902"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094B1B26"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215D3961"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106EF70A"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0C07E1F9" w14:textId="77777777" w:rsidR="004953BB" w:rsidRPr="00EC7F4F" w:rsidRDefault="004953BB" w:rsidP="00EC7F4F">
            <w:pPr>
              <w:spacing w:after="0" w:line="360" w:lineRule="auto"/>
              <w:jc w:val="center"/>
              <w:rPr>
                <w:sz w:val="18"/>
                <w:szCs w:val="18"/>
              </w:rPr>
            </w:pPr>
            <w:r w:rsidRPr="00EC7F4F">
              <w:rPr>
                <w:sz w:val="18"/>
                <w:szCs w:val="18"/>
              </w:rPr>
              <w:t>1</w:t>
            </w:r>
          </w:p>
        </w:tc>
      </w:tr>
      <w:tr w:rsidR="004953BB" w:rsidRPr="00EC7F4F" w14:paraId="70E498BA" w14:textId="77777777" w:rsidTr="00EC7F4F">
        <w:tc>
          <w:tcPr>
            <w:tcW w:w="2802" w:type="dxa"/>
          </w:tcPr>
          <w:p w14:paraId="0D2E2A93" w14:textId="77777777" w:rsidR="004953BB" w:rsidRPr="00EC7F4F" w:rsidRDefault="004953BB" w:rsidP="00EC7F4F">
            <w:pPr>
              <w:spacing w:after="0" w:line="360" w:lineRule="auto"/>
              <w:rPr>
                <w:sz w:val="18"/>
                <w:szCs w:val="18"/>
              </w:rPr>
            </w:pPr>
            <w:r w:rsidRPr="00EC7F4F">
              <w:rPr>
                <w:sz w:val="18"/>
                <w:szCs w:val="18"/>
              </w:rPr>
              <w:t>Fasting blood glucose</w:t>
            </w:r>
          </w:p>
        </w:tc>
        <w:tc>
          <w:tcPr>
            <w:tcW w:w="1275" w:type="dxa"/>
          </w:tcPr>
          <w:p w14:paraId="3F24014D"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6352ADC7" w14:textId="77777777" w:rsidR="004953BB" w:rsidRPr="00EC7F4F" w:rsidRDefault="004953BB" w:rsidP="00EC7F4F">
            <w:pPr>
              <w:spacing w:after="0" w:line="360" w:lineRule="auto"/>
              <w:jc w:val="center"/>
              <w:rPr>
                <w:sz w:val="18"/>
                <w:szCs w:val="18"/>
              </w:rPr>
            </w:pPr>
            <w:r w:rsidRPr="00EC7F4F">
              <w:rPr>
                <w:sz w:val="18"/>
                <w:szCs w:val="18"/>
              </w:rPr>
              <w:t>5</w:t>
            </w:r>
          </w:p>
        </w:tc>
        <w:tc>
          <w:tcPr>
            <w:tcW w:w="1276" w:type="dxa"/>
          </w:tcPr>
          <w:p w14:paraId="75E19E15"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6B7A6FF5"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5325EC3C" w14:textId="77777777" w:rsidR="004953BB" w:rsidRPr="00EC7F4F" w:rsidRDefault="004953BB" w:rsidP="00EC7F4F">
            <w:pPr>
              <w:spacing w:after="0" w:line="360" w:lineRule="auto"/>
              <w:jc w:val="center"/>
              <w:rPr>
                <w:sz w:val="18"/>
                <w:szCs w:val="18"/>
              </w:rPr>
            </w:pPr>
            <w:r w:rsidRPr="00EC7F4F">
              <w:rPr>
                <w:sz w:val="18"/>
                <w:szCs w:val="18"/>
              </w:rPr>
              <w:t>2</w:t>
            </w:r>
          </w:p>
        </w:tc>
      </w:tr>
      <w:tr w:rsidR="004953BB" w:rsidRPr="00EC7F4F" w14:paraId="13B60B5D" w14:textId="77777777" w:rsidTr="00EC7F4F">
        <w:tc>
          <w:tcPr>
            <w:tcW w:w="2802" w:type="dxa"/>
          </w:tcPr>
          <w:p w14:paraId="0CC41D19" w14:textId="77777777" w:rsidR="004953BB" w:rsidRPr="00EC7F4F" w:rsidRDefault="004953BB" w:rsidP="00EC7F4F">
            <w:pPr>
              <w:spacing w:after="0" w:line="360" w:lineRule="auto"/>
              <w:rPr>
                <w:sz w:val="18"/>
                <w:szCs w:val="18"/>
              </w:rPr>
            </w:pPr>
            <w:r w:rsidRPr="00EC7F4F">
              <w:rPr>
                <w:sz w:val="18"/>
                <w:szCs w:val="18"/>
              </w:rPr>
              <w:t>Random blood glucose</w:t>
            </w:r>
          </w:p>
        </w:tc>
        <w:tc>
          <w:tcPr>
            <w:tcW w:w="1275" w:type="dxa"/>
          </w:tcPr>
          <w:p w14:paraId="5A9CEF91"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519F8350"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6F7D74A4"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3AF0BCF3" w14:textId="77777777" w:rsidR="004953BB" w:rsidRPr="00EC7F4F" w:rsidRDefault="004953BB" w:rsidP="00EC7F4F">
            <w:pPr>
              <w:spacing w:after="0" w:line="360" w:lineRule="auto"/>
              <w:jc w:val="center"/>
              <w:rPr>
                <w:sz w:val="18"/>
                <w:szCs w:val="18"/>
              </w:rPr>
            </w:pPr>
            <w:r w:rsidRPr="00EC7F4F">
              <w:rPr>
                <w:sz w:val="18"/>
                <w:szCs w:val="18"/>
              </w:rPr>
              <w:t>3</w:t>
            </w:r>
          </w:p>
        </w:tc>
        <w:tc>
          <w:tcPr>
            <w:tcW w:w="1337" w:type="dxa"/>
          </w:tcPr>
          <w:p w14:paraId="408D9C68" w14:textId="77777777" w:rsidR="004953BB" w:rsidRPr="00EC7F4F" w:rsidRDefault="004953BB" w:rsidP="00EC7F4F">
            <w:pPr>
              <w:spacing w:after="0" w:line="360" w:lineRule="auto"/>
              <w:jc w:val="center"/>
              <w:rPr>
                <w:sz w:val="18"/>
                <w:szCs w:val="18"/>
              </w:rPr>
            </w:pPr>
            <w:r w:rsidRPr="00EC7F4F">
              <w:rPr>
                <w:sz w:val="18"/>
                <w:szCs w:val="18"/>
              </w:rPr>
              <w:t>1</w:t>
            </w:r>
          </w:p>
        </w:tc>
      </w:tr>
      <w:tr w:rsidR="004953BB" w:rsidRPr="00EC7F4F" w14:paraId="53E93E56" w14:textId="77777777" w:rsidTr="00EC7F4F">
        <w:tc>
          <w:tcPr>
            <w:tcW w:w="2802" w:type="dxa"/>
          </w:tcPr>
          <w:p w14:paraId="49DEB07F" w14:textId="77777777" w:rsidR="004953BB" w:rsidRPr="00EC7F4F" w:rsidRDefault="004953BB" w:rsidP="00EC7F4F">
            <w:pPr>
              <w:spacing w:after="0" w:line="360" w:lineRule="auto"/>
              <w:rPr>
                <w:sz w:val="18"/>
                <w:szCs w:val="18"/>
              </w:rPr>
            </w:pPr>
            <w:r w:rsidRPr="00EC7F4F">
              <w:rPr>
                <w:sz w:val="18"/>
                <w:szCs w:val="18"/>
              </w:rPr>
              <w:t>HbA1c</w:t>
            </w:r>
          </w:p>
        </w:tc>
        <w:tc>
          <w:tcPr>
            <w:tcW w:w="1275" w:type="dxa"/>
          </w:tcPr>
          <w:p w14:paraId="7F25DD70"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6AAD01B4"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0A274583"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1FA27461"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36577326" w14:textId="77777777" w:rsidR="004953BB" w:rsidRPr="00EC7F4F" w:rsidRDefault="004953BB" w:rsidP="00EC7F4F">
            <w:pPr>
              <w:spacing w:after="0" w:line="360" w:lineRule="auto"/>
              <w:jc w:val="center"/>
              <w:rPr>
                <w:sz w:val="18"/>
                <w:szCs w:val="18"/>
              </w:rPr>
            </w:pPr>
            <w:r w:rsidRPr="00EC7F4F">
              <w:rPr>
                <w:sz w:val="18"/>
                <w:szCs w:val="18"/>
              </w:rPr>
              <w:t>3</w:t>
            </w:r>
          </w:p>
        </w:tc>
      </w:tr>
      <w:tr w:rsidR="004953BB" w:rsidRPr="00EC7F4F" w14:paraId="067CD1C9" w14:textId="77777777" w:rsidTr="00EC7F4F">
        <w:tc>
          <w:tcPr>
            <w:tcW w:w="2802" w:type="dxa"/>
          </w:tcPr>
          <w:p w14:paraId="360958A9" w14:textId="77777777" w:rsidR="004953BB" w:rsidRPr="00EC7F4F" w:rsidRDefault="004953BB" w:rsidP="00EC7F4F">
            <w:pPr>
              <w:spacing w:after="0" w:line="360" w:lineRule="auto"/>
              <w:rPr>
                <w:sz w:val="18"/>
                <w:szCs w:val="18"/>
              </w:rPr>
            </w:pPr>
            <w:r w:rsidRPr="00EC7F4F">
              <w:rPr>
                <w:sz w:val="18"/>
                <w:szCs w:val="18"/>
              </w:rPr>
              <w:t>Blood lipid profile</w:t>
            </w:r>
          </w:p>
        </w:tc>
        <w:tc>
          <w:tcPr>
            <w:tcW w:w="1275" w:type="dxa"/>
          </w:tcPr>
          <w:p w14:paraId="1F9B290F"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1E82D9E0"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1CED2D69"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51F3D01D"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1183C081" w14:textId="77777777" w:rsidR="004953BB" w:rsidRPr="00EC7F4F" w:rsidRDefault="004953BB" w:rsidP="00EC7F4F">
            <w:pPr>
              <w:spacing w:after="0" w:line="360" w:lineRule="auto"/>
              <w:jc w:val="center"/>
              <w:rPr>
                <w:sz w:val="18"/>
                <w:szCs w:val="18"/>
              </w:rPr>
            </w:pPr>
            <w:r w:rsidRPr="00EC7F4F">
              <w:rPr>
                <w:sz w:val="18"/>
                <w:szCs w:val="18"/>
              </w:rPr>
              <w:t>2</w:t>
            </w:r>
          </w:p>
        </w:tc>
      </w:tr>
      <w:tr w:rsidR="004953BB" w:rsidRPr="00EC7F4F" w14:paraId="2BA6D43B" w14:textId="77777777" w:rsidTr="004B4837">
        <w:trPr>
          <w:trHeight w:val="235"/>
        </w:trPr>
        <w:tc>
          <w:tcPr>
            <w:tcW w:w="2802" w:type="dxa"/>
          </w:tcPr>
          <w:p w14:paraId="7D88B2FB" w14:textId="77777777" w:rsidR="004953BB" w:rsidRPr="00EC7F4F" w:rsidRDefault="004953BB" w:rsidP="004B4837">
            <w:pPr>
              <w:spacing w:after="0" w:line="240" w:lineRule="auto"/>
              <w:rPr>
                <w:sz w:val="18"/>
                <w:szCs w:val="18"/>
              </w:rPr>
            </w:pPr>
            <w:r w:rsidRPr="00EC7F4F">
              <w:rPr>
                <w:sz w:val="18"/>
                <w:szCs w:val="18"/>
              </w:rPr>
              <w:t>Assessment of any movement disorders</w:t>
            </w:r>
          </w:p>
        </w:tc>
        <w:tc>
          <w:tcPr>
            <w:tcW w:w="1275" w:type="dxa"/>
          </w:tcPr>
          <w:p w14:paraId="00473269"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466596EC"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425BBF17"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54BEB809" w14:textId="77777777" w:rsidR="004953BB" w:rsidRPr="00EC7F4F" w:rsidRDefault="004953BB" w:rsidP="00EC7F4F">
            <w:pPr>
              <w:spacing w:after="0" w:line="360" w:lineRule="auto"/>
              <w:jc w:val="center"/>
              <w:rPr>
                <w:sz w:val="18"/>
                <w:szCs w:val="18"/>
              </w:rPr>
            </w:pPr>
            <w:r w:rsidRPr="00EC7F4F">
              <w:rPr>
                <w:sz w:val="18"/>
                <w:szCs w:val="18"/>
              </w:rPr>
              <w:t>0</w:t>
            </w:r>
          </w:p>
        </w:tc>
        <w:tc>
          <w:tcPr>
            <w:tcW w:w="1337" w:type="dxa"/>
          </w:tcPr>
          <w:p w14:paraId="33A71394" w14:textId="77777777" w:rsidR="004953BB" w:rsidRPr="00EC7F4F" w:rsidRDefault="004953BB" w:rsidP="00EC7F4F">
            <w:pPr>
              <w:spacing w:after="0" w:line="360" w:lineRule="auto"/>
              <w:jc w:val="center"/>
              <w:rPr>
                <w:sz w:val="18"/>
                <w:szCs w:val="18"/>
              </w:rPr>
            </w:pPr>
            <w:r w:rsidRPr="00EC7F4F">
              <w:rPr>
                <w:sz w:val="18"/>
                <w:szCs w:val="18"/>
              </w:rPr>
              <w:t>2</w:t>
            </w:r>
          </w:p>
        </w:tc>
      </w:tr>
      <w:tr w:rsidR="004953BB" w:rsidRPr="00EC7F4F" w14:paraId="4B7F19F3" w14:textId="77777777" w:rsidTr="00EC7F4F">
        <w:tc>
          <w:tcPr>
            <w:tcW w:w="2802" w:type="dxa"/>
          </w:tcPr>
          <w:p w14:paraId="3A28AF81" w14:textId="77777777" w:rsidR="004953BB" w:rsidRPr="00EC7F4F" w:rsidRDefault="004953BB" w:rsidP="004B4837">
            <w:pPr>
              <w:spacing w:after="0" w:line="240" w:lineRule="auto"/>
              <w:rPr>
                <w:sz w:val="18"/>
                <w:szCs w:val="18"/>
              </w:rPr>
            </w:pPr>
            <w:r w:rsidRPr="00EC7F4F">
              <w:rPr>
                <w:sz w:val="18"/>
                <w:szCs w:val="18"/>
              </w:rPr>
              <w:t>Assessment of nutritional status, diet and level of physical activity</w:t>
            </w:r>
          </w:p>
        </w:tc>
        <w:tc>
          <w:tcPr>
            <w:tcW w:w="1275" w:type="dxa"/>
          </w:tcPr>
          <w:p w14:paraId="45E1BA0F"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7FABB540"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7955565A"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59DEAF82" w14:textId="77777777" w:rsidR="004953BB" w:rsidRPr="00EC7F4F" w:rsidRDefault="004953BB" w:rsidP="00EC7F4F">
            <w:pPr>
              <w:spacing w:after="0" w:line="360" w:lineRule="auto"/>
              <w:jc w:val="center"/>
              <w:rPr>
                <w:sz w:val="18"/>
                <w:szCs w:val="18"/>
              </w:rPr>
            </w:pPr>
            <w:r w:rsidRPr="00EC7F4F">
              <w:rPr>
                <w:sz w:val="18"/>
                <w:szCs w:val="18"/>
              </w:rPr>
              <w:t>3</w:t>
            </w:r>
          </w:p>
        </w:tc>
        <w:tc>
          <w:tcPr>
            <w:tcW w:w="1337" w:type="dxa"/>
          </w:tcPr>
          <w:p w14:paraId="4EFFEEF5" w14:textId="77777777" w:rsidR="004953BB" w:rsidRPr="00EC7F4F" w:rsidRDefault="004953BB" w:rsidP="00EC7F4F">
            <w:pPr>
              <w:spacing w:after="0" w:line="360" w:lineRule="auto"/>
              <w:jc w:val="center"/>
              <w:rPr>
                <w:sz w:val="18"/>
                <w:szCs w:val="18"/>
              </w:rPr>
            </w:pPr>
            <w:r w:rsidRPr="00EC7F4F">
              <w:rPr>
                <w:sz w:val="18"/>
                <w:szCs w:val="18"/>
              </w:rPr>
              <w:t>0</w:t>
            </w:r>
          </w:p>
        </w:tc>
      </w:tr>
    </w:tbl>
    <w:p w14:paraId="0FE9DE97" w14:textId="77777777" w:rsidR="004953BB" w:rsidRDefault="004953BB" w:rsidP="00331BF4">
      <w:pPr>
        <w:pStyle w:val="Heading2"/>
      </w:pPr>
      <w:r w:rsidRPr="00B13399">
        <w:lastRenderedPageBreak/>
        <w:t>Ongoing monitoring of weight and other physiological measures</w:t>
      </w:r>
    </w:p>
    <w:p w14:paraId="1A0D0187" w14:textId="77777777" w:rsidR="004953BB" w:rsidRDefault="004953BB" w:rsidP="000B2361">
      <w:r>
        <w:t>It was clear from the responses that there were variations in recording patients’ weight at the time points recommended by NICE (first six weeks post treatment initiation, at twelve weeks, at one year, and annually thereafter) both between trusts and within trust services. Some confusion exists regarding responsibility for annual patient reviews in the community and whether these should be completed by the GP or the trust. Half of those surveyed reported that it was neither likely nor unlikely that patients would have their weight recorded weekly for the first six weeks, with three other trusts reporting that this was very unlikely. There was an even spread across all response categories as to whether weight was recorded at twelve weeks, but at one year, four of those surveyed reported that patients were very likely to have their weight recorded. Six respondents reported that weight was likely or very likely to be recorded annually thereafter, although this was where the confusion arose regarding responsibility for these reviews.</w:t>
      </w:r>
    </w:p>
    <w:p w14:paraId="056063FC" w14:textId="77777777" w:rsidR="00610DD9" w:rsidRDefault="004953BB" w:rsidP="000C64AD">
      <w:r>
        <w:t>Table 4 shows trusts’ consideration as to how likely physiological measures would be recorded at least annually, in patients taking antipsychotic medication. One site felt they were unable to answer this question, so data displayed reflect responses from nine trusts.</w:t>
      </w:r>
      <w:r w:rsidR="00610DD9" w:rsidRPr="00610DD9">
        <w:t xml:space="preserve"> </w:t>
      </w:r>
    </w:p>
    <w:p w14:paraId="00005424" w14:textId="2C7FEBFF" w:rsidR="004953BB" w:rsidRDefault="00610DD9" w:rsidP="0089059B">
      <w:pPr>
        <w:spacing w:after="0" w:line="360" w:lineRule="auto"/>
      </w:pPr>
      <w:r w:rsidRPr="00610DD9">
        <w:rPr>
          <w:b/>
          <w:sz w:val="20"/>
        </w:rPr>
        <w:t>Table 4: Likelihood of physiological measures being recorded at least annually for patients taking antipsychotic medication (n=9 NHS trusts).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275"/>
        <w:gridCol w:w="1276"/>
        <w:gridCol w:w="1276"/>
        <w:gridCol w:w="1276"/>
        <w:gridCol w:w="1337"/>
      </w:tblGrid>
      <w:tr w:rsidR="004953BB" w:rsidRPr="00EC7F4F" w14:paraId="7C69E45D" w14:textId="77777777" w:rsidTr="00EC7F4F">
        <w:tc>
          <w:tcPr>
            <w:tcW w:w="2802" w:type="dxa"/>
          </w:tcPr>
          <w:p w14:paraId="27A8901E" w14:textId="77777777" w:rsidR="004953BB" w:rsidRPr="00EC7F4F" w:rsidRDefault="004953BB" w:rsidP="00EC7F4F">
            <w:pPr>
              <w:spacing w:after="0" w:line="360" w:lineRule="auto"/>
              <w:rPr>
                <w:sz w:val="18"/>
                <w:szCs w:val="18"/>
              </w:rPr>
            </w:pPr>
          </w:p>
        </w:tc>
        <w:tc>
          <w:tcPr>
            <w:tcW w:w="1275" w:type="dxa"/>
          </w:tcPr>
          <w:p w14:paraId="08AD9ABB" w14:textId="77777777" w:rsidR="004953BB" w:rsidRPr="00EC7F4F" w:rsidRDefault="004953BB" w:rsidP="00EC7F4F">
            <w:pPr>
              <w:spacing w:after="0" w:line="360" w:lineRule="auto"/>
              <w:jc w:val="center"/>
              <w:rPr>
                <w:sz w:val="18"/>
                <w:szCs w:val="18"/>
              </w:rPr>
            </w:pPr>
            <w:r w:rsidRPr="00EC7F4F">
              <w:rPr>
                <w:sz w:val="18"/>
                <w:szCs w:val="18"/>
              </w:rPr>
              <w:t>Very likely</w:t>
            </w:r>
          </w:p>
        </w:tc>
        <w:tc>
          <w:tcPr>
            <w:tcW w:w="1276" w:type="dxa"/>
          </w:tcPr>
          <w:p w14:paraId="0715B24E" w14:textId="77777777" w:rsidR="004953BB" w:rsidRPr="00EC7F4F" w:rsidRDefault="004953BB" w:rsidP="00EC7F4F">
            <w:pPr>
              <w:spacing w:after="0" w:line="360" w:lineRule="auto"/>
              <w:jc w:val="center"/>
              <w:rPr>
                <w:sz w:val="18"/>
                <w:szCs w:val="18"/>
              </w:rPr>
            </w:pPr>
            <w:r w:rsidRPr="00EC7F4F">
              <w:rPr>
                <w:sz w:val="18"/>
                <w:szCs w:val="18"/>
              </w:rPr>
              <w:t>Likely</w:t>
            </w:r>
          </w:p>
        </w:tc>
        <w:tc>
          <w:tcPr>
            <w:tcW w:w="1276" w:type="dxa"/>
          </w:tcPr>
          <w:p w14:paraId="666620EB" w14:textId="77777777" w:rsidR="004953BB" w:rsidRPr="00EC7F4F" w:rsidRDefault="004953BB" w:rsidP="004B4837">
            <w:pPr>
              <w:spacing w:after="0" w:line="240" w:lineRule="auto"/>
              <w:jc w:val="center"/>
              <w:rPr>
                <w:sz w:val="18"/>
                <w:szCs w:val="18"/>
              </w:rPr>
            </w:pPr>
            <w:r w:rsidRPr="00EC7F4F">
              <w:rPr>
                <w:sz w:val="18"/>
                <w:szCs w:val="18"/>
              </w:rPr>
              <w:t>Neither likely or unlikely</w:t>
            </w:r>
          </w:p>
        </w:tc>
        <w:tc>
          <w:tcPr>
            <w:tcW w:w="1276" w:type="dxa"/>
          </w:tcPr>
          <w:p w14:paraId="7709B541" w14:textId="77777777" w:rsidR="004953BB" w:rsidRPr="00EC7F4F" w:rsidRDefault="004953BB" w:rsidP="00EC7F4F">
            <w:pPr>
              <w:spacing w:after="0" w:line="360" w:lineRule="auto"/>
              <w:jc w:val="center"/>
              <w:rPr>
                <w:sz w:val="18"/>
                <w:szCs w:val="18"/>
              </w:rPr>
            </w:pPr>
            <w:r w:rsidRPr="00EC7F4F">
              <w:rPr>
                <w:sz w:val="18"/>
                <w:szCs w:val="18"/>
              </w:rPr>
              <w:t>Unlikely</w:t>
            </w:r>
          </w:p>
        </w:tc>
        <w:tc>
          <w:tcPr>
            <w:tcW w:w="1337" w:type="dxa"/>
          </w:tcPr>
          <w:p w14:paraId="4A7B6F4E" w14:textId="77777777" w:rsidR="004953BB" w:rsidRPr="00EC7F4F" w:rsidRDefault="004953BB" w:rsidP="00EC7F4F">
            <w:pPr>
              <w:spacing w:after="0" w:line="360" w:lineRule="auto"/>
              <w:jc w:val="center"/>
              <w:rPr>
                <w:sz w:val="18"/>
                <w:szCs w:val="18"/>
              </w:rPr>
            </w:pPr>
            <w:r w:rsidRPr="00EC7F4F">
              <w:rPr>
                <w:sz w:val="18"/>
                <w:szCs w:val="18"/>
              </w:rPr>
              <w:t>Very unlikely</w:t>
            </w:r>
          </w:p>
        </w:tc>
      </w:tr>
      <w:tr w:rsidR="004953BB" w:rsidRPr="00EC7F4F" w14:paraId="42A633EF" w14:textId="77777777" w:rsidTr="00EC7F4F">
        <w:tc>
          <w:tcPr>
            <w:tcW w:w="2802" w:type="dxa"/>
          </w:tcPr>
          <w:p w14:paraId="056ACC9C" w14:textId="77777777" w:rsidR="004953BB" w:rsidRPr="00EC7F4F" w:rsidRDefault="004953BB" w:rsidP="00EC7F4F">
            <w:pPr>
              <w:spacing w:after="0" w:line="360" w:lineRule="auto"/>
              <w:rPr>
                <w:sz w:val="18"/>
                <w:szCs w:val="18"/>
              </w:rPr>
            </w:pPr>
            <w:r w:rsidRPr="00EC7F4F">
              <w:rPr>
                <w:sz w:val="18"/>
                <w:szCs w:val="18"/>
              </w:rPr>
              <w:t>Weight</w:t>
            </w:r>
          </w:p>
        </w:tc>
        <w:tc>
          <w:tcPr>
            <w:tcW w:w="1275" w:type="dxa"/>
          </w:tcPr>
          <w:p w14:paraId="6D3823DB"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1DC488B0"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17BC92CB"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38583AD5"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2BD5C2FD"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62DDAFF7" w14:textId="77777777" w:rsidTr="00EC7F4F">
        <w:tc>
          <w:tcPr>
            <w:tcW w:w="2802" w:type="dxa"/>
          </w:tcPr>
          <w:p w14:paraId="7D23315C" w14:textId="77777777" w:rsidR="004953BB" w:rsidRPr="00EC7F4F" w:rsidRDefault="004953BB" w:rsidP="00EC7F4F">
            <w:pPr>
              <w:spacing w:after="0" w:line="360" w:lineRule="auto"/>
              <w:rPr>
                <w:sz w:val="18"/>
                <w:szCs w:val="18"/>
              </w:rPr>
            </w:pPr>
            <w:r w:rsidRPr="00EC7F4F">
              <w:rPr>
                <w:sz w:val="18"/>
                <w:szCs w:val="18"/>
              </w:rPr>
              <w:t>Weight plotted on a chart</w:t>
            </w:r>
          </w:p>
        </w:tc>
        <w:tc>
          <w:tcPr>
            <w:tcW w:w="1275" w:type="dxa"/>
          </w:tcPr>
          <w:p w14:paraId="4A2998F2"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38DD65F0"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209C82DA"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2F54B6CB"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5FF55C2A" w14:textId="77777777" w:rsidR="004953BB" w:rsidRPr="00EC7F4F" w:rsidRDefault="004953BB" w:rsidP="00EC7F4F">
            <w:pPr>
              <w:spacing w:after="0" w:line="360" w:lineRule="auto"/>
              <w:jc w:val="center"/>
              <w:rPr>
                <w:sz w:val="18"/>
                <w:szCs w:val="18"/>
              </w:rPr>
            </w:pPr>
            <w:r w:rsidRPr="00EC7F4F">
              <w:rPr>
                <w:sz w:val="18"/>
                <w:szCs w:val="18"/>
              </w:rPr>
              <w:t>1</w:t>
            </w:r>
          </w:p>
        </w:tc>
      </w:tr>
      <w:tr w:rsidR="004953BB" w:rsidRPr="00EC7F4F" w14:paraId="373EEF25" w14:textId="77777777" w:rsidTr="00EC7F4F">
        <w:tc>
          <w:tcPr>
            <w:tcW w:w="2802" w:type="dxa"/>
          </w:tcPr>
          <w:p w14:paraId="6DB48878" w14:textId="77777777" w:rsidR="004953BB" w:rsidRPr="00EC7F4F" w:rsidRDefault="004953BB" w:rsidP="00EC7F4F">
            <w:pPr>
              <w:spacing w:after="0" w:line="360" w:lineRule="auto"/>
              <w:rPr>
                <w:sz w:val="18"/>
                <w:szCs w:val="18"/>
              </w:rPr>
            </w:pPr>
            <w:r w:rsidRPr="00EC7F4F">
              <w:rPr>
                <w:sz w:val="18"/>
                <w:szCs w:val="18"/>
              </w:rPr>
              <w:t>Waist circumference</w:t>
            </w:r>
          </w:p>
        </w:tc>
        <w:tc>
          <w:tcPr>
            <w:tcW w:w="1275" w:type="dxa"/>
          </w:tcPr>
          <w:p w14:paraId="41E45975" w14:textId="77777777" w:rsidR="004953BB" w:rsidRPr="00EC7F4F" w:rsidRDefault="004953BB" w:rsidP="00EC7F4F">
            <w:pPr>
              <w:spacing w:after="0" w:line="360" w:lineRule="auto"/>
              <w:jc w:val="center"/>
              <w:rPr>
                <w:sz w:val="18"/>
                <w:szCs w:val="18"/>
              </w:rPr>
            </w:pPr>
            <w:r w:rsidRPr="00EC7F4F">
              <w:rPr>
                <w:sz w:val="18"/>
                <w:szCs w:val="18"/>
              </w:rPr>
              <w:t>0</w:t>
            </w:r>
          </w:p>
        </w:tc>
        <w:tc>
          <w:tcPr>
            <w:tcW w:w="1276" w:type="dxa"/>
          </w:tcPr>
          <w:p w14:paraId="7048ACB3"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2F164F02"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05E1BC7F" w14:textId="77777777" w:rsidR="004953BB" w:rsidRPr="00EC7F4F" w:rsidRDefault="004953BB" w:rsidP="00EC7F4F">
            <w:pPr>
              <w:spacing w:after="0" w:line="360" w:lineRule="auto"/>
              <w:jc w:val="center"/>
              <w:rPr>
                <w:sz w:val="18"/>
                <w:szCs w:val="18"/>
              </w:rPr>
            </w:pPr>
            <w:r w:rsidRPr="00EC7F4F">
              <w:rPr>
                <w:sz w:val="18"/>
                <w:szCs w:val="18"/>
              </w:rPr>
              <w:t>3</w:t>
            </w:r>
          </w:p>
        </w:tc>
        <w:tc>
          <w:tcPr>
            <w:tcW w:w="1337" w:type="dxa"/>
          </w:tcPr>
          <w:p w14:paraId="40091387" w14:textId="77777777" w:rsidR="004953BB" w:rsidRPr="00EC7F4F" w:rsidRDefault="004953BB" w:rsidP="00EC7F4F">
            <w:pPr>
              <w:spacing w:after="0" w:line="360" w:lineRule="auto"/>
              <w:jc w:val="center"/>
              <w:rPr>
                <w:sz w:val="18"/>
                <w:szCs w:val="18"/>
              </w:rPr>
            </w:pPr>
            <w:r w:rsidRPr="00EC7F4F">
              <w:rPr>
                <w:sz w:val="18"/>
                <w:szCs w:val="18"/>
              </w:rPr>
              <w:t>2</w:t>
            </w:r>
          </w:p>
        </w:tc>
      </w:tr>
      <w:tr w:rsidR="004953BB" w:rsidRPr="00EC7F4F" w14:paraId="1C6CC005" w14:textId="77777777" w:rsidTr="00EC7F4F">
        <w:tc>
          <w:tcPr>
            <w:tcW w:w="2802" w:type="dxa"/>
          </w:tcPr>
          <w:p w14:paraId="046934C3" w14:textId="77777777" w:rsidR="004953BB" w:rsidRPr="00EC7F4F" w:rsidRDefault="004953BB" w:rsidP="00EC7F4F">
            <w:pPr>
              <w:spacing w:after="0" w:line="360" w:lineRule="auto"/>
              <w:rPr>
                <w:sz w:val="18"/>
                <w:szCs w:val="18"/>
              </w:rPr>
            </w:pPr>
            <w:r w:rsidRPr="00EC7F4F">
              <w:rPr>
                <w:sz w:val="18"/>
                <w:szCs w:val="18"/>
              </w:rPr>
              <w:t>Pulse</w:t>
            </w:r>
          </w:p>
        </w:tc>
        <w:tc>
          <w:tcPr>
            <w:tcW w:w="1275" w:type="dxa"/>
          </w:tcPr>
          <w:p w14:paraId="5319D9E8"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21C9748C"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4888DB7A"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4558AF23" w14:textId="77777777" w:rsidR="004953BB" w:rsidRPr="00EC7F4F" w:rsidRDefault="004953BB" w:rsidP="00EC7F4F">
            <w:pPr>
              <w:spacing w:after="0" w:line="360" w:lineRule="auto"/>
              <w:jc w:val="center"/>
              <w:rPr>
                <w:sz w:val="18"/>
                <w:szCs w:val="18"/>
              </w:rPr>
            </w:pPr>
            <w:r w:rsidRPr="00EC7F4F">
              <w:rPr>
                <w:sz w:val="18"/>
                <w:szCs w:val="18"/>
              </w:rPr>
              <w:t>1</w:t>
            </w:r>
          </w:p>
        </w:tc>
        <w:tc>
          <w:tcPr>
            <w:tcW w:w="1337" w:type="dxa"/>
          </w:tcPr>
          <w:p w14:paraId="7643A70E" w14:textId="77777777" w:rsidR="004953BB" w:rsidRPr="00EC7F4F" w:rsidRDefault="004953BB" w:rsidP="00EC7F4F">
            <w:pPr>
              <w:spacing w:after="0" w:line="360" w:lineRule="auto"/>
              <w:jc w:val="center"/>
              <w:rPr>
                <w:sz w:val="18"/>
                <w:szCs w:val="18"/>
              </w:rPr>
            </w:pPr>
            <w:r w:rsidRPr="00EC7F4F">
              <w:rPr>
                <w:sz w:val="18"/>
                <w:szCs w:val="18"/>
              </w:rPr>
              <w:t>1</w:t>
            </w:r>
          </w:p>
        </w:tc>
      </w:tr>
      <w:tr w:rsidR="004953BB" w:rsidRPr="00EC7F4F" w14:paraId="7E1B1D2A" w14:textId="77777777" w:rsidTr="00EC7F4F">
        <w:tc>
          <w:tcPr>
            <w:tcW w:w="2802" w:type="dxa"/>
          </w:tcPr>
          <w:p w14:paraId="130F4414" w14:textId="77777777" w:rsidR="004953BB" w:rsidRPr="00EC7F4F" w:rsidRDefault="004953BB" w:rsidP="00EC7F4F">
            <w:pPr>
              <w:spacing w:after="0" w:line="360" w:lineRule="auto"/>
              <w:rPr>
                <w:sz w:val="18"/>
                <w:szCs w:val="18"/>
              </w:rPr>
            </w:pPr>
            <w:r w:rsidRPr="00EC7F4F">
              <w:rPr>
                <w:sz w:val="18"/>
                <w:szCs w:val="18"/>
              </w:rPr>
              <w:t>Blood pressure</w:t>
            </w:r>
          </w:p>
        </w:tc>
        <w:tc>
          <w:tcPr>
            <w:tcW w:w="1275" w:type="dxa"/>
          </w:tcPr>
          <w:p w14:paraId="4BB378F3"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3F33D945"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4323017C"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30FCCE96" w14:textId="77777777" w:rsidR="004953BB" w:rsidRPr="00EC7F4F" w:rsidRDefault="004953BB" w:rsidP="00EC7F4F">
            <w:pPr>
              <w:spacing w:after="0" w:line="360" w:lineRule="auto"/>
              <w:jc w:val="center"/>
              <w:rPr>
                <w:sz w:val="18"/>
                <w:szCs w:val="18"/>
              </w:rPr>
            </w:pPr>
            <w:r w:rsidRPr="00EC7F4F">
              <w:rPr>
                <w:sz w:val="18"/>
                <w:szCs w:val="18"/>
              </w:rPr>
              <w:t>1</w:t>
            </w:r>
          </w:p>
        </w:tc>
        <w:tc>
          <w:tcPr>
            <w:tcW w:w="1337" w:type="dxa"/>
          </w:tcPr>
          <w:p w14:paraId="6D8E107A"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42EE9643" w14:textId="77777777" w:rsidTr="00EC7F4F">
        <w:tc>
          <w:tcPr>
            <w:tcW w:w="2802" w:type="dxa"/>
          </w:tcPr>
          <w:p w14:paraId="713AD668" w14:textId="77777777" w:rsidR="004953BB" w:rsidRPr="00EC7F4F" w:rsidRDefault="004953BB" w:rsidP="00EC7F4F">
            <w:pPr>
              <w:spacing w:after="0" w:line="360" w:lineRule="auto"/>
              <w:rPr>
                <w:sz w:val="18"/>
                <w:szCs w:val="18"/>
              </w:rPr>
            </w:pPr>
            <w:r w:rsidRPr="00EC7F4F">
              <w:rPr>
                <w:sz w:val="18"/>
                <w:szCs w:val="18"/>
              </w:rPr>
              <w:t>Fasting blood glucose</w:t>
            </w:r>
          </w:p>
        </w:tc>
        <w:tc>
          <w:tcPr>
            <w:tcW w:w="1275" w:type="dxa"/>
          </w:tcPr>
          <w:p w14:paraId="79404140"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31141CA0"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6B9B0103" w14:textId="77777777" w:rsidR="004953BB" w:rsidRPr="00EC7F4F" w:rsidRDefault="004953BB" w:rsidP="00EC7F4F">
            <w:pPr>
              <w:spacing w:after="0" w:line="360" w:lineRule="auto"/>
              <w:jc w:val="center"/>
              <w:rPr>
                <w:sz w:val="18"/>
                <w:szCs w:val="18"/>
              </w:rPr>
            </w:pPr>
            <w:r w:rsidRPr="00EC7F4F">
              <w:rPr>
                <w:sz w:val="18"/>
                <w:szCs w:val="18"/>
              </w:rPr>
              <w:t>5</w:t>
            </w:r>
          </w:p>
        </w:tc>
        <w:tc>
          <w:tcPr>
            <w:tcW w:w="1276" w:type="dxa"/>
          </w:tcPr>
          <w:p w14:paraId="3482B698" w14:textId="77777777" w:rsidR="004953BB" w:rsidRPr="00EC7F4F" w:rsidRDefault="004953BB" w:rsidP="00EC7F4F">
            <w:pPr>
              <w:spacing w:after="0" w:line="360" w:lineRule="auto"/>
              <w:jc w:val="center"/>
              <w:rPr>
                <w:sz w:val="18"/>
                <w:szCs w:val="18"/>
              </w:rPr>
            </w:pPr>
            <w:r w:rsidRPr="00EC7F4F">
              <w:rPr>
                <w:sz w:val="18"/>
                <w:szCs w:val="18"/>
              </w:rPr>
              <w:t>1</w:t>
            </w:r>
          </w:p>
        </w:tc>
        <w:tc>
          <w:tcPr>
            <w:tcW w:w="1337" w:type="dxa"/>
          </w:tcPr>
          <w:p w14:paraId="15A3AB48"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53F0EA6F" w14:textId="77777777" w:rsidTr="00EC7F4F">
        <w:tc>
          <w:tcPr>
            <w:tcW w:w="2802" w:type="dxa"/>
          </w:tcPr>
          <w:p w14:paraId="56076F84" w14:textId="77777777" w:rsidR="004953BB" w:rsidRPr="00EC7F4F" w:rsidRDefault="004953BB" w:rsidP="00EC7F4F">
            <w:pPr>
              <w:spacing w:after="0" w:line="360" w:lineRule="auto"/>
              <w:rPr>
                <w:sz w:val="18"/>
                <w:szCs w:val="18"/>
              </w:rPr>
            </w:pPr>
            <w:r w:rsidRPr="00EC7F4F">
              <w:rPr>
                <w:sz w:val="18"/>
                <w:szCs w:val="18"/>
              </w:rPr>
              <w:t>HbA1c</w:t>
            </w:r>
          </w:p>
        </w:tc>
        <w:tc>
          <w:tcPr>
            <w:tcW w:w="1275" w:type="dxa"/>
          </w:tcPr>
          <w:p w14:paraId="764DF95C"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28643988"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27FFDAAB"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1D7497CF" w14:textId="77777777" w:rsidR="004953BB" w:rsidRPr="00EC7F4F" w:rsidRDefault="004953BB" w:rsidP="00EC7F4F">
            <w:pPr>
              <w:spacing w:after="0" w:line="360" w:lineRule="auto"/>
              <w:jc w:val="center"/>
              <w:rPr>
                <w:sz w:val="18"/>
                <w:szCs w:val="18"/>
              </w:rPr>
            </w:pPr>
            <w:r w:rsidRPr="00EC7F4F">
              <w:rPr>
                <w:sz w:val="18"/>
                <w:szCs w:val="18"/>
              </w:rPr>
              <w:t>1</w:t>
            </w:r>
          </w:p>
        </w:tc>
        <w:tc>
          <w:tcPr>
            <w:tcW w:w="1337" w:type="dxa"/>
          </w:tcPr>
          <w:p w14:paraId="1CF090D5"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4A4C7FE8" w14:textId="77777777" w:rsidTr="00EC7F4F">
        <w:tc>
          <w:tcPr>
            <w:tcW w:w="2802" w:type="dxa"/>
          </w:tcPr>
          <w:p w14:paraId="5C5E80DC" w14:textId="77777777" w:rsidR="004953BB" w:rsidRPr="00EC7F4F" w:rsidRDefault="004953BB" w:rsidP="00EC7F4F">
            <w:pPr>
              <w:spacing w:after="0" w:line="360" w:lineRule="auto"/>
              <w:rPr>
                <w:sz w:val="18"/>
                <w:szCs w:val="18"/>
              </w:rPr>
            </w:pPr>
            <w:r w:rsidRPr="00EC7F4F">
              <w:rPr>
                <w:sz w:val="18"/>
                <w:szCs w:val="18"/>
              </w:rPr>
              <w:t>Blood lipid profile</w:t>
            </w:r>
          </w:p>
        </w:tc>
        <w:tc>
          <w:tcPr>
            <w:tcW w:w="1275" w:type="dxa"/>
          </w:tcPr>
          <w:p w14:paraId="30825E46" w14:textId="77777777" w:rsidR="004953BB" w:rsidRPr="00EC7F4F" w:rsidRDefault="004953BB" w:rsidP="00EC7F4F">
            <w:pPr>
              <w:spacing w:after="0" w:line="360" w:lineRule="auto"/>
              <w:jc w:val="center"/>
              <w:rPr>
                <w:sz w:val="18"/>
                <w:szCs w:val="18"/>
              </w:rPr>
            </w:pPr>
            <w:r w:rsidRPr="00EC7F4F">
              <w:rPr>
                <w:sz w:val="18"/>
                <w:szCs w:val="18"/>
              </w:rPr>
              <w:t>2</w:t>
            </w:r>
          </w:p>
        </w:tc>
        <w:tc>
          <w:tcPr>
            <w:tcW w:w="1276" w:type="dxa"/>
          </w:tcPr>
          <w:p w14:paraId="146781EB"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61EFC9B8"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471A7E45"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5E6B0285"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452BC65D" w14:textId="77777777" w:rsidTr="00EC7F4F">
        <w:tc>
          <w:tcPr>
            <w:tcW w:w="2802" w:type="dxa"/>
          </w:tcPr>
          <w:p w14:paraId="73D3CE14" w14:textId="77777777" w:rsidR="004953BB" w:rsidRPr="00EC7F4F" w:rsidRDefault="004953BB" w:rsidP="004B4837">
            <w:pPr>
              <w:spacing w:after="0" w:line="240" w:lineRule="auto"/>
              <w:rPr>
                <w:sz w:val="18"/>
                <w:szCs w:val="18"/>
              </w:rPr>
            </w:pPr>
            <w:r w:rsidRPr="00EC7F4F">
              <w:rPr>
                <w:sz w:val="18"/>
                <w:szCs w:val="18"/>
              </w:rPr>
              <w:t>Assessment of any movement disorders</w:t>
            </w:r>
          </w:p>
        </w:tc>
        <w:tc>
          <w:tcPr>
            <w:tcW w:w="1275" w:type="dxa"/>
          </w:tcPr>
          <w:p w14:paraId="1F95DD90"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5361A05F" w14:textId="77777777" w:rsidR="004953BB" w:rsidRPr="00EC7F4F" w:rsidRDefault="004953BB" w:rsidP="00EC7F4F">
            <w:pPr>
              <w:spacing w:after="0" w:line="360" w:lineRule="auto"/>
              <w:jc w:val="center"/>
              <w:rPr>
                <w:sz w:val="18"/>
                <w:szCs w:val="18"/>
              </w:rPr>
            </w:pPr>
            <w:r w:rsidRPr="00EC7F4F">
              <w:rPr>
                <w:sz w:val="18"/>
                <w:szCs w:val="18"/>
              </w:rPr>
              <w:t>4</w:t>
            </w:r>
          </w:p>
        </w:tc>
        <w:tc>
          <w:tcPr>
            <w:tcW w:w="1276" w:type="dxa"/>
          </w:tcPr>
          <w:p w14:paraId="63524C27"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674066BB" w14:textId="77777777" w:rsidR="004953BB" w:rsidRPr="00EC7F4F" w:rsidRDefault="004953BB" w:rsidP="00EC7F4F">
            <w:pPr>
              <w:spacing w:after="0" w:line="360" w:lineRule="auto"/>
              <w:jc w:val="center"/>
              <w:rPr>
                <w:sz w:val="18"/>
                <w:szCs w:val="18"/>
              </w:rPr>
            </w:pPr>
            <w:r w:rsidRPr="00EC7F4F">
              <w:rPr>
                <w:sz w:val="18"/>
                <w:szCs w:val="18"/>
              </w:rPr>
              <w:t>1</w:t>
            </w:r>
          </w:p>
        </w:tc>
        <w:tc>
          <w:tcPr>
            <w:tcW w:w="1337" w:type="dxa"/>
          </w:tcPr>
          <w:p w14:paraId="2CB209B9" w14:textId="77777777" w:rsidR="004953BB" w:rsidRPr="00EC7F4F" w:rsidRDefault="004953BB" w:rsidP="00EC7F4F">
            <w:pPr>
              <w:spacing w:after="0" w:line="360" w:lineRule="auto"/>
              <w:jc w:val="center"/>
              <w:rPr>
                <w:sz w:val="18"/>
                <w:szCs w:val="18"/>
              </w:rPr>
            </w:pPr>
            <w:r w:rsidRPr="00EC7F4F">
              <w:rPr>
                <w:sz w:val="18"/>
                <w:szCs w:val="18"/>
              </w:rPr>
              <w:t>0</w:t>
            </w:r>
          </w:p>
        </w:tc>
      </w:tr>
      <w:tr w:rsidR="004953BB" w:rsidRPr="00EC7F4F" w14:paraId="4DC1308A" w14:textId="77777777" w:rsidTr="00EC7F4F">
        <w:tc>
          <w:tcPr>
            <w:tcW w:w="2802" w:type="dxa"/>
          </w:tcPr>
          <w:p w14:paraId="3B65B48D" w14:textId="77777777" w:rsidR="004953BB" w:rsidRPr="00EC7F4F" w:rsidRDefault="004953BB" w:rsidP="004B4837">
            <w:pPr>
              <w:spacing w:after="0" w:line="240" w:lineRule="auto"/>
              <w:rPr>
                <w:sz w:val="18"/>
                <w:szCs w:val="18"/>
              </w:rPr>
            </w:pPr>
            <w:r w:rsidRPr="00EC7F4F">
              <w:rPr>
                <w:sz w:val="18"/>
                <w:szCs w:val="18"/>
              </w:rPr>
              <w:t>Assessment of nutritional status, diet and level of physical activity</w:t>
            </w:r>
          </w:p>
        </w:tc>
        <w:tc>
          <w:tcPr>
            <w:tcW w:w="1275" w:type="dxa"/>
          </w:tcPr>
          <w:p w14:paraId="47CC6C19"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085BE3FC" w14:textId="77777777" w:rsidR="004953BB" w:rsidRPr="00EC7F4F" w:rsidRDefault="004953BB" w:rsidP="00EC7F4F">
            <w:pPr>
              <w:spacing w:after="0" w:line="360" w:lineRule="auto"/>
              <w:jc w:val="center"/>
              <w:rPr>
                <w:sz w:val="18"/>
                <w:szCs w:val="18"/>
              </w:rPr>
            </w:pPr>
            <w:r w:rsidRPr="00EC7F4F">
              <w:rPr>
                <w:sz w:val="18"/>
                <w:szCs w:val="18"/>
              </w:rPr>
              <w:t>1</w:t>
            </w:r>
          </w:p>
        </w:tc>
        <w:tc>
          <w:tcPr>
            <w:tcW w:w="1276" w:type="dxa"/>
          </w:tcPr>
          <w:p w14:paraId="4845F969" w14:textId="77777777" w:rsidR="004953BB" w:rsidRPr="00EC7F4F" w:rsidRDefault="004953BB" w:rsidP="00EC7F4F">
            <w:pPr>
              <w:spacing w:after="0" w:line="360" w:lineRule="auto"/>
              <w:jc w:val="center"/>
              <w:rPr>
                <w:sz w:val="18"/>
                <w:szCs w:val="18"/>
              </w:rPr>
            </w:pPr>
            <w:r w:rsidRPr="00EC7F4F">
              <w:rPr>
                <w:sz w:val="18"/>
                <w:szCs w:val="18"/>
              </w:rPr>
              <w:t>3</w:t>
            </w:r>
          </w:p>
        </w:tc>
        <w:tc>
          <w:tcPr>
            <w:tcW w:w="1276" w:type="dxa"/>
          </w:tcPr>
          <w:p w14:paraId="3F7E1A32" w14:textId="77777777" w:rsidR="004953BB" w:rsidRPr="00EC7F4F" w:rsidRDefault="004953BB" w:rsidP="00EC7F4F">
            <w:pPr>
              <w:spacing w:after="0" w:line="360" w:lineRule="auto"/>
              <w:jc w:val="center"/>
              <w:rPr>
                <w:sz w:val="18"/>
                <w:szCs w:val="18"/>
              </w:rPr>
            </w:pPr>
            <w:r w:rsidRPr="00EC7F4F">
              <w:rPr>
                <w:sz w:val="18"/>
                <w:szCs w:val="18"/>
              </w:rPr>
              <w:t>2</w:t>
            </w:r>
          </w:p>
        </w:tc>
        <w:tc>
          <w:tcPr>
            <w:tcW w:w="1337" w:type="dxa"/>
          </w:tcPr>
          <w:p w14:paraId="63BFBCF7" w14:textId="77777777" w:rsidR="004953BB" w:rsidRPr="00EC7F4F" w:rsidRDefault="004953BB" w:rsidP="00EC7F4F">
            <w:pPr>
              <w:spacing w:after="0" w:line="360" w:lineRule="auto"/>
              <w:jc w:val="center"/>
              <w:rPr>
                <w:sz w:val="18"/>
                <w:szCs w:val="18"/>
              </w:rPr>
            </w:pPr>
            <w:r w:rsidRPr="00EC7F4F">
              <w:rPr>
                <w:sz w:val="18"/>
                <w:szCs w:val="18"/>
              </w:rPr>
              <w:t>0</w:t>
            </w:r>
          </w:p>
        </w:tc>
      </w:tr>
    </w:tbl>
    <w:p w14:paraId="0C04BAD3" w14:textId="77777777" w:rsidR="00610DD9" w:rsidRDefault="00610DD9" w:rsidP="00CB3988"/>
    <w:p w14:paraId="6BB17256" w14:textId="77777777" w:rsidR="00CB3988" w:rsidRDefault="00CB3988" w:rsidP="00CB3988">
      <w:r>
        <w:lastRenderedPageBreak/>
        <w:t>There was no correlation between which of the recommended physiological measures were recorded by trusts prior to antipsychotic treatment initiation, or annually thereafter, although generally those trusts who were likely to record particular measures prior to treatment initiation, were also likely to record the same measures at least annually thereafter.</w:t>
      </w:r>
    </w:p>
    <w:p w14:paraId="117C3E50" w14:textId="77777777" w:rsidR="004953BB" w:rsidRPr="00203AF8" w:rsidRDefault="004953BB" w:rsidP="00203AF8"/>
    <w:p w14:paraId="666F3A48" w14:textId="77777777" w:rsidR="004953BB" w:rsidRPr="00923AF7" w:rsidRDefault="004953BB" w:rsidP="000D2D6A">
      <w:pPr>
        <w:pStyle w:val="Heading1"/>
      </w:pPr>
      <w:r w:rsidRPr="00923AF7">
        <w:t>DISCUSSION</w:t>
      </w:r>
    </w:p>
    <w:p w14:paraId="541BD756" w14:textId="77777777" w:rsidR="004953BB" w:rsidRDefault="004953BB" w:rsidP="00561058">
      <w:pPr>
        <w:pStyle w:val="Heading2"/>
      </w:pPr>
      <w:r w:rsidRPr="00923AF7">
        <w:t>Principal findings</w:t>
      </w:r>
    </w:p>
    <w:p w14:paraId="4B20EFC2" w14:textId="77777777" w:rsidR="004953BB" w:rsidRDefault="004953BB" w:rsidP="000B2361">
      <w:r>
        <w:t>It was clear from this survey that there was great variation between different NHS Mental Health Trusts in the provision of healthy eating and physical activity interventions routinely offered to patients</w:t>
      </w:r>
      <w:r w:rsidR="007F4B36">
        <w:t>, as well as</w:t>
      </w:r>
      <w:r>
        <w:t xml:space="preserve"> variation between clinicians within the same trust</w:t>
      </w:r>
      <w:r w:rsidR="007F4B36">
        <w:t>, with i</w:t>
      </w:r>
      <w:r>
        <w:t xml:space="preserve">nterventions often accessed only </w:t>
      </w:r>
      <w:r w:rsidR="00CB3988">
        <w:t>through</w:t>
      </w:r>
      <w:r>
        <w:t xml:space="preserve"> particular clinicians or clinics. Commonly, trusts reported signposting or referring patients to programmes offered by external services such as gym memberships and activity classes</w:t>
      </w:r>
      <w:r w:rsidR="007F4B36">
        <w:t>.</w:t>
      </w:r>
    </w:p>
    <w:p w14:paraId="499AC66F" w14:textId="77777777" w:rsidR="004953BB" w:rsidRDefault="004953BB" w:rsidP="00561058">
      <w:r>
        <w:t>Most patients had access to a smoking cessation service should they require it, and referrals to such services were reported to occur most of the time, if not all of the time at nine out of the ten trusts surveyed, regardless of whether the service was offered within the trust, or run externally.</w:t>
      </w:r>
    </w:p>
    <w:p w14:paraId="51BB6BD0" w14:textId="77777777" w:rsidR="004953BB" w:rsidRDefault="004953BB" w:rsidP="000B2361">
      <w:r>
        <w:t>When deciding on antipsychotic medication with newly diagnosed patients, there was also variability in the reported discussions that took place across trusts. All trusts reported that the likely benefits, weight gain, diabetes and metabolic side effects and other possible side effects were discussed with the patient at least some of the time</w:t>
      </w:r>
      <w:r w:rsidR="007F4B36">
        <w:t>, as well as the possible interference of other substances with prescribed antipsychotic medication</w:t>
      </w:r>
      <w:r>
        <w:t xml:space="preserve">. </w:t>
      </w:r>
    </w:p>
    <w:p w14:paraId="1E23DC16" w14:textId="77777777" w:rsidR="004953BB" w:rsidRDefault="004953BB" w:rsidP="00561058">
      <w:r>
        <w:t xml:space="preserve">Although at the early stages in the course of antipsychotic treatment, it was reported unlikely that trusts would record a patient’s weight as recommended by NICE, by one year after treatment initiation, a larger proportion of trusts reported weight being recorded, a proportion of which </w:t>
      </w:r>
      <w:r>
        <w:lastRenderedPageBreak/>
        <w:t>increased again for annual reviews thereafter, despite the uncertainties regarding responsibility for undertaking annual reviews in the community.</w:t>
      </w:r>
    </w:p>
    <w:p w14:paraId="60BF0371" w14:textId="77777777" w:rsidR="004953BB" w:rsidRPr="00923AF7" w:rsidRDefault="004953BB" w:rsidP="00561058">
      <w:pPr>
        <w:pStyle w:val="Heading2"/>
      </w:pPr>
      <w:r w:rsidRPr="00923AF7">
        <w:t>Strengths and limitations</w:t>
      </w:r>
    </w:p>
    <w:p w14:paraId="1AF402E2" w14:textId="77777777" w:rsidR="004953BB" w:rsidRDefault="007F4B36" w:rsidP="007F74EB">
      <w:proofErr w:type="gramStart"/>
      <w:r>
        <w:t>A</w:t>
      </w:r>
      <w:r w:rsidR="004953BB" w:rsidRPr="00956A92">
        <w:t xml:space="preserve"> strength</w:t>
      </w:r>
      <w:proofErr w:type="gramEnd"/>
      <w:r w:rsidR="004953BB" w:rsidRPr="00956A92">
        <w:t xml:space="preserve"> of this survey was that </w:t>
      </w:r>
      <w:r>
        <w:t>its design was</w:t>
      </w:r>
      <w:r w:rsidR="004953BB" w:rsidRPr="00956A92">
        <w:t xml:space="preserve"> based on the NICE guidelines </w:t>
      </w:r>
      <w:r w:rsidR="004953BB">
        <w:t xml:space="preserve">to </w:t>
      </w:r>
      <w:r w:rsidR="004953BB" w:rsidRPr="00956A92">
        <w:t>which Mental Health Trusts should b</w:t>
      </w:r>
      <w:r w:rsidR="004953BB">
        <w:t>e adhering. This meant that t</w:t>
      </w:r>
      <w:r w:rsidR="004953BB" w:rsidRPr="00956A92">
        <w:t>rusts’ compliance with the</w:t>
      </w:r>
      <w:r w:rsidR="004953BB">
        <w:t>se</w:t>
      </w:r>
      <w:r w:rsidR="004953BB" w:rsidRPr="00956A92">
        <w:t xml:space="preserve"> recommendations could be assessed, allowing us to elicit information on wh</w:t>
      </w:r>
      <w:r w:rsidR="004953BB">
        <w:t>at programmes (if any) trusts were offering in usual practice</w:t>
      </w:r>
      <w:r w:rsidR="004953BB" w:rsidRPr="00956A92">
        <w:t>, and how these compare</w:t>
      </w:r>
      <w:r w:rsidR="004953BB">
        <w:t>d</w:t>
      </w:r>
      <w:r w:rsidR="004953BB" w:rsidRPr="00956A92">
        <w:t xml:space="preserve"> to what is recommended by NICE. </w:t>
      </w:r>
      <w:r w:rsidR="004953BB">
        <w:t>This also allowed us to try and define “usual care” in relation to the STEPWISE study, using a standard approach across all trusts.</w:t>
      </w:r>
    </w:p>
    <w:p w14:paraId="1E1F631B" w14:textId="77777777" w:rsidR="004953BB" w:rsidRDefault="004953BB" w:rsidP="007F74EB">
      <w:r>
        <w:t>The survey was</w:t>
      </w:r>
      <w:r w:rsidR="007F4B36">
        <w:t>,</w:t>
      </w:r>
      <w:r>
        <w:t xml:space="preserve"> </w:t>
      </w:r>
      <w:r w:rsidR="007F4B36">
        <w:t xml:space="preserve">in principle, </w:t>
      </w:r>
      <w:r>
        <w:t xml:space="preserve">a suitable method to elicit the same information from all </w:t>
      </w:r>
      <w:r w:rsidR="007F4B36">
        <w:t>respondents</w:t>
      </w:r>
      <w:r>
        <w:t>, however, it was clear from the responses that due to the variability of services offered, it was often difficult to provide a succinct account using this survey tool. The narrative information provided by the respondents proved more useful in providing a fuller picture of their usual care, than the descriptive statistics, which in some cases were a best guess, as clear data were not always available.</w:t>
      </w:r>
    </w:p>
    <w:p w14:paraId="096AE205" w14:textId="766E0A16" w:rsidR="00934192" w:rsidRDefault="004953BB" w:rsidP="00E9726C">
      <w:r>
        <w:t xml:space="preserve">Furthermore </w:t>
      </w:r>
      <w:r w:rsidR="007F4B36">
        <w:t>responses were</w:t>
      </w:r>
      <w:r>
        <w:t xml:space="preserve"> based on one member of staff’s knowledge of usual care in practice, and although this person was usually best placed to answer the questions, from the survey responses received, </w:t>
      </w:r>
      <w:r w:rsidR="007F4B36">
        <w:t>knowledge may have been limited, especially as some interventions offered</w:t>
      </w:r>
      <w:r>
        <w:t xml:space="preserve"> were particular to a specific clinic or clinician</w:t>
      </w:r>
      <w:r w:rsidR="00E9726C">
        <w:t xml:space="preserve"> and usual care may vary within and between community mental health teams in any given NHS organisation. </w:t>
      </w:r>
      <w:r w:rsidR="005056C2">
        <w:t>In addition, how representative ‘usual care’ is in comparison to NHS trusts not taking part in the STEPWISE study remains unknown.</w:t>
      </w:r>
    </w:p>
    <w:p w14:paraId="3529D5D5" w14:textId="646D86D9" w:rsidR="004953BB" w:rsidRDefault="004953BB" w:rsidP="00E9726C">
      <w:r>
        <w:t>The levels of detail around the content of available services also varied, perhaps if the respondent had more involvement with some programmes than others. Therefore it was considered likely that additional interventions may have been offered within trusts, of which the survey respondent was unaware.</w:t>
      </w:r>
    </w:p>
    <w:p w14:paraId="20FD09BF" w14:textId="77777777" w:rsidR="004953BB" w:rsidRDefault="004953BB" w:rsidP="00561058">
      <w:r>
        <w:lastRenderedPageBreak/>
        <w:t xml:space="preserve">In relation to implementation, a weakness in the survey was highlighted when some responses were received through telephone discussion whilst others were completed by the respondent and returned to the researcher. </w:t>
      </w:r>
      <w:r w:rsidR="00CB3203">
        <w:t xml:space="preserve">No systematic differences between telephone and paper copy responses were identified, although more supporting </w:t>
      </w:r>
      <w:r w:rsidR="00D77503">
        <w:t>information</w:t>
      </w:r>
      <w:r w:rsidR="00CB3203">
        <w:t xml:space="preserve"> was often</w:t>
      </w:r>
      <w:r w:rsidR="00D77503">
        <w:t xml:space="preserve"> provided</w:t>
      </w:r>
      <w:r w:rsidR="00CB3203">
        <w:t xml:space="preserve"> through telephone responses, as these were elicited through </w:t>
      </w:r>
      <w:r w:rsidR="00D77503">
        <w:t xml:space="preserve">more of </w:t>
      </w:r>
      <w:r w:rsidR="00CB3203">
        <w:t>a conversational style</w:t>
      </w:r>
      <w:r w:rsidR="00D77503">
        <w:t xml:space="preserve"> discussion</w:t>
      </w:r>
      <w:r w:rsidR="00CB3203">
        <w:t xml:space="preserve">. </w:t>
      </w:r>
      <w:r>
        <w:t xml:space="preserve">This </w:t>
      </w:r>
      <w:r w:rsidR="00D77503">
        <w:t xml:space="preserve">difference in response methods </w:t>
      </w:r>
      <w:r>
        <w:t>may have caused questions to be perceived differently, although all telephone participants had a copy of the questionnaire available to them at the time of completion. Perceptions of appropriate levels of detail can change with different methods of completion, which may lead to variation in results. However, as such variation was evident between practices offered as “usual care” in the ten trusts surveyed, the impact of these differences in completion method is considered likely to be small.</w:t>
      </w:r>
    </w:p>
    <w:p w14:paraId="266BB529" w14:textId="77777777" w:rsidR="004953BB" w:rsidRPr="00956A92" w:rsidRDefault="004953BB" w:rsidP="00561058">
      <w:r>
        <w:t>The variability in the information elicited has not allowed for a common picture across all sites, as although a type of programme is recommended by NICE, a particular standardised programme is not available across all trusts. However, the information yielded from this survey does provide sufficient baseline information, to allow any changes in usual practice during the course of the STEPWISE study to be monitored at a trust level, rather than across all study sites as a whole. This will allow an assessment to be made at the end of the STEPWISE study as to the extent of potential contamination between the intervention and control arms of the trial, based on changes in practice reported in the survey.</w:t>
      </w:r>
    </w:p>
    <w:p w14:paraId="0D11B865" w14:textId="77777777" w:rsidR="004953BB" w:rsidRPr="007A4712" w:rsidRDefault="004953BB" w:rsidP="00561058">
      <w:pPr>
        <w:pStyle w:val="Heading2"/>
      </w:pPr>
      <w:r>
        <w:t>Context</w:t>
      </w:r>
    </w:p>
    <w:p w14:paraId="7BDBADA4" w14:textId="052606C4" w:rsidR="004953BB" w:rsidRPr="007A4712" w:rsidRDefault="004953BB" w:rsidP="00561058">
      <w:r>
        <w:t>A</w:t>
      </w:r>
      <w:r w:rsidRPr="007A4712">
        <w:t>lthough there may be an increased awareness of the potential benefits of some treatments, this does not ensure such treatments are implemented effectively. Evaluations of and methods of improving the implementation of NICE guidelines often has limited attention</w:t>
      </w:r>
      <w:r>
        <w:fldChar w:fldCharType="begin" w:fldLock="1"/>
      </w:r>
      <w:r w:rsidR="003A7B45">
        <w:instrText>ADDIN CSL_CITATION { "citationItems" : [ { "id" : "ITEM-1", "itemData" : { "DOI" : "10.1348/147608308X329540", "ISBN" : "14760835", "ISSN" : "1476-0835", "PMID" : "18652741", "abstract" : "PURPOSE: 'Schizophrenia: Core Interventions in the Treatment and Management of Schizophrenia in Primary and Secondary Care' was the first National Institute of Clinical Effectiveness (NICE) guidance to be produced in 2002. This guidance includes a recommendation in relation to cognitive behavioural therapy (CBT) and family interventions (FI) in schizophrenia. This review reviews this guidance and assesses the extent of their implementation in services and the barriers to this implementation. METHODS: The review draws on data from empirical studies specifically focused on the NICE guidance for FI for schizophrenia, papers discussing implementation issues in relation to other psychological therapies in schizophrenia and empirical studies investigating the implementation of similar evidence-based guidelines in Australia and the USA. RESULTS: Although there is relatively limited research investigating implementation of the NICE guidelines, the available evidence suggests that people with schizophrenia still have poor access to psychological interventions. Barriers to implementation involve factors associated with: mental health professionals, the needs of service recipients and of organizations. CONCLUSIONS: In order to improve the implementation of the updated version of the schizophrenia guidance due to be published in 2009, it will therefore be necessary to target barriers at all of these levels. There are also problems associated with the way in which the NICE guidance, generally, and those for psychological interventions in schizophrenia in particular, are developed. It will be necessary to address these in order to facilitate successful implementation.", "author" : [ { "dropping-particle" : "", "family" : "Berry", "given" : "Katherine", "non-dropping-particle" : "", "parse-names" : false, "suffix" : "" }, { "dropping-particle" : "", "family" : "Haddock", "given" : "Gillian", "non-dropping-particle" : "", "parse-names" : false, "suffix" : "" } ], "container-title" : "Psychology and psychotherapy", "id" : "ITEM-1", "issue" : "Pt 4", "issued" : { "date-parts" : [ [ "2008" ] ] }, "page" : "419-436", "title" : "The implementation of the NICE guidelines for schizophrenia: barriers to the implementation of psychological interventions and recommendations for the future.", "type" : "article-journal", "volume" : "81" }, "uris" : [ "http://www.mendeley.com/documents/?uuid=61d6bc8b-a4a2-4f64-9195-2dbc5413dbaf", "http://www.mendeley.com/documents/?uuid=48164308-9c3b-4be6-a536-764224545ec6" ] } ], "mendeley" : { "formattedCitation" : "&lt;sup&gt;13&lt;/sup&gt;", "plainTextFormattedCitation" : "13", "previouslyFormattedCitation" : "&lt;sup&gt;13&lt;/sup&gt;" }, "properties" : { "noteIndex" : 0 }, "schema" : "https://github.com/citation-style-language/schema/raw/master/csl-citation.json" }</w:instrText>
      </w:r>
      <w:r>
        <w:fldChar w:fldCharType="separate"/>
      </w:r>
      <w:r w:rsidR="008F1467" w:rsidRPr="008F1467">
        <w:rPr>
          <w:noProof/>
          <w:vertAlign w:val="superscript"/>
        </w:rPr>
        <w:t>13</w:t>
      </w:r>
      <w:r>
        <w:fldChar w:fldCharType="end"/>
      </w:r>
      <w:r w:rsidRPr="007A4712">
        <w:t>.</w:t>
      </w:r>
    </w:p>
    <w:p w14:paraId="35A15A33" w14:textId="7597BA6A" w:rsidR="004953BB" w:rsidRPr="007A4712" w:rsidRDefault="004953BB" w:rsidP="00561058">
      <w:r w:rsidRPr="007A4712">
        <w:t>A systematic review undertaken by Berry et al noted that the research around implementation of NICE guidelines on schizophrenia is relatively limited, suggesting that these patients have poor access to psychological interventions such as CBT. Some barriers to implementation of NICE guidelines were reported</w:t>
      </w:r>
      <w:r>
        <w:t>,</w:t>
      </w:r>
      <w:r w:rsidRPr="007A4712">
        <w:t xml:space="preserve"> such as </w:t>
      </w:r>
      <w:r>
        <w:t>insufficient support from t</w:t>
      </w:r>
      <w:r w:rsidRPr="007A4712">
        <w:t>rust management, and the</w:t>
      </w:r>
      <w:r w:rsidR="00CD4BBA">
        <w:t xml:space="preserve"> </w:t>
      </w:r>
      <w:r w:rsidRPr="007A4712">
        <w:t xml:space="preserve">needs of organisations. </w:t>
      </w:r>
      <w:r w:rsidRPr="007A4712">
        <w:lastRenderedPageBreak/>
        <w:t>The paper also highlights that whilst NICE considers RCTs to be the gold standard when developing an evidence base for its guidelines, RCTs have also been criticised for their ability to reflect the “real world”. The authors suggest that targeting these barriers is the key in facilitating successful implementation of the guidelines</w:t>
      </w:r>
      <w:r>
        <w:fldChar w:fldCharType="begin" w:fldLock="1"/>
      </w:r>
      <w:r w:rsidR="003A7B45">
        <w:instrText>ADDIN CSL_CITATION { "citationItems" : [ { "id" : "ITEM-1", "itemData" : { "DOI" : "10.1348/147608308X329540", "ISBN" : "14760835", "ISSN" : "1476-0835", "PMID" : "18652741", "abstract" : "PURPOSE: 'Schizophrenia: Core Interventions in the Treatment and Management of Schizophrenia in Primary and Secondary Care' was the first National Institute of Clinical Effectiveness (NICE) guidance to be produced in 2002. This guidance includes a recommendation in relation to cognitive behavioural therapy (CBT) and family interventions (FI) in schizophrenia. This review reviews this guidance and assesses the extent of their implementation in services and the barriers to this implementation. METHODS: The review draws on data from empirical studies specifically focused on the NICE guidance for FI for schizophrenia, papers discussing implementation issues in relation to other psychological therapies in schizophrenia and empirical studies investigating the implementation of similar evidence-based guidelines in Australia and the USA. RESULTS: Although there is relatively limited research investigating implementation of the NICE guidelines, the available evidence suggests that people with schizophrenia still have poor access to psychological interventions. Barriers to implementation involve factors associated with: mental health professionals, the needs of service recipients and of organizations. CONCLUSIONS: In order to improve the implementation of the updated version of the schizophrenia guidance due to be published in 2009, it will therefore be necessary to target barriers at all of these levels. There are also problems associated with the way in which the NICE guidance, generally, and those for psychological interventions in schizophrenia in particular, are developed. It will be necessary to address these in order to facilitate successful implementation.", "author" : [ { "dropping-particle" : "", "family" : "Berry", "given" : "Katherine", "non-dropping-particle" : "", "parse-names" : false, "suffix" : "" }, { "dropping-particle" : "", "family" : "Haddock", "given" : "Gillian", "non-dropping-particle" : "", "parse-names" : false, "suffix" : "" } ], "container-title" : "Psychology and psychotherapy", "id" : "ITEM-1", "issue" : "Pt 4", "issued" : { "date-parts" : [ [ "2008" ] ] }, "page" : "419-436", "title" : "The implementation of the NICE guidelines for schizophrenia: barriers to the implementation of psychological interventions and recommendations for the future.", "type" : "article-journal", "volume" : "81" }, "uris" : [ "http://www.mendeley.com/documents/?uuid=48164308-9c3b-4be6-a536-764224545ec6", "http://www.mendeley.com/documents/?uuid=61d6bc8b-a4a2-4f64-9195-2dbc5413dbaf" ] } ], "mendeley" : { "formattedCitation" : "&lt;sup&gt;13&lt;/sup&gt;", "plainTextFormattedCitation" : "13", "previouslyFormattedCitation" : "&lt;sup&gt;13&lt;/sup&gt;" }, "properties" : { "noteIndex" : 0 }, "schema" : "https://github.com/citation-style-language/schema/raw/master/csl-citation.json" }</w:instrText>
      </w:r>
      <w:r>
        <w:fldChar w:fldCharType="separate"/>
      </w:r>
      <w:r w:rsidR="008F1467" w:rsidRPr="008F1467">
        <w:rPr>
          <w:noProof/>
          <w:vertAlign w:val="superscript"/>
        </w:rPr>
        <w:t>13</w:t>
      </w:r>
      <w:r>
        <w:fldChar w:fldCharType="end"/>
      </w:r>
      <w:r w:rsidRPr="007A4712">
        <w:t>.</w:t>
      </w:r>
    </w:p>
    <w:p w14:paraId="0A0E267B" w14:textId="75232969" w:rsidR="00CD4BBA" w:rsidRDefault="004953BB" w:rsidP="00DC2F66">
      <w:r w:rsidRPr="00E94566">
        <w:t xml:space="preserve">It is therefore </w:t>
      </w:r>
      <w:proofErr w:type="gramStart"/>
      <w:r w:rsidRPr="00E94566">
        <w:t>key</w:t>
      </w:r>
      <w:proofErr w:type="gramEnd"/>
      <w:r w:rsidRPr="00E94566">
        <w:t xml:space="preserve"> to identify which aspects of the guidance are not currently being followed in order to target these areas for implementation</w:t>
      </w:r>
      <w:r>
        <w:t xml:space="preserve"> and improve clinical care. </w:t>
      </w:r>
      <w:r w:rsidR="00934192">
        <w:t xml:space="preserve">Not only is it important to consider the implementation of guidance relating to monitoring of biomedical measures, but also there is likely to be a limited effect unless combined with sufficient intervention </w:t>
      </w:r>
      <w:r w:rsidR="005056C2">
        <w:t xml:space="preserve">in behaviour or treatment. Similarly, the mere </w:t>
      </w:r>
      <w:proofErr w:type="gramStart"/>
      <w:r w:rsidR="005056C2">
        <w:t>presence of guidance or a trial do</w:t>
      </w:r>
      <w:proofErr w:type="gramEnd"/>
      <w:r w:rsidR="005056C2">
        <w:t xml:space="preserve"> not necessarily lead to substantive changes or better outcomes. Repeating the survey annually will allow identification of any substantive, systematic changes within the organisations since both the introduction of the NICE guidelines, and throughout the duration of the STEPWISE trial.</w:t>
      </w:r>
    </w:p>
    <w:p w14:paraId="5BE6E8E4" w14:textId="77777777" w:rsidR="004953BB" w:rsidRDefault="00CD4BBA" w:rsidP="00DC2F66">
      <w:r>
        <w:t>From a research perspective, t</w:t>
      </w:r>
      <w:r w:rsidR="004953BB">
        <w:t>he reported variation also has implications for our study when defining “usual care”</w:t>
      </w:r>
      <w:r w:rsidR="004953BB" w:rsidRPr="00E94566">
        <w:t>.</w:t>
      </w:r>
      <w:r w:rsidR="004953BB">
        <w:t xml:space="preserve"> If all trusts adhered to all recommendations in the NICE guidelines, we could be sufficiently confident that contamination between trial arms would be minimal, however, as different levels of compliance with different recommendations were evident, this does not allow for standardised “usual care” across the study. This does mean, however, that usual practice can be compared over time within each trust individually, in order to make an assessment as to how much “usual care” has changed throughout the course of their participation in the STEPWISE study.</w:t>
      </w:r>
      <w:r w:rsidR="004953BB" w:rsidRPr="00E94566">
        <w:t xml:space="preserve"> </w:t>
      </w:r>
    </w:p>
    <w:p w14:paraId="4481531C" w14:textId="50A02688" w:rsidR="004953BB" w:rsidRDefault="004953BB" w:rsidP="00561058">
      <w:r>
        <w:t>The National Audit of Schizophrenia includes standards on the monitoring of physical health in patients with schizophrenia. The audit report in 2014 noted that the provision of interventions is poor when there is evidence of physical health risks. The report highlighted barriers to intervention including  availability of staff time, facilities and equipment, the need for formal systems to conduct annual reviews and the need for more formal arrangements regarding responsibility for physical health between primary and secondary care</w:t>
      </w:r>
      <w:r>
        <w:fldChar w:fldCharType="begin" w:fldLock="1"/>
      </w:r>
      <w:r w:rsidR="003A7B45">
        <w:instrText>ADDIN CSL_CITATION { "citationItems" : [ { "id" : "ITEM-1", "itemData" : { "abstract" : "Two years ago the first round of the National Audit of Schizophrenia reported shortfalls in teh quality of care that some people were receiving for the physical and mental health. The resultsof hte second round of this national audit are presented in this new report.", "author" : [ { "dropping-particle" : "", "family" : "Royal College of Psychiatrists", "given" : "", "non-dropping-particle" : "", "parse-names" : false, "suffix" : "" } ], "id" : "ITEM-1", "issued" : { "date-parts" : [ [ "2014" ] ] }, "title" : "Report of the Second Round of the National Audit of Schizophrenia (NAS)", "type" : "article-journal" }, "uris" : [ "http://www.mendeley.com/documents/?uuid=d9823654-7371-4fea-8078-d35717bca773" ] } ], "mendeley" : { "formattedCitation" : "&lt;sup&gt;14&lt;/sup&gt;", "plainTextFormattedCitation" : "14", "previouslyFormattedCitation" : "&lt;sup&gt;14&lt;/sup&gt;" }, "properties" : { "noteIndex" : 0 }, "schema" : "https://github.com/citation-style-language/schema/raw/master/csl-citation.json" }</w:instrText>
      </w:r>
      <w:r>
        <w:fldChar w:fldCharType="separate"/>
      </w:r>
      <w:r w:rsidR="008F1467" w:rsidRPr="008F1467">
        <w:rPr>
          <w:noProof/>
          <w:vertAlign w:val="superscript"/>
        </w:rPr>
        <w:t>14</w:t>
      </w:r>
      <w:r>
        <w:fldChar w:fldCharType="end"/>
      </w:r>
      <w:r>
        <w:t xml:space="preserve">. </w:t>
      </w:r>
    </w:p>
    <w:p w14:paraId="305E42AC" w14:textId="25B5BF52" w:rsidR="004953BB" w:rsidRDefault="004953BB" w:rsidP="00DC2F66">
      <w:r>
        <w:lastRenderedPageBreak/>
        <w:t>Standard 5 in the audit specifically looks at interventions offered for particular physical health risks. The overall results show that intervention for BMI &gt;25 Kg/m</w:t>
      </w:r>
      <w:r w:rsidRPr="002235B1">
        <w:rPr>
          <w:vertAlign w:val="superscript"/>
        </w:rPr>
        <w:t>2</w:t>
      </w:r>
      <w:r>
        <w:rPr>
          <w:vertAlign w:val="superscript"/>
        </w:rPr>
        <w:t xml:space="preserve"> </w:t>
      </w:r>
      <w:r>
        <w:t>was evident in 71% of patients,  while interventions for smoking were reported in 59% of patients</w:t>
      </w:r>
      <w:r w:rsidR="002235B1">
        <w:fldChar w:fldCharType="begin" w:fldLock="1"/>
      </w:r>
      <w:r w:rsidR="003A7B45">
        <w:instrText>ADDIN CSL_CITATION { "citationItems" : [ { "id" : "ITEM-1", "itemData" : { "abstract" : "Two years ago the first round of the National Audit of Schizophrenia reported shortfalls in teh quality of care that some people were receiving for the physical and mental health. The resultsof hte second round of this national audit are presented in this new report.", "author" : [ { "dropping-particle" : "", "family" : "Royal College of Psychiatrists", "given" : "", "non-dropping-particle" : "", "parse-names" : false, "suffix" : "" } ], "id" : "ITEM-1", "issued" : { "date-parts" : [ [ "2014" ] ] }, "title" : "Report of the Second Round of the National Audit of Schizophrenia (NAS)", "type" : "article-journal" }, "uris" : [ "http://www.mendeley.com/documents/?uuid=d9823654-7371-4fea-8078-d35717bca773" ] } ], "mendeley" : { "formattedCitation" : "&lt;sup&gt;14&lt;/sup&gt;", "plainTextFormattedCitation" : "14", "previouslyFormattedCitation" : "&lt;sup&gt;14&lt;/sup&gt;" }, "properties" : { "noteIndex" : 0 }, "schema" : "https://github.com/citation-style-language/schema/raw/master/csl-citation.json" }</w:instrText>
      </w:r>
      <w:r w:rsidR="002235B1">
        <w:fldChar w:fldCharType="separate"/>
      </w:r>
      <w:r w:rsidR="008F1467" w:rsidRPr="008F1467">
        <w:rPr>
          <w:noProof/>
          <w:vertAlign w:val="superscript"/>
        </w:rPr>
        <w:t>14</w:t>
      </w:r>
      <w:r w:rsidR="002235B1">
        <w:fldChar w:fldCharType="end"/>
      </w:r>
      <w:r w:rsidRPr="00026DCD">
        <w:t>.</w:t>
      </w:r>
      <w:r>
        <w:t xml:space="preserve"> </w:t>
      </w:r>
    </w:p>
    <w:p w14:paraId="2B3090BC" w14:textId="5E6A418C" w:rsidR="004953BB" w:rsidRDefault="004953BB" w:rsidP="00561058">
      <w:r>
        <w:t xml:space="preserve">For the ten trusts surveyed, the audit reported a range of 47-83% of patients receiving intervention for elevated BMI, and 33-67% receiving intervention for smoking. </w:t>
      </w:r>
      <w:r w:rsidR="003A7B45">
        <w:t xml:space="preserve">Overall, the audit also showed wide variation in the monitoring of physical health risk factors. For example, the range across all participating Trusts for monitoring of BMI was 5-92% of patients, and the range across trusts for the monitoring of glucose control 16-99%. </w:t>
      </w:r>
      <w:r>
        <w:t>This is supportive of the information yielded from the survey and highlights the variability in services offered across trusts</w:t>
      </w:r>
      <w:r w:rsidR="003A7B45">
        <w:fldChar w:fldCharType="begin" w:fldLock="1"/>
      </w:r>
      <w:r w:rsidR="004B4837">
        <w:instrText>ADDIN CSL_CITATION { "citationItems" : [ { "id" : "ITEM-1", "itemData" : { "abstract" : "Two years ago the first round of the National Audit of Schizophrenia reported shortfalls in teh quality of care that some people were receiving for the physical and mental health. The resultsof hte second round of this national audit are presented in this new report.", "author" : [ { "dropping-particle" : "", "family" : "Royal College of Psychiatrists", "given" : "", "non-dropping-particle" : "", "parse-names" : false, "suffix" : "" } ], "id" : "ITEM-1", "issued" : { "date-parts" : [ [ "2014" ] ] }, "title" : "Report of the Second Round of the National Audit of Schizophrenia (NAS)", "type" : "article-journal" }, "uris" : [ "http://www.mendeley.com/documents/?uuid=d9823654-7371-4fea-8078-d35717bca773" ] } ], "mendeley" : { "formattedCitation" : "&lt;sup&gt;14&lt;/sup&gt;", "plainTextFormattedCitation" : "14", "previouslyFormattedCitation" : "&lt;sup&gt;14&lt;/sup&gt;" }, "properties" : { "noteIndex" : 0 }, "schema" : "https://github.com/citation-style-language/schema/raw/master/csl-citation.json" }</w:instrText>
      </w:r>
      <w:r w:rsidR="003A7B45">
        <w:fldChar w:fldCharType="separate"/>
      </w:r>
      <w:r w:rsidR="003A7B45" w:rsidRPr="003A7B45">
        <w:rPr>
          <w:noProof/>
          <w:vertAlign w:val="superscript"/>
        </w:rPr>
        <w:t>14</w:t>
      </w:r>
      <w:r w:rsidR="003A7B45">
        <w:fldChar w:fldCharType="end"/>
      </w:r>
      <w:r>
        <w:t>.</w:t>
      </w:r>
    </w:p>
    <w:p w14:paraId="012D4462" w14:textId="77777777" w:rsidR="004953BB" w:rsidRPr="00923AF7" w:rsidRDefault="004953BB" w:rsidP="00B64168">
      <w:pPr>
        <w:pStyle w:val="Heading2"/>
      </w:pPr>
      <w:r w:rsidRPr="00923AF7">
        <w:t>Implications for stakeholders</w:t>
      </w:r>
    </w:p>
    <w:p w14:paraId="40A50D0A" w14:textId="77777777" w:rsidR="004953BB" w:rsidRDefault="004953BB" w:rsidP="00DC2F66">
      <w:r>
        <w:t>T</w:t>
      </w:r>
      <w:r w:rsidRPr="008A7764">
        <w:t>his survey</w:t>
      </w:r>
      <w:r>
        <w:t xml:space="preserve"> indicates</w:t>
      </w:r>
      <w:r w:rsidRPr="008A7764">
        <w:t xml:space="preserve"> that the ten sites surveyed are not fully compliant with the </w:t>
      </w:r>
      <w:r>
        <w:t xml:space="preserve">physical health recommendations within the </w:t>
      </w:r>
      <w:r w:rsidRPr="008A7764">
        <w:t xml:space="preserve">NICE guidelines on the management of patients with schizophrenia. However, as the guidelines were </w:t>
      </w:r>
      <w:r>
        <w:t xml:space="preserve">published </w:t>
      </w:r>
      <w:r w:rsidRPr="008A7764">
        <w:t xml:space="preserve">in March 2014, </w:t>
      </w:r>
      <w:r>
        <w:t>this</w:t>
      </w:r>
      <w:r w:rsidRPr="008A7764">
        <w:t xml:space="preserve"> is not </w:t>
      </w:r>
      <w:r w:rsidR="00CD4BBA">
        <w:t xml:space="preserve">surprising, </w:t>
      </w:r>
      <w:r>
        <w:t>because services require time to commission and set up</w:t>
      </w:r>
      <w:r w:rsidRPr="008A7764">
        <w:t>.</w:t>
      </w:r>
    </w:p>
    <w:p w14:paraId="16F1FD45" w14:textId="77777777" w:rsidR="004953BB" w:rsidRDefault="004953BB" w:rsidP="00B64168">
      <w:r>
        <w:t>In some respects this alleviates the concerns that the “usual care” arm of the STEPWISE trial may converge with the intervention arm, as there are no reported standardised programmes offered across any of the Trusts surveyed. However, there is such variability observed, that it becomes clear “usual care” is not the same for all participants in the trial, and in the wider population group.</w:t>
      </w:r>
    </w:p>
    <w:p w14:paraId="6A1B6975" w14:textId="07823A40" w:rsidR="00E9726C" w:rsidRDefault="00E9726C" w:rsidP="00E9726C">
      <w:r>
        <w:t>We have not tried to assess the success or potential effect of any one aspect of the physical health programme in comparison with others. Although it may be argued that smoking cessation could have a greater effect on physical health than healthy eating or physical activity programmes despite the lower compliance with NICE guidance, any discussion is likely to be subjective. Furthermore, NICE does not prioritise any one element with an understanding that all aspects are important and contribute to improved physical health.</w:t>
      </w:r>
    </w:p>
    <w:p w14:paraId="7BAA1C16" w14:textId="105DF8D3" w:rsidR="004B4837" w:rsidRPr="004B4837" w:rsidRDefault="003C6F79" w:rsidP="004B4837">
      <w:r w:rsidRPr="004B4837">
        <w:rPr>
          <w:bCs/>
        </w:rPr>
        <w:lastRenderedPageBreak/>
        <w:t xml:space="preserve">As a future direction, it may be useful to try and identify patients at higher risk of cardiovascular events, using recording of cardiovascular disease risk factors in combination with risk engines, to calculate risk accurately. This identification process could then drive intervention. This may be of interest to trusts as a method of offering a physical health intervention to those patients who are likely to receive the most benefit clinically. A suitable risk engine to calculate this would be the PRIMROSE cardiovascular disease algorithm, as this has been developed specifically for people with severe mental illness. </w:t>
      </w:r>
      <w:r w:rsidR="00F85053" w:rsidRPr="004B4837">
        <w:rPr>
          <w:bCs/>
        </w:rPr>
        <w:t xml:space="preserve">The PRIMROSE model includes additional variables for psychiatric diagnosis, psychotropic medication, </w:t>
      </w:r>
      <w:proofErr w:type="gramStart"/>
      <w:r w:rsidR="00F85053" w:rsidRPr="004B4837">
        <w:rPr>
          <w:bCs/>
        </w:rPr>
        <w:t>harmful</w:t>
      </w:r>
      <w:proofErr w:type="gramEnd"/>
      <w:r w:rsidR="00F85053" w:rsidRPr="004B4837">
        <w:rPr>
          <w:bCs/>
        </w:rPr>
        <w:t xml:space="preserve"> use of alcohol, anti-depressants and social deprivation score, unlike similar prediction models used in the general population. This is perhaps why the PRIMROSE model performed better than  some other available published risk models, who may otherwise </w:t>
      </w:r>
      <w:proofErr w:type="spellStart"/>
      <w:r w:rsidR="00F85053" w:rsidRPr="004B4837">
        <w:rPr>
          <w:bCs/>
        </w:rPr>
        <w:t>overpredict</w:t>
      </w:r>
      <w:proofErr w:type="spellEnd"/>
      <w:r w:rsidR="00F85053" w:rsidRPr="004B4837">
        <w:rPr>
          <w:bCs/>
        </w:rPr>
        <w:t xml:space="preserve"> the risk of cardiovascular disease in this population.</w:t>
      </w:r>
      <w:r w:rsidR="004B4837">
        <w:rPr>
          <w:bCs/>
        </w:rPr>
        <w:fldChar w:fldCharType="begin" w:fldLock="1"/>
      </w:r>
      <w:r w:rsidR="004B4837">
        <w:rPr>
          <w:bCs/>
        </w:rPr>
        <w:instrText>ADDIN CSL_CITATION { "citationItems" : [ { "id" : "ITEM-1", "itemData" : { "DOI" : "10.1001/jamapsychiatry.2014.2133.The", "author" : [ { "dropping-particle" : "", "family" : "Osborn", "given" : "David P J", "non-dropping-particle" : "", "parse-names" : false, "suffix" : "" }, { "dropping-particle" : "", "family" : "Hardoon", "given" : "Sarah", "non-dropping-particle" : "", "parse-names" : false, "suffix" : "" }, { "dropping-particle" : "", "family" : "Omar", "given" : "Rumana Z", "non-dropping-particle" : "", "parse-names" : false, "suffix" : "" }, { "dropping-particle" : "", "family" : "Ig", "given" : "Richard", "non-dropping-particle" : "", "parse-names" : false, "suffix" : "" } ], "id" : "ITEM-1", "issue" : "2", "issued" : { "date-parts" : [ [ "2016" ] ] }, "page" : "143-151", "title" : "Europe PMC Funders Group The PRIMROSE cardiovascular risk prediction models for people with severe mental illness :", "type" : "article-journal", "volume" : "72" }, "uris" : [ "http://www.mendeley.com/documents/?uuid=fc858e56-e5ff-4bf9-9801-7c640b4b1d15" ] } ], "mendeley" : { "formattedCitation" : "&lt;sup&gt;15&lt;/sup&gt;", "plainTextFormattedCitation" : "15" }, "properties" : { "noteIndex" : 0 }, "schema" : "https://github.com/citation-style-language/schema/raw/master/csl-citation.json" }</w:instrText>
      </w:r>
      <w:r w:rsidR="004B4837">
        <w:rPr>
          <w:bCs/>
        </w:rPr>
        <w:fldChar w:fldCharType="separate"/>
      </w:r>
      <w:r w:rsidR="004B4837" w:rsidRPr="004B4837">
        <w:rPr>
          <w:bCs/>
          <w:noProof/>
          <w:vertAlign w:val="superscript"/>
        </w:rPr>
        <w:t>15</w:t>
      </w:r>
      <w:r w:rsidR="004B4837">
        <w:rPr>
          <w:bCs/>
        </w:rPr>
        <w:fldChar w:fldCharType="end"/>
      </w:r>
    </w:p>
    <w:p w14:paraId="5C8E0DB1" w14:textId="77777777" w:rsidR="004953BB" w:rsidRDefault="004953BB" w:rsidP="00B64168">
      <w:pPr>
        <w:pStyle w:val="Heading2"/>
      </w:pPr>
      <w:r w:rsidRPr="00923AF7">
        <w:t>Further research</w:t>
      </w:r>
    </w:p>
    <w:p w14:paraId="50B02008" w14:textId="41E15525" w:rsidR="004953BB" w:rsidRDefault="004953BB" w:rsidP="00B64168">
      <w:r>
        <w:t>The survey will be repeated with the same ten NHS Trust representatives at twelve and 24 months after the first iteration. This will allow the STEPWISE study team to consider how Trusts are implementing the NICE guidelines, and consequently whether convergence has occurred between the two arms of the STEPWISE trial at an individual trust level.</w:t>
      </w:r>
      <w:r w:rsidR="003C6F79">
        <w:t xml:space="preserve"> As STEPWISE progresses, the participating NHS organisations may become more aware of the need to undertake physical health interventions and so ‘usual care’ may improve, potentially diminishing the effect of the STEPWISE intervention.</w:t>
      </w:r>
    </w:p>
    <w:p w14:paraId="2AA43920" w14:textId="3526038F" w:rsidR="00D20F7A" w:rsidRDefault="00D20F7A" w:rsidP="004835CA">
      <w:pPr>
        <w:pStyle w:val="Heading1"/>
      </w:pPr>
      <w:r>
        <w:t>Acknowledgements</w:t>
      </w:r>
    </w:p>
    <w:p w14:paraId="0E634B9C" w14:textId="6497A9F6" w:rsidR="00D20F7A" w:rsidRDefault="00D20F7A" w:rsidP="00D20F7A">
      <w:pPr>
        <w:autoSpaceDE w:val="0"/>
        <w:autoSpaceDN w:val="0"/>
        <w:adjustRightInd w:val="0"/>
      </w:pPr>
      <w:r>
        <w:t>The STEPWISE Trial</w:t>
      </w:r>
      <w:r w:rsidRPr="00AC5A9D">
        <w:t xml:space="preserve"> was funded by the National Institute for Health Research Health Technology Assessment programme (project number 12/28/05). The views and opinions expressed therein are those of the authors and do not necessarily reflect those of Health Technology Assessment</w:t>
      </w:r>
      <w:r w:rsidRPr="00B82BEA">
        <w:t xml:space="preserve"> programme, NIHR, NHS or the Department of Health.</w:t>
      </w:r>
      <w:r>
        <w:t xml:space="preserve"> The STEPWISE Trial is sponsored by Sheffield Health and Social Care NHS Foundation Trust. </w:t>
      </w:r>
    </w:p>
    <w:p w14:paraId="6A4060D7" w14:textId="32B316D4" w:rsidR="00333DCE" w:rsidRDefault="00D20F7A" w:rsidP="00333DCE">
      <w:pPr>
        <w:autoSpaceDE w:val="0"/>
        <w:autoSpaceDN w:val="0"/>
        <w:adjustRightInd w:val="0"/>
      </w:pPr>
      <w:r>
        <w:lastRenderedPageBreak/>
        <w:t>The authors would like to acknowledge</w:t>
      </w:r>
      <w:r w:rsidR="004F4D14">
        <w:t xml:space="preserve"> </w:t>
      </w:r>
      <w:r w:rsidR="00333DCE">
        <w:t>the STEPWISE Research Group</w:t>
      </w:r>
      <w:r w:rsidR="004F4D14">
        <w:t xml:space="preserve">: Katharine Barnard, University of Southampton; Michael </w:t>
      </w:r>
      <w:proofErr w:type="spellStart"/>
      <w:r w:rsidR="004F4D14">
        <w:t>Bradburn</w:t>
      </w:r>
      <w:proofErr w:type="spellEnd"/>
      <w:r w:rsidR="004F4D14">
        <w:t>, University of Sheffield; Marian Carey, University Hospitals of Leicester NHS Trust; Heather Daly</w:t>
      </w:r>
      <w:r w:rsidR="004530F4">
        <w:t>, University Hospitals of Leicester NHS Trust;</w:t>
      </w:r>
      <w:r w:rsidR="00841BCC">
        <w:t xml:space="preserve"> Melanie Davies, University of Leicester; Christopher M Dickens, University of Exeter; Angela </w:t>
      </w:r>
      <w:proofErr w:type="spellStart"/>
      <w:r w:rsidR="00841BCC">
        <w:t>Etherington</w:t>
      </w:r>
      <w:proofErr w:type="spellEnd"/>
      <w:r w:rsidR="00841BCC">
        <w:t xml:space="preserve">, PPI representative; Paul French, Greater Manchester West Mental Health NHS Foundation Trust; Fiona </w:t>
      </w:r>
      <w:proofErr w:type="spellStart"/>
      <w:r w:rsidR="00841BCC">
        <w:t>Gaughran</w:t>
      </w:r>
      <w:proofErr w:type="spellEnd"/>
      <w:r w:rsidR="00841BCC">
        <w:t xml:space="preserve">, South London and </w:t>
      </w:r>
      <w:proofErr w:type="spellStart"/>
      <w:r w:rsidR="00841BCC">
        <w:t>Maudsley</w:t>
      </w:r>
      <w:proofErr w:type="spellEnd"/>
      <w:r w:rsidR="00841BCC">
        <w:t xml:space="preserve"> NHS Foundation Trust; Tim Kendall, Royal College of Psychiatrists; </w:t>
      </w:r>
      <w:proofErr w:type="spellStart"/>
      <w:r w:rsidR="00841BCC">
        <w:t>Kamlesh</w:t>
      </w:r>
      <w:proofErr w:type="spellEnd"/>
      <w:r w:rsidR="00841BCC">
        <w:t xml:space="preserve"> </w:t>
      </w:r>
      <w:proofErr w:type="spellStart"/>
      <w:r w:rsidR="00841BCC">
        <w:t>Khunti</w:t>
      </w:r>
      <w:proofErr w:type="spellEnd"/>
      <w:r w:rsidR="00841BCC">
        <w:t xml:space="preserve">, University of Leicester; Richard </w:t>
      </w:r>
      <w:proofErr w:type="spellStart"/>
      <w:r w:rsidR="00841BCC">
        <w:t>Laugharne</w:t>
      </w:r>
      <w:proofErr w:type="spellEnd"/>
      <w:r w:rsidR="00841BCC">
        <w:t xml:space="preserve">, Cornwall Partnership NHS Trust; Paul </w:t>
      </w:r>
      <w:proofErr w:type="spellStart"/>
      <w:r w:rsidR="00841BCC">
        <w:t>McCrone</w:t>
      </w:r>
      <w:proofErr w:type="spellEnd"/>
      <w:r w:rsidR="00841BCC">
        <w:t xml:space="preserve">, King’s College London; John </w:t>
      </w:r>
      <w:proofErr w:type="spellStart"/>
      <w:r w:rsidR="00841BCC">
        <w:t>Pendlebury</w:t>
      </w:r>
      <w:proofErr w:type="spellEnd"/>
      <w:r w:rsidR="00841BCC">
        <w:t xml:space="preserve">, Greater Manchester West Mental Health NHS Foundation Trust; </w:t>
      </w:r>
      <w:proofErr w:type="spellStart"/>
      <w:r w:rsidR="00841BCC">
        <w:t>Shanaya</w:t>
      </w:r>
      <w:proofErr w:type="spellEnd"/>
      <w:r w:rsidR="00841BCC">
        <w:t xml:space="preserve"> </w:t>
      </w:r>
      <w:proofErr w:type="spellStart"/>
      <w:r w:rsidR="00841BCC">
        <w:t>Rathod</w:t>
      </w:r>
      <w:proofErr w:type="spellEnd"/>
      <w:r w:rsidR="00841BCC">
        <w:t xml:space="preserve">, Southern Health NHS Foundation Trust; Stephen Wright, Leeds and York Partnership NHS Foundation Trust; Thomas Yates, University of Leicester; Kathy Greenwood, Sussex Partnership NHS Foundation Trust; </w:t>
      </w:r>
      <w:proofErr w:type="spellStart"/>
      <w:r w:rsidR="00841BCC">
        <w:t>Sridevi</w:t>
      </w:r>
      <w:proofErr w:type="spellEnd"/>
      <w:r w:rsidR="00841BCC">
        <w:t xml:space="preserve"> </w:t>
      </w:r>
      <w:proofErr w:type="spellStart"/>
      <w:r w:rsidR="00841BCC">
        <w:t>Kalidindi</w:t>
      </w:r>
      <w:proofErr w:type="spellEnd"/>
      <w:r w:rsidR="00841BCC">
        <w:t xml:space="preserve">, South London and </w:t>
      </w:r>
      <w:proofErr w:type="spellStart"/>
      <w:r w:rsidR="00841BCC">
        <w:t>Maudsley</w:t>
      </w:r>
      <w:proofErr w:type="spellEnd"/>
      <w:r w:rsidR="00841BCC">
        <w:t xml:space="preserve"> NHS Foundation Trust; Najma Siddiqi, Bradford District Care NHS Foundation Trust; Glenn Waller, University of Sheffield.</w:t>
      </w:r>
    </w:p>
    <w:p w14:paraId="54BB6BDE" w14:textId="1B7FA014" w:rsidR="00D20F7A" w:rsidRPr="00D20F7A" w:rsidRDefault="004F4D14" w:rsidP="00841BCC">
      <w:pPr>
        <w:autoSpaceDE w:val="0"/>
        <w:autoSpaceDN w:val="0"/>
        <w:adjustRightInd w:val="0"/>
      </w:pPr>
      <w:r>
        <w:t>We would also like to acknowledge those individuals who contributed to and coordinated the survey responses at each trust.</w:t>
      </w:r>
    </w:p>
    <w:p w14:paraId="0FC9BFDB" w14:textId="77777777" w:rsidR="004953BB" w:rsidRDefault="004953BB" w:rsidP="00152502">
      <w:pPr>
        <w:pStyle w:val="Heading1"/>
      </w:pPr>
      <w:r>
        <w:t>References</w:t>
      </w:r>
    </w:p>
    <w:p w14:paraId="2C44E669" w14:textId="51460699" w:rsidR="004B4837" w:rsidRPr="004B4837" w:rsidRDefault="004953BB">
      <w:pPr>
        <w:pStyle w:val="NormalWeb"/>
        <w:ind w:left="640" w:hanging="640"/>
        <w:divId w:val="2051726"/>
        <w:rPr>
          <w:rFonts w:eastAsiaTheme="minorEastAsia"/>
          <w:noProof/>
          <w:sz w:val="22"/>
        </w:rPr>
      </w:pPr>
      <w:r>
        <w:fldChar w:fldCharType="begin" w:fldLock="1"/>
      </w:r>
      <w:r>
        <w:instrText xml:space="preserve">ADDIN Mendeley Bibliography CSL_BIBLIOGRAPHY </w:instrText>
      </w:r>
      <w:r>
        <w:fldChar w:fldCharType="separate"/>
      </w:r>
      <w:r w:rsidR="004B4837" w:rsidRPr="004B4837">
        <w:rPr>
          <w:noProof/>
          <w:sz w:val="22"/>
        </w:rPr>
        <w:t xml:space="preserve">1 </w:t>
      </w:r>
      <w:r w:rsidR="004B4837" w:rsidRPr="004B4837">
        <w:rPr>
          <w:noProof/>
          <w:sz w:val="22"/>
        </w:rPr>
        <w:tab/>
        <w:t xml:space="preserve">Homel P, Casey D, Allison DB. Changes in body mass index for individuals with and without schizophrenia, 1987-1996. </w:t>
      </w:r>
      <w:r w:rsidR="004B4837" w:rsidRPr="004B4837">
        <w:rPr>
          <w:i/>
          <w:iCs/>
          <w:noProof/>
          <w:sz w:val="22"/>
        </w:rPr>
        <w:t>Schizophr Res</w:t>
      </w:r>
      <w:r w:rsidR="004B4837" w:rsidRPr="004B4837">
        <w:rPr>
          <w:noProof/>
          <w:sz w:val="22"/>
        </w:rPr>
        <w:t xml:space="preserve"> 2002; </w:t>
      </w:r>
      <w:r w:rsidR="004B4837" w:rsidRPr="004B4837">
        <w:rPr>
          <w:b/>
          <w:bCs/>
          <w:noProof/>
          <w:sz w:val="22"/>
        </w:rPr>
        <w:t>55</w:t>
      </w:r>
      <w:r w:rsidR="004B4837" w:rsidRPr="004B4837">
        <w:rPr>
          <w:noProof/>
          <w:sz w:val="22"/>
        </w:rPr>
        <w:t>: 277–84.</w:t>
      </w:r>
    </w:p>
    <w:p w14:paraId="6A4813A6" w14:textId="77777777" w:rsidR="004B4837" w:rsidRPr="004B4837" w:rsidRDefault="004B4837">
      <w:pPr>
        <w:pStyle w:val="NormalWeb"/>
        <w:ind w:left="640" w:hanging="640"/>
        <w:divId w:val="2051726"/>
        <w:rPr>
          <w:noProof/>
          <w:sz w:val="22"/>
        </w:rPr>
      </w:pPr>
      <w:r w:rsidRPr="004B4837">
        <w:rPr>
          <w:noProof/>
          <w:sz w:val="22"/>
        </w:rPr>
        <w:t xml:space="preserve">2 </w:t>
      </w:r>
      <w:r w:rsidRPr="004B4837">
        <w:rPr>
          <w:noProof/>
          <w:sz w:val="22"/>
        </w:rPr>
        <w:tab/>
        <w:t xml:space="preserve">Kahn RS, Fleischhacker WW, Boter H, Davidson M, Vergouwe Y, Keet IPM, </w:t>
      </w:r>
      <w:r w:rsidRPr="004B4837">
        <w:rPr>
          <w:i/>
          <w:iCs/>
          <w:noProof/>
          <w:sz w:val="22"/>
        </w:rPr>
        <w:t>et al.</w:t>
      </w:r>
      <w:r w:rsidRPr="004B4837">
        <w:rPr>
          <w:noProof/>
          <w:sz w:val="22"/>
        </w:rPr>
        <w:t xml:space="preserve"> Effectiveness of antipsychotic drugs in first-episode schizophrenia and schizophreniform disorder: an open randomised clinical trial. </w:t>
      </w:r>
      <w:r w:rsidRPr="004B4837">
        <w:rPr>
          <w:i/>
          <w:iCs/>
          <w:noProof/>
          <w:sz w:val="22"/>
        </w:rPr>
        <w:t>Lancet</w:t>
      </w:r>
      <w:r w:rsidRPr="004B4837">
        <w:rPr>
          <w:noProof/>
          <w:sz w:val="22"/>
        </w:rPr>
        <w:t xml:space="preserve"> 2008; </w:t>
      </w:r>
      <w:r w:rsidRPr="004B4837">
        <w:rPr>
          <w:b/>
          <w:bCs/>
          <w:noProof/>
          <w:sz w:val="22"/>
        </w:rPr>
        <w:t>371</w:t>
      </w:r>
      <w:r w:rsidRPr="004B4837">
        <w:rPr>
          <w:noProof/>
          <w:sz w:val="22"/>
        </w:rPr>
        <w:t>: 1085–97.</w:t>
      </w:r>
    </w:p>
    <w:p w14:paraId="6A26A869" w14:textId="77777777" w:rsidR="004B4837" w:rsidRPr="004B4837" w:rsidRDefault="004B4837">
      <w:pPr>
        <w:pStyle w:val="NormalWeb"/>
        <w:ind w:left="640" w:hanging="640"/>
        <w:divId w:val="2051726"/>
        <w:rPr>
          <w:noProof/>
          <w:sz w:val="22"/>
        </w:rPr>
      </w:pPr>
      <w:r w:rsidRPr="004B4837">
        <w:rPr>
          <w:noProof/>
          <w:sz w:val="22"/>
        </w:rPr>
        <w:t xml:space="preserve">3 </w:t>
      </w:r>
      <w:r w:rsidRPr="004B4837">
        <w:rPr>
          <w:noProof/>
          <w:sz w:val="22"/>
        </w:rPr>
        <w:tab/>
        <w:t xml:space="preserve">McCreadie R, Macdonald E, Blacklock C, Tilak-Singh D, Wiles D, Halliday J, </w:t>
      </w:r>
      <w:r w:rsidRPr="004B4837">
        <w:rPr>
          <w:i/>
          <w:iCs/>
          <w:noProof/>
          <w:sz w:val="22"/>
        </w:rPr>
        <w:t>et al.</w:t>
      </w:r>
      <w:r w:rsidRPr="004B4837">
        <w:rPr>
          <w:noProof/>
          <w:sz w:val="22"/>
        </w:rPr>
        <w:t xml:space="preserve"> Dietary intake of schizophrenic patients in Nithsdale, Scotland: case-control study. </w:t>
      </w:r>
      <w:r w:rsidRPr="004B4837">
        <w:rPr>
          <w:i/>
          <w:iCs/>
          <w:noProof/>
          <w:sz w:val="22"/>
        </w:rPr>
        <w:t>BMJ</w:t>
      </w:r>
      <w:r w:rsidRPr="004B4837">
        <w:rPr>
          <w:noProof/>
          <w:sz w:val="22"/>
        </w:rPr>
        <w:t xml:space="preserve"> 1998; </w:t>
      </w:r>
      <w:r w:rsidRPr="004B4837">
        <w:rPr>
          <w:b/>
          <w:bCs/>
          <w:noProof/>
          <w:sz w:val="22"/>
        </w:rPr>
        <w:t>317</w:t>
      </w:r>
      <w:r w:rsidRPr="004B4837">
        <w:rPr>
          <w:noProof/>
          <w:sz w:val="22"/>
        </w:rPr>
        <w:t>: 784–5.</w:t>
      </w:r>
    </w:p>
    <w:p w14:paraId="6817AD91" w14:textId="77777777" w:rsidR="004B4837" w:rsidRPr="004B4837" w:rsidRDefault="004B4837">
      <w:pPr>
        <w:pStyle w:val="NormalWeb"/>
        <w:ind w:left="640" w:hanging="640"/>
        <w:divId w:val="2051726"/>
        <w:rPr>
          <w:noProof/>
          <w:sz w:val="22"/>
        </w:rPr>
      </w:pPr>
      <w:r w:rsidRPr="004B4837">
        <w:rPr>
          <w:noProof/>
          <w:sz w:val="22"/>
        </w:rPr>
        <w:t xml:space="preserve">4 </w:t>
      </w:r>
      <w:r w:rsidRPr="004B4837">
        <w:rPr>
          <w:noProof/>
          <w:sz w:val="22"/>
        </w:rPr>
        <w:tab/>
        <w:t xml:space="preserve">Brown S, Birtwistle J, Roe L, Thompson C. The unhealthy lifestyle of people with schizophrenia. </w:t>
      </w:r>
      <w:r w:rsidRPr="004B4837">
        <w:rPr>
          <w:i/>
          <w:iCs/>
          <w:noProof/>
          <w:sz w:val="22"/>
        </w:rPr>
        <w:t>Psychol Med</w:t>
      </w:r>
      <w:r w:rsidRPr="004B4837">
        <w:rPr>
          <w:noProof/>
          <w:sz w:val="22"/>
        </w:rPr>
        <w:t xml:space="preserve"> 1999; </w:t>
      </w:r>
      <w:r w:rsidRPr="004B4837">
        <w:rPr>
          <w:b/>
          <w:bCs/>
          <w:noProof/>
          <w:sz w:val="22"/>
        </w:rPr>
        <w:t>29</w:t>
      </w:r>
      <w:r w:rsidRPr="004B4837">
        <w:rPr>
          <w:noProof/>
          <w:sz w:val="22"/>
        </w:rPr>
        <w:t>: 697–701.</w:t>
      </w:r>
    </w:p>
    <w:p w14:paraId="6F6A8351" w14:textId="77777777" w:rsidR="004B4837" w:rsidRPr="004B4837" w:rsidRDefault="004B4837">
      <w:pPr>
        <w:pStyle w:val="NormalWeb"/>
        <w:ind w:left="640" w:hanging="640"/>
        <w:divId w:val="2051726"/>
        <w:rPr>
          <w:noProof/>
          <w:sz w:val="22"/>
        </w:rPr>
      </w:pPr>
      <w:r w:rsidRPr="004B4837">
        <w:rPr>
          <w:noProof/>
          <w:sz w:val="22"/>
        </w:rPr>
        <w:lastRenderedPageBreak/>
        <w:t xml:space="preserve">5 </w:t>
      </w:r>
      <w:r w:rsidRPr="004B4837">
        <w:rPr>
          <w:noProof/>
          <w:sz w:val="22"/>
        </w:rPr>
        <w:tab/>
        <w:t xml:space="preserve">Kilbourne AM, Rofey DL, McCarthy JF, Post EP, Welsh D, Blow FC. Nutrition and exercise behavior among patients with bipolar disorder. </w:t>
      </w:r>
      <w:r w:rsidRPr="004B4837">
        <w:rPr>
          <w:i/>
          <w:iCs/>
          <w:noProof/>
          <w:sz w:val="22"/>
        </w:rPr>
        <w:t>Bipolar Disord</w:t>
      </w:r>
      <w:r w:rsidRPr="004B4837">
        <w:rPr>
          <w:noProof/>
          <w:sz w:val="22"/>
        </w:rPr>
        <w:t xml:space="preserve"> 2007; </w:t>
      </w:r>
      <w:r w:rsidRPr="004B4837">
        <w:rPr>
          <w:b/>
          <w:bCs/>
          <w:noProof/>
          <w:sz w:val="22"/>
        </w:rPr>
        <w:t>9</w:t>
      </w:r>
      <w:r w:rsidRPr="004B4837">
        <w:rPr>
          <w:noProof/>
          <w:sz w:val="22"/>
        </w:rPr>
        <w:t>: 443–52.</w:t>
      </w:r>
    </w:p>
    <w:p w14:paraId="643CACFD" w14:textId="77777777" w:rsidR="004B4837" w:rsidRPr="004B4837" w:rsidRDefault="004B4837">
      <w:pPr>
        <w:pStyle w:val="NormalWeb"/>
        <w:ind w:left="640" w:hanging="640"/>
        <w:divId w:val="2051726"/>
        <w:rPr>
          <w:noProof/>
          <w:sz w:val="22"/>
        </w:rPr>
      </w:pPr>
      <w:r w:rsidRPr="004B4837">
        <w:rPr>
          <w:noProof/>
          <w:sz w:val="22"/>
        </w:rPr>
        <w:t xml:space="preserve">6 </w:t>
      </w:r>
      <w:r w:rsidRPr="004B4837">
        <w:rPr>
          <w:noProof/>
          <w:sz w:val="22"/>
        </w:rPr>
        <w:tab/>
        <w:t xml:space="preserve">Elman I, Borsook D, Lukas SE. Food intake and reward mechanisms in patients with schizophrenia: implications for metabolic disturbances and treatment with second-generation antipsychotic agents. </w:t>
      </w:r>
      <w:r w:rsidRPr="004B4837">
        <w:rPr>
          <w:i/>
          <w:iCs/>
          <w:noProof/>
          <w:sz w:val="22"/>
        </w:rPr>
        <w:t>Neuropsychopharmacology</w:t>
      </w:r>
      <w:r w:rsidRPr="004B4837">
        <w:rPr>
          <w:noProof/>
          <w:sz w:val="22"/>
        </w:rPr>
        <w:t xml:space="preserve"> 2006; </w:t>
      </w:r>
      <w:r w:rsidRPr="004B4837">
        <w:rPr>
          <w:b/>
          <w:bCs/>
          <w:noProof/>
          <w:sz w:val="22"/>
        </w:rPr>
        <w:t>31</w:t>
      </w:r>
      <w:r w:rsidRPr="004B4837">
        <w:rPr>
          <w:noProof/>
          <w:sz w:val="22"/>
        </w:rPr>
        <w:t>: 2091–120.</w:t>
      </w:r>
    </w:p>
    <w:p w14:paraId="06C55BC7" w14:textId="77777777" w:rsidR="004B4837" w:rsidRPr="004B4837" w:rsidRDefault="004B4837">
      <w:pPr>
        <w:pStyle w:val="NormalWeb"/>
        <w:ind w:left="640" w:hanging="640"/>
        <w:divId w:val="2051726"/>
        <w:rPr>
          <w:noProof/>
          <w:sz w:val="22"/>
        </w:rPr>
      </w:pPr>
      <w:r w:rsidRPr="004B4837">
        <w:rPr>
          <w:noProof/>
          <w:sz w:val="22"/>
        </w:rPr>
        <w:t xml:space="preserve">7 </w:t>
      </w:r>
      <w:r w:rsidRPr="004B4837">
        <w:rPr>
          <w:noProof/>
          <w:sz w:val="22"/>
        </w:rPr>
        <w:tab/>
        <w:t xml:space="preserve">Godfrey R, Julien M. Urbanisation and health. </w:t>
      </w:r>
      <w:r w:rsidRPr="004B4837">
        <w:rPr>
          <w:i/>
          <w:iCs/>
          <w:noProof/>
          <w:sz w:val="22"/>
        </w:rPr>
        <w:t>Clin Med</w:t>
      </w:r>
      <w:r w:rsidRPr="004B4837">
        <w:rPr>
          <w:noProof/>
          <w:sz w:val="22"/>
        </w:rPr>
        <w:t xml:space="preserve">; </w:t>
      </w:r>
      <w:r w:rsidRPr="004B4837">
        <w:rPr>
          <w:b/>
          <w:bCs/>
          <w:noProof/>
          <w:sz w:val="22"/>
        </w:rPr>
        <w:t>5</w:t>
      </w:r>
      <w:r w:rsidRPr="004B4837">
        <w:rPr>
          <w:noProof/>
          <w:sz w:val="22"/>
        </w:rPr>
        <w:t>: 137–41.</w:t>
      </w:r>
    </w:p>
    <w:p w14:paraId="5C5E8A0D" w14:textId="77777777" w:rsidR="004B4837" w:rsidRPr="004B4837" w:rsidRDefault="004B4837">
      <w:pPr>
        <w:pStyle w:val="NormalWeb"/>
        <w:ind w:left="640" w:hanging="640"/>
        <w:divId w:val="2051726"/>
        <w:rPr>
          <w:noProof/>
          <w:sz w:val="22"/>
        </w:rPr>
      </w:pPr>
      <w:r w:rsidRPr="004B4837">
        <w:rPr>
          <w:noProof/>
          <w:sz w:val="22"/>
        </w:rPr>
        <w:t xml:space="preserve">8 </w:t>
      </w:r>
      <w:r w:rsidRPr="004B4837">
        <w:rPr>
          <w:noProof/>
          <w:sz w:val="22"/>
        </w:rPr>
        <w:tab/>
        <w:t xml:space="preserve">National Collaborating Centre for Mental Health. Psychosis and schizophrenia in adults: treatment and management. </w:t>
      </w:r>
      <w:r w:rsidRPr="004B4837">
        <w:rPr>
          <w:i/>
          <w:iCs/>
          <w:noProof/>
          <w:sz w:val="22"/>
        </w:rPr>
        <w:t>Nice</w:t>
      </w:r>
      <w:r w:rsidRPr="004B4837">
        <w:rPr>
          <w:noProof/>
          <w:sz w:val="22"/>
        </w:rPr>
        <w:t xml:space="preserve"> 2014; : Feb 54 Clinical Guidelines n° 178.</w:t>
      </w:r>
    </w:p>
    <w:p w14:paraId="31E30DBC" w14:textId="77777777" w:rsidR="004B4837" w:rsidRPr="004B4837" w:rsidRDefault="004B4837">
      <w:pPr>
        <w:pStyle w:val="NormalWeb"/>
        <w:ind w:left="640" w:hanging="640"/>
        <w:divId w:val="2051726"/>
        <w:rPr>
          <w:noProof/>
          <w:sz w:val="22"/>
        </w:rPr>
      </w:pPr>
      <w:r w:rsidRPr="004B4837">
        <w:rPr>
          <w:noProof/>
          <w:sz w:val="22"/>
        </w:rPr>
        <w:t xml:space="preserve">9 </w:t>
      </w:r>
      <w:r w:rsidRPr="004B4837">
        <w:rPr>
          <w:noProof/>
          <w:sz w:val="22"/>
        </w:rPr>
        <w:tab/>
        <w:t xml:space="preserve">Thorpe KE, Zwarenstein M, Oxman AD, Treweek S, Furberg CD, Altman DG, </w:t>
      </w:r>
      <w:r w:rsidRPr="004B4837">
        <w:rPr>
          <w:i/>
          <w:iCs/>
          <w:noProof/>
          <w:sz w:val="22"/>
        </w:rPr>
        <w:t>et al.</w:t>
      </w:r>
      <w:r w:rsidRPr="004B4837">
        <w:rPr>
          <w:noProof/>
          <w:sz w:val="22"/>
        </w:rPr>
        <w:t xml:space="preserve"> A pragmatic–explanatory continuum indicator summary (PRECIS): a tool to help trial designers. </w:t>
      </w:r>
      <w:r w:rsidRPr="004B4837">
        <w:rPr>
          <w:i/>
          <w:iCs/>
          <w:noProof/>
          <w:sz w:val="22"/>
        </w:rPr>
        <w:t>J Clin Epidemiol</w:t>
      </w:r>
      <w:r w:rsidRPr="004B4837">
        <w:rPr>
          <w:noProof/>
          <w:sz w:val="22"/>
        </w:rPr>
        <w:t xml:space="preserve"> 2009; </w:t>
      </w:r>
      <w:r w:rsidRPr="004B4837">
        <w:rPr>
          <w:b/>
          <w:bCs/>
          <w:noProof/>
          <w:sz w:val="22"/>
        </w:rPr>
        <w:t>62</w:t>
      </w:r>
      <w:r w:rsidRPr="004B4837">
        <w:rPr>
          <w:noProof/>
          <w:sz w:val="22"/>
        </w:rPr>
        <w:t>: 464–75.</w:t>
      </w:r>
    </w:p>
    <w:p w14:paraId="6E92A62F" w14:textId="77777777" w:rsidR="004B4837" w:rsidRPr="004B4837" w:rsidRDefault="004B4837">
      <w:pPr>
        <w:pStyle w:val="NormalWeb"/>
        <w:ind w:left="640" w:hanging="640"/>
        <w:divId w:val="2051726"/>
        <w:rPr>
          <w:noProof/>
          <w:sz w:val="22"/>
        </w:rPr>
      </w:pPr>
      <w:r w:rsidRPr="004B4837">
        <w:rPr>
          <w:noProof/>
          <w:sz w:val="22"/>
        </w:rPr>
        <w:t xml:space="preserve">10 </w:t>
      </w:r>
      <w:r w:rsidRPr="004B4837">
        <w:rPr>
          <w:noProof/>
          <w:sz w:val="22"/>
        </w:rPr>
        <w:tab/>
        <w:t xml:space="preserve">Ayling K, Brierley S, Johnson B, Heller S, Eiser C. How standard is standard care? Exploring control group outcomes in behaviour change interventions for young people with type 1 diabetes. </w:t>
      </w:r>
      <w:r w:rsidRPr="004B4837">
        <w:rPr>
          <w:i/>
          <w:iCs/>
          <w:noProof/>
          <w:sz w:val="22"/>
        </w:rPr>
        <w:t>Psychol Health</w:t>
      </w:r>
      <w:r w:rsidRPr="004B4837">
        <w:rPr>
          <w:noProof/>
          <w:sz w:val="22"/>
        </w:rPr>
        <w:t xml:space="preserve"> 2015; </w:t>
      </w:r>
      <w:r w:rsidRPr="004B4837">
        <w:rPr>
          <w:b/>
          <w:bCs/>
          <w:noProof/>
          <w:sz w:val="22"/>
        </w:rPr>
        <w:t>30</w:t>
      </w:r>
      <w:r w:rsidRPr="004B4837">
        <w:rPr>
          <w:noProof/>
          <w:sz w:val="22"/>
        </w:rPr>
        <w:t>: 85–103.</w:t>
      </w:r>
    </w:p>
    <w:p w14:paraId="0AFE3E75" w14:textId="77777777" w:rsidR="004B4837" w:rsidRPr="004B4837" w:rsidRDefault="004B4837">
      <w:pPr>
        <w:pStyle w:val="NormalWeb"/>
        <w:ind w:left="640" w:hanging="640"/>
        <w:divId w:val="2051726"/>
        <w:rPr>
          <w:noProof/>
          <w:sz w:val="22"/>
        </w:rPr>
      </w:pPr>
      <w:r w:rsidRPr="004B4837">
        <w:rPr>
          <w:noProof/>
          <w:sz w:val="22"/>
        </w:rPr>
        <w:t xml:space="preserve">11 </w:t>
      </w:r>
      <w:r w:rsidRPr="004B4837">
        <w:rPr>
          <w:noProof/>
          <w:sz w:val="22"/>
        </w:rPr>
        <w:tab/>
        <w:t xml:space="preserve">Burns T. End of the road for treatment-as-usual studies? </w:t>
      </w:r>
      <w:r w:rsidRPr="004B4837">
        <w:rPr>
          <w:i/>
          <w:iCs/>
          <w:noProof/>
          <w:sz w:val="22"/>
        </w:rPr>
        <w:t>Br J Psychiatry</w:t>
      </w:r>
      <w:r w:rsidRPr="004B4837">
        <w:rPr>
          <w:noProof/>
          <w:sz w:val="22"/>
        </w:rPr>
        <w:t xml:space="preserve"> 2009; </w:t>
      </w:r>
      <w:r w:rsidRPr="004B4837">
        <w:rPr>
          <w:b/>
          <w:bCs/>
          <w:noProof/>
          <w:sz w:val="22"/>
        </w:rPr>
        <w:t>195</w:t>
      </w:r>
      <w:r w:rsidRPr="004B4837">
        <w:rPr>
          <w:noProof/>
          <w:sz w:val="22"/>
        </w:rPr>
        <w:t>: 5–6.</w:t>
      </w:r>
    </w:p>
    <w:p w14:paraId="56AEB8D6" w14:textId="77777777" w:rsidR="004B4837" w:rsidRPr="004B4837" w:rsidRDefault="004B4837">
      <w:pPr>
        <w:pStyle w:val="NormalWeb"/>
        <w:ind w:left="640" w:hanging="640"/>
        <w:divId w:val="2051726"/>
        <w:rPr>
          <w:noProof/>
          <w:sz w:val="22"/>
        </w:rPr>
      </w:pPr>
      <w:r w:rsidRPr="004B4837">
        <w:rPr>
          <w:noProof/>
          <w:sz w:val="22"/>
        </w:rPr>
        <w:t xml:space="preserve">12 </w:t>
      </w:r>
      <w:r w:rsidRPr="004B4837">
        <w:rPr>
          <w:noProof/>
          <w:sz w:val="22"/>
        </w:rPr>
        <w:tab/>
        <w:t xml:space="preserve">Oberjé EJM, Dima AL, Pijnappel FJ, Prins JM, de Bruin M. Assessing treatment-as-usual provided to control groups in adherence trials: Exploring the use of an open-ended questionnaire for identifying behaviour change techniques. </w:t>
      </w:r>
      <w:r w:rsidRPr="004B4837">
        <w:rPr>
          <w:i/>
          <w:iCs/>
          <w:noProof/>
          <w:sz w:val="22"/>
        </w:rPr>
        <w:t>Psychol Health</w:t>
      </w:r>
      <w:r w:rsidRPr="004B4837">
        <w:rPr>
          <w:noProof/>
          <w:sz w:val="22"/>
        </w:rPr>
        <w:t xml:space="preserve"> 2015; </w:t>
      </w:r>
      <w:r w:rsidRPr="004B4837">
        <w:rPr>
          <w:b/>
          <w:bCs/>
          <w:noProof/>
          <w:sz w:val="22"/>
        </w:rPr>
        <w:t>30</w:t>
      </w:r>
      <w:r w:rsidRPr="004B4837">
        <w:rPr>
          <w:noProof/>
          <w:sz w:val="22"/>
        </w:rPr>
        <w:t>: 897–910.</w:t>
      </w:r>
    </w:p>
    <w:p w14:paraId="07F5DBA3" w14:textId="77777777" w:rsidR="004B4837" w:rsidRPr="004B4837" w:rsidRDefault="004B4837">
      <w:pPr>
        <w:pStyle w:val="NormalWeb"/>
        <w:ind w:left="640" w:hanging="640"/>
        <w:divId w:val="2051726"/>
        <w:rPr>
          <w:noProof/>
          <w:sz w:val="22"/>
        </w:rPr>
      </w:pPr>
      <w:r w:rsidRPr="004B4837">
        <w:rPr>
          <w:noProof/>
          <w:sz w:val="22"/>
        </w:rPr>
        <w:t xml:space="preserve">13 </w:t>
      </w:r>
      <w:r w:rsidRPr="004B4837">
        <w:rPr>
          <w:noProof/>
          <w:sz w:val="22"/>
        </w:rPr>
        <w:tab/>
        <w:t xml:space="preserve">Berry K, Haddock G. The implementation of the NICE guidelines for schizophrenia: barriers to the implementation of psychological interventions and recommendations for the future. </w:t>
      </w:r>
      <w:r w:rsidRPr="004B4837">
        <w:rPr>
          <w:i/>
          <w:iCs/>
          <w:noProof/>
          <w:sz w:val="22"/>
        </w:rPr>
        <w:t>Psychol Psychother</w:t>
      </w:r>
      <w:r w:rsidRPr="004B4837">
        <w:rPr>
          <w:noProof/>
          <w:sz w:val="22"/>
        </w:rPr>
        <w:t xml:space="preserve"> 2008; </w:t>
      </w:r>
      <w:r w:rsidRPr="004B4837">
        <w:rPr>
          <w:b/>
          <w:bCs/>
          <w:noProof/>
          <w:sz w:val="22"/>
        </w:rPr>
        <w:t>81</w:t>
      </w:r>
      <w:r w:rsidRPr="004B4837">
        <w:rPr>
          <w:noProof/>
          <w:sz w:val="22"/>
        </w:rPr>
        <w:t>: 419–36.</w:t>
      </w:r>
    </w:p>
    <w:p w14:paraId="7DF7B349" w14:textId="77777777" w:rsidR="004B4837" w:rsidRPr="004B4837" w:rsidRDefault="004B4837">
      <w:pPr>
        <w:pStyle w:val="NormalWeb"/>
        <w:ind w:left="640" w:hanging="640"/>
        <w:divId w:val="2051726"/>
        <w:rPr>
          <w:noProof/>
          <w:sz w:val="22"/>
        </w:rPr>
      </w:pPr>
      <w:r w:rsidRPr="004B4837">
        <w:rPr>
          <w:noProof/>
          <w:sz w:val="22"/>
        </w:rPr>
        <w:t xml:space="preserve">14 </w:t>
      </w:r>
      <w:r w:rsidRPr="004B4837">
        <w:rPr>
          <w:noProof/>
          <w:sz w:val="22"/>
        </w:rPr>
        <w:tab/>
        <w:t>Royal College of Psychiatrists. Report of the Second Round of the National Audit of Schizophrenia (NAS). 2014.</w:t>
      </w:r>
    </w:p>
    <w:p w14:paraId="22A5E4C4" w14:textId="77777777" w:rsidR="004B4837" w:rsidRPr="004B4837" w:rsidRDefault="004B4837">
      <w:pPr>
        <w:pStyle w:val="NormalWeb"/>
        <w:ind w:left="640" w:hanging="640"/>
        <w:divId w:val="2051726"/>
        <w:rPr>
          <w:noProof/>
          <w:sz w:val="22"/>
        </w:rPr>
      </w:pPr>
      <w:r w:rsidRPr="004B4837">
        <w:rPr>
          <w:noProof/>
          <w:sz w:val="22"/>
        </w:rPr>
        <w:t xml:space="preserve">15 </w:t>
      </w:r>
      <w:r w:rsidRPr="004B4837">
        <w:rPr>
          <w:noProof/>
          <w:sz w:val="22"/>
        </w:rPr>
        <w:tab/>
        <w:t xml:space="preserve">Osborn DPJ, Hardoon S, Omar RZ, Ig R. Europe PMC Funders Group The PRIMROSE cardiovascular risk prediction models for people with severe mental illness : 2016; </w:t>
      </w:r>
      <w:r w:rsidRPr="004B4837">
        <w:rPr>
          <w:b/>
          <w:bCs/>
          <w:noProof/>
          <w:sz w:val="22"/>
        </w:rPr>
        <w:t>72</w:t>
      </w:r>
      <w:r w:rsidRPr="004B4837">
        <w:rPr>
          <w:noProof/>
          <w:sz w:val="22"/>
        </w:rPr>
        <w:t xml:space="preserve">: 143–51. </w:t>
      </w:r>
    </w:p>
    <w:p w14:paraId="2E502592" w14:textId="699EE91A" w:rsidR="0089059B" w:rsidRDefault="004953BB" w:rsidP="004B4837">
      <w:pPr>
        <w:pStyle w:val="NormalWeb"/>
        <w:ind w:left="640" w:hanging="640"/>
        <w:divId w:val="2137947548"/>
      </w:pPr>
      <w:r>
        <w:fldChar w:fldCharType="end"/>
      </w:r>
    </w:p>
    <w:p w14:paraId="3F394458" w14:textId="77777777" w:rsidR="0089059B" w:rsidRDefault="0089059B" w:rsidP="00CD3F4D">
      <w:pPr>
        <w:pStyle w:val="Heading1"/>
        <w:divId w:val="254635244"/>
      </w:pPr>
    </w:p>
    <w:p w14:paraId="12FFC527" w14:textId="77777777" w:rsidR="0089059B" w:rsidRDefault="0089059B" w:rsidP="00CD3F4D">
      <w:pPr>
        <w:pStyle w:val="Heading1"/>
        <w:divId w:val="254635244"/>
      </w:pPr>
    </w:p>
    <w:p w14:paraId="793B3332" w14:textId="77777777" w:rsidR="0089059B" w:rsidRDefault="0089059B" w:rsidP="0089059B">
      <w:pPr>
        <w:divId w:val="254635244"/>
      </w:pPr>
    </w:p>
    <w:p w14:paraId="6F27F0AF" w14:textId="77777777" w:rsidR="0089059B" w:rsidRDefault="0089059B" w:rsidP="0089059B">
      <w:pPr>
        <w:divId w:val="254635244"/>
      </w:pPr>
    </w:p>
    <w:p w14:paraId="6A495C96" w14:textId="77777777" w:rsidR="0089059B" w:rsidRDefault="0089059B" w:rsidP="0089059B">
      <w:pPr>
        <w:divId w:val="254635244"/>
      </w:pPr>
    </w:p>
    <w:p w14:paraId="1B71DFCE" w14:textId="77777777" w:rsidR="0089059B" w:rsidRDefault="0089059B" w:rsidP="0089059B">
      <w:pPr>
        <w:divId w:val="254635244"/>
      </w:pPr>
    </w:p>
    <w:p w14:paraId="5879DBCA" w14:textId="53BE1BB1" w:rsidR="004953BB" w:rsidRDefault="00CD3F4D" w:rsidP="00CD3F4D">
      <w:pPr>
        <w:pStyle w:val="Heading1"/>
        <w:divId w:val="254635244"/>
      </w:pPr>
      <w:bookmarkStart w:id="0" w:name="_GoBack"/>
      <w:bookmarkEnd w:id="0"/>
      <w:r>
        <w:t>Appendix 1</w:t>
      </w:r>
    </w:p>
    <w:p w14:paraId="162E5844" w14:textId="77777777" w:rsidR="00CD3F4D" w:rsidRPr="00CD3F4D" w:rsidRDefault="00CD3F4D" w:rsidP="00CD3F4D">
      <w:pPr>
        <w:spacing w:line="276" w:lineRule="auto"/>
        <w:jc w:val="center"/>
        <w:divId w:val="254635244"/>
        <w:rPr>
          <w:rFonts w:asciiTheme="minorHAnsi" w:eastAsiaTheme="minorHAnsi" w:hAnsiTheme="minorHAnsi" w:cstheme="minorBidi"/>
          <w:sz w:val="28"/>
        </w:rPr>
      </w:pPr>
      <w:r w:rsidRPr="00CD3F4D">
        <w:rPr>
          <w:rFonts w:asciiTheme="minorHAnsi" w:eastAsiaTheme="minorHAnsi" w:hAnsiTheme="minorHAnsi" w:cstheme="minorBidi"/>
          <w:b/>
          <w:sz w:val="28"/>
        </w:rPr>
        <w:t>Routine Usual Weight and Lifestyle Management Care for patients with first episode psychosis, schizophrenia or schizoaffective disorder</w:t>
      </w:r>
    </w:p>
    <w:p w14:paraId="0AFCF2A9" w14:textId="77777777" w:rsidR="00CD3F4D" w:rsidRPr="00CD3F4D" w:rsidRDefault="00CD3F4D" w:rsidP="00CD3F4D">
      <w:pPr>
        <w:spacing w:line="276" w:lineRule="auto"/>
        <w:divId w:val="254635244"/>
        <w:rPr>
          <w:rFonts w:asciiTheme="minorHAnsi" w:eastAsiaTheme="minorHAnsi" w:hAnsiTheme="minorHAnsi" w:cstheme="minorBidi"/>
        </w:rPr>
      </w:pPr>
      <w:r w:rsidRPr="00CD3F4D">
        <w:rPr>
          <w:rFonts w:asciiTheme="minorHAnsi" w:eastAsiaTheme="minorHAnsi" w:hAnsiTheme="minorHAnsi" w:cstheme="minorBidi"/>
        </w:rPr>
        <w:t xml:space="preserve">Site: </w:t>
      </w:r>
      <w:r w:rsidRPr="00CD3F4D">
        <w:rPr>
          <w:rFonts w:asciiTheme="minorHAnsi" w:eastAsiaTheme="minorHAnsi" w:hAnsiTheme="minorHAnsi" w:cstheme="minorBidi"/>
        </w:rPr>
        <w:softHyphen/>
        <w:t>_________________________________</w:t>
      </w:r>
      <w:r w:rsidRPr="00CD3F4D">
        <w:rPr>
          <w:rFonts w:asciiTheme="minorHAnsi" w:eastAsiaTheme="minorHAnsi" w:hAnsiTheme="minorHAnsi" w:cstheme="minorBidi"/>
        </w:rPr>
        <w:tab/>
      </w:r>
      <w:r w:rsidRPr="00CD3F4D">
        <w:rPr>
          <w:rFonts w:asciiTheme="minorHAnsi" w:eastAsiaTheme="minorHAnsi" w:hAnsiTheme="minorHAnsi" w:cstheme="minorBidi"/>
        </w:rPr>
        <w:tab/>
      </w:r>
      <w:r w:rsidRPr="00CD3F4D">
        <w:rPr>
          <w:rFonts w:asciiTheme="minorHAnsi" w:eastAsiaTheme="minorHAnsi" w:hAnsiTheme="minorHAnsi" w:cstheme="minorBidi"/>
        </w:rPr>
        <w:tab/>
        <w:t xml:space="preserve">   Date of completion: </w:t>
      </w:r>
      <w:r w:rsidRPr="00CD3F4D">
        <w:rPr>
          <w:rFonts w:asciiTheme="minorHAnsi" w:eastAsiaTheme="minorHAnsi" w:hAnsiTheme="minorHAnsi" w:cstheme="minorBidi"/>
        </w:rPr>
        <w:softHyphen/>
        <w:t>__/__/_____</w:t>
      </w:r>
    </w:p>
    <w:p w14:paraId="24F5FB96" w14:textId="77777777" w:rsidR="00CD3F4D" w:rsidRPr="00CD3F4D" w:rsidRDefault="00CD3F4D" w:rsidP="00CD3F4D">
      <w:pPr>
        <w:spacing w:line="276" w:lineRule="auto"/>
        <w:divId w:val="254635244"/>
        <w:rPr>
          <w:rFonts w:asciiTheme="minorHAnsi" w:eastAsiaTheme="minorHAnsi" w:hAnsiTheme="minorHAnsi" w:cstheme="minorBidi"/>
        </w:rPr>
      </w:pPr>
      <w:r w:rsidRPr="00CD3F4D">
        <w:rPr>
          <w:rFonts w:asciiTheme="minorHAnsi" w:eastAsiaTheme="minorHAnsi" w:hAnsiTheme="minorHAnsi" w:cstheme="minorBidi"/>
        </w:rPr>
        <w:t>Role of person completing: ___________________________________________________________</w:t>
      </w:r>
    </w:p>
    <w:p w14:paraId="0BC17A32" w14:textId="77777777" w:rsidR="00CD3F4D" w:rsidRPr="00CD3F4D" w:rsidRDefault="00CD3F4D" w:rsidP="00CD3F4D">
      <w:pPr>
        <w:spacing w:line="276" w:lineRule="auto"/>
        <w:divId w:val="254635244"/>
        <w:rPr>
          <w:rFonts w:asciiTheme="minorHAnsi" w:eastAsiaTheme="minorHAnsi" w:hAnsiTheme="minorHAnsi" w:cstheme="minorBidi"/>
        </w:rPr>
      </w:pPr>
    </w:p>
    <w:p w14:paraId="18797555"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Does your Trust offer a healthy eating and physical activity programme?</w:t>
      </w:r>
    </w:p>
    <w:p w14:paraId="0696F4F4" w14:textId="51F8589E"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5B63E1">
        <w:rPr>
          <w:rFonts w:asciiTheme="minorHAnsi" w:eastAsiaTheme="minorHAnsi" w:hAnsiTheme="minorHAnsi" w:cstheme="minorBidi"/>
          <w:sz w:val="20"/>
        </w:rPr>
        <w:t>Combined healthy eating and physical activity programme</w:t>
      </w:r>
      <w:r w:rsidR="005B63E1">
        <w:rPr>
          <w:rFonts w:asciiTheme="minorHAnsi" w:eastAsiaTheme="minorHAnsi" w:hAnsiTheme="minorHAnsi" w:cstheme="minorBidi"/>
          <w:sz w:val="20"/>
        </w:rPr>
        <w:tab/>
      </w:r>
      <w:r w:rsidRPr="00CD3F4D">
        <w:rPr>
          <w:rFonts w:asciiTheme="minorHAnsi" w:eastAsiaTheme="minorHAnsi" w:hAnsiTheme="minorHAnsi" w:cstheme="minorBidi"/>
        </w:rPr>
        <w:tab/>
      </w:r>
      <w:sdt>
        <w:sdtPr>
          <w:rPr>
            <w:rFonts w:asciiTheme="minorHAnsi" w:eastAsiaTheme="minorHAnsi" w:hAnsiTheme="minorHAnsi" w:cstheme="minorBidi"/>
            <w:sz w:val="20"/>
          </w:rPr>
          <w:id w:val="-1314872059"/>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rPr>
            <w:t>☐</w:t>
          </w:r>
        </w:sdtContent>
      </w:sdt>
    </w:p>
    <w:p w14:paraId="683FFB85"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Separate healthy eating and physical activity programmes</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939679874"/>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79A11712"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Healthy eating programme only</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2117896144"/>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33FF141D"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Physical activity programme only</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1691760294"/>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5BB358B4"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None</w:t>
      </w:r>
      <w:r w:rsidRPr="00CD3F4D">
        <w:rPr>
          <w:rFonts w:asciiTheme="minorHAnsi" w:eastAsiaTheme="minorHAnsi" w:hAnsiTheme="minorHAnsi"/>
          <w:sz w:val="20"/>
          <w:szCs w:val="24"/>
        </w:rPr>
        <w:tab/>
      </w:r>
      <w:r w:rsidRPr="00CD3F4D">
        <w:rPr>
          <w:rFonts w:ascii="TUOS Blake" w:eastAsiaTheme="minorHAnsi" w:hAnsi="TUOS Blake"/>
          <w:sz w:val="20"/>
          <w:szCs w:val="24"/>
        </w:rPr>
        <w:tab/>
      </w:r>
      <w:r w:rsidRPr="00CD3F4D">
        <w:rPr>
          <w:rFonts w:ascii="TUOS Blake" w:eastAsiaTheme="minorHAnsi" w:hAnsi="TUOS Blake"/>
          <w:sz w:val="20"/>
          <w:szCs w:val="24"/>
        </w:rPr>
        <w:tab/>
      </w:r>
      <w:r w:rsidRPr="00CD3F4D">
        <w:rPr>
          <w:rFonts w:ascii="TUOS Blake" w:eastAsiaTheme="minorHAnsi" w:hAnsi="TUOS Blake"/>
          <w:sz w:val="20"/>
          <w:szCs w:val="24"/>
        </w:rPr>
        <w:tab/>
      </w:r>
      <w:r w:rsidRPr="00CD3F4D">
        <w:rPr>
          <w:rFonts w:ascii="TUOS Blake" w:eastAsiaTheme="minorHAnsi" w:hAnsi="TUOS Blake"/>
          <w:sz w:val="20"/>
          <w:szCs w:val="24"/>
        </w:rPr>
        <w:tab/>
      </w:r>
      <w:r w:rsidRPr="00CD3F4D">
        <w:rPr>
          <w:rFonts w:ascii="TUOS Blake" w:eastAsiaTheme="minorHAnsi" w:hAnsi="TUOS Blake"/>
          <w:sz w:val="20"/>
          <w:szCs w:val="24"/>
        </w:rPr>
        <w:tab/>
      </w:r>
      <w:r w:rsidRPr="00CD3F4D">
        <w:rPr>
          <w:rFonts w:ascii="TUOS Blake" w:eastAsiaTheme="minorHAnsi" w:hAnsi="TUOS Blake"/>
          <w:sz w:val="20"/>
          <w:szCs w:val="24"/>
        </w:rPr>
        <w:tab/>
      </w:r>
      <w:r w:rsidRPr="00CD3F4D">
        <w:rPr>
          <w:rFonts w:ascii="TUOS Blake" w:eastAsiaTheme="minorHAnsi" w:hAnsi="TUOS Blake"/>
          <w:sz w:val="20"/>
          <w:szCs w:val="24"/>
        </w:rPr>
        <w:tab/>
      </w:r>
      <w:sdt>
        <w:sdtPr>
          <w:rPr>
            <w:rFonts w:ascii="TUOS Blake" w:eastAsiaTheme="minorHAnsi" w:hAnsi="TUOS Blake"/>
            <w:sz w:val="20"/>
            <w:szCs w:val="24"/>
          </w:rPr>
          <w:id w:val="817771040"/>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0A5EC5C3" w14:textId="77777777" w:rsidR="00CD3F4D" w:rsidRPr="00CD3F4D" w:rsidRDefault="00CD3F4D" w:rsidP="00CD3F4D">
      <w:pPr>
        <w:spacing w:line="276" w:lineRule="auto"/>
        <w:ind w:left="1440"/>
        <w:contextualSpacing/>
        <w:divId w:val="254635244"/>
        <w:rPr>
          <w:rFonts w:asciiTheme="minorHAnsi" w:eastAsiaTheme="minorHAnsi" w:hAnsiTheme="minorHAnsi" w:cstheme="minorBidi"/>
        </w:rPr>
      </w:pPr>
    </w:p>
    <w:p w14:paraId="70D5918B" w14:textId="77777777"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If a programme is offered, which patients can be referred to the programme?</w:t>
      </w:r>
    </w:p>
    <w:p w14:paraId="4C3D7B2E"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All patients</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1748454876"/>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6DAB6CF3"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Patients with psychosis or schizophrenia</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1342465736"/>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647F8CED" w14:textId="77777777" w:rsidR="00CD3F4D" w:rsidRPr="00CD3F4D" w:rsidRDefault="00CD3F4D" w:rsidP="00CD3F4D">
      <w:pPr>
        <w:spacing w:line="276" w:lineRule="auto"/>
        <w:ind w:left="1440"/>
        <w:contextualSpacing/>
        <w:divId w:val="254635244"/>
        <w:rPr>
          <w:rFonts w:asciiTheme="minorHAnsi" w:eastAsiaTheme="minorHAnsi" w:hAnsiTheme="minorHAnsi" w:cstheme="minorBidi"/>
        </w:rPr>
      </w:pPr>
    </w:p>
    <w:p w14:paraId="0C4E5A76" w14:textId="77777777"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 xml:space="preserve">What </w:t>
      </w:r>
      <w:proofErr w:type="gramStart"/>
      <w:r w:rsidRPr="00CD3F4D">
        <w:rPr>
          <w:rFonts w:asciiTheme="minorHAnsi" w:eastAsiaTheme="minorHAnsi" w:hAnsiTheme="minorHAnsi"/>
          <w:sz w:val="20"/>
          <w:szCs w:val="24"/>
        </w:rPr>
        <w:t>proportion of eligible patients are</w:t>
      </w:r>
      <w:proofErr w:type="gramEnd"/>
      <w:r w:rsidRPr="00CD3F4D">
        <w:rPr>
          <w:rFonts w:asciiTheme="minorHAnsi" w:eastAsiaTheme="minorHAnsi" w:hAnsiTheme="minorHAnsi"/>
          <w:sz w:val="20"/>
          <w:szCs w:val="24"/>
        </w:rPr>
        <w:t xml:space="preserve"> referred? _________________________________________</w:t>
      </w:r>
    </w:p>
    <w:p w14:paraId="34F105BC" w14:textId="77777777" w:rsidR="00CD3F4D" w:rsidRPr="00CD3F4D" w:rsidRDefault="00CD3F4D" w:rsidP="00CD3F4D">
      <w:pPr>
        <w:spacing w:line="276" w:lineRule="auto"/>
        <w:ind w:left="720"/>
        <w:contextualSpacing/>
        <w:divId w:val="254635244"/>
        <w:rPr>
          <w:rFonts w:asciiTheme="minorHAnsi" w:eastAsiaTheme="minorHAnsi" w:hAnsiTheme="minorHAnsi"/>
          <w:sz w:val="20"/>
          <w:szCs w:val="24"/>
        </w:rPr>
      </w:pPr>
      <w:r w:rsidRPr="00CD3F4D">
        <w:rPr>
          <w:rFonts w:asciiTheme="minorHAnsi" w:eastAsiaTheme="minorHAnsi" w:hAnsiTheme="minorHAnsi"/>
          <w:sz w:val="20"/>
          <w:szCs w:val="24"/>
        </w:rPr>
        <w:t>__________________________________________________________________________________</w:t>
      </w:r>
    </w:p>
    <w:p w14:paraId="1D75BEDD"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4927D54A"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182E49C8" w14:textId="3F6C9411"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5B63E1">
        <w:rPr>
          <w:rFonts w:asciiTheme="minorHAnsi" w:eastAsiaTheme="minorHAnsi" w:hAnsiTheme="minorHAnsi" w:cstheme="minorBidi"/>
          <w:sz w:val="20"/>
        </w:rPr>
        <w:t xml:space="preserve">What proportion of patients referred, attend the programme? </w:t>
      </w:r>
      <w:r w:rsidRPr="00CD3F4D">
        <w:rPr>
          <w:rFonts w:asciiTheme="minorHAnsi" w:eastAsiaTheme="minorHAnsi" w:hAnsiTheme="minorHAnsi" w:cstheme="minorBidi"/>
        </w:rPr>
        <w:t>________________________</w:t>
      </w:r>
      <w:r w:rsidR="005B63E1">
        <w:rPr>
          <w:rFonts w:asciiTheme="minorHAnsi" w:eastAsiaTheme="minorHAnsi" w:hAnsiTheme="minorHAnsi" w:cstheme="minorBidi"/>
        </w:rPr>
        <w:t>____</w:t>
      </w:r>
    </w:p>
    <w:p w14:paraId="42D14596"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r w:rsidRPr="00CD3F4D">
        <w:rPr>
          <w:rFonts w:asciiTheme="minorHAnsi" w:eastAsiaTheme="minorHAnsi" w:hAnsiTheme="minorHAnsi" w:cstheme="minorBidi"/>
        </w:rPr>
        <w:t>___________________________________________________________________________</w:t>
      </w:r>
    </w:p>
    <w:p w14:paraId="716773B7"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28CF26B9"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2E0D489F"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If a programme is offered, how is this accessed?</w:t>
      </w:r>
    </w:p>
    <w:p w14:paraId="4EA7C531" w14:textId="77777777" w:rsidR="00CD3F4D" w:rsidRPr="005B63E1" w:rsidRDefault="00CD3F4D" w:rsidP="00CD3F4D">
      <w:pPr>
        <w:numPr>
          <w:ilvl w:val="1"/>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Ongoing course</w:t>
      </w:r>
      <w:r w:rsidRPr="005B63E1">
        <w:rPr>
          <w:rFonts w:asciiTheme="minorHAnsi" w:eastAsiaTheme="minorHAnsi" w:hAnsiTheme="minorHAnsi" w:cstheme="minorBidi"/>
          <w:sz w:val="20"/>
        </w:rPr>
        <w:tab/>
      </w:r>
      <w:r w:rsidRPr="005B63E1">
        <w:rPr>
          <w:rFonts w:asciiTheme="minorHAnsi" w:eastAsiaTheme="minorHAnsi" w:hAnsiTheme="minorHAnsi" w:cstheme="minorBidi"/>
          <w:sz w:val="20"/>
        </w:rPr>
        <w:tab/>
      </w:r>
      <w:sdt>
        <w:sdtPr>
          <w:rPr>
            <w:rFonts w:asciiTheme="minorHAnsi" w:eastAsiaTheme="minorHAnsi" w:hAnsiTheme="minorHAnsi" w:cstheme="minorBidi"/>
            <w:sz w:val="20"/>
          </w:rPr>
          <w:id w:val="1100839478"/>
          <w14:checkbox>
            <w14:checked w14:val="0"/>
            <w14:checkedState w14:val="2612" w14:font="MS Gothic"/>
            <w14:uncheckedState w14:val="2610" w14:font="MS Gothic"/>
          </w14:checkbox>
        </w:sdtPr>
        <w:sdtEndPr/>
        <w:sdtContent>
          <w:r w:rsidRPr="005B63E1">
            <w:rPr>
              <w:rFonts w:ascii="MS Gothic" w:eastAsia="MS Gothic" w:hAnsi="MS Gothic" w:cs="MS Gothic" w:hint="eastAsia"/>
              <w:sz w:val="20"/>
            </w:rPr>
            <w:t>☐</w:t>
          </w:r>
        </w:sdtContent>
      </w:sdt>
    </w:p>
    <w:p w14:paraId="1544C2F1"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Drop-in sessions</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4179081"/>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09F75EBC"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Over a fixed period</w:t>
      </w:r>
      <w:r w:rsidRPr="00CD3F4D">
        <w:rPr>
          <w:rFonts w:asciiTheme="minorHAnsi" w:eastAsiaTheme="minorHAnsi" w:hAnsiTheme="minorHAnsi"/>
          <w:sz w:val="20"/>
          <w:szCs w:val="24"/>
        </w:rPr>
        <w:tab/>
      </w:r>
      <w:sdt>
        <w:sdtPr>
          <w:rPr>
            <w:rFonts w:asciiTheme="minorHAnsi" w:eastAsiaTheme="minorHAnsi" w:hAnsiTheme="minorHAnsi"/>
            <w:sz w:val="20"/>
            <w:szCs w:val="24"/>
          </w:rPr>
          <w:id w:val="1013882213"/>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71FA1B33"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Other</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220290241"/>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r w:rsidRPr="00CD3F4D">
        <w:rPr>
          <w:rFonts w:asciiTheme="minorHAnsi" w:eastAsiaTheme="minorHAnsi" w:hAnsiTheme="minorHAnsi"/>
          <w:sz w:val="20"/>
          <w:szCs w:val="24"/>
        </w:rPr>
        <w:t>(please give details) ______________________________</w:t>
      </w:r>
    </w:p>
    <w:p w14:paraId="22F2699E" w14:textId="77777777" w:rsidR="00CD3F4D" w:rsidRPr="00CD3F4D" w:rsidRDefault="00CD3F4D" w:rsidP="00CD3F4D">
      <w:pPr>
        <w:spacing w:line="276" w:lineRule="auto"/>
        <w:ind w:left="1440"/>
        <w:contextualSpacing/>
        <w:divId w:val="254635244"/>
        <w:rPr>
          <w:rFonts w:asciiTheme="minorHAnsi" w:eastAsiaTheme="minorHAnsi" w:hAnsiTheme="minorHAnsi" w:cstheme="minorBidi"/>
        </w:rPr>
      </w:pPr>
    </w:p>
    <w:p w14:paraId="48CA9010" w14:textId="77777777"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If a healthy eating and/or physical activity programme is offered by your Trust (a, b, c or d in Q1), please provide the name of the programme and appropriate contact details for a programme representative:</w:t>
      </w:r>
    </w:p>
    <w:p w14:paraId="1E05A276"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59364AE1"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r w:rsidRPr="00CD3F4D">
        <w:rPr>
          <w:rFonts w:asciiTheme="minorHAnsi" w:eastAsiaTheme="minorHAnsi" w:hAnsiTheme="minorHAnsi" w:cstheme="minorBidi"/>
          <w:noProof/>
          <w:lang w:eastAsia="en-GB"/>
        </w:rPr>
        <mc:AlternateContent>
          <mc:Choice Requires="wps">
            <w:drawing>
              <wp:anchor distT="0" distB="0" distL="114300" distR="114300" simplePos="0" relativeHeight="251660288" behindDoc="0" locked="0" layoutInCell="1" allowOverlap="1" wp14:anchorId="70080C34" wp14:editId="7FC919AD">
                <wp:simplePos x="0" y="0"/>
                <wp:positionH relativeFrom="column">
                  <wp:posOffset>220980</wp:posOffset>
                </wp:positionH>
                <wp:positionV relativeFrom="paragraph">
                  <wp:posOffset>5715</wp:posOffset>
                </wp:positionV>
                <wp:extent cx="5707380" cy="12192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5707380" cy="12192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73A5CF" id="Rectangle 2" o:spid="_x0000_s1026" style="position:absolute;margin-left:17.4pt;margin-top:.45pt;width:449.4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" filled="f" strokecolor="windowText" strokeweight="1pt"/>
            </w:pict>
          </mc:Fallback>
        </mc:AlternateContent>
      </w:r>
    </w:p>
    <w:p w14:paraId="12E3748E" w14:textId="77777777" w:rsidR="00CD3F4D" w:rsidRPr="00CD3F4D" w:rsidRDefault="00CD3F4D" w:rsidP="00CD3F4D">
      <w:pPr>
        <w:spacing w:line="276" w:lineRule="auto"/>
        <w:ind w:left="1440"/>
        <w:contextualSpacing/>
        <w:divId w:val="254635244"/>
        <w:rPr>
          <w:rFonts w:asciiTheme="minorHAnsi" w:eastAsiaTheme="minorHAnsi" w:hAnsiTheme="minorHAnsi" w:cstheme="minorBidi"/>
        </w:rPr>
      </w:pPr>
    </w:p>
    <w:p w14:paraId="3AFB24C2" w14:textId="77777777" w:rsidR="00CD3F4D" w:rsidRPr="00CD3F4D" w:rsidRDefault="00CD3F4D" w:rsidP="00CD3F4D">
      <w:pPr>
        <w:spacing w:line="276" w:lineRule="auto"/>
        <w:ind w:left="1440"/>
        <w:contextualSpacing/>
        <w:divId w:val="254635244"/>
        <w:rPr>
          <w:rFonts w:asciiTheme="minorHAnsi" w:eastAsiaTheme="minorHAnsi" w:hAnsiTheme="minorHAnsi" w:cstheme="minorBidi"/>
        </w:rPr>
      </w:pPr>
    </w:p>
    <w:p w14:paraId="4FBDF0A8"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44C63020"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02312654" w14:textId="77777777" w:rsidR="00CD3F4D" w:rsidRPr="00CD3F4D" w:rsidRDefault="00CD3F4D" w:rsidP="00CD3F4D">
      <w:pPr>
        <w:spacing w:line="276" w:lineRule="auto"/>
        <w:divId w:val="254635244"/>
        <w:rPr>
          <w:rFonts w:asciiTheme="minorHAnsi" w:eastAsiaTheme="minorHAnsi" w:hAnsiTheme="minorHAnsi" w:cstheme="minorBidi"/>
        </w:rPr>
      </w:pPr>
    </w:p>
    <w:p w14:paraId="32980ACE" w14:textId="77777777"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Does your Trust offer people with psychosis or schizophrenia who smoke, help to stop smoking, even if previous attempts have been unsuccessful?</w:t>
      </w:r>
    </w:p>
    <w:p w14:paraId="0DE353B6"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All of the time</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619958662"/>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650F338C"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Some of the time</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910974457"/>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r w:rsidRPr="00CD3F4D">
        <w:rPr>
          <w:rFonts w:asciiTheme="minorHAnsi" w:eastAsiaTheme="minorHAnsi" w:hAnsiTheme="minorHAnsi"/>
          <w:sz w:val="20"/>
          <w:szCs w:val="24"/>
        </w:rPr>
        <w:t>(please state how often) ___________________________</w:t>
      </w:r>
    </w:p>
    <w:p w14:paraId="1339782D" w14:textId="77777777" w:rsidR="00CD3F4D" w:rsidRPr="00CD3F4D" w:rsidRDefault="00CD3F4D" w:rsidP="00CD3F4D">
      <w:pPr>
        <w:numPr>
          <w:ilvl w:val="1"/>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Not at all</w:t>
      </w:r>
      <w:r w:rsidRPr="00CD3F4D">
        <w:rPr>
          <w:rFonts w:asciiTheme="minorHAnsi" w:eastAsiaTheme="minorHAnsi" w:hAnsiTheme="minorHAnsi"/>
          <w:sz w:val="20"/>
          <w:szCs w:val="24"/>
        </w:rPr>
        <w:tab/>
      </w:r>
      <w:r w:rsidRPr="00CD3F4D">
        <w:rPr>
          <w:rFonts w:asciiTheme="minorHAnsi" w:eastAsiaTheme="minorHAnsi" w:hAnsiTheme="minorHAnsi"/>
          <w:sz w:val="20"/>
          <w:szCs w:val="24"/>
        </w:rPr>
        <w:tab/>
      </w:r>
      <w:sdt>
        <w:sdtPr>
          <w:rPr>
            <w:rFonts w:asciiTheme="minorHAnsi" w:eastAsiaTheme="minorHAnsi" w:hAnsiTheme="minorHAnsi"/>
            <w:sz w:val="20"/>
            <w:szCs w:val="24"/>
          </w:rPr>
          <w:id w:val="1146634647"/>
          <w14:checkbox>
            <w14:checked w14:val="0"/>
            <w14:checkedState w14:val="2612" w14:font="MS Gothic"/>
            <w14:uncheckedState w14:val="2610" w14:font="MS Gothic"/>
          </w14:checkbox>
        </w:sdtPr>
        <w:sdtEndPr/>
        <w:sdtContent>
          <w:r w:rsidRPr="00CD3F4D">
            <w:rPr>
              <w:rFonts w:ascii="MS Gothic" w:eastAsia="MS Gothic" w:hAnsi="MS Gothic" w:cs="MS Gothic" w:hint="eastAsia"/>
              <w:sz w:val="20"/>
              <w:szCs w:val="24"/>
            </w:rPr>
            <w:t>☐</w:t>
          </w:r>
        </w:sdtContent>
      </w:sdt>
    </w:p>
    <w:p w14:paraId="1EC4028F" w14:textId="77777777" w:rsidR="00CD3F4D" w:rsidRPr="00CD3F4D" w:rsidRDefault="00CD3F4D" w:rsidP="00CD3F4D">
      <w:pPr>
        <w:spacing w:line="276" w:lineRule="auto"/>
        <w:ind w:left="1440"/>
        <w:contextualSpacing/>
        <w:divId w:val="254635244"/>
        <w:rPr>
          <w:rFonts w:asciiTheme="minorHAnsi" w:eastAsiaTheme="minorHAnsi" w:hAnsiTheme="minorHAnsi" w:cstheme="minorBidi"/>
        </w:rPr>
      </w:pPr>
    </w:p>
    <w:p w14:paraId="60A2E1DE" w14:textId="77777777"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If yes, is this help provided by your Trust, or an external smoking cessation service?</w:t>
      </w:r>
    </w:p>
    <w:p w14:paraId="63BFEB25" w14:textId="77777777" w:rsidR="00CD3F4D" w:rsidRPr="00CD3F4D" w:rsidRDefault="00CD3F4D" w:rsidP="00CD3F4D">
      <w:pPr>
        <w:spacing w:line="276" w:lineRule="auto"/>
        <w:ind w:left="720"/>
        <w:contextualSpacing/>
        <w:divId w:val="254635244"/>
        <w:rPr>
          <w:rFonts w:asciiTheme="minorHAnsi" w:eastAsiaTheme="minorHAnsi" w:hAnsiTheme="minorHAnsi"/>
          <w:sz w:val="20"/>
          <w:szCs w:val="24"/>
        </w:rPr>
      </w:pPr>
      <w:r w:rsidRPr="00CD3F4D">
        <w:rPr>
          <w:rFonts w:asciiTheme="minorHAnsi" w:eastAsiaTheme="minorHAnsi" w:hAnsiTheme="minorHAnsi"/>
          <w:sz w:val="20"/>
          <w:szCs w:val="24"/>
        </w:rPr>
        <w:t>______________________________________________________________________________</w:t>
      </w:r>
    </w:p>
    <w:p w14:paraId="54ACE10D" w14:textId="77777777" w:rsidR="00CD3F4D" w:rsidRPr="00CD3F4D" w:rsidRDefault="00CD3F4D" w:rsidP="00CD3F4D">
      <w:pPr>
        <w:spacing w:line="276" w:lineRule="auto"/>
        <w:ind w:left="720"/>
        <w:contextualSpacing/>
        <w:divId w:val="254635244"/>
        <w:rPr>
          <w:rFonts w:asciiTheme="minorHAnsi" w:eastAsiaTheme="minorHAnsi" w:hAnsiTheme="minorHAnsi"/>
          <w:sz w:val="20"/>
          <w:szCs w:val="24"/>
        </w:rPr>
      </w:pPr>
    </w:p>
    <w:p w14:paraId="07429E2C" w14:textId="77777777" w:rsidR="00CD3F4D" w:rsidRPr="00CD3F4D" w:rsidRDefault="00CD3F4D" w:rsidP="00CD3F4D">
      <w:pPr>
        <w:numPr>
          <w:ilvl w:val="0"/>
          <w:numId w:val="1"/>
        </w:numPr>
        <w:spacing w:line="276" w:lineRule="auto"/>
        <w:contextualSpacing/>
        <w:divId w:val="254635244"/>
        <w:rPr>
          <w:rFonts w:asciiTheme="minorHAnsi" w:eastAsiaTheme="minorHAnsi" w:hAnsiTheme="minorHAnsi" w:cstheme="minorBidi"/>
        </w:rPr>
      </w:pPr>
      <w:r w:rsidRPr="00CD3F4D">
        <w:rPr>
          <w:rFonts w:asciiTheme="minorHAnsi" w:eastAsiaTheme="minorHAnsi" w:hAnsiTheme="minorHAnsi"/>
          <w:sz w:val="20"/>
          <w:szCs w:val="24"/>
        </w:rPr>
        <w:t>If a smoking cessation/advice programme is offered by your Trust, please provide the name of the programme and appropriate contact details for a programme representative:</w:t>
      </w:r>
    </w:p>
    <w:p w14:paraId="21BAA76C"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r w:rsidRPr="00CD3F4D">
        <w:rPr>
          <w:rFonts w:asciiTheme="minorHAnsi" w:eastAsiaTheme="minorHAnsi" w:hAnsiTheme="minorHAnsi" w:cstheme="minorBidi"/>
          <w:noProof/>
          <w:lang w:eastAsia="en-GB"/>
        </w:rPr>
        <mc:AlternateContent>
          <mc:Choice Requires="wps">
            <w:drawing>
              <wp:anchor distT="0" distB="0" distL="114300" distR="114300" simplePos="0" relativeHeight="251661312" behindDoc="0" locked="0" layoutInCell="1" allowOverlap="1" wp14:anchorId="60EB0C8A" wp14:editId="344CEC5D">
                <wp:simplePos x="0" y="0"/>
                <wp:positionH relativeFrom="column">
                  <wp:posOffset>160020</wp:posOffset>
                </wp:positionH>
                <wp:positionV relativeFrom="paragraph">
                  <wp:posOffset>81915</wp:posOffset>
                </wp:positionV>
                <wp:extent cx="5707380" cy="10668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5707380" cy="10668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CAFFA7" id="Rectangle 3" o:spid="_x0000_s1026" style="position:absolute;margin-left:12.6pt;margin-top:6.45pt;width:449.4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" filled="f" strokecolor="windowText" strokeweight="1pt"/>
            </w:pict>
          </mc:Fallback>
        </mc:AlternateContent>
      </w:r>
    </w:p>
    <w:p w14:paraId="10B59EDF"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229C932D"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6BC6E7BB"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48B4EE97"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6031E1DB"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74B287F1"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00160C49" w14:textId="77777777" w:rsidR="00CD3F4D" w:rsidRPr="00CD3F4D" w:rsidRDefault="00CD3F4D" w:rsidP="00CD3F4D">
      <w:pPr>
        <w:spacing w:line="276" w:lineRule="auto"/>
        <w:ind w:left="720"/>
        <w:contextualSpacing/>
        <w:divId w:val="254635244"/>
        <w:rPr>
          <w:rFonts w:ascii="TUOS Blake" w:eastAsiaTheme="minorHAnsi" w:hAnsi="TUOS Blake"/>
          <w:sz w:val="20"/>
          <w:szCs w:val="24"/>
        </w:rPr>
      </w:pPr>
    </w:p>
    <w:p w14:paraId="68E1F700"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How often are the following discussed with the patient when deciding on antipsychotic treatment?</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7"/>
        <w:gridCol w:w="1560"/>
        <w:gridCol w:w="1417"/>
      </w:tblGrid>
      <w:tr w:rsidR="00CD3F4D" w:rsidRPr="00CD3F4D" w14:paraId="1538E036" w14:textId="77777777" w:rsidTr="00CD3F4D">
        <w:trPr>
          <w:divId w:val="254635244"/>
        </w:trPr>
        <w:tc>
          <w:tcPr>
            <w:tcW w:w="3544" w:type="dxa"/>
          </w:tcPr>
          <w:p w14:paraId="3FCDBAD4" w14:textId="77777777" w:rsidR="00CD3F4D" w:rsidRPr="00CD3F4D" w:rsidRDefault="00CD3F4D" w:rsidP="00CD3F4D">
            <w:pPr>
              <w:spacing w:after="0" w:line="240" w:lineRule="auto"/>
              <w:contextualSpacing/>
              <w:rPr>
                <w:rFonts w:asciiTheme="minorHAnsi" w:hAnsiTheme="minorHAnsi"/>
              </w:rPr>
            </w:pPr>
          </w:p>
        </w:tc>
        <w:tc>
          <w:tcPr>
            <w:tcW w:w="1417" w:type="dxa"/>
          </w:tcPr>
          <w:p w14:paraId="528539D8" w14:textId="77777777" w:rsidR="00CD3F4D" w:rsidRPr="00CD3F4D" w:rsidRDefault="00CD3F4D" w:rsidP="00CD3F4D">
            <w:pPr>
              <w:spacing w:after="0" w:line="240" w:lineRule="auto"/>
              <w:contextualSpacing/>
              <w:jc w:val="center"/>
              <w:rPr>
                <w:rFonts w:asciiTheme="minorHAnsi" w:hAnsiTheme="minorHAnsi"/>
                <w:sz w:val="18"/>
              </w:rPr>
            </w:pPr>
            <w:r w:rsidRPr="00CD3F4D">
              <w:rPr>
                <w:rFonts w:asciiTheme="minorHAnsi" w:hAnsiTheme="minorHAnsi"/>
                <w:sz w:val="18"/>
              </w:rPr>
              <w:t>All of the time</w:t>
            </w:r>
          </w:p>
        </w:tc>
        <w:tc>
          <w:tcPr>
            <w:tcW w:w="1560" w:type="dxa"/>
          </w:tcPr>
          <w:p w14:paraId="5C0903B6" w14:textId="77777777" w:rsidR="00CD3F4D" w:rsidRPr="00CD3F4D" w:rsidRDefault="00CD3F4D" w:rsidP="00CD3F4D">
            <w:pPr>
              <w:spacing w:after="0" w:line="240" w:lineRule="auto"/>
              <w:contextualSpacing/>
              <w:jc w:val="center"/>
              <w:rPr>
                <w:rFonts w:asciiTheme="minorHAnsi" w:hAnsiTheme="minorHAnsi"/>
                <w:sz w:val="18"/>
              </w:rPr>
            </w:pPr>
            <w:r w:rsidRPr="00CD3F4D">
              <w:rPr>
                <w:rFonts w:asciiTheme="minorHAnsi" w:hAnsiTheme="minorHAnsi"/>
                <w:sz w:val="18"/>
              </w:rPr>
              <w:t>Some of the time</w:t>
            </w:r>
          </w:p>
        </w:tc>
        <w:tc>
          <w:tcPr>
            <w:tcW w:w="1417" w:type="dxa"/>
          </w:tcPr>
          <w:p w14:paraId="60E03AB3" w14:textId="77777777" w:rsidR="00CD3F4D" w:rsidRPr="00CD3F4D" w:rsidRDefault="00CD3F4D" w:rsidP="00CD3F4D">
            <w:pPr>
              <w:spacing w:after="0" w:line="240" w:lineRule="auto"/>
              <w:contextualSpacing/>
              <w:jc w:val="center"/>
              <w:rPr>
                <w:rFonts w:asciiTheme="minorHAnsi" w:hAnsiTheme="minorHAnsi"/>
                <w:sz w:val="18"/>
              </w:rPr>
            </w:pPr>
            <w:r w:rsidRPr="00CD3F4D">
              <w:rPr>
                <w:rFonts w:asciiTheme="minorHAnsi" w:hAnsiTheme="minorHAnsi"/>
                <w:sz w:val="18"/>
              </w:rPr>
              <w:t>Not at all</w:t>
            </w:r>
          </w:p>
        </w:tc>
      </w:tr>
      <w:tr w:rsidR="00CD3F4D" w:rsidRPr="00CD3F4D" w14:paraId="21B5FDE5" w14:textId="77777777" w:rsidTr="00CD3F4D">
        <w:trPr>
          <w:divId w:val="254635244"/>
        </w:trPr>
        <w:tc>
          <w:tcPr>
            <w:tcW w:w="3544" w:type="dxa"/>
          </w:tcPr>
          <w:p w14:paraId="41FE42C5"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Likely benefits</w:t>
            </w:r>
          </w:p>
        </w:tc>
        <w:sdt>
          <w:sdtPr>
            <w:rPr>
              <w:rFonts w:asciiTheme="minorHAnsi" w:hAnsiTheme="minorHAnsi"/>
            </w:rPr>
            <w:id w:val="675623204"/>
            <w14:checkbox>
              <w14:checked w14:val="0"/>
              <w14:checkedState w14:val="2612" w14:font="MS Gothic"/>
              <w14:uncheckedState w14:val="2610" w14:font="MS Gothic"/>
            </w14:checkbox>
          </w:sdtPr>
          <w:sdtEndPr/>
          <w:sdtContent>
            <w:tc>
              <w:tcPr>
                <w:tcW w:w="1417" w:type="dxa"/>
              </w:tcPr>
              <w:p w14:paraId="52546086"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2044747141"/>
            <w14:checkbox>
              <w14:checked w14:val="0"/>
              <w14:checkedState w14:val="2612" w14:font="MS Gothic"/>
              <w14:uncheckedState w14:val="2610" w14:font="MS Gothic"/>
            </w14:checkbox>
          </w:sdtPr>
          <w:sdtEndPr/>
          <w:sdtContent>
            <w:tc>
              <w:tcPr>
                <w:tcW w:w="1560" w:type="dxa"/>
              </w:tcPr>
              <w:p w14:paraId="0A07D02C"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544761605"/>
            <w14:checkbox>
              <w14:checked w14:val="0"/>
              <w14:checkedState w14:val="2612" w14:font="MS Gothic"/>
              <w14:uncheckedState w14:val="2610" w14:font="MS Gothic"/>
            </w14:checkbox>
          </w:sdtPr>
          <w:sdtEndPr/>
          <w:sdtContent>
            <w:tc>
              <w:tcPr>
                <w:tcW w:w="1417" w:type="dxa"/>
              </w:tcPr>
              <w:p w14:paraId="68C9D324"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182805A1" w14:textId="77777777" w:rsidTr="00CD3F4D">
        <w:trPr>
          <w:divId w:val="254635244"/>
        </w:trPr>
        <w:tc>
          <w:tcPr>
            <w:tcW w:w="3544" w:type="dxa"/>
          </w:tcPr>
          <w:p w14:paraId="5DDA10A8"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Weight gain</w:t>
            </w:r>
          </w:p>
        </w:tc>
        <w:sdt>
          <w:sdtPr>
            <w:rPr>
              <w:rFonts w:asciiTheme="minorHAnsi" w:hAnsiTheme="minorHAnsi"/>
            </w:rPr>
            <w:id w:val="1491984460"/>
            <w14:checkbox>
              <w14:checked w14:val="0"/>
              <w14:checkedState w14:val="2612" w14:font="MS Gothic"/>
              <w14:uncheckedState w14:val="2610" w14:font="MS Gothic"/>
            </w14:checkbox>
          </w:sdtPr>
          <w:sdtEndPr/>
          <w:sdtContent>
            <w:tc>
              <w:tcPr>
                <w:tcW w:w="1417" w:type="dxa"/>
              </w:tcPr>
              <w:p w14:paraId="11BDEE67"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472824337"/>
            <w14:checkbox>
              <w14:checked w14:val="0"/>
              <w14:checkedState w14:val="2612" w14:font="MS Gothic"/>
              <w14:uncheckedState w14:val="2610" w14:font="MS Gothic"/>
            </w14:checkbox>
          </w:sdtPr>
          <w:sdtEndPr/>
          <w:sdtContent>
            <w:tc>
              <w:tcPr>
                <w:tcW w:w="1560" w:type="dxa"/>
              </w:tcPr>
              <w:p w14:paraId="3E6F9213"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2046401194"/>
            <w14:checkbox>
              <w14:checked w14:val="0"/>
              <w14:checkedState w14:val="2612" w14:font="MS Gothic"/>
              <w14:uncheckedState w14:val="2610" w14:font="MS Gothic"/>
            </w14:checkbox>
          </w:sdtPr>
          <w:sdtEndPr/>
          <w:sdtContent>
            <w:tc>
              <w:tcPr>
                <w:tcW w:w="1417" w:type="dxa"/>
              </w:tcPr>
              <w:p w14:paraId="5943C6A1"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5A33EB30" w14:textId="77777777" w:rsidTr="00CD3F4D">
        <w:trPr>
          <w:divId w:val="254635244"/>
        </w:trPr>
        <w:tc>
          <w:tcPr>
            <w:tcW w:w="3544" w:type="dxa"/>
          </w:tcPr>
          <w:p w14:paraId="526C9D9F"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Diabetes and metabolic side effects</w:t>
            </w:r>
          </w:p>
        </w:tc>
        <w:sdt>
          <w:sdtPr>
            <w:rPr>
              <w:rFonts w:asciiTheme="minorHAnsi" w:hAnsiTheme="minorHAnsi"/>
            </w:rPr>
            <w:id w:val="-342546389"/>
            <w14:checkbox>
              <w14:checked w14:val="0"/>
              <w14:checkedState w14:val="2612" w14:font="MS Gothic"/>
              <w14:uncheckedState w14:val="2610" w14:font="MS Gothic"/>
            </w14:checkbox>
          </w:sdtPr>
          <w:sdtEndPr/>
          <w:sdtContent>
            <w:tc>
              <w:tcPr>
                <w:tcW w:w="1417" w:type="dxa"/>
              </w:tcPr>
              <w:p w14:paraId="2BE7B614"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372223841"/>
            <w14:checkbox>
              <w14:checked w14:val="0"/>
              <w14:checkedState w14:val="2612" w14:font="MS Gothic"/>
              <w14:uncheckedState w14:val="2610" w14:font="MS Gothic"/>
            </w14:checkbox>
          </w:sdtPr>
          <w:sdtEndPr/>
          <w:sdtContent>
            <w:tc>
              <w:tcPr>
                <w:tcW w:w="1560" w:type="dxa"/>
              </w:tcPr>
              <w:p w14:paraId="7340E485"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349448601"/>
            <w14:checkbox>
              <w14:checked w14:val="0"/>
              <w14:checkedState w14:val="2612" w14:font="MS Gothic"/>
              <w14:uncheckedState w14:val="2610" w14:font="MS Gothic"/>
            </w14:checkbox>
          </w:sdtPr>
          <w:sdtEndPr/>
          <w:sdtContent>
            <w:tc>
              <w:tcPr>
                <w:tcW w:w="1417" w:type="dxa"/>
              </w:tcPr>
              <w:p w14:paraId="1B8BB88E"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03D642C5" w14:textId="77777777" w:rsidTr="00CD3F4D">
        <w:trPr>
          <w:divId w:val="254635244"/>
        </w:trPr>
        <w:tc>
          <w:tcPr>
            <w:tcW w:w="3544" w:type="dxa"/>
          </w:tcPr>
          <w:p w14:paraId="14D274D8"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Other possible side effects</w:t>
            </w:r>
          </w:p>
        </w:tc>
        <w:sdt>
          <w:sdtPr>
            <w:rPr>
              <w:rFonts w:asciiTheme="minorHAnsi" w:hAnsiTheme="minorHAnsi"/>
            </w:rPr>
            <w:id w:val="-942224968"/>
            <w14:checkbox>
              <w14:checked w14:val="0"/>
              <w14:checkedState w14:val="2612" w14:font="MS Gothic"/>
              <w14:uncheckedState w14:val="2610" w14:font="MS Gothic"/>
            </w14:checkbox>
          </w:sdtPr>
          <w:sdtEndPr/>
          <w:sdtContent>
            <w:tc>
              <w:tcPr>
                <w:tcW w:w="1417" w:type="dxa"/>
              </w:tcPr>
              <w:p w14:paraId="68D9453A"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135834091"/>
            <w14:checkbox>
              <w14:checked w14:val="0"/>
              <w14:checkedState w14:val="2612" w14:font="MS Gothic"/>
              <w14:uncheckedState w14:val="2610" w14:font="MS Gothic"/>
            </w14:checkbox>
          </w:sdtPr>
          <w:sdtEndPr/>
          <w:sdtContent>
            <w:tc>
              <w:tcPr>
                <w:tcW w:w="1560" w:type="dxa"/>
              </w:tcPr>
              <w:p w14:paraId="7241BC33"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155956562"/>
            <w14:checkbox>
              <w14:checked w14:val="0"/>
              <w14:checkedState w14:val="2612" w14:font="MS Gothic"/>
              <w14:uncheckedState w14:val="2610" w14:font="MS Gothic"/>
            </w14:checkbox>
          </w:sdtPr>
          <w:sdtEndPr/>
          <w:sdtContent>
            <w:tc>
              <w:tcPr>
                <w:tcW w:w="1417" w:type="dxa"/>
              </w:tcPr>
              <w:p w14:paraId="5EDDF393"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bl>
    <w:p w14:paraId="4DCC366A" w14:textId="77777777" w:rsidR="00CD3F4D" w:rsidRPr="00CD3F4D" w:rsidRDefault="00CD3F4D" w:rsidP="00CD3F4D">
      <w:pPr>
        <w:spacing w:line="276" w:lineRule="auto"/>
        <w:divId w:val="254635244"/>
        <w:rPr>
          <w:rFonts w:asciiTheme="minorHAnsi" w:eastAsiaTheme="minorHAnsi" w:hAnsiTheme="minorHAnsi" w:cstheme="minorBidi"/>
          <w:sz w:val="6"/>
        </w:rPr>
      </w:pPr>
    </w:p>
    <w:p w14:paraId="2E5058DA" w14:textId="77777777" w:rsidR="00CD3F4D" w:rsidRPr="005B63E1" w:rsidRDefault="00CD3F4D" w:rsidP="00CD3F4D">
      <w:pPr>
        <w:spacing w:line="276" w:lineRule="auto"/>
        <w:ind w:firstLine="360"/>
        <w:divId w:val="254635244"/>
        <w:rPr>
          <w:rFonts w:asciiTheme="minorHAnsi" w:eastAsiaTheme="minorHAnsi" w:hAnsiTheme="minorHAnsi" w:cstheme="minorBidi"/>
          <w:sz w:val="20"/>
        </w:rPr>
      </w:pPr>
      <w:r w:rsidRPr="005B63E1">
        <w:rPr>
          <w:rFonts w:asciiTheme="minorHAnsi" w:eastAsiaTheme="minorHAnsi" w:hAnsiTheme="minorHAnsi" w:cstheme="minorBidi"/>
          <w:noProof/>
          <w:sz w:val="20"/>
          <w:lang w:eastAsia="en-GB"/>
        </w:rPr>
        <mc:AlternateContent>
          <mc:Choice Requires="wps">
            <w:drawing>
              <wp:anchor distT="0" distB="0" distL="114300" distR="114300" simplePos="0" relativeHeight="251662336" behindDoc="0" locked="0" layoutInCell="1" allowOverlap="1" wp14:anchorId="06148AA6" wp14:editId="5D17B421">
                <wp:simplePos x="0" y="0"/>
                <wp:positionH relativeFrom="column">
                  <wp:posOffset>152400</wp:posOffset>
                </wp:positionH>
                <wp:positionV relativeFrom="paragraph">
                  <wp:posOffset>243840</wp:posOffset>
                </wp:positionV>
                <wp:extent cx="5707380" cy="6477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5707380" cy="6477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6B97DE" id="Rectangle 4" o:spid="_x0000_s1026" style="position:absolute;margin-left:12pt;margin-top:19.2pt;width:449.4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" filled="f" strokecolor="windowText" strokeweight="1pt"/>
            </w:pict>
          </mc:Fallback>
        </mc:AlternateContent>
      </w:r>
      <w:r w:rsidRPr="005B63E1">
        <w:rPr>
          <w:rFonts w:asciiTheme="minorHAnsi" w:eastAsiaTheme="minorHAnsi" w:hAnsiTheme="minorHAnsi" w:cstheme="minorBidi"/>
          <w:sz w:val="20"/>
        </w:rPr>
        <w:t>Please use the space below to provide further details (if applicable)</w:t>
      </w:r>
    </w:p>
    <w:p w14:paraId="5B6D5C97" w14:textId="77777777" w:rsidR="00CD3F4D" w:rsidRPr="00CD3F4D" w:rsidRDefault="00CD3F4D" w:rsidP="00CD3F4D">
      <w:pPr>
        <w:spacing w:line="276" w:lineRule="auto"/>
        <w:divId w:val="254635244"/>
        <w:rPr>
          <w:rFonts w:asciiTheme="minorHAnsi" w:eastAsiaTheme="minorHAnsi" w:hAnsiTheme="minorHAnsi" w:cstheme="minorBidi"/>
        </w:rPr>
      </w:pPr>
    </w:p>
    <w:p w14:paraId="0D85EBF1" w14:textId="77777777" w:rsidR="00CD3F4D" w:rsidRPr="00CD3F4D" w:rsidRDefault="00CD3F4D" w:rsidP="00CD3F4D">
      <w:pPr>
        <w:spacing w:line="276" w:lineRule="auto"/>
        <w:divId w:val="254635244"/>
        <w:rPr>
          <w:rFonts w:asciiTheme="minorHAnsi" w:eastAsiaTheme="minorHAnsi" w:hAnsiTheme="minorHAnsi" w:cstheme="minorBidi"/>
        </w:rPr>
      </w:pPr>
    </w:p>
    <w:p w14:paraId="65B94348"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0F570CFB"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How often is the use of the following, and their possible interference with prescribed medication discussed with the patient?</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7"/>
        <w:gridCol w:w="1560"/>
        <w:gridCol w:w="1417"/>
      </w:tblGrid>
      <w:tr w:rsidR="00CD3F4D" w:rsidRPr="00CD3F4D" w14:paraId="296650A1" w14:textId="77777777" w:rsidTr="00CD3F4D">
        <w:trPr>
          <w:divId w:val="254635244"/>
        </w:trPr>
        <w:tc>
          <w:tcPr>
            <w:tcW w:w="3544" w:type="dxa"/>
          </w:tcPr>
          <w:p w14:paraId="1999BB46" w14:textId="77777777" w:rsidR="00CD3F4D" w:rsidRPr="00CD3F4D" w:rsidRDefault="00CD3F4D" w:rsidP="00CD3F4D">
            <w:pPr>
              <w:spacing w:after="0" w:line="240" w:lineRule="auto"/>
              <w:contextualSpacing/>
              <w:rPr>
                <w:rFonts w:asciiTheme="minorHAnsi" w:hAnsiTheme="minorHAnsi"/>
              </w:rPr>
            </w:pPr>
          </w:p>
        </w:tc>
        <w:tc>
          <w:tcPr>
            <w:tcW w:w="1417" w:type="dxa"/>
          </w:tcPr>
          <w:p w14:paraId="39B227D9" w14:textId="77777777" w:rsidR="00CD3F4D" w:rsidRPr="00CD3F4D" w:rsidRDefault="00CD3F4D" w:rsidP="00CD3F4D">
            <w:pPr>
              <w:spacing w:after="0" w:line="240" w:lineRule="auto"/>
              <w:contextualSpacing/>
              <w:jc w:val="center"/>
              <w:rPr>
                <w:rFonts w:asciiTheme="minorHAnsi" w:hAnsiTheme="minorHAnsi"/>
                <w:sz w:val="18"/>
              </w:rPr>
            </w:pPr>
            <w:r w:rsidRPr="00CD3F4D">
              <w:rPr>
                <w:rFonts w:asciiTheme="minorHAnsi" w:hAnsiTheme="minorHAnsi"/>
                <w:sz w:val="18"/>
              </w:rPr>
              <w:t>All of the time</w:t>
            </w:r>
          </w:p>
        </w:tc>
        <w:tc>
          <w:tcPr>
            <w:tcW w:w="1560" w:type="dxa"/>
          </w:tcPr>
          <w:p w14:paraId="02AF8B40" w14:textId="77777777" w:rsidR="00CD3F4D" w:rsidRPr="00CD3F4D" w:rsidRDefault="00CD3F4D" w:rsidP="00CD3F4D">
            <w:pPr>
              <w:spacing w:after="0" w:line="240" w:lineRule="auto"/>
              <w:contextualSpacing/>
              <w:jc w:val="center"/>
              <w:rPr>
                <w:rFonts w:asciiTheme="minorHAnsi" w:hAnsiTheme="minorHAnsi"/>
                <w:sz w:val="18"/>
              </w:rPr>
            </w:pPr>
            <w:r w:rsidRPr="00CD3F4D">
              <w:rPr>
                <w:rFonts w:asciiTheme="minorHAnsi" w:hAnsiTheme="minorHAnsi"/>
                <w:sz w:val="18"/>
              </w:rPr>
              <w:t>Some of the time</w:t>
            </w:r>
          </w:p>
        </w:tc>
        <w:tc>
          <w:tcPr>
            <w:tcW w:w="1417" w:type="dxa"/>
          </w:tcPr>
          <w:p w14:paraId="237DBA71" w14:textId="77777777" w:rsidR="00CD3F4D" w:rsidRPr="00CD3F4D" w:rsidRDefault="00CD3F4D" w:rsidP="00CD3F4D">
            <w:pPr>
              <w:spacing w:after="0" w:line="240" w:lineRule="auto"/>
              <w:contextualSpacing/>
              <w:jc w:val="center"/>
              <w:rPr>
                <w:rFonts w:asciiTheme="minorHAnsi" w:hAnsiTheme="minorHAnsi"/>
                <w:sz w:val="18"/>
              </w:rPr>
            </w:pPr>
            <w:r w:rsidRPr="00CD3F4D">
              <w:rPr>
                <w:rFonts w:asciiTheme="minorHAnsi" w:hAnsiTheme="minorHAnsi"/>
                <w:sz w:val="18"/>
              </w:rPr>
              <w:t>Not at all</w:t>
            </w:r>
          </w:p>
        </w:tc>
      </w:tr>
      <w:tr w:rsidR="00CD3F4D" w:rsidRPr="00CD3F4D" w14:paraId="3AFE022F" w14:textId="77777777" w:rsidTr="00CD3F4D">
        <w:trPr>
          <w:divId w:val="254635244"/>
        </w:trPr>
        <w:tc>
          <w:tcPr>
            <w:tcW w:w="3544" w:type="dxa"/>
          </w:tcPr>
          <w:p w14:paraId="552FF738"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Alcohol</w:t>
            </w:r>
          </w:p>
        </w:tc>
        <w:sdt>
          <w:sdtPr>
            <w:rPr>
              <w:rFonts w:asciiTheme="minorHAnsi" w:hAnsiTheme="minorHAnsi"/>
            </w:rPr>
            <w:id w:val="-188990597"/>
            <w14:checkbox>
              <w14:checked w14:val="0"/>
              <w14:checkedState w14:val="2612" w14:font="MS Gothic"/>
              <w14:uncheckedState w14:val="2610" w14:font="MS Gothic"/>
            </w14:checkbox>
          </w:sdtPr>
          <w:sdtEndPr/>
          <w:sdtContent>
            <w:tc>
              <w:tcPr>
                <w:tcW w:w="1417" w:type="dxa"/>
              </w:tcPr>
              <w:p w14:paraId="2C2C0B2B"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293787771"/>
            <w14:checkbox>
              <w14:checked w14:val="0"/>
              <w14:checkedState w14:val="2612" w14:font="MS Gothic"/>
              <w14:uncheckedState w14:val="2610" w14:font="MS Gothic"/>
            </w14:checkbox>
          </w:sdtPr>
          <w:sdtEndPr/>
          <w:sdtContent>
            <w:tc>
              <w:tcPr>
                <w:tcW w:w="1560" w:type="dxa"/>
              </w:tcPr>
              <w:p w14:paraId="30B532B6"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85891268"/>
            <w14:checkbox>
              <w14:checked w14:val="0"/>
              <w14:checkedState w14:val="2612" w14:font="MS Gothic"/>
              <w14:uncheckedState w14:val="2610" w14:font="MS Gothic"/>
            </w14:checkbox>
          </w:sdtPr>
          <w:sdtEndPr/>
          <w:sdtContent>
            <w:tc>
              <w:tcPr>
                <w:tcW w:w="1417" w:type="dxa"/>
              </w:tcPr>
              <w:p w14:paraId="32672B89"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79609275" w14:textId="77777777" w:rsidTr="00CD3F4D">
        <w:trPr>
          <w:divId w:val="254635244"/>
        </w:trPr>
        <w:tc>
          <w:tcPr>
            <w:tcW w:w="3544" w:type="dxa"/>
          </w:tcPr>
          <w:p w14:paraId="3DA68FA1"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Tobacco</w:t>
            </w:r>
          </w:p>
        </w:tc>
        <w:sdt>
          <w:sdtPr>
            <w:rPr>
              <w:rFonts w:asciiTheme="minorHAnsi" w:hAnsiTheme="minorHAnsi"/>
            </w:rPr>
            <w:id w:val="1641149549"/>
            <w14:checkbox>
              <w14:checked w14:val="0"/>
              <w14:checkedState w14:val="2612" w14:font="MS Gothic"/>
              <w14:uncheckedState w14:val="2610" w14:font="MS Gothic"/>
            </w14:checkbox>
          </w:sdtPr>
          <w:sdtEndPr/>
          <w:sdtContent>
            <w:tc>
              <w:tcPr>
                <w:tcW w:w="1417" w:type="dxa"/>
              </w:tcPr>
              <w:p w14:paraId="39E0E310"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576404721"/>
            <w14:checkbox>
              <w14:checked w14:val="0"/>
              <w14:checkedState w14:val="2612" w14:font="MS Gothic"/>
              <w14:uncheckedState w14:val="2610" w14:font="MS Gothic"/>
            </w14:checkbox>
          </w:sdtPr>
          <w:sdtEndPr/>
          <w:sdtContent>
            <w:tc>
              <w:tcPr>
                <w:tcW w:w="1560" w:type="dxa"/>
              </w:tcPr>
              <w:p w14:paraId="0373B2E9"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147165549"/>
            <w14:checkbox>
              <w14:checked w14:val="0"/>
              <w14:checkedState w14:val="2612" w14:font="MS Gothic"/>
              <w14:uncheckedState w14:val="2610" w14:font="MS Gothic"/>
            </w14:checkbox>
          </w:sdtPr>
          <w:sdtEndPr/>
          <w:sdtContent>
            <w:tc>
              <w:tcPr>
                <w:tcW w:w="1417" w:type="dxa"/>
              </w:tcPr>
              <w:p w14:paraId="08A33CCF"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413BEC06" w14:textId="77777777" w:rsidTr="00CD3F4D">
        <w:trPr>
          <w:divId w:val="254635244"/>
        </w:trPr>
        <w:tc>
          <w:tcPr>
            <w:tcW w:w="3544" w:type="dxa"/>
          </w:tcPr>
          <w:p w14:paraId="08DF9ABA"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Other prescribed medications</w:t>
            </w:r>
          </w:p>
        </w:tc>
        <w:sdt>
          <w:sdtPr>
            <w:rPr>
              <w:rFonts w:asciiTheme="minorHAnsi" w:hAnsiTheme="minorHAnsi"/>
            </w:rPr>
            <w:id w:val="1833796162"/>
            <w14:checkbox>
              <w14:checked w14:val="0"/>
              <w14:checkedState w14:val="2612" w14:font="MS Gothic"/>
              <w14:uncheckedState w14:val="2610" w14:font="MS Gothic"/>
            </w14:checkbox>
          </w:sdtPr>
          <w:sdtEndPr/>
          <w:sdtContent>
            <w:tc>
              <w:tcPr>
                <w:tcW w:w="1417" w:type="dxa"/>
              </w:tcPr>
              <w:p w14:paraId="053F8D97"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087311921"/>
            <w14:checkbox>
              <w14:checked w14:val="0"/>
              <w14:checkedState w14:val="2612" w14:font="MS Gothic"/>
              <w14:uncheckedState w14:val="2610" w14:font="MS Gothic"/>
            </w14:checkbox>
          </w:sdtPr>
          <w:sdtEndPr/>
          <w:sdtContent>
            <w:tc>
              <w:tcPr>
                <w:tcW w:w="1560" w:type="dxa"/>
              </w:tcPr>
              <w:p w14:paraId="7227A049"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33155370"/>
            <w14:checkbox>
              <w14:checked w14:val="0"/>
              <w14:checkedState w14:val="2612" w14:font="MS Gothic"/>
              <w14:uncheckedState w14:val="2610" w14:font="MS Gothic"/>
            </w14:checkbox>
          </w:sdtPr>
          <w:sdtEndPr/>
          <w:sdtContent>
            <w:tc>
              <w:tcPr>
                <w:tcW w:w="1417" w:type="dxa"/>
              </w:tcPr>
              <w:p w14:paraId="753D06D4"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30D10033" w14:textId="77777777" w:rsidTr="00CD3F4D">
        <w:trPr>
          <w:divId w:val="254635244"/>
        </w:trPr>
        <w:tc>
          <w:tcPr>
            <w:tcW w:w="3544" w:type="dxa"/>
          </w:tcPr>
          <w:p w14:paraId="32DA8982"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Non-prescribed medications</w:t>
            </w:r>
          </w:p>
        </w:tc>
        <w:sdt>
          <w:sdtPr>
            <w:rPr>
              <w:rFonts w:asciiTheme="minorHAnsi" w:hAnsiTheme="minorHAnsi"/>
            </w:rPr>
            <w:id w:val="1497305708"/>
            <w14:checkbox>
              <w14:checked w14:val="0"/>
              <w14:checkedState w14:val="2612" w14:font="MS Gothic"/>
              <w14:uncheckedState w14:val="2610" w14:font="MS Gothic"/>
            </w14:checkbox>
          </w:sdtPr>
          <w:sdtEndPr/>
          <w:sdtContent>
            <w:tc>
              <w:tcPr>
                <w:tcW w:w="1417" w:type="dxa"/>
              </w:tcPr>
              <w:p w14:paraId="04DA0637"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318492671"/>
            <w14:checkbox>
              <w14:checked w14:val="0"/>
              <w14:checkedState w14:val="2612" w14:font="MS Gothic"/>
              <w14:uncheckedState w14:val="2610" w14:font="MS Gothic"/>
            </w14:checkbox>
          </w:sdtPr>
          <w:sdtEndPr/>
          <w:sdtContent>
            <w:tc>
              <w:tcPr>
                <w:tcW w:w="1560" w:type="dxa"/>
              </w:tcPr>
              <w:p w14:paraId="3B2D121F"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sdt>
          <w:sdtPr>
            <w:rPr>
              <w:rFonts w:asciiTheme="minorHAnsi" w:hAnsiTheme="minorHAnsi"/>
            </w:rPr>
            <w:id w:val="1297871438"/>
            <w14:checkbox>
              <w14:checked w14:val="0"/>
              <w14:checkedState w14:val="2612" w14:font="MS Gothic"/>
              <w14:uncheckedState w14:val="2610" w14:font="MS Gothic"/>
            </w14:checkbox>
          </w:sdtPr>
          <w:sdtEndPr/>
          <w:sdtContent>
            <w:tc>
              <w:tcPr>
                <w:tcW w:w="1417" w:type="dxa"/>
              </w:tcPr>
              <w:p w14:paraId="4B1CF432" w14:textId="77777777" w:rsidR="00CD3F4D" w:rsidRPr="00CD3F4D" w:rsidRDefault="00CD3F4D" w:rsidP="00CD3F4D">
                <w:pPr>
                  <w:spacing w:after="0" w:line="240" w:lineRule="auto"/>
                  <w:contextualSpacing/>
                  <w:jc w:val="center"/>
                  <w:rPr>
                    <w:rFonts w:asciiTheme="minorHAnsi" w:hAnsiTheme="minorHAnsi"/>
                  </w:rPr>
                </w:pPr>
                <w:r w:rsidRPr="00CD3F4D">
                  <w:rPr>
                    <w:rFonts w:ascii="MS Gothic" w:eastAsia="MS Gothic" w:hAnsi="MS Gothic" w:cs="MS Gothic" w:hint="eastAsia"/>
                  </w:rPr>
                  <w:t>☐</w:t>
                </w:r>
              </w:p>
            </w:tc>
          </w:sdtContent>
        </w:sdt>
      </w:tr>
      <w:tr w:rsidR="00CD3F4D" w:rsidRPr="00CD3F4D" w14:paraId="67F2A0B0" w14:textId="77777777" w:rsidTr="00CD3F4D">
        <w:trPr>
          <w:divId w:val="254635244"/>
        </w:trPr>
        <w:tc>
          <w:tcPr>
            <w:tcW w:w="3544" w:type="dxa"/>
          </w:tcPr>
          <w:p w14:paraId="5D017CCB" w14:textId="77777777" w:rsidR="00CD3F4D" w:rsidRPr="005B63E1" w:rsidRDefault="00CD3F4D" w:rsidP="00CD3F4D">
            <w:pPr>
              <w:spacing w:after="0" w:line="240" w:lineRule="auto"/>
              <w:contextualSpacing/>
              <w:rPr>
                <w:rFonts w:asciiTheme="minorHAnsi" w:hAnsiTheme="minorHAnsi"/>
                <w:sz w:val="20"/>
              </w:rPr>
            </w:pPr>
            <w:r w:rsidRPr="005B63E1">
              <w:rPr>
                <w:rFonts w:asciiTheme="minorHAnsi" w:hAnsiTheme="minorHAnsi"/>
                <w:sz w:val="20"/>
              </w:rPr>
              <w:t>Illicit drugs</w:t>
            </w:r>
          </w:p>
        </w:tc>
        <w:sdt>
          <w:sdtPr>
            <w:rPr>
              <w:rFonts w:ascii="TUOS Blake" w:hAnsi="TUOS Blake"/>
              <w:szCs w:val="24"/>
            </w:rPr>
            <w:id w:val="-1006371543"/>
            <w14:checkbox>
              <w14:checked w14:val="0"/>
              <w14:checkedState w14:val="2612" w14:font="MS Gothic"/>
              <w14:uncheckedState w14:val="2610" w14:font="MS Gothic"/>
            </w14:checkbox>
          </w:sdtPr>
          <w:sdtEndPr/>
          <w:sdtContent>
            <w:tc>
              <w:tcPr>
                <w:tcW w:w="1417" w:type="dxa"/>
              </w:tcPr>
              <w:p w14:paraId="1D1D508A" w14:textId="77777777" w:rsidR="00CD3F4D" w:rsidRPr="00CD3F4D" w:rsidRDefault="00CD3F4D" w:rsidP="00CD3F4D">
                <w:pPr>
                  <w:spacing w:after="0" w:line="240" w:lineRule="auto"/>
                  <w:contextualSpacing/>
                  <w:jc w:val="center"/>
                  <w:rPr>
                    <w:rFonts w:ascii="TUOS Blake" w:hAnsi="TUOS Blake"/>
                    <w:szCs w:val="24"/>
                  </w:rPr>
                </w:pPr>
                <w:r w:rsidRPr="00CD3F4D">
                  <w:rPr>
                    <w:rFonts w:ascii="MS Gothic" w:eastAsia="MS Gothic" w:hAnsi="MS Gothic" w:cs="MS Gothic" w:hint="eastAsia"/>
                    <w:szCs w:val="24"/>
                  </w:rPr>
                  <w:t>☐</w:t>
                </w:r>
              </w:p>
            </w:tc>
          </w:sdtContent>
        </w:sdt>
        <w:sdt>
          <w:sdtPr>
            <w:rPr>
              <w:rFonts w:ascii="TUOS Blake" w:hAnsi="TUOS Blake"/>
              <w:szCs w:val="24"/>
            </w:rPr>
            <w:id w:val="989440665"/>
            <w14:checkbox>
              <w14:checked w14:val="0"/>
              <w14:checkedState w14:val="2612" w14:font="MS Gothic"/>
              <w14:uncheckedState w14:val="2610" w14:font="MS Gothic"/>
            </w14:checkbox>
          </w:sdtPr>
          <w:sdtEndPr/>
          <w:sdtContent>
            <w:tc>
              <w:tcPr>
                <w:tcW w:w="1560" w:type="dxa"/>
              </w:tcPr>
              <w:p w14:paraId="08A77AFA" w14:textId="77777777" w:rsidR="00CD3F4D" w:rsidRPr="00CD3F4D" w:rsidRDefault="00CD3F4D" w:rsidP="00CD3F4D">
                <w:pPr>
                  <w:spacing w:after="0" w:line="240" w:lineRule="auto"/>
                  <w:contextualSpacing/>
                  <w:jc w:val="center"/>
                  <w:rPr>
                    <w:rFonts w:ascii="TUOS Blake" w:hAnsi="TUOS Blake"/>
                    <w:szCs w:val="24"/>
                  </w:rPr>
                </w:pPr>
                <w:r w:rsidRPr="00CD3F4D">
                  <w:rPr>
                    <w:rFonts w:ascii="MS Gothic" w:eastAsia="MS Gothic" w:hAnsi="MS Gothic" w:cs="MS Gothic" w:hint="eastAsia"/>
                    <w:szCs w:val="24"/>
                  </w:rPr>
                  <w:t>☐</w:t>
                </w:r>
              </w:p>
            </w:tc>
          </w:sdtContent>
        </w:sdt>
        <w:sdt>
          <w:sdtPr>
            <w:rPr>
              <w:rFonts w:ascii="TUOS Blake" w:hAnsi="TUOS Blake"/>
              <w:szCs w:val="24"/>
            </w:rPr>
            <w:id w:val="216943210"/>
            <w14:checkbox>
              <w14:checked w14:val="0"/>
              <w14:checkedState w14:val="2612" w14:font="MS Gothic"/>
              <w14:uncheckedState w14:val="2610" w14:font="MS Gothic"/>
            </w14:checkbox>
          </w:sdtPr>
          <w:sdtEndPr/>
          <w:sdtContent>
            <w:tc>
              <w:tcPr>
                <w:tcW w:w="1417" w:type="dxa"/>
              </w:tcPr>
              <w:p w14:paraId="1C258F2E" w14:textId="77777777" w:rsidR="00CD3F4D" w:rsidRPr="00CD3F4D" w:rsidRDefault="00CD3F4D" w:rsidP="00CD3F4D">
                <w:pPr>
                  <w:spacing w:after="0" w:line="240" w:lineRule="auto"/>
                  <w:contextualSpacing/>
                  <w:jc w:val="center"/>
                  <w:rPr>
                    <w:rFonts w:ascii="TUOS Blake" w:hAnsi="TUOS Blake"/>
                    <w:szCs w:val="24"/>
                  </w:rPr>
                </w:pPr>
                <w:r w:rsidRPr="00CD3F4D">
                  <w:rPr>
                    <w:rFonts w:ascii="MS Gothic" w:eastAsia="MS Gothic" w:hAnsi="MS Gothic" w:cs="MS Gothic" w:hint="eastAsia"/>
                    <w:szCs w:val="24"/>
                  </w:rPr>
                  <w:t>☐</w:t>
                </w:r>
              </w:p>
            </w:tc>
          </w:sdtContent>
        </w:sdt>
      </w:tr>
    </w:tbl>
    <w:p w14:paraId="620B7CFE" w14:textId="77777777" w:rsidR="00CD3F4D" w:rsidRPr="00CD3F4D" w:rsidRDefault="00CD3F4D" w:rsidP="00CD3F4D">
      <w:pPr>
        <w:spacing w:line="276" w:lineRule="auto"/>
        <w:divId w:val="254635244"/>
        <w:rPr>
          <w:rFonts w:asciiTheme="minorHAnsi" w:eastAsiaTheme="minorHAnsi" w:hAnsiTheme="minorHAnsi" w:cstheme="minorBidi"/>
          <w:sz w:val="8"/>
        </w:rPr>
      </w:pPr>
      <w:r w:rsidRPr="00CD3F4D">
        <w:rPr>
          <w:rFonts w:asciiTheme="minorHAnsi" w:eastAsiaTheme="minorHAnsi" w:hAnsiTheme="minorHAnsi" w:cstheme="minorBidi"/>
        </w:rPr>
        <w:tab/>
      </w:r>
    </w:p>
    <w:p w14:paraId="6DC6FC2E" w14:textId="77777777" w:rsidR="00CD3F4D" w:rsidRPr="005B63E1" w:rsidRDefault="00CD3F4D" w:rsidP="00CD3F4D">
      <w:pPr>
        <w:spacing w:line="276" w:lineRule="auto"/>
        <w:ind w:firstLine="360"/>
        <w:divId w:val="254635244"/>
        <w:rPr>
          <w:rFonts w:asciiTheme="minorHAnsi" w:eastAsiaTheme="minorHAnsi" w:hAnsiTheme="minorHAnsi" w:cstheme="minorBidi"/>
          <w:sz w:val="20"/>
        </w:rPr>
      </w:pPr>
      <w:r w:rsidRPr="005B63E1">
        <w:rPr>
          <w:rFonts w:asciiTheme="minorHAnsi" w:eastAsiaTheme="minorHAnsi" w:hAnsiTheme="minorHAnsi" w:cstheme="minorBidi"/>
          <w:noProof/>
          <w:sz w:val="20"/>
          <w:lang w:eastAsia="en-GB"/>
        </w:rPr>
        <mc:AlternateContent>
          <mc:Choice Requires="wps">
            <w:drawing>
              <wp:anchor distT="0" distB="0" distL="114300" distR="114300" simplePos="0" relativeHeight="251663360" behindDoc="0" locked="0" layoutInCell="1" allowOverlap="1" wp14:anchorId="71664E2C" wp14:editId="7CD1D54F">
                <wp:simplePos x="0" y="0"/>
                <wp:positionH relativeFrom="column">
                  <wp:posOffset>144780</wp:posOffset>
                </wp:positionH>
                <wp:positionV relativeFrom="paragraph">
                  <wp:posOffset>267970</wp:posOffset>
                </wp:positionV>
                <wp:extent cx="5707380" cy="6477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5707380" cy="6477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FD6016" id="Rectangle 6" o:spid="_x0000_s1026" style="position:absolute;margin-left:11.4pt;margin-top:21.1pt;width:449.4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" filled="f" strokecolor="windowText" strokeweight="1pt"/>
            </w:pict>
          </mc:Fallback>
        </mc:AlternateContent>
      </w:r>
      <w:r w:rsidRPr="005B63E1">
        <w:rPr>
          <w:rFonts w:asciiTheme="minorHAnsi" w:eastAsiaTheme="minorHAnsi" w:hAnsiTheme="minorHAnsi" w:cstheme="minorBidi"/>
          <w:sz w:val="20"/>
        </w:rPr>
        <w:t>Please use the space below to provide further details (if applicable)</w:t>
      </w:r>
    </w:p>
    <w:p w14:paraId="05C55DBC" w14:textId="77777777" w:rsidR="00CD3F4D" w:rsidRPr="00CD3F4D" w:rsidRDefault="00CD3F4D" w:rsidP="00CD3F4D">
      <w:pPr>
        <w:spacing w:line="276" w:lineRule="auto"/>
        <w:divId w:val="254635244"/>
        <w:rPr>
          <w:rFonts w:asciiTheme="minorHAnsi" w:eastAsiaTheme="minorHAnsi" w:hAnsiTheme="minorHAnsi" w:cstheme="minorBidi"/>
        </w:rPr>
      </w:pPr>
    </w:p>
    <w:p w14:paraId="5E137627" w14:textId="77777777" w:rsidR="00CD3F4D" w:rsidRPr="00CD3F4D" w:rsidRDefault="00CD3F4D" w:rsidP="00CD3F4D">
      <w:pPr>
        <w:spacing w:line="276" w:lineRule="auto"/>
        <w:divId w:val="254635244"/>
        <w:rPr>
          <w:rFonts w:asciiTheme="minorHAnsi" w:eastAsiaTheme="minorHAnsi" w:hAnsiTheme="minorHAnsi" w:cstheme="minorBidi"/>
          <w:b/>
        </w:rPr>
      </w:pPr>
    </w:p>
    <w:p w14:paraId="3E1CCFF8" w14:textId="77777777" w:rsidR="005B63E1" w:rsidRDefault="005B63E1" w:rsidP="00CD3F4D">
      <w:pPr>
        <w:spacing w:line="276" w:lineRule="auto"/>
        <w:divId w:val="254635244"/>
        <w:rPr>
          <w:rFonts w:asciiTheme="minorHAnsi" w:eastAsiaTheme="minorHAnsi" w:hAnsiTheme="minorHAnsi" w:cstheme="minorBidi"/>
          <w:b/>
          <w:u w:val="single"/>
        </w:rPr>
      </w:pPr>
    </w:p>
    <w:p w14:paraId="2BA8957A" w14:textId="77777777" w:rsidR="00CD3F4D" w:rsidRPr="00CD3F4D" w:rsidRDefault="00CD3F4D" w:rsidP="00CD3F4D">
      <w:pPr>
        <w:spacing w:line="276" w:lineRule="auto"/>
        <w:divId w:val="254635244"/>
        <w:rPr>
          <w:rFonts w:asciiTheme="minorHAnsi" w:eastAsiaTheme="minorHAnsi" w:hAnsiTheme="minorHAnsi" w:cstheme="minorBidi"/>
          <w:b/>
          <w:u w:val="single"/>
        </w:rPr>
      </w:pPr>
      <w:r w:rsidRPr="00CD3F4D">
        <w:rPr>
          <w:rFonts w:asciiTheme="minorHAnsi" w:eastAsiaTheme="minorHAnsi" w:hAnsiTheme="minorHAnsi" w:cstheme="minorBidi"/>
          <w:b/>
          <w:u w:val="single"/>
        </w:rPr>
        <w:t xml:space="preserve">Please Note: Questions 12 &amp; 13 relate specifically to patients with first episode psychosis. </w:t>
      </w:r>
    </w:p>
    <w:p w14:paraId="7D7B44F4"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How likely is it that patients will have the following recorded before they start taking antipsychotic medication?</w:t>
      </w:r>
    </w:p>
    <w:tbl>
      <w:tblPr>
        <w:tblStyle w:val="TableGrid1"/>
        <w:tblW w:w="0" w:type="auto"/>
        <w:tblInd w:w="720" w:type="dxa"/>
        <w:tblLook w:val="04A0" w:firstRow="1" w:lastRow="0" w:firstColumn="1" w:lastColumn="0" w:noHBand="0" w:noVBand="1"/>
      </w:tblPr>
      <w:tblGrid>
        <w:gridCol w:w="4066"/>
        <w:gridCol w:w="851"/>
        <w:gridCol w:w="850"/>
        <w:gridCol w:w="992"/>
        <w:gridCol w:w="851"/>
        <w:gridCol w:w="912"/>
      </w:tblGrid>
      <w:tr w:rsidR="00CD3F4D" w:rsidRPr="00CD3F4D" w14:paraId="645F644A" w14:textId="77777777" w:rsidTr="00CD3F4D">
        <w:trPr>
          <w:divId w:val="254635244"/>
        </w:trPr>
        <w:tc>
          <w:tcPr>
            <w:tcW w:w="4066" w:type="dxa"/>
          </w:tcPr>
          <w:p w14:paraId="7D114A76" w14:textId="77777777" w:rsidR="00CD3F4D" w:rsidRPr="00CD3F4D" w:rsidRDefault="00CD3F4D" w:rsidP="00CD3F4D">
            <w:pPr>
              <w:spacing w:after="0" w:line="240" w:lineRule="auto"/>
              <w:rPr>
                <w:rFonts w:asciiTheme="minorHAnsi" w:hAnsiTheme="minorHAnsi"/>
                <w:sz w:val="20"/>
              </w:rPr>
            </w:pPr>
          </w:p>
        </w:tc>
        <w:tc>
          <w:tcPr>
            <w:tcW w:w="851" w:type="dxa"/>
          </w:tcPr>
          <w:p w14:paraId="1B627A72"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Very likely</w:t>
            </w:r>
          </w:p>
        </w:tc>
        <w:tc>
          <w:tcPr>
            <w:tcW w:w="850" w:type="dxa"/>
          </w:tcPr>
          <w:p w14:paraId="2C001858"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Likely</w:t>
            </w:r>
          </w:p>
        </w:tc>
        <w:tc>
          <w:tcPr>
            <w:tcW w:w="992" w:type="dxa"/>
          </w:tcPr>
          <w:p w14:paraId="1AB2B2E6"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Neither likely or unlikely</w:t>
            </w:r>
          </w:p>
        </w:tc>
        <w:tc>
          <w:tcPr>
            <w:tcW w:w="851" w:type="dxa"/>
          </w:tcPr>
          <w:p w14:paraId="5485ED9B"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Unlikely</w:t>
            </w:r>
          </w:p>
        </w:tc>
        <w:tc>
          <w:tcPr>
            <w:tcW w:w="912" w:type="dxa"/>
          </w:tcPr>
          <w:p w14:paraId="30F93B29"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Very unlikely</w:t>
            </w:r>
          </w:p>
        </w:tc>
      </w:tr>
      <w:tr w:rsidR="00CD3F4D" w:rsidRPr="00CD3F4D" w14:paraId="7F307F67" w14:textId="77777777" w:rsidTr="00CD3F4D">
        <w:trPr>
          <w:divId w:val="254635244"/>
        </w:trPr>
        <w:tc>
          <w:tcPr>
            <w:tcW w:w="4066" w:type="dxa"/>
          </w:tcPr>
          <w:p w14:paraId="3A976744"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Weight</w:t>
            </w:r>
          </w:p>
        </w:tc>
        <w:tc>
          <w:tcPr>
            <w:tcW w:w="851" w:type="dxa"/>
          </w:tcPr>
          <w:p w14:paraId="5D616342"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7C29C6B8"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69B988B0"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0DBDADEB"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40C5CC04"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392D0E1C" w14:textId="77777777" w:rsidTr="00CD3F4D">
        <w:trPr>
          <w:divId w:val="254635244"/>
        </w:trPr>
        <w:tc>
          <w:tcPr>
            <w:tcW w:w="4066" w:type="dxa"/>
          </w:tcPr>
          <w:p w14:paraId="02949D57"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Weight plotted on a chart</w:t>
            </w:r>
          </w:p>
        </w:tc>
        <w:tc>
          <w:tcPr>
            <w:tcW w:w="851" w:type="dxa"/>
          </w:tcPr>
          <w:p w14:paraId="1A64BCF1"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25B13515"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1A4E34B5"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4548C192"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1336D243"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60F677FB" w14:textId="77777777" w:rsidTr="00CD3F4D">
        <w:trPr>
          <w:divId w:val="254635244"/>
        </w:trPr>
        <w:tc>
          <w:tcPr>
            <w:tcW w:w="4066" w:type="dxa"/>
          </w:tcPr>
          <w:p w14:paraId="108323BD"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Waist circumference</w:t>
            </w:r>
          </w:p>
        </w:tc>
        <w:tc>
          <w:tcPr>
            <w:tcW w:w="851" w:type="dxa"/>
          </w:tcPr>
          <w:p w14:paraId="11FEBBCA"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7476FBB6"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13A37253"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0065A1B7"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55F98880"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1B6A8B1E" w14:textId="77777777" w:rsidTr="00CD3F4D">
        <w:trPr>
          <w:divId w:val="254635244"/>
        </w:trPr>
        <w:tc>
          <w:tcPr>
            <w:tcW w:w="4066" w:type="dxa"/>
          </w:tcPr>
          <w:p w14:paraId="6A65CC78"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Pulse</w:t>
            </w:r>
          </w:p>
        </w:tc>
        <w:tc>
          <w:tcPr>
            <w:tcW w:w="851" w:type="dxa"/>
          </w:tcPr>
          <w:p w14:paraId="5E621433"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73ADC4FC"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6C6AFD4B"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5F8408ED"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67574E7A"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48BE9550" w14:textId="77777777" w:rsidTr="00CD3F4D">
        <w:trPr>
          <w:divId w:val="254635244"/>
        </w:trPr>
        <w:tc>
          <w:tcPr>
            <w:tcW w:w="4066" w:type="dxa"/>
          </w:tcPr>
          <w:p w14:paraId="6167CDD8"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Blood pressure</w:t>
            </w:r>
          </w:p>
        </w:tc>
        <w:tc>
          <w:tcPr>
            <w:tcW w:w="851" w:type="dxa"/>
          </w:tcPr>
          <w:p w14:paraId="6650D067"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4557DFB3"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572DBF86"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11196E4B"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17A8FB54"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1B0BD12D" w14:textId="77777777" w:rsidTr="00CD3F4D">
        <w:trPr>
          <w:divId w:val="254635244"/>
        </w:trPr>
        <w:tc>
          <w:tcPr>
            <w:tcW w:w="4066" w:type="dxa"/>
          </w:tcPr>
          <w:p w14:paraId="5273090F"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Fasting blood glucose</w:t>
            </w:r>
          </w:p>
        </w:tc>
        <w:tc>
          <w:tcPr>
            <w:tcW w:w="851" w:type="dxa"/>
          </w:tcPr>
          <w:p w14:paraId="222F6CFA"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10747536"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5EC1498B"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382F4ACA"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0954F370"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56947678" w14:textId="77777777" w:rsidTr="00CD3F4D">
        <w:trPr>
          <w:divId w:val="254635244"/>
        </w:trPr>
        <w:tc>
          <w:tcPr>
            <w:tcW w:w="4066" w:type="dxa"/>
          </w:tcPr>
          <w:p w14:paraId="2F647BBF"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Random blood glucose</w:t>
            </w:r>
          </w:p>
        </w:tc>
        <w:tc>
          <w:tcPr>
            <w:tcW w:w="851" w:type="dxa"/>
          </w:tcPr>
          <w:p w14:paraId="3CEC2468"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4A3D7156"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3231DBFE"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3DD15A64"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2385943C"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4E4934EB" w14:textId="77777777" w:rsidTr="00CD3F4D">
        <w:trPr>
          <w:divId w:val="254635244"/>
        </w:trPr>
        <w:tc>
          <w:tcPr>
            <w:tcW w:w="4066" w:type="dxa"/>
          </w:tcPr>
          <w:p w14:paraId="1891CE09"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HbA1c</w:t>
            </w:r>
          </w:p>
        </w:tc>
        <w:tc>
          <w:tcPr>
            <w:tcW w:w="851" w:type="dxa"/>
          </w:tcPr>
          <w:p w14:paraId="2C99ED16"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28293937"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5084ACC0"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0CE41D51"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26455E8E"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25AA248C" w14:textId="77777777" w:rsidTr="00CD3F4D">
        <w:trPr>
          <w:divId w:val="254635244"/>
        </w:trPr>
        <w:tc>
          <w:tcPr>
            <w:tcW w:w="4066" w:type="dxa"/>
          </w:tcPr>
          <w:p w14:paraId="697FF236"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Blood lipid profile</w:t>
            </w:r>
          </w:p>
        </w:tc>
        <w:tc>
          <w:tcPr>
            <w:tcW w:w="851" w:type="dxa"/>
          </w:tcPr>
          <w:p w14:paraId="6C7BEF76"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699E66A5"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7CD4AD9E"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061572E6"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7FE595A0"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556778AD" w14:textId="77777777" w:rsidTr="00CD3F4D">
        <w:trPr>
          <w:divId w:val="254635244"/>
        </w:trPr>
        <w:tc>
          <w:tcPr>
            <w:tcW w:w="4066" w:type="dxa"/>
          </w:tcPr>
          <w:p w14:paraId="0B48C749"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Assessment of any movement disorders</w:t>
            </w:r>
          </w:p>
        </w:tc>
        <w:tc>
          <w:tcPr>
            <w:tcW w:w="851" w:type="dxa"/>
          </w:tcPr>
          <w:p w14:paraId="0211E662"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03BFED2F"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74FAE4A9"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58232E42"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58B290BD"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16BC50B3" w14:textId="77777777" w:rsidTr="00CD3F4D">
        <w:trPr>
          <w:divId w:val="254635244"/>
        </w:trPr>
        <w:tc>
          <w:tcPr>
            <w:tcW w:w="4066" w:type="dxa"/>
          </w:tcPr>
          <w:p w14:paraId="7D8D72C4"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Assessment of nutritional status, diet and level of physical activity</w:t>
            </w:r>
          </w:p>
        </w:tc>
        <w:tc>
          <w:tcPr>
            <w:tcW w:w="851" w:type="dxa"/>
          </w:tcPr>
          <w:p w14:paraId="3678B4F3"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4FC2AFC2"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7ADD8B60"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2038E347"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4173E8F2" w14:textId="77777777" w:rsidR="00CD3F4D" w:rsidRPr="00CD3F4D" w:rsidRDefault="00CD3F4D" w:rsidP="00CD3F4D">
            <w:pPr>
              <w:spacing w:after="0" w:line="240" w:lineRule="auto"/>
              <w:contextualSpacing/>
              <w:rPr>
                <w:rFonts w:asciiTheme="minorHAnsi" w:hAnsiTheme="minorHAnsi"/>
                <w:sz w:val="20"/>
              </w:rPr>
            </w:pPr>
          </w:p>
        </w:tc>
      </w:tr>
    </w:tbl>
    <w:p w14:paraId="5170B320" w14:textId="77777777" w:rsidR="00CD3F4D" w:rsidRPr="00CD3F4D" w:rsidRDefault="00CD3F4D" w:rsidP="00CD3F4D">
      <w:pPr>
        <w:spacing w:line="276" w:lineRule="auto"/>
        <w:ind w:left="720"/>
        <w:contextualSpacing/>
        <w:divId w:val="254635244"/>
        <w:rPr>
          <w:rFonts w:asciiTheme="minorHAnsi" w:eastAsiaTheme="minorHAnsi" w:hAnsiTheme="minorHAnsi" w:cstheme="minorBidi"/>
        </w:rPr>
      </w:pPr>
    </w:p>
    <w:p w14:paraId="6B94B321"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 xml:space="preserve">How likely is it that </w:t>
      </w:r>
      <w:proofErr w:type="gramStart"/>
      <w:r w:rsidRPr="005B63E1">
        <w:rPr>
          <w:rFonts w:asciiTheme="minorHAnsi" w:eastAsiaTheme="minorHAnsi" w:hAnsiTheme="minorHAnsi" w:cstheme="minorBidi"/>
          <w:sz w:val="20"/>
        </w:rPr>
        <w:t>patients</w:t>
      </w:r>
      <w:proofErr w:type="gramEnd"/>
      <w:r w:rsidRPr="005B63E1">
        <w:rPr>
          <w:rFonts w:asciiTheme="minorHAnsi" w:eastAsiaTheme="minorHAnsi" w:hAnsiTheme="minorHAnsi" w:cstheme="minorBidi"/>
          <w:sz w:val="20"/>
        </w:rPr>
        <w:t xml:space="preserve"> will have their weight recorded as follows?</w:t>
      </w:r>
    </w:p>
    <w:tbl>
      <w:tblPr>
        <w:tblStyle w:val="TableGrid1"/>
        <w:tblW w:w="0" w:type="auto"/>
        <w:tblInd w:w="720" w:type="dxa"/>
        <w:tblLook w:val="04A0" w:firstRow="1" w:lastRow="0" w:firstColumn="1" w:lastColumn="0" w:noHBand="0" w:noVBand="1"/>
      </w:tblPr>
      <w:tblGrid>
        <w:gridCol w:w="4066"/>
        <w:gridCol w:w="851"/>
        <w:gridCol w:w="850"/>
        <w:gridCol w:w="992"/>
        <w:gridCol w:w="851"/>
        <w:gridCol w:w="912"/>
      </w:tblGrid>
      <w:tr w:rsidR="00CD3F4D" w:rsidRPr="00CD3F4D" w14:paraId="27FDB6FE" w14:textId="77777777" w:rsidTr="00CD3F4D">
        <w:trPr>
          <w:divId w:val="254635244"/>
        </w:trPr>
        <w:tc>
          <w:tcPr>
            <w:tcW w:w="4066" w:type="dxa"/>
          </w:tcPr>
          <w:p w14:paraId="42A8F764" w14:textId="77777777" w:rsidR="00CD3F4D" w:rsidRPr="00CD3F4D" w:rsidRDefault="00CD3F4D" w:rsidP="00CD3F4D">
            <w:pPr>
              <w:spacing w:after="0" w:line="240" w:lineRule="auto"/>
              <w:rPr>
                <w:rFonts w:asciiTheme="minorHAnsi" w:hAnsiTheme="minorHAnsi"/>
                <w:sz w:val="20"/>
              </w:rPr>
            </w:pPr>
          </w:p>
        </w:tc>
        <w:tc>
          <w:tcPr>
            <w:tcW w:w="851" w:type="dxa"/>
          </w:tcPr>
          <w:p w14:paraId="6727A1A6"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Very likely</w:t>
            </w:r>
          </w:p>
        </w:tc>
        <w:tc>
          <w:tcPr>
            <w:tcW w:w="850" w:type="dxa"/>
          </w:tcPr>
          <w:p w14:paraId="767153D7"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Likely</w:t>
            </w:r>
          </w:p>
        </w:tc>
        <w:tc>
          <w:tcPr>
            <w:tcW w:w="992" w:type="dxa"/>
          </w:tcPr>
          <w:p w14:paraId="74AA4694"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Neither likely or unlikely</w:t>
            </w:r>
          </w:p>
        </w:tc>
        <w:tc>
          <w:tcPr>
            <w:tcW w:w="851" w:type="dxa"/>
          </w:tcPr>
          <w:p w14:paraId="43629620"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Unlikely</w:t>
            </w:r>
          </w:p>
        </w:tc>
        <w:tc>
          <w:tcPr>
            <w:tcW w:w="912" w:type="dxa"/>
          </w:tcPr>
          <w:p w14:paraId="382614EE"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Very unlikely</w:t>
            </w:r>
          </w:p>
        </w:tc>
      </w:tr>
      <w:tr w:rsidR="00CD3F4D" w:rsidRPr="00CD3F4D" w14:paraId="32EC557D" w14:textId="77777777" w:rsidTr="00CD3F4D">
        <w:trPr>
          <w:divId w:val="254635244"/>
        </w:trPr>
        <w:tc>
          <w:tcPr>
            <w:tcW w:w="4066" w:type="dxa"/>
          </w:tcPr>
          <w:p w14:paraId="4B620185"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Weekly for the first 6 weeks</w:t>
            </w:r>
          </w:p>
        </w:tc>
        <w:tc>
          <w:tcPr>
            <w:tcW w:w="851" w:type="dxa"/>
          </w:tcPr>
          <w:p w14:paraId="09E11D97"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1C38EE44"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4F197A53"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1F7690E7"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22A1C416"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3B7015C6" w14:textId="77777777" w:rsidTr="00CD3F4D">
        <w:trPr>
          <w:divId w:val="254635244"/>
        </w:trPr>
        <w:tc>
          <w:tcPr>
            <w:tcW w:w="4066" w:type="dxa"/>
          </w:tcPr>
          <w:p w14:paraId="2F98598E"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At 12 weeks</w:t>
            </w:r>
          </w:p>
        </w:tc>
        <w:tc>
          <w:tcPr>
            <w:tcW w:w="851" w:type="dxa"/>
          </w:tcPr>
          <w:p w14:paraId="02B05875"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423E3900"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681D8D31"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50BE79A0"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364CCD63"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422D85E9" w14:textId="77777777" w:rsidTr="00CD3F4D">
        <w:trPr>
          <w:divId w:val="254635244"/>
        </w:trPr>
        <w:tc>
          <w:tcPr>
            <w:tcW w:w="4066" w:type="dxa"/>
          </w:tcPr>
          <w:p w14:paraId="5600195B"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At 1 year</w:t>
            </w:r>
          </w:p>
        </w:tc>
        <w:tc>
          <w:tcPr>
            <w:tcW w:w="851" w:type="dxa"/>
          </w:tcPr>
          <w:p w14:paraId="5CD99C63"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2351641F"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047AD128"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76B6A17A"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575DBD21"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06AE3145" w14:textId="77777777" w:rsidTr="00CD3F4D">
        <w:trPr>
          <w:divId w:val="254635244"/>
        </w:trPr>
        <w:tc>
          <w:tcPr>
            <w:tcW w:w="4066" w:type="dxa"/>
          </w:tcPr>
          <w:p w14:paraId="67771D33"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Annually thereafter</w:t>
            </w:r>
          </w:p>
        </w:tc>
        <w:tc>
          <w:tcPr>
            <w:tcW w:w="851" w:type="dxa"/>
          </w:tcPr>
          <w:p w14:paraId="5FA81A66"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4F0991F9"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3D31CBE8"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3A6863F0"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51CED42A"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7AC8B730" w14:textId="77777777" w:rsidTr="00CD3F4D">
        <w:trPr>
          <w:divId w:val="254635244"/>
        </w:trPr>
        <w:tc>
          <w:tcPr>
            <w:tcW w:w="4066" w:type="dxa"/>
          </w:tcPr>
          <w:p w14:paraId="63A4C7A8"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If any of the above are unlikely or very unlikely, is there a reason this is not recorded?</w:t>
            </w:r>
          </w:p>
        </w:tc>
        <w:tc>
          <w:tcPr>
            <w:tcW w:w="4456" w:type="dxa"/>
            <w:gridSpan w:val="5"/>
          </w:tcPr>
          <w:p w14:paraId="438C5C96" w14:textId="77777777" w:rsidR="00CD3F4D" w:rsidRPr="00CD3F4D" w:rsidRDefault="00CD3F4D" w:rsidP="00CD3F4D">
            <w:pPr>
              <w:spacing w:after="0" w:line="240" w:lineRule="auto"/>
              <w:contextualSpacing/>
              <w:rPr>
                <w:rFonts w:asciiTheme="minorHAnsi" w:hAnsiTheme="minorHAnsi"/>
                <w:sz w:val="20"/>
              </w:rPr>
            </w:pPr>
          </w:p>
        </w:tc>
      </w:tr>
    </w:tbl>
    <w:p w14:paraId="6780B940" w14:textId="77777777" w:rsidR="00CD3F4D" w:rsidRPr="00CD3F4D" w:rsidRDefault="00CD3F4D" w:rsidP="00CD3F4D">
      <w:pPr>
        <w:spacing w:line="276" w:lineRule="auto"/>
        <w:divId w:val="254635244"/>
        <w:rPr>
          <w:rFonts w:asciiTheme="minorHAnsi" w:eastAsiaTheme="minorHAnsi" w:hAnsiTheme="minorHAnsi" w:cstheme="minorBidi"/>
        </w:rPr>
      </w:pPr>
    </w:p>
    <w:p w14:paraId="0E4ED9F4" w14:textId="77777777" w:rsidR="00CD3F4D" w:rsidRPr="00CD3F4D" w:rsidRDefault="00CD3F4D" w:rsidP="00CD3F4D">
      <w:pPr>
        <w:spacing w:line="276" w:lineRule="auto"/>
        <w:divId w:val="254635244"/>
        <w:rPr>
          <w:rFonts w:asciiTheme="minorHAnsi" w:eastAsiaTheme="minorHAnsi" w:hAnsiTheme="minorHAnsi" w:cstheme="minorBidi"/>
          <w:b/>
          <w:u w:val="single"/>
        </w:rPr>
      </w:pPr>
      <w:r w:rsidRPr="00CD3F4D">
        <w:rPr>
          <w:rFonts w:asciiTheme="minorHAnsi" w:eastAsiaTheme="minorHAnsi" w:hAnsiTheme="minorHAnsi" w:cstheme="minorBidi"/>
          <w:b/>
          <w:u w:val="single"/>
        </w:rPr>
        <w:t>Q14 relates to all patients (first episode psychosis, schizophrenia and schizoaffective disorder)</w:t>
      </w:r>
    </w:p>
    <w:p w14:paraId="020C2C87" w14:textId="77777777" w:rsidR="00CD3F4D" w:rsidRPr="005B63E1" w:rsidRDefault="00CD3F4D" w:rsidP="00CD3F4D">
      <w:pPr>
        <w:numPr>
          <w:ilvl w:val="0"/>
          <w:numId w:val="1"/>
        </w:numPr>
        <w:spacing w:line="276" w:lineRule="auto"/>
        <w:contextualSpacing/>
        <w:divId w:val="254635244"/>
        <w:rPr>
          <w:rFonts w:asciiTheme="minorHAnsi" w:eastAsiaTheme="minorHAnsi" w:hAnsiTheme="minorHAnsi" w:cstheme="minorBidi"/>
          <w:sz w:val="20"/>
        </w:rPr>
      </w:pPr>
      <w:r w:rsidRPr="005B63E1">
        <w:rPr>
          <w:rFonts w:asciiTheme="minorHAnsi" w:eastAsiaTheme="minorHAnsi" w:hAnsiTheme="minorHAnsi" w:cstheme="minorBidi"/>
          <w:sz w:val="20"/>
        </w:rPr>
        <w:t>How likely is it that patients will have the following recorded at least annually?</w:t>
      </w:r>
    </w:p>
    <w:tbl>
      <w:tblPr>
        <w:tblStyle w:val="TableGrid1"/>
        <w:tblW w:w="0" w:type="auto"/>
        <w:tblInd w:w="720" w:type="dxa"/>
        <w:tblLook w:val="04A0" w:firstRow="1" w:lastRow="0" w:firstColumn="1" w:lastColumn="0" w:noHBand="0" w:noVBand="1"/>
      </w:tblPr>
      <w:tblGrid>
        <w:gridCol w:w="4066"/>
        <w:gridCol w:w="851"/>
        <w:gridCol w:w="850"/>
        <w:gridCol w:w="992"/>
        <w:gridCol w:w="851"/>
        <w:gridCol w:w="912"/>
      </w:tblGrid>
      <w:tr w:rsidR="00CD3F4D" w:rsidRPr="00CD3F4D" w14:paraId="1004180C" w14:textId="77777777" w:rsidTr="00CD3F4D">
        <w:trPr>
          <w:divId w:val="254635244"/>
        </w:trPr>
        <w:tc>
          <w:tcPr>
            <w:tcW w:w="4066" w:type="dxa"/>
          </w:tcPr>
          <w:p w14:paraId="2814EF94" w14:textId="77777777" w:rsidR="00CD3F4D" w:rsidRPr="00CD3F4D" w:rsidRDefault="00CD3F4D" w:rsidP="00CD3F4D">
            <w:pPr>
              <w:spacing w:after="0" w:line="240" w:lineRule="auto"/>
              <w:rPr>
                <w:rFonts w:asciiTheme="minorHAnsi" w:hAnsiTheme="minorHAnsi"/>
                <w:sz w:val="20"/>
              </w:rPr>
            </w:pPr>
          </w:p>
        </w:tc>
        <w:tc>
          <w:tcPr>
            <w:tcW w:w="851" w:type="dxa"/>
          </w:tcPr>
          <w:p w14:paraId="4637C943"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Very likely</w:t>
            </w:r>
          </w:p>
        </w:tc>
        <w:tc>
          <w:tcPr>
            <w:tcW w:w="850" w:type="dxa"/>
          </w:tcPr>
          <w:p w14:paraId="6530E2EC"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Likely</w:t>
            </w:r>
          </w:p>
        </w:tc>
        <w:tc>
          <w:tcPr>
            <w:tcW w:w="992" w:type="dxa"/>
          </w:tcPr>
          <w:p w14:paraId="1F7E5639"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Neither likely or unlikely</w:t>
            </w:r>
          </w:p>
        </w:tc>
        <w:tc>
          <w:tcPr>
            <w:tcW w:w="851" w:type="dxa"/>
          </w:tcPr>
          <w:p w14:paraId="4CBE7E0E"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Unlikely</w:t>
            </w:r>
          </w:p>
        </w:tc>
        <w:tc>
          <w:tcPr>
            <w:tcW w:w="912" w:type="dxa"/>
          </w:tcPr>
          <w:p w14:paraId="42F6C583" w14:textId="77777777" w:rsidR="00CD3F4D" w:rsidRPr="00CD3F4D" w:rsidRDefault="00CD3F4D" w:rsidP="00CD3F4D">
            <w:pPr>
              <w:spacing w:after="0" w:line="240" w:lineRule="auto"/>
              <w:contextualSpacing/>
              <w:jc w:val="center"/>
              <w:rPr>
                <w:rFonts w:asciiTheme="minorHAnsi" w:hAnsiTheme="minorHAnsi"/>
                <w:sz w:val="14"/>
              </w:rPr>
            </w:pPr>
            <w:r w:rsidRPr="00CD3F4D">
              <w:rPr>
                <w:rFonts w:asciiTheme="minorHAnsi" w:hAnsiTheme="minorHAnsi"/>
                <w:sz w:val="14"/>
              </w:rPr>
              <w:t>Very unlikely</w:t>
            </w:r>
          </w:p>
        </w:tc>
      </w:tr>
      <w:tr w:rsidR="00CD3F4D" w:rsidRPr="00CD3F4D" w14:paraId="319BB762" w14:textId="77777777" w:rsidTr="00CD3F4D">
        <w:trPr>
          <w:divId w:val="254635244"/>
        </w:trPr>
        <w:tc>
          <w:tcPr>
            <w:tcW w:w="4066" w:type="dxa"/>
          </w:tcPr>
          <w:p w14:paraId="081B3597"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Weight</w:t>
            </w:r>
          </w:p>
        </w:tc>
        <w:tc>
          <w:tcPr>
            <w:tcW w:w="851" w:type="dxa"/>
          </w:tcPr>
          <w:p w14:paraId="16E3A24C"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35D5F92E"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6CC51CB2"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60EAC156"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2907F701"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77A871CB" w14:textId="77777777" w:rsidTr="00CD3F4D">
        <w:trPr>
          <w:divId w:val="254635244"/>
        </w:trPr>
        <w:tc>
          <w:tcPr>
            <w:tcW w:w="4066" w:type="dxa"/>
          </w:tcPr>
          <w:p w14:paraId="3DD6F229"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Weight plotted on a chart</w:t>
            </w:r>
          </w:p>
        </w:tc>
        <w:tc>
          <w:tcPr>
            <w:tcW w:w="851" w:type="dxa"/>
          </w:tcPr>
          <w:p w14:paraId="7A14D446"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0C208947"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573F2868"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2CFDFFCA"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274AB257"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4037F80A" w14:textId="77777777" w:rsidTr="00CD3F4D">
        <w:trPr>
          <w:divId w:val="254635244"/>
        </w:trPr>
        <w:tc>
          <w:tcPr>
            <w:tcW w:w="4066" w:type="dxa"/>
          </w:tcPr>
          <w:p w14:paraId="14226FCF"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Waist circumference</w:t>
            </w:r>
          </w:p>
        </w:tc>
        <w:tc>
          <w:tcPr>
            <w:tcW w:w="851" w:type="dxa"/>
          </w:tcPr>
          <w:p w14:paraId="082823CE"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06F253E1"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1988A181"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29A87F46"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402756C1"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590F8E1C" w14:textId="77777777" w:rsidTr="00CD3F4D">
        <w:trPr>
          <w:divId w:val="254635244"/>
        </w:trPr>
        <w:tc>
          <w:tcPr>
            <w:tcW w:w="4066" w:type="dxa"/>
          </w:tcPr>
          <w:p w14:paraId="3E336DE0"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Pulse</w:t>
            </w:r>
          </w:p>
        </w:tc>
        <w:tc>
          <w:tcPr>
            <w:tcW w:w="851" w:type="dxa"/>
          </w:tcPr>
          <w:p w14:paraId="560B06D6"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00121F21"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5240F13B"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20733FC6"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00626028"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56C8D39B" w14:textId="77777777" w:rsidTr="00CD3F4D">
        <w:trPr>
          <w:divId w:val="254635244"/>
        </w:trPr>
        <w:tc>
          <w:tcPr>
            <w:tcW w:w="4066" w:type="dxa"/>
          </w:tcPr>
          <w:p w14:paraId="44CBAF20"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Blood pressure</w:t>
            </w:r>
          </w:p>
        </w:tc>
        <w:tc>
          <w:tcPr>
            <w:tcW w:w="851" w:type="dxa"/>
          </w:tcPr>
          <w:p w14:paraId="550A3684"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03DA4245"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672CFC26"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43D228A7"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706E6941"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527B2829" w14:textId="77777777" w:rsidTr="00CD3F4D">
        <w:trPr>
          <w:divId w:val="254635244"/>
        </w:trPr>
        <w:tc>
          <w:tcPr>
            <w:tcW w:w="4066" w:type="dxa"/>
          </w:tcPr>
          <w:p w14:paraId="716AB7D9"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Fasting blood glucose</w:t>
            </w:r>
          </w:p>
        </w:tc>
        <w:tc>
          <w:tcPr>
            <w:tcW w:w="851" w:type="dxa"/>
          </w:tcPr>
          <w:p w14:paraId="261BF82B"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1A0C5886"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66ACCA6B"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0DDE5E7D"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26DB9F4E"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1E1EB529" w14:textId="77777777" w:rsidTr="00CD3F4D">
        <w:trPr>
          <w:divId w:val="254635244"/>
        </w:trPr>
        <w:tc>
          <w:tcPr>
            <w:tcW w:w="4066" w:type="dxa"/>
          </w:tcPr>
          <w:p w14:paraId="59C088E8"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HbA1c</w:t>
            </w:r>
          </w:p>
        </w:tc>
        <w:tc>
          <w:tcPr>
            <w:tcW w:w="851" w:type="dxa"/>
          </w:tcPr>
          <w:p w14:paraId="4A510838"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21B52151"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3CCBD327"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727057E1"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5AE85556"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7B97AC71" w14:textId="77777777" w:rsidTr="00CD3F4D">
        <w:trPr>
          <w:divId w:val="254635244"/>
        </w:trPr>
        <w:tc>
          <w:tcPr>
            <w:tcW w:w="4066" w:type="dxa"/>
          </w:tcPr>
          <w:p w14:paraId="1B18B579"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Blood lipid profile</w:t>
            </w:r>
          </w:p>
        </w:tc>
        <w:tc>
          <w:tcPr>
            <w:tcW w:w="851" w:type="dxa"/>
          </w:tcPr>
          <w:p w14:paraId="1DF692B0"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17663877"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4790EE7E"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1E1A39A2"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6F21B7DE"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0021801E" w14:textId="77777777" w:rsidTr="00CD3F4D">
        <w:trPr>
          <w:divId w:val="254635244"/>
        </w:trPr>
        <w:tc>
          <w:tcPr>
            <w:tcW w:w="4066" w:type="dxa"/>
          </w:tcPr>
          <w:p w14:paraId="04BF615E"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Assessment of any movement disorders</w:t>
            </w:r>
          </w:p>
        </w:tc>
        <w:tc>
          <w:tcPr>
            <w:tcW w:w="851" w:type="dxa"/>
          </w:tcPr>
          <w:p w14:paraId="3D06FF6E"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50820636"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27352AFF"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3DBF4943"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6E6A53E6" w14:textId="77777777" w:rsidR="00CD3F4D" w:rsidRPr="00CD3F4D" w:rsidRDefault="00CD3F4D" w:rsidP="00CD3F4D">
            <w:pPr>
              <w:spacing w:after="0" w:line="240" w:lineRule="auto"/>
              <w:contextualSpacing/>
              <w:rPr>
                <w:rFonts w:asciiTheme="minorHAnsi" w:hAnsiTheme="minorHAnsi"/>
                <w:sz w:val="20"/>
              </w:rPr>
            </w:pPr>
          </w:p>
        </w:tc>
      </w:tr>
      <w:tr w:rsidR="00CD3F4D" w:rsidRPr="00CD3F4D" w14:paraId="3C46529E" w14:textId="77777777" w:rsidTr="00CD3F4D">
        <w:trPr>
          <w:divId w:val="254635244"/>
        </w:trPr>
        <w:tc>
          <w:tcPr>
            <w:tcW w:w="4066" w:type="dxa"/>
          </w:tcPr>
          <w:p w14:paraId="203C9F0C" w14:textId="77777777" w:rsidR="00CD3F4D" w:rsidRPr="00CD3F4D" w:rsidRDefault="00CD3F4D" w:rsidP="00CD3F4D">
            <w:pPr>
              <w:spacing w:after="0" w:line="240" w:lineRule="auto"/>
              <w:rPr>
                <w:rFonts w:asciiTheme="minorHAnsi" w:hAnsiTheme="minorHAnsi"/>
                <w:sz w:val="20"/>
              </w:rPr>
            </w:pPr>
            <w:r w:rsidRPr="00CD3F4D">
              <w:rPr>
                <w:rFonts w:asciiTheme="minorHAnsi" w:hAnsiTheme="minorHAnsi"/>
                <w:sz w:val="20"/>
              </w:rPr>
              <w:t>Assessment of nutritional status, diet and level of physical activity</w:t>
            </w:r>
          </w:p>
        </w:tc>
        <w:tc>
          <w:tcPr>
            <w:tcW w:w="851" w:type="dxa"/>
          </w:tcPr>
          <w:p w14:paraId="50AE3FEA" w14:textId="77777777" w:rsidR="00CD3F4D" w:rsidRPr="00CD3F4D" w:rsidRDefault="00CD3F4D" w:rsidP="00CD3F4D">
            <w:pPr>
              <w:spacing w:after="0" w:line="240" w:lineRule="auto"/>
              <w:contextualSpacing/>
              <w:rPr>
                <w:rFonts w:asciiTheme="minorHAnsi" w:hAnsiTheme="minorHAnsi"/>
                <w:sz w:val="20"/>
              </w:rPr>
            </w:pPr>
          </w:p>
        </w:tc>
        <w:tc>
          <w:tcPr>
            <w:tcW w:w="850" w:type="dxa"/>
          </w:tcPr>
          <w:p w14:paraId="47D6D0D8" w14:textId="77777777" w:rsidR="00CD3F4D" w:rsidRPr="00CD3F4D" w:rsidRDefault="00CD3F4D" w:rsidP="00CD3F4D">
            <w:pPr>
              <w:spacing w:after="0" w:line="240" w:lineRule="auto"/>
              <w:contextualSpacing/>
              <w:rPr>
                <w:rFonts w:asciiTheme="minorHAnsi" w:hAnsiTheme="minorHAnsi"/>
                <w:sz w:val="20"/>
              </w:rPr>
            </w:pPr>
          </w:p>
        </w:tc>
        <w:tc>
          <w:tcPr>
            <w:tcW w:w="992" w:type="dxa"/>
          </w:tcPr>
          <w:p w14:paraId="1716CA55" w14:textId="77777777" w:rsidR="00CD3F4D" w:rsidRPr="00CD3F4D" w:rsidRDefault="00CD3F4D" w:rsidP="00CD3F4D">
            <w:pPr>
              <w:spacing w:after="0" w:line="240" w:lineRule="auto"/>
              <w:contextualSpacing/>
              <w:rPr>
                <w:rFonts w:asciiTheme="minorHAnsi" w:hAnsiTheme="minorHAnsi"/>
                <w:sz w:val="20"/>
              </w:rPr>
            </w:pPr>
          </w:p>
        </w:tc>
        <w:tc>
          <w:tcPr>
            <w:tcW w:w="851" w:type="dxa"/>
          </w:tcPr>
          <w:p w14:paraId="605CECE1" w14:textId="77777777" w:rsidR="00CD3F4D" w:rsidRPr="00CD3F4D" w:rsidRDefault="00CD3F4D" w:rsidP="00CD3F4D">
            <w:pPr>
              <w:spacing w:after="0" w:line="240" w:lineRule="auto"/>
              <w:contextualSpacing/>
              <w:rPr>
                <w:rFonts w:asciiTheme="minorHAnsi" w:hAnsiTheme="minorHAnsi"/>
                <w:sz w:val="20"/>
              </w:rPr>
            </w:pPr>
          </w:p>
        </w:tc>
        <w:tc>
          <w:tcPr>
            <w:tcW w:w="912" w:type="dxa"/>
          </w:tcPr>
          <w:p w14:paraId="67F850F2" w14:textId="77777777" w:rsidR="00CD3F4D" w:rsidRPr="00CD3F4D" w:rsidRDefault="00CD3F4D" w:rsidP="00CD3F4D">
            <w:pPr>
              <w:spacing w:after="0" w:line="240" w:lineRule="auto"/>
              <w:contextualSpacing/>
              <w:rPr>
                <w:rFonts w:asciiTheme="minorHAnsi" w:hAnsiTheme="minorHAnsi"/>
                <w:sz w:val="20"/>
              </w:rPr>
            </w:pPr>
          </w:p>
        </w:tc>
      </w:tr>
    </w:tbl>
    <w:p w14:paraId="70DC5727" w14:textId="77777777" w:rsidR="00CD3F4D" w:rsidRPr="00CD3F4D" w:rsidRDefault="00CD3F4D" w:rsidP="00CD3F4D">
      <w:pPr>
        <w:spacing w:line="276" w:lineRule="auto"/>
        <w:divId w:val="254635244"/>
        <w:rPr>
          <w:rFonts w:asciiTheme="minorHAnsi" w:eastAsiaTheme="minorHAnsi" w:hAnsiTheme="minorHAnsi" w:cstheme="minorBidi"/>
        </w:rPr>
      </w:pPr>
      <w:r w:rsidRPr="00CD3F4D">
        <w:rPr>
          <w:rFonts w:asciiTheme="minorHAnsi" w:eastAsiaTheme="minorHAnsi" w:hAnsiTheme="minorHAnsi" w:cstheme="minorBidi"/>
          <w:noProof/>
          <w:lang w:eastAsia="en-GB"/>
        </w:rPr>
        <mc:AlternateContent>
          <mc:Choice Requires="wps">
            <w:drawing>
              <wp:anchor distT="0" distB="0" distL="114300" distR="114300" simplePos="0" relativeHeight="251659264" behindDoc="0" locked="0" layoutInCell="1" allowOverlap="1" wp14:anchorId="18F12420" wp14:editId="272E108B">
                <wp:simplePos x="0" y="0"/>
                <wp:positionH relativeFrom="column">
                  <wp:posOffset>238125</wp:posOffset>
                </wp:positionH>
                <wp:positionV relativeFrom="paragraph">
                  <wp:posOffset>281940</wp:posOffset>
                </wp:positionV>
                <wp:extent cx="5387340" cy="981075"/>
                <wp:effectExtent l="0" t="0" r="22860" b="28575"/>
                <wp:wrapNone/>
                <wp:docPr id="1" name="Rectangle 1"/>
                <wp:cNvGraphicFramePr/>
                <a:graphic xmlns:a="http://schemas.openxmlformats.org/drawingml/2006/main">
                  <a:graphicData uri="http://schemas.microsoft.com/office/word/2010/wordprocessingShape">
                    <wps:wsp>
                      <wps:cNvSpPr/>
                      <wps:spPr>
                        <a:xfrm>
                          <a:off x="0" y="0"/>
                          <a:ext cx="5387340" cy="981075"/>
                        </a:xfrm>
                        <a:prstGeom prst="rect">
                          <a:avLst/>
                        </a:prstGeom>
                        <a:noFill/>
                        <a:ln w="12700" cap="flat" cmpd="sng" algn="ctr">
                          <a:solidFill>
                            <a:sysClr val="windowText" lastClr="000000"/>
                          </a:solidFill>
                          <a:prstDash val="solid"/>
                        </a:ln>
                        <a:effectLst/>
                      </wps:spPr>
                      <wps:txbx>
                        <w:txbxContent>
                          <w:p w14:paraId="6CF5363B" w14:textId="77777777" w:rsidR="00934192" w:rsidRPr="005B63E1" w:rsidRDefault="00934192" w:rsidP="00CD3F4D">
                            <w:pPr>
                              <w:rPr>
                                <w:rFonts w:asciiTheme="minorHAnsi" w:hAnsiTheme="minorHAnsi"/>
                                <w:color w:val="000000" w:themeColor="text1"/>
                              </w:rPr>
                            </w:pPr>
                            <w:r w:rsidRPr="005B63E1">
                              <w:rPr>
                                <w:rFonts w:asciiTheme="minorHAnsi" w:hAnsiTheme="minorHAnsi"/>
                                <w:color w:val="000000" w:themeColor="text1"/>
                              </w:rPr>
                              <w:t>Other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8.75pt;margin-top:22.2pt;width:424.2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" filled="f" strokecolor="windowText" strokeweight="1pt">
                <v:textbox>
                  <w:txbxContent>
                    <w:p w14:paraId="6CF5363B" w14:textId="77777777" w:rsidR="00934192" w:rsidRPr="005B63E1" w:rsidRDefault="00934192" w:rsidP="00CD3F4D">
                      <w:pPr>
                        <w:rPr>
                          <w:rFonts w:asciiTheme="minorHAnsi" w:hAnsiTheme="minorHAnsi"/>
                          <w:color w:val="000000" w:themeColor="text1"/>
                        </w:rPr>
                      </w:pPr>
                      <w:r w:rsidRPr="005B63E1">
                        <w:rPr>
                          <w:rFonts w:asciiTheme="minorHAnsi" w:hAnsiTheme="minorHAnsi"/>
                          <w:color w:val="000000" w:themeColor="text1"/>
                        </w:rPr>
                        <w:t>Other comments:</w:t>
                      </w:r>
                    </w:p>
                  </w:txbxContent>
                </v:textbox>
              </v:rect>
            </w:pict>
          </mc:Fallback>
        </mc:AlternateContent>
      </w:r>
    </w:p>
    <w:p w14:paraId="5008789D" w14:textId="77777777" w:rsidR="00CD3F4D" w:rsidRPr="00CD3F4D" w:rsidRDefault="00CD3F4D" w:rsidP="00CD3F4D">
      <w:pPr>
        <w:spacing w:line="276" w:lineRule="auto"/>
        <w:divId w:val="254635244"/>
        <w:rPr>
          <w:rFonts w:asciiTheme="minorHAnsi" w:eastAsiaTheme="minorHAnsi" w:hAnsiTheme="minorHAnsi" w:cstheme="minorBidi"/>
        </w:rPr>
      </w:pPr>
    </w:p>
    <w:p w14:paraId="1E470A3B" w14:textId="77777777" w:rsidR="00CD3F4D" w:rsidRPr="00CD3F4D" w:rsidRDefault="00CD3F4D" w:rsidP="00CD3F4D">
      <w:pPr>
        <w:divId w:val="254635244"/>
      </w:pPr>
    </w:p>
    <w:sectPr w:rsidR="00CD3F4D" w:rsidRPr="00CD3F4D" w:rsidSect="00857991">
      <w:headerReference w:type="default" r:id="rId8"/>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1AA5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3E77A" w14:textId="77777777" w:rsidR="003D09B0" w:rsidRDefault="003D09B0" w:rsidP="00561058">
      <w:pPr>
        <w:spacing w:after="0" w:line="240" w:lineRule="auto"/>
      </w:pPr>
      <w:r>
        <w:separator/>
      </w:r>
    </w:p>
  </w:endnote>
  <w:endnote w:type="continuationSeparator" w:id="0">
    <w:p w14:paraId="11678664" w14:textId="77777777" w:rsidR="003D09B0" w:rsidRDefault="003D09B0" w:rsidP="0056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UOS Blake">
    <w:altName w:val="Microsoft YaHei"/>
    <w:panose1 w:val="020B0503040000020004"/>
    <w:charset w:val="00"/>
    <w:family w:val="swiss"/>
    <w:pitch w:val="variable"/>
    <w:sig w:usb0="8000002F" w:usb1="4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91387"/>
      <w:docPartObj>
        <w:docPartGallery w:val="Page Numbers (Bottom of Page)"/>
        <w:docPartUnique/>
      </w:docPartObj>
    </w:sdtPr>
    <w:sdtEndPr>
      <w:rPr>
        <w:noProof/>
      </w:rPr>
    </w:sdtEndPr>
    <w:sdtContent>
      <w:p w14:paraId="5D0FBCA6" w14:textId="083860B3" w:rsidR="00934192" w:rsidRDefault="00934192">
        <w:pPr>
          <w:pStyle w:val="Footer"/>
          <w:jc w:val="center"/>
        </w:pPr>
        <w:r>
          <w:fldChar w:fldCharType="begin"/>
        </w:r>
        <w:r w:rsidRPr="0089059B">
          <w:instrText xml:space="preserve"> PAGE   \* MERGEFORMAT </w:instrText>
        </w:r>
        <w:r>
          <w:fldChar w:fldCharType="separate"/>
        </w:r>
        <w:r w:rsidR="00F154B7">
          <w:rPr>
            <w:noProof/>
          </w:rPr>
          <w:t>2</w:t>
        </w:r>
        <w:r>
          <w:rPr>
            <w:noProof/>
          </w:rPr>
          <w:fldChar w:fldCharType="end"/>
        </w:r>
      </w:p>
    </w:sdtContent>
  </w:sdt>
  <w:p w14:paraId="57E57001" w14:textId="77777777" w:rsidR="00934192" w:rsidRDefault="0093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8D292" w14:textId="77777777" w:rsidR="003D09B0" w:rsidRDefault="003D09B0" w:rsidP="00561058">
      <w:pPr>
        <w:spacing w:after="0" w:line="240" w:lineRule="auto"/>
      </w:pPr>
      <w:r>
        <w:separator/>
      </w:r>
    </w:p>
  </w:footnote>
  <w:footnote w:type="continuationSeparator" w:id="0">
    <w:p w14:paraId="6CFCE062" w14:textId="77777777" w:rsidR="003D09B0" w:rsidRDefault="003D09B0" w:rsidP="00561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141E" w14:textId="77777777" w:rsidR="00934192" w:rsidRDefault="00934192">
    <w:pPr>
      <w:pStyle w:val="Header"/>
    </w:pPr>
    <w:r>
      <w:t>Adherence with NICE guidance on lifestyle advice for people with schizophrenia: a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B77CD"/>
    <w:multiLevelType w:val="hybridMultilevel"/>
    <w:tmpl w:val="86F037DC"/>
    <w:lvl w:ilvl="0" w:tplc="4DB2FFC4">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zie Swaby">
    <w15:presenceInfo w15:providerId="Windows Live" w15:userId="66d6b967aa71b811"/>
  </w15:person>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58"/>
    <w:rsid w:val="00004607"/>
    <w:rsid w:val="00011223"/>
    <w:rsid w:val="00024971"/>
    <w:rsid w:val="00025C60"/>
    <w:rsid w:val="00026DCD"/>
    <w:rsid w:val="00033A09"/>
    <w:rsid w:val="00035061"/>
    <w:rsid w:val="00063E2A"/>
    <w:rsid w:val="00073EF1"/>
    <w:rsid w:val="00093667"/>
    <w:rsid w:val="000B2361"/>
    <w:rsid w:val="000C081B"/>
    <w:rsid w:val="000C38DD"/>
    <w:rsid w:val="000C64AD"/>
    <w:rsid w:val="000D0052"/>
    <w:rsid w:val="000D29F5"/>
    <w:rsid w:val="000D2D6A"/>
    <w:rsid w:val="000F3554"/>
    <w:rsid w:val="00152502"/>
    <w:rsid w:val="0016606B"/>
    <w:rsid w:val="00184E1D"/>
    <w:rsid w:val="00193F60"/>
    <w:rsid w:val="001968A7"/>
    <w:rsid w:val="001E0769"/>
    <w:rsid w:val="00203AF8"/>
    <w:rsid w:val="00206E99"/>
    <w:rsid w:val="002235B1"/>
    <w:rsid w:val="002264DF"/>
    <w:rsid w:val="00236253"/>
    <w:rsid w:val="002641EA"/>
    <w:rsid w:val="002742BA"/>
    <w:rsid w:val="002A13BD"/>
    <w:rsid w:val="002D5814"/>
    <w:rsid w:val="002E3755"/>
    <w:rsid w:val="002E6900"/>
    <w:rsid w:val="002F7014"/>
    <w:rsid w:val="00304802"/>
    <w:rsid w:val="00326AA5"/>
    <w:rsid w:val="00331BF4"/>
    <w:rsid w:val="00333DCE"/>
    <w:rsid w:val="00346C94"/>
    <w:rsid w:val="00350BCB"/>
    <w:rsid w:val="00381E96"/>
    <w:rsid w:val="00394D5C"/>
    <w:rsid w:val="003A7B45"/>
    <w:rsid w:val="003B200D"/>
    <w:rsid w:val="003B6921"/>
    <w:rsid w:val="003C11B8"/>
    <w:rsid w:val="003C6F79"/>
    <w:rsid w:val="003D09B0"/>
    <w:rsid w:val="003D1103"/>
    <w:rsid w:val="003F3A3C"/>
    <w:rsid w:val="003F5365"/>
    <w:rsid w:val="004118E3"/>
    <w:rsid w:val="00413487"/>
    <w:rsid w:val="00415376"/>
    <w:rsid w:val="00416A39"/>
    <w:rsid w:val="00444FC4"/>
    <w:rsid w:val="004469C5"/>
    <w:rsid w:val="004522CA"/>
    <w:rsid w:val="004530F4"/>
    <w:rsid w:val="004835CA"/>
    <w:rsid w:val="00484027"/>
    <w:rsid w:val="004847BB"/>
    <w:rsid w:val="004953BB"/>
    <w:rsid w:val="004B4837"/>
    <w:rsid w:val="004F4D14"/>
    <w:rsid w:val="005056C2"/>
    <w:rsid w:val="00516A7E"/>
    <w:rsid w:val="0054611C"/>
    <w:rsid w:val="005513F7"/>
    <w:rsid w:val="0055194B"/>
    <w:rsid w:val="00555298"/>
    <w:rsid w:val="00561058"/>
    <w:rsid w:val="00593E77"/>
    <w:rsid w:val="00596182"/>
    <w:rsid w:val="005A3D9D"/>
    <w:rsid w:val="005A6BB0"/>
    <w:rsid w:val="005B63E1"/>
    <w:rsid w:val="005B642C"/>
    <w:rsid w:val="005C4C55"/>
    <w:rsid w:val="005C6545"/>
    <w:rsid w:val="005C768A"/>
    <w:rsid w:val="005D2D3A"/>
    <w:rsid w:val="005D5A64"/>
    <w:rsid w:val="00603923"/>
    <w:rsid w:val="00610DD9"/>
    <w:rsid w:val="0064125A"/>
    <w:rsid w:val="00661530"/>
    <w:rsid w:val="00667E17"/>
    <w:rsid w:val="00676B9B"/>
    <w:rsid w:val="0068355C"/>
    <w:rsid w:val="00685051"/>
    <w:rsid w:val="00687864"/>
    <w:rsid w:val="0069682C"/>
    <w:rsid w:val="006A3E90"/>
    <w:rsid w:val="006E4981"/>
    <w:rsid w:val="00707900"/>
    <w:rsid w:val="00712D42"/>
    <w:rsid w:val="007402F1"/>
    <w:rsid w:val="00747E75"/>
    <w:rsid w:val="00751962"/>
    <w:rsid w:val="007558FF"/>
    <w:rsid w:val="0076191D"/>
    <w:rsid w:val="00777D31"/>
    <w:rsid w:val="00787F25"/>
    <w:rsid w:val="00790E37"/>
    <w:rsid w:val="00792DC8"/>
    <w:rsid w:val="007A4712"/>
    <w:rsid w:val="007B4603"/>
    <w:rsid w:val="007C2D08"/>
    <w:rsid w:val="007C5CE4"/>
    <w:rsid w:val="007F4B36"/>
    <w:rsid w:val="007F74EB"/>
    <w:rsid w:val="008100CA"/>
    <w:rsid w:val="00822C91"/>
    <w:rsid w:val="00830342"/>
    <w:rsid w:val="0083180F"/>
    <w:rsid w:val="008344C3"/>
    <w:rsid w:val="00841BCC"/>
    <w:rsid w:val="00844737"/>
    <w:rsid w:val="008509E1"/>
    <w:rsid w:val="00857991"/>
    <w:rsid w:val="00870774"/>
    <w:rsid w:val="00873E63"/>
    <w:rsid w:val="00883D86"/>
    <w:rsid w:val="0089059B"/>
    <w:rsid w:val="00897AB4"/>
    <w:rsid w:val="008A7764"/>
    <w:rsid w:val="008C1DA1"/>
    <w:rsid w:val="008D1132"/>
    <w:rsid w:val="008D7157"/>
    <w:rsid w:val="008E2774"/>
    <w:rsid w:val="008F1467"/>
    <w:rsid w:val="008F24C7"/>
    <w:rsid w:val="008F705A"/>
    <w:rsid w:val="00902EA2"/>
    <w:rsid w:val="009053C5"/>
    <w:rsid w:val="00915342"/>
    <w:rsid w:val="00923AF7"/>
    <w:rsid w:val="00934192"/>
    <w:rsid w:val="00956A92"/>
    <w:rsid w:val="00960081"/>
    <w:rsid w:val="009829CE"/>
    <w:rsid w:val="00982D11"/>
    <w:rsid w:val="00990543"/>
    <w:rsid w:val="00994124"/>
    <w:rsid w:val="009A32F5"/>
    <w:rsid w:val="009C5AA3"/>
    <w:rsid w:val="00A0174F"/>
    <w:rsid w:val="00A03AE3"/>
    <w:rsid w:val="00A35CF8"/>
    <w:rsid w:val="00A4333C"/>
    <w:rsid w:val="00A475DB"/>
    <w:rsid w:val="00A62979"/>
    <w:rsid w:val="00A67609"/>
    <w:rsid w:val="00A739A7"/>
    <w:rsid w:val="00AB263A"/>
    <w:rsid w:val="00AD49E5"/>
    <w:rsid w:val="00AE56F1"/>
    <w:rsid w:val="00B13399"/>
    <w:rsid w:val="00B32A8F"/>
    <w:rsid w:val="00B415FF"/>
    <w:rsid w:val="00B64168"/>
    <w:rsid w:val="00B66D2B"/>
    <w:rsid w:val="00B75A8B"/>
    <w:rsid w:val="00B76D31"/>
    <w:rsid w:val="00B82BEA"/>
    <w:rsid w:val="00B83990"/>
    <w:rsid w:val="00B93E40"/>
    <w:rsid w:val="00BA4B15"/>
    <w:rsid w:val="00BC73B9"/>
    <w:rsid w:val="00BD4F4A"/>
    <w:rsid w:val="00BE080B"/>
    <w:rsid w:val="00BE2AD2"/>
    <w:rsid w:val="00BF7F32"/>
    <w:rsid w:val="00C11614"/>
    <w:rsid w:val="00C27AD6"/>
    <w:rsid w:val="00C811C2"/>
    <w:rsid w:val="00C9484C"/>
    <w:rsid w:val="00CA6034"/>
    <w:rsid w:val="00CB3203"/>
    <w:rsid w:val="00CB3988"/>
    <w:rsid w:val="00CC74C8"/>
    <w:rsid w:val="00CC7E5A"/>
    <w:rsid w:val="00CD3F4D"/>
    <w:rsid w:val="00CD4BBA"/>
    <w:rsid w:val="00CD5EAF"/>
    <w:rsid w:val="00CE6B5D"/>
    <w:rsid w:val="00D11FB7"/>
    <w:rsid w:val="00D1735D"/>
    <w:rsid w:val="00D20F7A"/>
    <w:rsid w:val="00D54141"/>
    <w:rsid w:val="00D55848"/>
    <w:rsid w:val="00D77503"/>
    <w:rsid w:val="00DB16DF"/>
    <w:rsid w:val="00DC2F66"/>
    <w:rsid w:val="00DD7136"/>
    <w:rsid w:val="00DE65A7"/>
    <w:rsid w:val="00E0275D"/>
    <w:rsid w:val="00E11D4A"/>
    <w:rsid w:val="00E40ECF"/>
    <w:rsid w:val="00E410C2"/>
    <w:rsid w:val="00E62FC0"/>
    <w:rsid w:val="00E65B0F"/>
    <w:rsid w:val="00E853C8"/>
    <w:rsid w:val="00E94566"/>
    <w:rsid w:val="00E9726C"/>
    <w:rsid w:val="00EA5FD8"/>
    <w:rsid w:val="00EC7F4F"/>
    <w:rsid w:val="00ED4C6F"/>
    <w:rsid w:val="00ED50F7"/>
    <w:rsid w:val="00EE0AC5"/>
    <w:rsid w:val="00EE46F8"/>
    <w:rsid w:val="00EE5FE9"/>
    <w:rsid w:val="00F10A7F"/>
    <w:rsid w:val="00F154B7"/>
    <w:rsid w:val="00F31643"/>
    <w:rsid w:val="00F477A1"/>
    <w:rsid w:val="00F5032E"/>
    <w:rsid w:val="00F50574"/>
    <w:rsid w:val="00F56CE1"/>
    <w:rsid w:val="00F57514"/>
    <w:rsid w:val="00F70755"/>
    <w:rsid w:val="00F72842"/>
    <w:rsid w:val="00F73DEA"/>
    <w:rsid w:val="00F80A24"/>
    <w:rsid w:val="00F85053"/>
    <w:rsid w:val="00FA2A48"/>
    <w:rsid w:val="00FB0FB1"/>
    <w:rsid w:val="00FD0C3D"/>
    <w:rsid w:val="00FE3F3E"/>
    <w:rsid w:val="00FE4E2A"/>
    <w:rsid w:val="00FF58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C79D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58"/>
    <w:pPr>
      <w:spacing w:after="200" w:line="480" w:lineRule="auto"/>
    </w:pPr>
    <w:rPr>
      <w:rFonts w:ascii="Times New Roman" w:hAnsi="Times New Roman"/>
      <w:lang w:eastAsia="en-US"/>
    </w:rPr>
  </w:style>
  <w:style w:type="paragraph" w:styleId="Heading1">
    <w:name w:val="heading 1"/>
    <w:basedOn w:val="Normal"/>
    <w:next w:val="Normal"/>
    <w:link w:val="Heading1Char"/>
    <w:uiPriority w:val="99"/>
    <w:qFormat/>
    <w:rsid w:val="00561058"/>
    <w:pPr>
      <w:keepNext/>
      <w:keepLines/>
      <w:spacing w:before="480" w:after="0"/>
      <w:outlineLvl w:val="0"/>
    </w:pPr>
    <w:rPr>
      <w:rFonts w:ascii="Arial" w:eastAsia="MS Gothic" w:hAnsi="Arial" w:cs="Times New Roman"/>
      <w:b/>
      <w:bCs/>
      <w:sz w:val="28"/>
      <w:szCs w:val="28"/>
    </w:rPr>
  </w:style>
  <w:style w:type="paragraph" w:styleId="Heading2">
    <w:name w:val="heading 2"/>
    <w:basedOn w:val="Normal"/>
    <w:next w:val="Normal"/>
    <w:link w:val="Heading2Char"/>
    <w:uiPriority w:val="99"/>
    <w:qFormat/>
    <w:rsid w:val="00561058"/>
    <w:pPr>
      <w:keepNext/>
      <w:keepLines/>
      <w:spacing w:before="200" w:after="0"/>
      <w:outlineLvl w:val="1"/>
    </w:pPr>
    <w:rPr>
      <w:rFonts w:ascii="Arial" w:eastAsia="MS Gothic" w:hAnsi="Arial" w:cs="Times New Roman"/>
      <w:b/>
      <w:bCs/>
      <w:sz w:val="26"/>
      <w:szCs w:val="26"/>
    </w:rPr>
  </w:style>
  <w:style w:type="paragraph" w:styleId="Heading3">
    <w:name w:val="heading 3"/>
    <w:basedOn w:val="Normal"/>
    <w:next w:val="Normal"/>
    <w:link w:val="Heading3Char"/>
    <w:uiPriority w:val="99"/>
    <w:qFormat/>
    <w:rsid w:val="00561058"/>
    <w:pPr>
      <w:keepNext/>
      <w:keepLines/>
      <w:spacing w:before="200" w:after="0"/>
      <w:outlineLvl w:val="2"/>
    </w:pPr>
    <w:rPr>
      <w:rFonts w:ascii="Arial" w:eastAsia="MS Gothic"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58"/>
    <w:rPr>
      <w:rFonts w:ascii="Arial" w:eastAsia="MS Gothic" w:hAnsi="Arial"/>
      <w:b/>
      <w:sz w:val="28"/>
    </w:rPr>
  </w:style>
  <w:style w:type="character" w:customStyle="1" w:styleId="Heading2Char">
    <w:name w:val="Heading 2 Char"/>
    <w:basedOn w:val="DefaultParagraphFont"/>
    <w:link w:val="Heading2"/>
    <w:uiPriority w:val="99"/>
    <w:locked/>
    <w:rsid w:val="00561058"/>
    <w:rPr>
      <w:rFonts w:ascii="Arial" w:eastAsia="MS Gothic" w:hAnsi="Arial"/>
      <w:b/>
      <w:sz w:val="26"/>
    </w:rPr>
  </w:style>
  <w:style w:type="character" w:customStyle="1" w:styleId="Heading3Char">
    <w:name w:val="Heading 3 Char"/>
    <w:basedOn w:val="DefaultParagraphFont"/>
    <w:link w:val="Heading3"/>
    <w:uiPriority w:val="99"/>
    <w:locked/>
    <w:rsid w:val="00561058"/>
    <w:rPr>
      <w:rFonts w:ascii="Arial" w:eastAsia="MS Gothic" w:hAnsi="Arial"/>
      <w:b/>
    </w:rPr>
  </w:style>
  <w:style w:type="paragraph" w:styleId="Title">
    <w:name w:val="Title"/>
    <w:basedOn w:val="Normal"/>
    <w:next w:val="Normal"/>
    <w:link w:val="TitleChar"/>
    <w:uiPriority w:val="99"/>
    <w:qFormat/>
    <w:rsid w:val="00561058"/>
    <w:pPr>
      <w:spacing w:after="300" w:line="240" w:lineRule="auto"/>
      <w:contextualSpacing/>
    </w:pPr>
    <w:rPr>
      <w:rFonts w:ascii="Arial" w:eastAsia="MS Gothic" w:hAnsi="Arial" w:cs="Times New Roman"/>
      <w:spacing w:val="5"/>
      <w:kern w:val="28"/>
      <w:sz w:val="32"/>
      <w:szCs w:val="52"/>
    </w:rPr>
  </w:style>
  <w:style w:type="character" w:customStyle="1" w:styleId="TitleChar">
    <w:name w:val="Title Char"/>
    <w:basedOn w:val="DefaultParagraphFont"/>
    <w:link w:val="Title"/>
    <w:uiPriority w:val="99"/>
    <w:locked/>
    <w:rsid w:val="00561058"/>
    <w:rPr>
      <w:rFonts w:ascii="Arial" w:eastAsia="MS Gothic" w:hAnsi="Arial"/>
      <w:spacing w:val="5"/>
      <w:kern w:val="28"/>
      <w:sz w:val="52"/>
    </w:rPr>
  </w:style>
  <w:style w:type="paragraph" w:styleId="Header">
    <w:name w:val="header"/>
    <w:basedOn w:val="Normal"/>
    <w:link w:val="HeaderChar"/>
    <w:uiPriority w:val="99"/>
    <w:rsid w:val="005610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61058"/>
    <w:rPr>
      <w:rFonts w:ascii="Times New Roman" w:hAnsi="Times New Roman"/>
    </w:rPr>
  </w:style>
  <w:style w:type="paragraph" w:styleId="Footer">
    <w:name w:val="footer"/>
    <w:basedOn w:val="Normal"/>
    <w:link w:val="FooterChar"/>
    <w:uiPriority w:val="99"/>
    <w:rsid w:val="005610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61058"/>
    <w:rPr>
      <w:rFonts w:ascii="Times New Roman" w:hAnsi="Times New Roman"/>
    </w:rPr>
  </w:style>
  <w:style w:type="character" w:styleId="CommentReference">
    <w:name w:val="annotation reference"/>
    <w:basedOn w:val="DefaultParagraphFont"/>
    <w:uiPriority w:val="99"/>
    <w:semiHidden/>
    <w:rsid w:val="00561058"/>
    <w:rPr>
      <w:rFonts w:cs="Times New Roman"/>
      <w:sz w:val="16"/>
    </w:rPr>
  </w:style>
  <w:style w:type="paragraph" w:styleId="CommentText">
    <w:name w:val="annotation text"/>
    <w:basedOn w:val="Normal"/>
    <w:link w:val="CommentTextChar"/>
    <w:uiPriority w:val="99"/>
    <w:rsid w:val="00561058"/>
    <w:pPr>
      <w:spacing w:line="240" w:lineRule="auto"/>
    </w:pPr>
    <w:rPr>
      <w:sz w:val="20"/>
      <w:szCs w:val="20"/>
    </w:rPr>
  </w:style>
  <w:style w:type="character" w:customStyle="1" w:styleId="CommentTextChar">
    <w:name w:val="Comment Text Char"/>
    <w:basedOn w:val="DefaultParagraphFont"/>
    <w:link w:val="CommentText"/>
    <w:uiPriority w:val="99"/>
    <w:locked/>
    <w:rsid w:val="00561058"/>
    <w:rPr>
      <w:rFonts w:ascii="Times New Roman" w:hAnsi="Times New Roman"/>
      <w:sz w:val="20"/>
    </w:rPr>
  </w:style>
  <w:style w:type="paragraph" w:styleId="CommentSubject">
    <w:name w:val="annotation subject"/>
    <w:basedOn w:val="CommentText"/>
    <w:next w:val="CommentText"/>
    <w:link w:val="CommentSubjectChar"/>
    <w:uiPriority w:val="99"/>
    <w:semiHidden/>
    <w:rsid w:val="00561058"/>
    <w:rPr>
      <w:b/>
      <w:bCs/>
    </w:rPr>
  </w:style>
  <w:style w:type="character" w:customStyle="1" w:styleId="CommentSubjectChar">
    <w:name w:val="Comment Subject Char"/>
    <w:basedOn w:val="CommentTextChar"/>
    <w:link w:val="CommentSubject"/>
    <w:uiPriority w:val="99"/>
    <w:semiHidden/>
    <w:locked/>
    <w:rsid w:val="00561058"/>
    <w:rPr>
      <w:rFonts w:ascii="Times New Roman" w:hAnsi="Times New Roman"/>
      <w:b/>
      <w:sz w:val="20"/>
    </w:rPr>
  </w:style>
  <w:style w:type="paragraph" w:styleId="BalloonText">
    <w:name w:val="Balloon Text"/>
    <w:basedOn w:val="Normal"/>
    <w:link w:val="BalloonTextChar"/>
    <w:uiPriority w:val="99"/>
    <w:semiHidden/>
    <w:rsid w:val="0056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58"/>
    <w:rPr>
      <w:rFonts w:ascii="Tahoma" w:hAnsi="Tahoma"/>
      <w:sz w:val="16"/>
    </w:rPr>
  </w:style>
  <w:style w:type="paragraph" w:styleId="NormalWeb">
    <w:name w:val="Normal (Web)"/>
    <w:basedOn w:val="Normal"/>
    <w:uiPriority w:val="99"/>
    <w:rsid w:val="00C27AD6"/>
    <w:pPr>
      <w:spacing w:before="100" w:beforeAutospacing="1" w:after="100" w:afterAutospacing="1" w:line="240" w:lineRule="auto"/>
    </w:pPr>
    <w:rPr>
      <w:rFonts w:eastAsia="MS Mincho" w:cs="Times New Roman"/>
      <w:sz w:val="24"/>
      <w:szCs w:val="24"/>
      <w:lang w:eastAsia="en-GB"/>
    </w:rPr>
  </w:style>
  <w:style w:type="paragraph" w:styleId="Revision">
    <w:name w:val="Revision"/>
    <w:hidden/>
    <w:uiPriority w:val="99"/>
    <w:semiHidden/>
    <w:rsid w:val="00C27AD6"/>
    <w:rPr>
      <w:rFonts w:ascii="Times New Roman" w:hAnsi="Times New Roman"/>
      <w:lang w:eastAsia="en-US"/>
    </w:rPr>
  </w:style>
  <w:style w:type="character" w:customStyle="1" w:styleId="current-selection">
    <w:name w:val="current-selection"/>
    <w:uiPriority w:val="99"/>
    <w:rsid w:val="00844737"/>
  </w:style>
  <w:style w:type="character" w:customStyle="1" w:styleId="a">
    <w:name w:val="_"/>
    <w:uiPriority w:val="99"/>
    <w:rsid w:val="00844737"/>
  </w:style>
  <w:style w:type="character" w:styleId="Hyperlink">
    <w:name w:val="Hyperlink"/>
    <w:basedOn w:val="DefaultParagraphFont"/>
    <w:uiPriority w:val="99"/>
    <w:semiHidden/>
    <w:rsid w:val="003F3A3C"/>
    <w:rPr>
      <w:rFonts w:cs="Times New Roman"/>
      <w:color w:val="0000FF"/>
      <w:u w:val="single"/>
    </w:rPr>
  </w:style>
  <w:style w:type="character" w:customStyle="1" w:styleId="apple-converted-space">
    <w:name w:val="apple-converted-space"/>
    <w:uiPriority w:val="99"/>
    <w:rsid w:val="003F3A3C"/>
  </w:style>
  <w:style w:type="table" w:styleId="TableGrid">
    <w:name w:val="Table Grid"/>
    <w:basedOn w:val="TableNormal"/>
    <w:uiPriority w:val="99"/>
    <w:rsid w:val="00073E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3F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58"/>
    <w:pPr>
      <w:spacing w:after="200" w:line="480" w:lineRule="auto"/>
    </w:pPr>
    <w:rPr>
      <w:rFonts w:ascii="Times New Roman" w:hAnsi="Times New Roman"/>
      <w:lang w:eastAsia="en-US"/>
    </w:rPr>
  </w:style>
  <w:style w:type="paragraph" w:styleId="Heading1">
    <w:name w:val="heading 1"/>
    <w:basedOn w:val="Normal"/>
    <w:next w:val="Normal"/>
    <w:link w:val="Heading1Char"/>
    <w:uiPriority w:val="99"/>
    <w:qFormat/>
    <w:rsid w:val="00561058"/>
    <w:pPr>
      <w:keepNext/>
      <w:keepLines/>
      <w:spacing w:before="480" w:after="0"/>
      <w:outlineLvl w:val="0"/>
    </w:pPr>
    <w:rPr>
      <w:rFonts w:ascii="Arial" w:eastAsia="MS Gothic" w:hAnsi="Arial" w:cs="Times New Roman"/>
      <w:b/>
      <w:bCs/>
      <w:sz w:val="28"/>
      <w:szCs w:val="28"/>
    </w:rPr>
  </w:style>
  <w:style w:type="paragraph" w:styleId="Heading2">
    <w:name w:val="heading 2"/>
    <w:basedOn w:val="Normal"/>
    <w:next w:val="Normal"/>
    <w:link w:val="Heading2Char"/>
    <w:uiPriority w:val="99"/>
    <w:qFormat/>
    <w:rsid w:val="00561058"/>
    <w:pPr>
      <w:keepNext/>
      <w:keepLines/>
      <w:spacing w:before="200" w:after="0"/>
      <w:outlineLvl w:val="1"/>
    </w:pPr>
    <w:rPr>
      <w:rFonts w:ascii="Arial" w:eastAsia="MS Gothic" w:hAnsi="Arial" w:cs="Times New Roman"/>
      <w:b/>
      <w:bCs/>
      <w:sz w:val="26"/>
      <w:szCs w:val="26"/>
    </w:rPr>
  </w:style>
  <w:style w:type="paragraph" w:styleId="Heading3">
    <w:name w:val="heading 3"/>
    <w:basedOn w:val="Normal"/>
    <w:next w:val="Normal"/>
    <w:link w:val="Heading3Char"/>
    <w:uiPriority w:val="99"/>
    <w:qFormat/>
    <w:rsid w:val="00561058"/>
    <w:pPr>
      <w:keepNext/>
      <w:keepLines/>
      <w:spacing w:before="200" w:after="0"/>
      <w:outlineLvl w:val="2"/>
    </w:pPr>
    <w:rPr>
      <w:rFonts w:ascii="Arial" w:eastAsia="MS Gothic"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58"/>
    <w:rPr>
      <w:rFonts w:ascii="Arial" w:eastAsia="MS Gothic" w:hAnsi="Arial"/>
      <w:b/>
      <w:sz w:val="28"/>
    </w:rPr>
  </w:style>
  <w:style w:type="character" w:customStyle="1" w:styleId="Heading2Char">
    <w:name w:val="Heading 2 Char"/>
    <w:basedOn w:val="DefaultParagraphFont"/>
    <w:link w:val="Heading2"/>
    <w:uiPriority w:val="99"/>
    <w:locked/>
    <w:rsid w:val="00561058"/>
    <w:rPr>
      <w:rFonts w:ascii="Arial" w:eastAsia="MS Gothic" w:hAnsi="Arial"/>
      <w:b/>
      <w:sz w:val="26"/>
    </w:rPr>
  </w:style>
  <w:style w:type="character" w:customStyle="1" w:styleId="Heading3Char">
    <w:name w:val="Heading 3 Char"/>
    <w:basedOn w:val="DefaultParagraphFont"/>
    <w:link w:val="Heading3"/>
    <w:uiPriority w:val="99"/>
    <w:locked/>
    <w:rsid w:val="00561058"/>
    <w:rPr>
      <w:rFonts w:ascii="Arial" w:eastAsia="MS Gothic" w:hAnsi="Arial"/>
      <w:b/>
    </w:rPr>
  </w:style>
  <w:style w:type="paragraph" w:styleId="Title">
    <w:name w:val="Title"/>
    <w:basedOn w:val="Normal"/>
    <w:next w:val="Normal"/>
    <w:link w:val="TitleChar"/>
    <w:uiPriority w:val="99"/>
    <w:qFormat/>
    <w:rsid w:val="00561058"/>
    <w:pPr>
      <w:spacing w:after="300" w:line="240" w:lineRule="auto"/>
      <w:contextualSpacing/>
    </w:pPr>
    <w:rPr>
      <w:rFonts w:ascii="Arial" w:eastAsia="MS Gothic" w:hAnsi="Arial" w:cs="Times New Roman"/>
      <w:spacing w:val="5"/>
      <w:kern w:val="28"/>
      <w:sz w:val="32"/>
      <w:szCs w:val="52"/>
    </w:rPr>
  </w:style>
  <w:style w:type="character" w:customStyle="1" w:styleId="TitleChar">
    <w:name w:val="Title Char"/>
    <w:basedOn w:val="DefaultParagraphFont"/>
    <w:link w:val="Title"/>
    <w:uiPriority w:val="99"/>
    <w:locked/>
    <w:rsid w:val="00561058"/>
    <w:rPr>
      <w:rFonts w:ascii="Arial" w:eastAsia="MS Gothic" w:hAnsi="Arial"/>
      <w:spacing w:val="5"/>
      <w:kern w:val="28"/>
      <w:sz w:val="52"/>
    </w:rPr>
  </w:style>
  <w:style w:type="paragraph" w:styleId="Header">
    <w:name w:val="header"/>
    <w:basedOn w:val="Normal"/>
    <w:link w:val="HeaderChar"/>
    <w:uiPriority w:val="99"/>
    <w:rsid w:val="005610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61058"/>
    <w:rPr>
      <w:rFonts w:ascii="Times New Roman" w:hAnsi="Times New Roman"/>
    </w:rPr>
  </w:style>
  <w:style w:type="paragraph" w:styleId="Footer">
    <w:name w:val="footer"/>
    <w:basedOn w:val="Normal"/>
    <w:link w:val="FooterChar"/>
    <w:uiPriority w:val="99"/>
    <w:rsid w:val="005610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61058"/>
    <w:rPr>
      <w:rFonts w:ascii="Times New Roman" w:hAnsi="Times New Roman"/>
    </w:rPr>
  </w:style>
  <w:style w:type="character" w:styleId="CommentReference">
    <w:name w:val="annotation reference"/>
    <w:basedOn w:val="DefaultParagraphFont"/>
    <w:uiPriority w:val="99"/>
    <w:semiHidden/>
    <w:rsid w:val="00561058"/>
    <w:rPr>
      <w:rFonts w:cs="Times New Roman"/>
      <w:sz w:val="16"/>
    </w:rPr>
  </w:style>
  <w:style w:type="paragraph" w:styleId="CommentText">
    <w:name w:val="annotation text"/>
    <w:basedOn w:val="Normal"/>
    <w:link w:val="CommentTextChar"/>
    <w:uiPriority w:val="99"/>
    <w:rsid w:val="00561058"/>
    <w:pPr>
      <w:spacing w:line="240" w:lineRule="auto"/>
    </w:pPr>
    <w:rPr>
      <w:sz w:val="20"/>
      <w:szCs w:val="20"/>
    </w:rPr>
  </w:style>
  <w:style w:type="character" w:customStyle="1" w:styleId="CommentTextChar">
    <w:name w:val="Comment Text Char"/>
    <w:basedOn w:val="DefaultParagraphFont"/>
    <w:link w:val="CommentText"/>
    <w:uiPriority w:val="99"/>
    <w:locked/>
    <w:rsid w:val="00561058"/>
    <w:rPr>
      <w:rFonts w:ascii="Times New Roman" w:hAnsi="Times New Roman"/>
      <w:sz w:val="20"/>
    </w:rPr>
  </w:style>
  <w:style w:type="paragraph" w:styleId="CommentSubject">
    <w:name w:val="annotation subject"/>
    <w:basedOn w:val="CommentText"/>
    <w:next w:val="CommentText"/>
    <w:link w:val="CommentSubjectChar"/>
    <w:uiPriority w:val="99"/>
    <w:semiHidden/>
    <w:rsid w:val="00561058"/>
    <w:rPr>
      <w:b/>
      <w:bCs/>
    </w:rPr>
  </w:style>
  <w:style w:type="character" w:customStyle="1" w:styleId="CommentSubjectChar">
    <w:name w:val="Comment Subject Char"/>
    <w:basedOn w:val="CommentTextChar"/>
    <w:link w:val="CommentSubject"/>
    <w:uiPriority w:val="99"/>
    <w:semiHidden/>
    <w:locked/>
    <w:rsid w:val="00561058"/>
    <w:rPr>
      <w:rFonts w:ascii="Times New Roman" w:hAnsi="Times New Roman"/>
      <w:b/>
      <w:sz w:val="20"/>
    </w:rPr>
  </w:style>
  <w:style w:type="paragraph" w:styleId="BalloonText">
    <w:name w:val="Balloon Text"/>
    <w:basedOn w:val="Normal"/>
    <w:link w:val="BalloonTextChar"/>
    <w:uiPriority w:val="99"/>
    <w:semiHidden/>
    <w:rsid w:val="0056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58"/>
    <w:rPr>
      <w:rFonts w:ascii="Tahoma" w:hAnsi="Tahoma"/>
      <w:sz w:val="16"/>
    </w:rPr>
  </w:style>
  <w:style w:type="paragraph" w:styleId="NormalWeb">
    <w:name w:val="Normal (Web)"/>
    <w:basedOn w:val="Normal"/>
    <w:uiPriority w:val="99"/>
    <w:rsid w:val="00C27AD6"/>
    <w:pPr>
      <w:spacing w:before="100" w:beforeAutospacing="1" w:after="100" w:afterAutospacing="1" w:line="240" w:lineRule="auto"/>
    </w:pPr>
    <w:rPr>
      <w:rFonts w:eastAsia="MS Mincho" w:cs="Times New Roman"/>
      <w:sz w:val="24"/>
      <w:szCs w:val="24"/>
      <w:lang w:eastAsia="en-GB"/>
    </w:rPr>
  </w:style>
  <w:style w:type="paragraph" w:styleId="Revision">
    <w:name w:val="Revision"/>
    <w:hidden/>
    <w:uiPriority w:val="99"/>
    <w:semiHidden/>
    <w:rsid w:val="00C27AD6"/>
    <w:rPr>
      <w:rFonts w:ascii="Times New Roman" w:hAnsi="Times New Roman"/>
      <w:lang w:eastAsia="en-US"/>
    </w:rPr>
  </w:style>
  <w:style w:type="character" w:customStyle="1" w:styleId="current-selection">
    <w:name w:val="current-selection"/>
    <w:uiPriority w:val="99"/>
    <w:rsid w:val="00844737"/>
  </w:style>
  <w:style w:type="character" w:customStyle="1" w:styleId="a">
    <w:name w:val="_"/>
    <w:uiPriority w:val="99"/>
    <w:rsid w:val="00844737"/>
  </w:style>
  <w:style w:type="character" w:styleId="Hyperlink">
    <w:name w:val="Hyperlink"/>
    <w:basedOn w:val="DefaultParagraphFont"/>
    <w:uiPriority w:val="99"/>
    <w:semiHidden/>
    <w:rsid w:val="003F3A3C"/>
    <w:rPr>
      <w:rFonts w:cs="Times New Roman"/>
      <w:color w:val="0000FF"/>
      <w:u w:val="single"/>
    </w:rPr>
  </w:style>
  <w:style w:type="character" w:customStyle="1" w:styleId="apple-converted-space">
    <w:name w:val="apple-converted-space"/>
    <w:uiPriority w:val="99"/>
    <w:rsid w:val="003F3A3C"/>
  </w:style>
  <w:style w:type="table" w:styleId="TableGrid">
    <w:name w:val="Table Grid"/>
    <w:basedOn w:val="TableNormal"/>
    <w:uiPriority w:val="99"/>
    <w:rsid w:val="00073E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3F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3618">
      <w:bodyDiv w:val="1"/>
      <w:marLeft w:val="0"/>
      <w:marRight w:val="0"/>
      <w:marTop w:val="0"/>
      <w:marBottom w:val="0"/>
      <w:divBdr>
        <w:top w:val="none" w:sz="0" w:space="0" w:color="auto"/>
        <w:left w:val="none" w:sz="0" w:space="0" w:color="auto"/>
        <w:bottom w:val="none" w:sz="0" w:space="0" w:color="auto"/>
        <w:right w:val="none" w:sz="0" w:space="0" w:color="auto"/>
      </w:divBdr>
    </w:div>
    <w:div w:id="413283898">
      <w:bodyDiv w:val="1"/>
      <w:marLeft w:val="0"/>
      <w:marRight w:val="0"/>
      <w:marTop w:val="0"/>
      <w:marBottom w:val="0"/>
      <w:divBdr>
        <w:top w:val="none" w:sz="0" w:space="0" w:color="auto"/>
        <w:left w:val="none" w:sz="0" w:space="0" w:color="auto"/>
        <w:bottom w:val="none" w:sz="0" w:space="0" w:color="auto"/>
        <w:right w:val="none" w:sz="0" w:space="0" w:color="auto"/>
      </w:divBdr>
      <w:divsChild>
        <w:div w:id="934292145">
          <w:marLeft w:val="0"/>
          <w:marRight w:val="0"/>
          <w:marTop w:val="0"/>
          <w:marBottom w:val="0"/>
          <w:divBdr>
            <w:top w:val="none" w:sz="0" w:space="0" w:color="auto"/>
            <w:left w:val="none" w:sz="0" w:space="0" w:color="auto"/>
            <w:bottom w:val="none" w:sz="0" w:space="0" w:color="auto"/>
            <w:right w:val="none" w:sz="0" w:space="0" w:color="auto"/>
          </w:divBdr>
          <w:divsChild>
            <w:div w:id="254635244">
              <w:marLeft w:val="0"/>
              <w:marRight w:val="0"/>
              <w:marTop w:val="0"/>
              <w:marBottom w:val="0"/>
              <w:divBdr>
                <w:top w:val="none" w:sz="0" w:space="0" w:color="auto"/>
                <w:left w:val="none" w:sz="0" w:space="0" w:color="auto"/>
                <w:bottom w:val="none" w:sz="0" w:space="0" w:color="auto"/>
                <w:right w:val="none" w:sz="0" w:space="0" w:color="auto"/>
              </w:divBdr>
              <w:divsChild>
                <w:div w:id="2137947548">
                  <w:marLeft w:val="0"/>
                  <w:marRight w:val="0"/>
                  <w:marTop w:val="0"/>
                  <w:marBottom w:val="0"/>
                  <w:divBdr>
                    <w:top w:val="none" w:sz="0" w:space="0" w:color="auto"/>
                    <w:left w:val="none" w:sz="0" w:space="0" w:color="auto"/>
                    <w:bottom w:val="none" w:sz="0" w:space="0" w:color="auto"/>
                    <w:right w:val="none" w:sz="0" w:space="0" w:color="auto"/>
                  </w:divBdr>
                  <w:divsChild>
                    <w:div w:id="20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5928">
      <w:marLeft w:val="0"/>
      <w:marRight w:val="0"/>
      <w:marTop w:val="0"/>
      <w:marBottom w:val="0"/>
      <w:divBdr>
        <w:top w:val="none" w:sz="0" w:space="0" w:color="auto"/>
        <w:left w:val="none" w:sz="0" w:space="0" w:color="auto"/>
        <w:bottom w:val="none" w:sz="0" w:space="0" w:color="auto"/>
        <w:right w:val="none" w:sz="0" w:space="0" w:color="auto"/>
      </w:divBdr>
    </w:div>
    <w:div w:id="1498885929">
      <w:marLeft w:val="0"/>
      <w:marRight w:val="0"/>
      <w:marTop w:val="0"/>
      <w:marBottom w:val="0"/>
      <w:divBdr>
        <w:top w:val="none" w:sz="0" w:space="0" w:color="auto"/>
        <w:left w:val="none" w:sz="0" w:space="0" w:color="auto"/>
        <w:bottom w:val="none" w:sz="0" w:space="0" w:color="auto"/>
        <w:right w:val="none" w:sz="0" w:space="0" w:color="auto"/>
      </w:divBdr>
      <w:divsChild>
        <w:div w:id="1498885926">
          <w:marLeft w:val="0"/>
          <w:marRight w:val="0"/>
          <w:marTop w:val="0"/>
          <w:marBottom w:val="0"/>
          <w:divBdr>
            <w:top w:val="none" w:sz="0" w:space="0" w:color="auto"/>
            <w:left w:val="none" w:sz="0" w:space="0" w:color="auto"/>
            <w:bottom w:val="none" w:sz="0" w:space="0" w:color="auto"/>
            <w:right w:val="none" w:sz="0" w:space="0" w:color="auto"/>
          </w:divBdr>
        </w:div>
        <w:div w:id="1498885936">
          <w:marLeft w:val="0"/>
          <w:marRight w:val="0"/>
          <w:marTop w:val="0"/>
          <w:marBottom w:val="0"/>
          <w:divBdr>
            <w:top w:val="none" w:sz="0" w:space="0" w:color="auto"/>
            <w:left w:val="none" w:sz="0" w:space="0" w:color="auto"/>
            <w:bottom w:val="none" w:sz="0" w:space="0" w:color="auto"/>
            <w:right w:val="none" w:sz="0" w:space="0" w:color="auto"/>
          </w:divBdr>
        </w:div>
        <w:div w:id="1498885941">
          <w:marLeft w:val="0"/>
          <w:marRight w:val="0"/>
          <w:marTop w:val="0"/>
          <w:marBottom w:val="0"/>
          <w:divBdr>
            <w:top w:val="none" w:sz="0" w:space="0" w:color="auto"/>
            <w:left w:val="none" w:sz="0" w:space="0" w:color="auto"/>
            <w:bottom w:val="none" w:sz="0" w:space="0" w:color="auto"/>
            <w:right w:val="none" w:sz="0" w:space="0" w:color="auto"/>
          </w:divBdr>
        </w:div>
        <w:div w:id="1498885946">
          <w:marLeft w:val="0"/>
          <w:marRight w:val="0"/>
          <w:marTop w:val="0"/>
          <w:marBottom w:val="0"/>
          <w:divBdr>
            <w:top w:val="none" w:sz="0" w:space="0" w:color="auto"/>
            <w:left w:val="none" w:sz="0" w:space="0" w:color="auto"/>
            <w:bottom w:val="none" w:sz="0" w:space="0" w:color="auto"/>
            <w:right w:val="none" w:sz="0" w:space="0" w:color="auto"/>
          </w:divBdr>
        </w:div>
        <w:div w:id="1498885947">
          <w:marLeft w:val="0"/>
          <w:marRight w:val="0"/>
          <w:marTop w:val="0"/>
          <w:marBottom w:val="0"/>
          <w:divBdr>
            <w:top w:val="none" w:sz="0" w:space="0" w:color="auto"/>
            <w:left w:val="none" w:sz="0" w:space="0" w:color="auto"/>
            <w:bottom w:val="none" w:sz="0" w:space="0" w:color="auto"/>
            <w:right w:val="none" w:sz="0" w:space="0" w:color="auto"/>
          </w:divBdr>
        </w:div>
        <w:div w:id="1498885951">
          <w:marLeft w:val="0"/>
          <w:marRight w:val="0"/>
          <w:marTop w:val="0"/>
          <w:marBottom w:val="0"/>
          <w:divBdr>
            <w:top w:val="none" w:sz="0" w:space="0" w:color="auto"/>
            <w:left w:val="none" w:sz="0" w:space="0" w:color="auto"/>
            <w:bottom w:val="none" w:sz="0" w:space="0" w:color="auto"/>
            <w:right w:val="none" w:sz="0" w:space="0" w:color="auto"/>
          </w:divBdr>
        </w:div>
        <w:div w:id="1498885953">
          <w:marLeft w:val="0"/>
          <w:marRight w:val="0"/>
          <w:marTop w:val="0"/>
          <w:marBottom w:val="0"/>
          <w:divBdr>
            <w:top w:val="none" w:sz="0" w:space="0" w:color="auto"/>
            <w:left w:val="none" w:sz="0" w:space="0" w:color="auto"/>
            <w:bottom w:val="none" w:sz="0" w:space="0" w:color="auto"/>
            <w:right w:val="none" w:sz="0" w:space="0" w:color="auto"/>
          </w:divBdr>
        </w:div>
        <w:div w:id="1498885954">
          <w:marLeft w:val="0"/>
          <w:marRight w:val="0"/>
          <w:marTop w:val="0"/>
          <w:marBottom w:val="0"/>
          <w:divBdr>
            <w:top w:val="none" w:sz="0" w:space="0" w:color="auto"/>
            <w:left w:val="none" w:sz="0" w:space="0" w:color="auto"/>
            <w:bottom w:val="none" w:sz="0" w:space="0" w:color="auto"/>
            <w:right w:val="none" w:sz="0" w:space="0" w:color="auto"/>
          </w:divBdr>
        </w:div>
        <w:div w:id="1498885956">
          <w:marLeft w:val="0"/>
          <w:marRight w:val="0"/>
          <w:marTop w:val="0"/>
          <w:marBottom w:val="0"/>
          <w:divBdr>
            <w:top w:val="none" w:sz="0" w:space="0" w:color="auto"/>
            <w:left w:val="none" w:sz="0" w:space="0" w:color="auto"/>
            <w:bottom w:val="none" w:sz="0" w:space="0" w:color="auto"/>
            <w:right w:val="none" w:sz="0" w:space="0" w:color="auto"/>
          </w:divBdr>
        </w:div>
        <w:div w:id="1498885960">
          <w:marLeft w:val="0"/>
          <w:marRight w:val="0"/>
          <w:marTop w:val="0"/>
          <w:marBottom w:val="0"/>
          <w:divBdr>
            <w:top w:val="none" w:sz="0" w:space="0" w:color="auto"/>
            <w:left w:val="none" w:sz="0" w:space="0" w:color="auto"/>
            <w:bottom w:val="none" w:sz="0" w:space="0" w:color="auto"/>
            <w:right w:val="none" w:sz="0" w:space="0" w:color="auto"/>
          </w:divBdr>
        </w:div>
        <w:div w:id="1498885962">
          <w:marLeft w:val="0"/>
          <w:marRight w:val="0"/>
          <w:marTop w:val="0"/>
          <w:marBottom w:val="0"/>
          <w:divBdr>
            <w:top w:val="none" w:sz="0" w:space="0" w:color="auto"/>
            <w:left w:val="none" w:sz="0" w:space="0" w:color="auto"/>
            <w:bottom w:val="none" w:sz="0" w:space="0" w:color="auto"/>
            <w:right w:val="none" w:sz="0" w:space="0" w:color="auto"/>
          </w:divBdr>
        </w:div>
        <w:div w:id="1498885964">
          <w:marLeft w:val="0"/>
          <w:marRight w:val="0"/>
          <w:marTop w:val="0"/>
          <w:marBottom w:val="0"/>
          <w:divBdr>
            <w:top w:val="none" w:sz="0" w:space="0" w:color="auto"/>
            <w:left w:val="none" w:sz="0" w:space="0" w:color="auto"/>
            <w:bottom w:val="none" w:sz="0" w:space="0" w:color="auto"/>
            <w:right w:val="none" w:sz="0" w:space="0" w:color="auto"/>
          </w:divBdr>
        </w:div>
        <w:div w:id="1498885972">
          <w:marLeft w:val="0"/>
          <w:marRight w:val="0"/>
          <w:marTop w:val="0"/>
          <w:marBottom w:val="0"/>
          <w:divBdr>
            <w:top w:val="none" w:sz="0" w:space="0" w:color="auto"/>
            <w:left w:val="none" w:sz="0" w:space="0" w:color="auto"/>
            <w:bottom w:val="none" w:sz="0" w:space="0" w:color="auto"/>
            <w:right w:val="none" w:sz="0" w:space="0" w:color="auto"/>
          </w:divBdr>
        </w:div>
      </w:divsChild>
    </w:div>
    <w:div w:id="1498885937">
      <w:marLeft w:val="0"/>
      <w:marRight w:val="0"/>
      <w:marTop w:val="0"/>
      <w:marBottom w:val="0"/>
      <w:divBdr>
        <w:top w:val="none" w:sz="0" w:space="0" w:color="auto"/>
        <w:left w:val="none" w:sz="0" w:space="0" w:color="auto"/>
        <w:bottom w:val="none" w:sz="0" w:space="0" w:color="auto"/>
        <w:right w:val="none" w:sz="0" w:space="0" w:color="auto"/>
      </w:divBdr>
    </w:div>
    <w:div w:id="1498885944">
      <w:marLeft w:val="0"/>
      <w:marRight w:val="0"/>
      <w:marTop w:val="0"/>
      <w:marBottom w:val="0"/>
      <w:divBdr>
        <w:top w:val="none" w:sz="0" w:space="0" w:color="auto"/>
        <w:left w:val="none" w:sz="0" w:space="0" w:color="auto"/>
        <w:bottom w:val="none" w:sz="0" w:space="0" w:color="auto"/>
        <w:right w:val="none" w:sz="0" w:space="0" w:color="auto"/>
      </w:divBdr>
    </w:div>
    <w:div w:id="1498885949">
      <w:marLeft w:val="0"/>
      <w:marRight w:val="0"/>
      <w:marTop w:val="0"/>
      <w:marBottom w:val="0"/>
      <w:divBdr>
        <w:top w:val="none" w:sz="0" w:space="0" w:color="auto"/>
        <w:left w:val="none" w:sz="0" w:space="0" w:color="auto"/>
        <w:bottom w:val="none" w:sz="0" w:space="0" w:color="auto"/>
        <w:right w:val="none" w:sz="0" w:space="0" w:color="auto"/>
      </w:divBdr>
      <w:divsChild>
        <w:div w:id="1498885927">
          <w:marLeft w:val="0"/>
          <w:marRight w:val="0"/>
          <w:marTop w:val="0"/>
          <w:marBottom w:val="0"/>
          <w:divBdr>
            <w:top w:val="none" w:sz="0" w:space="0" w:color="auto"/>
            <w:left w:val="none" w:sz="0" w:space="0" w:color="auto"/>
            <w:bottom w:val="none" w:sz="0" w:space="0" w:color="auto"/>
            <w:right w:val="none" w:sz="0" w:space="0" w:color="auto"/>
          </w:divBdr>
        </w:div>
        <w:div w:id="1498885935">
          <w:marLeft w:val="0"/>
          <w:marRight w:val="0"/>
          <w:marTop w:val="0"/>
          <w:marBottom w:val="0"/>
          <w:divBdr>
            <w:top w:val="none" w:sz="0" w:space="0" w:color="auto"/>
            <w:left w:val="none" w:sz="0" w:space="0" w:color="auto"/>
            <w:bottom w:val="none" w:sz="0" w:space="0" w:color="auto"/>
            <w:right w:val="none" w:sz="0" w:space="0" w:color="auto"/>
          </w:divBdr>
        </w:div>
        <w:div w:id="1498885945">
          <w:marLeft w:val="0"/>
          <w:marRight w:val="0"/>
          <w:marTop w:val="0"/>
          <w:marBottom w:val="0"/>
          <w:divBdr>
            <w:top w:val="none" w:sz="0" w:space="0" w:color="auto"/>
            <w:left w:val="none" w:sz="0" w:space="0" w:color="auto"/>
            <w:bottom w:val="none" w:sz="0" w:space="0" w:color="auto"/>
            <w:right w:val="none" w:sz="0" w:space="0" w:color="auto"/>
          </w:divBdr>
        </w:div>
        <w:div w:id="1498885959">
          <w:marLeft w:val="0"/>
          <w:marRight w:val="0"/>
          <w:marTop w:val="0"/>
          <w:marBottom w:val="0"/>
          <w:divBdr>
            <w:top w:val="none" w:sz="0" w:space="0" w:color="auto"/>
            <w:left w:val="none" w:sz="0" w:space="0" w:color="auto"/>
            <w:bottom w:val="none" w:sz="0" w:space="0" w:color="auto"/>
            <w:right w:val="none" w:sz="0" w:space="0" w:color="auto"/>
          </w:divBdr>
        </w:div>
        <w:div w:id="1498885971">
          <w:marLeft w:val="0"/>
          <w:marRight w:val="0"/>
          <w:marTop w:val="0"/>
          <w:marBottom w:val="0"/>
          <w:divBdr>
            <w:top w:val="none" w:sz="0" w:space="0" w:color="auto"/>
            <w:left w:val="none" w:sz="0" w:space="0" w:color="auto"/>
            <w:bottom w:val="none" w:sz="0" w:space="0" w:color="auto"/>
            <w:right w:val="none" w:sz="0" w:space="0" w:color="auto"/>
          </w:divBdr>
        </w:div>
      </w:divsChild>
    </w:div>
    <w:div w:id="1498885957">
      <w:marLeft w:val="0"/>
      <w:marRight w:val="0"/>
      <w:marTop w:val="0"/>
      <w:marBottom w:val="0"/>
      <w:divBdr>
        <w:top w:val="none" w:sz="0" w:space="0" w:color="auto"/>
        <w:left w:val="none" w:sz="0" w:space="0" w:color="auto"/>
        <w:bottom w:val="none" w:sz="0" w:space="0" w:color="auto"/>
        <w:right w:val="none" w:sz="0" w:space="0" w:color="auto"/>
      </w:divBdr>
      <w:divsChild>
        <w:div w:id="1498885973">
          <w:marLeft w:val="0"/>
          <w:marRight w:val="0"/>
          <w:marTop w:val="0"/>
          <w:marBottom w:val="0"/>
          <w:divBdr>
            <w:top w:val="none" w:sz="0" w:space="0" w:color="auto"/>
            <w:left w:val="none" w:sz="0" w:space="0" w:color="auto"/>
            <w:bottom w:val="none" w:sz="0" w:space="0" w:color="auto"/>
            <w:right w:val="none" w:sz="0" w:space="0" w:color="auto"/>
          </w:divBdr>
          <w:divsChild>
            <w:div w:id="1498885952">
              <w:marLeft w:val="0"/>
              <w:marRight w:val="0"/>
              <w:marTop w:val="0"/>
              <w:marBottom w:val="0"/>
              <w:divBdr>
                <w:top w:val="none" w:sz="0" w:space="0" w:color="auto"/>
                <w:left w:val="none" w:sz="0" w:space="0" w:color="auto"/>
                <w:bottom w:val="none" w:sz="0" w:space="0" w:color="auto"/>
                <w:right w:val="none" w:sz="0" w:space="0" w:color="auto"/>
              </w:divBdr>
              <w:divsChild>
                <w:div w:id="1498885977">
                  <w:marLeft w:val="0"/>
                  <w:marRight w:val="0"/>
                  <w:marTop w:val="0"/>
                  <w:marBottom w:val="0"/>
                  <w:divBdr>
                    <w:top w:val="none" w:sz="0" w:space="0" w:color="auto"/>
                    <w:left w:val="none" w:sz="0" w:space="0" w:color="auto"/>
                    <w:bottom w:val="none" w:sz="0" w:space="0" w:color="auto"/>
                    <w:right w:val="none" w:sz="0" w:space="0" w:color="auto"/>
                  </w:divBdr>
                  <w:divsChild>
                    <w:div w:id="1498885955">
                      <w:marLeft w:val="0"/>
                      <w:marRight w:val="0"/>
                      <w:marTop w:val="0"/>
                      <w:marBottom w:val="0"/>
                      <w:divBdr>
                        <w:top w:val="none" w:sz="0" w:space="0" w:color="auto"/>
                        <w:left w:val="none" w:sz="0" w:space="0" w:color="auto"/>
                        <w:bottom w:val="none" w:sz="0" w:space="0" w:color="auto"/>
                        <w:right w:val="none" w:sz="0" w:space="0" w:color="auto"/>
                      </w:divBdr>
                      <w:divsChild>
                        <w:div w:id="14988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885967">
      <w:marLeft w:val="0"/>
      <w:marRight w:val="0"/>
      <w:marTop w:val="0"/>
      <w:marBottom w:val="0"/>
      <w:divBdr>
        <w:top w:val="none" w:sz="0" w:space="0" w:color="auto"/>
        <w:left w:val="none" w:sz="0" w:space="0" w:color="auto"/>
        <w:bottom w:val="none" w:sz="0" w:space="0" w:color="auto"/>
        <w:right w:val="none" w:sz="0" w:space="0" w:color="auto"/>
      </w:divBdr>
    </w:div>
    <w:div w:id="1498885979">
      <w:marLeft w:val="0"/>
      <w:marRight w:val="0"/>
      <w:marTop w:val="0"/>
      <w:marBottom w:val="0"/>
      <w:divBdr>
        <w:top w:val="none" w:sz="0" w:space="0" w:color="auto"/>
        <w:left w:val="none" w:sz="0" w:space="0" w:color="auto"/>
        <w:bottom w:val="none" w:sz="0" w:space="0" w:color="auto"/>
        <w:right w:val="none" w:sz="0" w:space="0" w:color="auto"/>
      </w:divBdr>
      <w:divsChild>
        <w:div w:id="1498885970">
          <w:marLeft w:val="0"/>
          <w:marRight w:val="0"/>
          <w:marTop w:val="0"/>
          <w:marBottom w:val="0"/>
          <w:divBdr>
            <w:top w:val="none" w:sz="0" w:space="0" w:color="auto"/>
            <w:left w:val="none" w:sz="0" w:space="0" w:color="auto"/>
            <w:bottom w:val="none" w:sz="0" w:space="0" w:color="auto"/>
            <w:right w:val="none" w:sz="0" w:space="0" w:color="auto"/>
          </w:divBdr>
          <w:divsChild>
            <w:div w:id="1498885965">
              <w:marLeft w:val="0"/>
              <w:marRight w:val="0"/>
              <w:marTop w:val="0"/>
              <w:marBottom w:val="0"/>
              <w:divBdr>
                <w:top w:val="none" w:sz="0" w:space="0" w:color="auto"/>
                <w:left w:val="none" w:sz="0" w:space="0" w:color="auto"/>
                <w:bottom w:val="none" w:sz="0" w:space="0" w:color="auto"/>
                <w:right w:val="none" w:sz="0" w:space="0" w:color="auto"/>
              </w:divBdr>
              <w:divsChild>
                <w:div w:id="1498885968">
                  <w:marLeft w:val="0"/>
                  <w:marRight w:val="0"/>
                  <w:marTop w:val="0"/>
                  <w:marBottom w:val="0"/>
                  <w:divBdr>
                    <w:top w:val="none" w:sz="0" w:space="0" w:color="auto"/>
                    <w:left w:val="none" w:sz="0" w:space="0" w:color="auto"/>
                    <w:bottom w:val="none" w:sz="0" w:space="0" w:color="auto"/>
                    <w:right w:val="none" w:sz="0" w:space="0" w:color="auto"/>
                  </w:divBdr>
                  <w:divsChild>
                    <w:div w:id="1498885966">
                      <w:marLeft w:val="0"/>
                      <w:marRight w:val="0"/>
                      <w:marTop w:val="0"/>
                      <w:marBottom w:val="0"/>
                      <w:divBdr>
                        <w:top w:val="none" w:sz="0" w:space="0" w:color="auto"/>
                        <w:left w:val="none" w:sz="0" w:space="0" w:color="auto"/>
                        <w:bottom w:val="none" w:sz="0" w:space="0" w:color="auto"/>
                        <w:right w:val="none" w:sz="0" w:space="0" w:color="auto"/>
                      </w:divBdr>
                      <w:divsChild>
                        <w:div w:id="1498885942">
                          <w:marLeft w:val="0"/>
                          <w:marRight w:val="0"/>
                          <w:marTop w:val="0"/>
                          <w:marBottom w:val="0"/>
                          <w:divBdr>
                            <w:top w:val="none" w:sz="0" w:space="0" w:color="auto"/>
                            <w:left w:val="none" w:sz="0" w:space="0" w:color="auto"/>
                            <w:bottom w:val="none" w:sz="0" w:space="0" w:color="auto"/>
                            <w:right w:val="none" w:sz="0" w:space="0" w:color="auto"/>
                          </w:divBdr>
                          <w:divsChild>
                            <w:div w:id="1498885938">
                              <w:marLeft w:val="0"/>
                              <w:marRight w:val="0"/>
                              <w:marTop w:val="0"/>
                              <w:marBottom w:val="0"/>
                              <w:divBdr>
                                <w:top w:val="none" w:sz="0" w:space="0" w:color="auto"/>
                                <w:left w:val="none" w:sz="0" w:space="0" w:color="auto"/>
                                <w:bottom w:val="none" w:sz="0" w:space="0" w:color="auto"/>
                                <w:right w:val="none" w:sz="0" w:space="0" w:color="auto"/>
                              </w:divBdr>
                              <w:divsChild>
                                <w:div w:id="1498885931">
                                  <w:marLeft w:val="0"/>
                                  <w:marRight w:val="0"/>
                                  <w:marTop w:val="0"/>
                                  <w:marBottom w:val="0"/>
                                  <w:divBdr>
                                    <w:top w:val="none" w:sz="0" w:space="0" w:color="auto"/>
                                    <w:left w:val="none" w:sz="0" w:space="0" w:color="auto"/>
                                    <w:bottom w:val="none" w:sz="0" w:space="0" w:color="auto"/>
                                    <w:right w:val="none" w:sz="0" w:space="0" w:color="auto"/>
                                  </w:divBdr>
                                  <w:divsChild>
                                    <w:div w:id="1498885948">
                                      <w:marLeft w:val="0"/>
                                      <w:marRight w:val="0"/>
                                      <w:marTop w:val="0"/>
                                      <w:marBottom w:val="0"/>
                                      <w:divBdr>
                                        <w:top w:val="none" w:sz="0" w:space="0" w:color="auto"/>
                                        <w:left w:val="none" w:sz="0" w:space="0" w:color="auto"/>
                                        <w:bottom w:val="none" w:sz="0" w:space="0" w:color="auto"/>
                                        <w:right w:val="none" w:sz="0" w:space="0" w:color="auto"/>
                                      </w:divBdr>
                                      <w:divsChild>
                                        <w:div w:id="1498885975">
                                          <w:marLeft w:val="0"/>
                                          <w:marRight w:val="0"/>
                                          <w:marTop w:val="0"/>
                                          <w:marBottom w:val="0"/>
                                          <w:divBdr>
                                            <w:top w:val="none" w:sz="0" w:space="0" w:color="auto"/>
                                            <w:left w:val="none" w:sz="0" w:space="0" w:color="auto"/>
                                            <w:bottom w:val="none" w:sz="0" w:space="0" w:color="auto"/>
                                            <w:right w:val="none" w:sz="0" w:space="0" w:color="auto"/>
                                          </w:divBdr>
                                          <w:divsChild>
                                            <w:div w:id="1498885958">
                                              <w:marLeft w:val="0"/>
                                              <w:marRight w:val="0"/>
                                              <w:marTop w:val="0"/>
                                              <w:marBottom w:val="0"/>
                                              <w:divBdr>
                                                <w:top w:val="none" w:sz="0" w:space="0" w:color="auto"/>
                                                <w:left w:val="none" w:sz="0" w:space="0" w:color="auto"/>
                                                <w:bottom w:val="none" w:sz="0" w:space="0" w:color="auto"/>
                                                <w:right w:val="none" w:sz="0" w:space="0" w:color="auto"/>
                                              </w:divBdr>
                                              <w:divsChild>
                                                <w:div w:id="1498885943">
                                                  <w:marLeft w:val="0"/>
                                                  <w:marRight w:val="0"/>
                                                  <w:marTop w:val="0"/>
                                                  <w:marBottom w:val="0"/>
                                                  <w:divBdr>
                                                    <w:top w:val="none" w:sz="0" w:space="0" w:color="auto"/>
                                                    <w:left w:val="none" w:sz="0" w:space="0" w:color="auto"/>
                                                    <w:bottom w:val="none" w:sz="0" w:space="0" w:color="auto"/>
                                                    <w:right w:val="none" w:sz="0" w:space="0" w:color="auto"/>
                                                  </w:divBdr>
                                                  <w:divsChild>
                                                    <w:div w:id="1498885934">
                                                      <w:marLeft w:val="0"/>
                                                      <w:marRight w:val="0"/>
                                                      <w:marTop w:val="0"/>
                                                      <w:marBottom w:val="0"/>
                                                      <w:divBdr>
                                                        <w:top w:val="none" w:sz="0" w:space="0" w:color="auto"/>
                                                        <w:left w:val="none" w:sz="0" w:space="0" w:color="auto"/>
                                                        <w:bottom w:val="none" w:sz="0" w:space="0" w:color="auto"/>
                                                        <w:right w:val="none" w:sz="0" w:space="0" w:color="auto"/>
                                                      </w:divBdr>
                                                      <w:divsChild>
                                                        <w:div w:id="1498885939">
                                                          <w:marLeft w:val="0"/>
                                                          <w:marRight w:val="0"/>
                                                          <w:marTop w:val="0"/>
                                                          <w:marBottom w:val="0"/>
                                                          <w:divBdr>
                                                            <w:top w:val="none" w:sz="0" w:space="0" w:color="auto"/>
                                                            <w:left w:val="none" w:sz="0" w:space="0" w:color="auto"/>
                                                            <w:bottom w:val="none" w:sz="0" w:space="0" w:color="auto"/>
                                                            <w:right w:val="none" w:sz="0" w:space="0" w:color="auto"/>
                                                          </w:divBdr>
                                                          <w:divsChild>
                                                            <w:div w:id="1498885974">
                                                              <w:marLeft w:val="0"/>
                                                              <w:marRight w:val="0"/>
                                                              <w:marTop w:val="0"/>
                                                              <w:marBottom w:val="0"/>
                                                              <w:divBdr>
                                                                <w:top w:val="none" w:sz="0" w:space="0" w:color="auto"/>
                                                                <w:left w:val="none" w:sz="0" w:space="0" w:color="auto"/>
                                                                <w:bottom w:val="none" w:sz="0" w:space="0" w:color="auto"/>
                                                                <w:right w:val="none" w:sz="0" w:space="0" w:color="auto"/>
                                                              </w:divBdr>
                                                              <w:divsChild>
                                                                <w:div w:id="1498885932">
                                                                  <w:marLeft w:val="0"/>
                                                                  <w:marRight w:val="0"/>
                                                                  <w:marTop w:val="0"/>
                                                                  <w:marBottom w:val="0"/>
                                                                  <w:divBdr>
                                                                    <w:top w:val="none" w:sz="0" w:space="0" w:color="auto"/>
                                                                    <w:left w:val="none" w:sz="0" w:space="0" w:color="auto"/>
                                                                    <w:bottom w:val="none" w:sz="0" w:space="0" w:color="auto"/>
                                                                    <w:right w:val="none" w:sz="0" w:space="0" w:color="auto"/>
                                                                  </w:divBdr>
                                                                  <w:divsChild>
                                                                    <w:div w:id="1498885976">
                                                                      <w:marLeft w:val="0"/>
                                                                      <w:marRight w:val="0"/>
                                                                      <w:marTop w:val="0"/>
                                                                      <w:marBottom w:val="0"/>
                                                                      <w:divBdr>
                                                                        <w:top w:val="none" w:sz="0" w:space="0" w:color="auto"/>
                                                                        <w:left w:val="none" w:sz="0" w:space="0" w:color="auto"/>
                                                                        <w:bottom w:val="none" w:sz="0" w:space="0" w:color="auto"/>
                                                                        <w:right w:val="none" w:sz="0" w:space="0" w:color="auto"/>
                                                                      </w:divBdr>
                                                                      <w:divsChild>
                                                                        <w:div w:id="1498885969">
                                                                          <w:marLeft w:val="0"/>
                                                                          <w:marRight w:val="0"/>
                                                                          <w:marTop w:val="0"/>
                                                                          <w:marBottom w:val="0"/>
                                                                          <w:divBdr>
                                                                            <w:top w:val="none" w:sz="0" w:space="0" w:color="auto"/>
                                                                            <w:left w:val="none" w:sz="0" w:space="0" w:color="auto"/>
                                                                            <w:bottom w:val="none" w:sz="0" w:space="0" w:color="auto"/>
                                                                            <w:right w:val="none" w:sz="0" w:space="0" w:color="auto"/>
                                                                          </w:divBdr>
                                                                          <w:divsChild>
                                                                            <w:div w:id="1498885978">
                                                                              <w:marLeft w:val="0"/>
                                                                              <w:marRight w:val="0"/>
                                                                              <w:marTop w:val="0"/>
                                                                              <w:marBottom w:val="0"/>
                                                                              <w:divBdr>
                                                                                <w:top w:val="none" w:sz="0" w:space="0" w:color="auto"/>
                                                                                <w:left w:val="none" w:sz="0" w:space="0" w:color="auto"/>
                                                                                <w:bottom w:val="none" w:sz="0" w:space="0" w:color="auto"/>
                                                                                <w:right w:val="none" w:sz="0" w:space="0" w:color="auto"/>
                                                                              </w:divBdr>
                                                                              <w:divsChild>
                                                                                <w:div w:id="1498885963">
                                                                                  <w:marLeft w:val="0"/>
                                                                                  <w:marRight w:val="0"/>
                                                                                  <w:marTop w:val="0"/>
                                                                                  <w:marBottom w:val="0"/>
                                                                                  <w:divBdr>
                                                                                    <w:top w:val="none" w:sz="0" w:space="0" w:color="auto"/>
                                                                                    <w:left w:val="none" w:sz="0" w:space="0" w:color="auto"/>
                                                                                    <w:bottom w:val="none" w:sz="0" w:space="0" w:color="auto"/>
                                                                                    <w:right w:val="none" w:sz="0" w:space="0" w:color="auto"/>
                                                                                  </w:divBdr>
                                                                                  <w:divsChild>
                                                                                    <w:div w:id="1498885930">
                                                                                      <w:marLeft w:val="0"/>
                                                                                      <w:marRight w:val="0"/>
                                                                                      <w:marTop w:val="0"/>
                                                                                      <w:marBottom w:val="0"/>
                                                                                      <w:divBdr>
                                                                                        <w:top w:val="none" w:sz="0" w:space="0" w:color="auto"/>
                                                                                        <w:left w:val="none" w:sz="0" w:space="0" w:color="auto"/>
                                                                                        <w:bottom w:val="none" w:sz="0" w:space="0" w:color="auto"/>
                                                                                        <w:right w:val="none" w:sz="0" w:space="0" w:color="auto"/>
                                                                                      </w:divBdr>
                                                                                      <w:divsChild>
                                                                                        <w:div w:id="1498885961">
                                                                                          <w:marLeft w:val="0"/>
                                                                                          <w:marRight w:val="0"/>
                                                                                          <w:marTop w:val="0"/>
                                                                                          <w:marBottom w:val="0"/>
                                                                                          <w:divBdr>
                                                                                            <w:top w:val="none" w:sz="0" w:space="0" w:color="auto"/>
                                                                                            <w:left w:val="none" w:sz="0" w:space="0" w:color="auto"/>
                                                                                            <w:bottom w:val="none" w:sz="0" w:space="0" w:color="auto"/>
                                                                                            <w:right w:val="none" w:sz="0" w:space="0" w:color="auto"/>
                                                                                          </w:divBdr>
                                                                                          <w:divsChild>
                                                                                            <w:div w:id="1498885933">
                                                                                              <w:marLeft w:val="0"/>
                                                                                              <w:marRight w:val="0"/>
                                                                                              <w:marTop w:val="0"/>
                                                                                              <w:marBottom w:val="0"/>
                                                                                              <w:divBdr>
                                                                                                <w:top w:val="none" w:sz="0" w:space="0" w:color="auto"/>
                                                                                                <w:left w:val="none" w:sz="0" w:space="0" w:color="auto"/>
                                                                                                <w:bottom w:val="none" w:sz="0" w:space="0" w:color="auto"/>
                                                                                                <w:right w:val="none" w:sz="0" w:space="0" w:color="auto"/>
                                                                                              </w:divBdr>
                                                                                              <w:divsChild>
                                                                                                <w:div w:id="1498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5625</Words>
  <Characters>83367</Characters>
  <Application>Microsoft Office Word</Application>
  <DocSecurity>0</DocSecurity>
  <Lines>694</Lines>
  <Paragraphs>177</Paragraphs>
  <ScaleCrop>false</ScaleCrop>
  <HeadingPairs>
    <vt:vector size="2" baseType="variant">
      <vt:variant>
        <vt:lpstr>Title</vt:lpstr>
      </vt:variant>
      <vt:variant>
        <vt:i4>1</vt:i4>
      </vt:variant>
    </vt:vector>
  </HeadingPairs>
  <TitlesOfParts>
    <vt:vector size="1" baseType="lpstr">
      <vt:lpstr>Adherence with NICE guidance on lifestyle advice for people with schizophrenia: a survey</vt:lpstr>
    </vt:vector>
  </TitlesOfParts>
  <Company>University of Southampton</Company>
  <LinksUpToDate>false</LinksUpToDate>
  <CharactersWithSpaces>88815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Adherence with NICE guidance on lifestyle advice for people with schizophrenia: a survey</dc:title>
  <dc:creator>Daniel Hind</dc:creator>
  <cp:lastModifiedBy>Lizzie Swaby</cp:lastModifiedBy>
  <cp:revision>3</cp:revision>
  <cp:lastPrinted>2016-01-28T09:14:00Z</cp:lastPrinted>
  <dcterms:created xsi:type="dcterms:W3CDTF">2016-07-04T08:40:00Z</dcterms:created>
  <dcterms:modified xsi:type="dcterms:W3CDTF">2016-07-04T08:40:00Z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e.a.swaby@sheffield.ac.uk@www.mendeley.com</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http://www.zotero.org/styles/bmj</vt:lpwstr>
  </property>
  <property fmtid="{D5CDD505-2E9C-101B-9397-08002B2CF9AE}" pid="7" name="Mendeley Recent Style Name 1_1">
    <vt:lpwstr>BMJ</vt:lpwstr>
  </property>
  <property fmtid="{D5CDD505-2E9C-101B-9397-08002B2CF9AE}" pid="8" name="Mendeley Recent Style Id 2_1">
    <vt:lpwstr>http://www.zotero.org/styles/biomed-central</vt:lpwstr>
  </property>
  <property fmtid="{D5CDD505-2E9C-101B-9397-08002B2CF9AE}" pid="9" name="Mendeley Recent Style Name 2_1">
    <vt:lpwstr>BioMed Central</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http://www.zotero.org/styles/the-british-journal-of-psychiatry</vt:lpwstr>
  </property>
  <property fmtid="{D5CDD505-2E9C-101B-9397-08002B2CF9AE}" pid="23" name="Mendeley Recent Style Name 9_1">
    <vt:lpwstr>The British Journal of Psychiatry</vt:lpwstr>
  </property>
  <property fmtid="{D5CDD505-2E9C-101B-9397-08002B2CF9AE}" pid="24" name="Mendeley Citation Style_1">
    <vt:lpwstr>http://www.zotero.org/styles/the-british-journal-of-psychiatry</vt:lpwstr>
  </property>
</Properties>
</file>