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AE6F9" w14:textId="77777777" w:rsidR="004F7DCB" w:rsidRPr="00937DFF" w:rsidRDefault="000C183E" w:rsidP="0053746D">
      <w:pPr>
        <w:tabs>
          <w:tab w:val="left" w:pos="8076"/>
        </w:tabs>
        <w:rPr>
          <w:b/>
          <w:color w:val="000000" w:themeColor="text1"/>
        </w:rPr>
      </w:pPr>
      <w:r w:rsidRPr="00EC0996">
        <w:rPr>
          <w:b/>
          <w:color w:val="000000" w:themeColor="text1"/>
          <w:sz w:val="28"/>
          <w:szCs w:val="28"/>
        </w:rPr>
        <w:t>Towards an earlier diagnosis of primary ciliary dyskinesia: which patients should undergo detailed diagnostic testing?</w:t>
      </w:r>
      <w:r>
        <w:rPr>
          <w:b/>
          <w:color w:val="000000" w:themeColor="text1"/>
        </w:rPr>
        <w:tab/>
      </w:r>
    </w:p>
    <w:p w14:paraId="24EBCBDB" w14:textId="77777777" w:rsidR="00EC0996" w:rsidRDefault="00EC0996" w:rsidP="0053746D">
      <w:pPr>
        <w:tabs>
          <w:tab w:val="center" w:pos="4513"/>
        </w:tabs>
        <w:rPr>
          <w:b/>
          <w:color w:val="000000" w:themeColor="text1"/>
          <w:sz w:val="28"/>
          <w:szCs w:val="28"/>
        </w:rPr>
      </w:pPr>
    </w:p>
    <w:p w14:paraId="04F84B88" w14:textId="77777777" w:rsidR="00CC7C56" w:rsidRPr="00EC0996" w:rsidRDefault="005A3C43" w:rsidP="0053746D">
      <w:pPr>
        <w:tabs>
          <w:tab w:val="center" w:pos="4513"/>
        </w:tabs>
        <w:rPr>
          <w:b/>
          <w:color w:val="000000" w:themeColor="text1"/>
          <w:sz w:val="28"/>
          <w:szCs w:val="28"/>
        </w:rPr>
      </w:pPr>
      <w:r w:rsidRPr="00EC0996">
        <w:rPr>
          <w:b/>
          <w:color w:val="000000" w:themeColor="text1"/>
          <w:sz w:val="28"/>
          <w:szCs w:val="28"/>
        </w:rPr>
        <w:t xml:space="preserve">Claudia </w:t>
      </w:r>
      <w:r w:rsidR="00CC7C56" w:rsidRPr="00EC0996">
        <w:rPr>
          <w:b/>
          <w:color w:val="000000" w:themeColor="text1"/>
          <w:sz w:val="28"/>
          <w:szCs w:val="28"/>
        </w:rPr>
        <w:t xml:space="preserve">E. </w:t>
      </w:r>
      <w:r w:rsidRPr="00EC0996">
        <w:rPr>
          <w:b/>
          <w:color w:val="000000" w:themeColor="text1"/>
          <w:sz w:val="28"/>
          <w:szCs w:val="28"/>
        </w:rPr>
        <w:t xml:space="preserve">Kuehni </w:t>
      </w:r>
      <w:r w:rsidR="00FD1C4F" w:rsidRPr="00EC0996">
        <w:rPr>
          <w:b/>
          <w:color w:val="000000" w:themeColor="text1"/>
          <w:sz w:val="28"/>
          <w:szCs w:val="28"/>
        </w:rPr>
        <w:t xml:space="preserve">(1) </w:t>
      </w:r>
      <w:r w:rsidRPr="00EC0996">
        <w:rPr>
          <w:b/>
          <w:color w:val="000000" w:themeColor="text1"/>
          <w:sz w:val="28"/>
          <w:szCs w:val="28"/>
        </w:rPr>
        <w:t xml:space="preserve">and </w:t>
      </w:r>
      <w:r w:rsidR="004F7DCB" w:rsidRPr="00EC0996">
        <w:rPr>
          <w:b/>
          <w:color w:val="000000" w:themeColor="text1"/>
          <w:sz w:val="28"/>
          <w:szCs w:val="28"/>
        </w:rPr>
        <w:t xml:space="preserve">Jane </w:t>
      </w:r>
      <w:r w:rsidR="00CC7C56" w:rsidRPr="00EC0996">
        <w:rPr>
          <w:b/>
          <w:color w:val="000000" w:themeColor="text1"/>
          <w:sz w:val="28"/>
          <w:szCs w:val="28"/>
        </w:rPr>
        <w:t xml:space="preserve">S. </w:t>
      </w:r>
      <w:r w:rsidR="004F7DCB" w:rsidRPr="00EC0996">
        <w:rPr>
          <w:b/>
          <w:color w:val="000000" w:themeColor="text1"/>
          <w:sz w:val="28"/>
          <w:szCs w:val="28"/>
        </w:rPr>
        <w:t xml:space="preserve">Lucas </w:t>
      </w:r>
      <w:r w:rsidR="00FD1C4F" w:rsidRPr="00EC0996">
        <w:rPr>
          <w:b/>
          <w:color w:val="000000" w:themeColor="text1"/>
          <w:sz w:val="28"/>
          <w:szCs w:val="28"/>
        </w:rPr>
        <w:t>(2</w:t>
      </w:r>
      <w:r w:rsidR="00937DFF" w:rsidRPr="00EC0996">
        <w:rPr>
          <w:b/>
          <w:color w:val="000000" w:themeColor="text1"/>
          <w:sz w:val="28"/>
          <w:szCs w:val="28"/>
        </w:rPr>
        <w:t>, 3</w:t>
      </w:r>
      <w:r w:rsidR="00FD1C4F" w:rsidRPr="00EC0996">
        <w:rPr>
          <w:b/>
          <w:color w:val="000000" w:themeColor="text1"/>
          <w:sz w:val="28"/>
          <w:szCs w:val="28"/>
        </w:rPr>
        <w:t>)</w:t>
      </w:r>
    </w:p>
    <w:p w14:paraId="44765202" w14:textId="77777777" w:rsidR="00937DFF" w:rsidRPr="007754FC" w:rsidRDefault="00937DFF" w:rsidP="0053746D">
      <w:pPr>
        <w:tabs>
          <w:tab w:val="center" w:pos="4513"/>
        </w:tabs>
        <w:rPr>
          <w:color w:val="000000" w:themeColor="text1"/>
        </w:rPr>
      </w:pPr>
    </w:p>
    <w:p w14:paraId="0A34FA03" w14:textId="77777777" w:rsidR="00937DFF" w:rsidRDefault="00937DFF" w:rsidP="0053746D">
      <w:pPr>
        <w:pStyle w:val="ListParagraph"/>
        <w:numPr>
          <w:ilvl w:val="0"/>
          <w:numId w:val="6"/>
        </w:numPr>
        <w:spacing w:after="0" w:line="240" w:lineRule="auto"/>
        <w:rPr>
          <w:rFonts w:eastAsia="Times New Roman" w:cs="Times New Roman"/>
          <w:lang w:eastAsia="de-CH"/>
        </w:rPr>
      </w:pPr>
      <w:r w:rsidRPr="00431C11">
        <w:rPr>
          <w:rFonts w:eastAsia="Times New Roman" w:cs="Times New Roman"/>
          <w:lang w:eastAsia="de-CH"/>
        </w:rPr>
        <w:t xml:space="preserve">Institute of Social and Preventive Medicine, University of Bern, Bern, Switzerland. </w:t>
      </w:r>
      <w:r w:rsidR="00095CD3" w:rsidRPr="008144FE">
        <w:rPr>
          <w:rFonts w:eastAsia="Times New Roman" w:cs="Times New Roman"/>
          <w:lang w:eastAsia="de-CH"/>
        </w:rPr>
        <w:t>claudia.kuehni@ispm.unibe.ch</w:t>
      </w:r>
      <w:r w:rsidR="00095CD3">
        <w:rPr>
          <w:rFonts w:eastAsia="Times New Roman" w:cs="Times New Roman"/>
          <w:lang w:eastAsia="de-CH"/>
        </w:rPr>
        <w:t>, +41(0)31 631 35 07</w:t>
      </w:r>
    </w:p>
    <w:p w14:paraId="2D67EC0E" w14:textId="77777777" w:rsidR="00095CD3" w:rsidRPr="00431C11" w:rsidRDefault="00095CD3" w:rsidP="0053746D">
      <w:pPr>
        <w:pStyle w:val="ListParagraph"/>
        <w:spacing w:after="0" w:line="240" w:lineRule="auto"/>
        <w:ind w:left="360"/>
        <w:rPr>
          <w:rFonts w:eastAsia="Times New Roman" w:cs="Times New Roman"/>
          <w:lang w:eastAsia="de-CH"/>
        </w:rPr>
      </w:pPr>
    </w:p>
    <w:p w14:paraId="06D799F3" w14:textId="77777777" w:rsidR="00937DFF" w:rsidRPr="00431C11" w:rsidRDefault="00937DFF" w:rsidP="0053746D">
      <w:pPr>
        <w:pStyle w:val="ListParagraph"/>
        <w:spacing w:after="0" w:line="240" w:lineRule="auto"/>
        <w:ind w:left="360"/>
        <w:rPr>
          <w:rFonts w:eastAsia="Times New Roman" w:cs="Times New Roman"/>
          <w:lang w:eastAsia="de-CH"/>
        </w:rPr>
      </w:pPr>
    </w:p>
    <w:p w14:paraId="1839AFFC" w14:textId="77777777" w:rsidR="00937DFF" w:rsidRPr="00431C11" w:rsidRDefault="00937DFF" w:rsidP="0053746D">
      <w:pPr>
        <w:pStyle w:val="ListParagraph"/>
        <w:numPr>
          <w:ilvl w:val="0"/>
          <w:numId w:val="6"/>
        </w:numPr>
        <w:tabs>
          <w:tab w:val="center" w:pos="4513"/>
        </w:tabs>
        <w:rPr>
          <w:color w:val="000000" w:themeColor="text1"/>
        </w:rPr>
      </w:pPr>
      <w:r w:rsidRPr="00431C11">
        <w:rPr>
          <w:rFonts w:eastAsia="Times New Roman" w:cs="Times New Roman"/>
          <w:lang w:eastAsia="de-CH"/>
        </w:rPr>
        <w:t xml:space="preserve">Primary Ciliary Dyskinesia Centre, University Hospital Southampton NHS Foundation Trust, Southampton, UK </w:t>
      </w:r>
    </w:p>
    <w:p w14:paraId="78210C91" w14:textId="77777777" w:rsidR="00937DFF" w:rsidRPr="00431C11" w:rsidRDefault="00937DFF" w:rsidP="0053746D">
      <w:pPr>
        <w:pStyle w:val="ListParagraph"/>
        <w:rPr>
          <w:rFonts w:eastAsia="Times New Roman" w:cs="Times New Roman"/>
          <w:lang w:eastAsia="de-CH"/>
        </w:rPr>
      </w:pPr>
    </w:p>
    <w:p w14:paraId="26EC1575" w14:textId="77777777" w:rsidR="00FD1C4F" w:rsidRPr="007E3DD5" w:rsidRDefault="00937DFF" w:rsidP="0053746D">
      <w:pPr>
        <w:pStyle w:val="ListParagraph"/>
        <w:numPr>
          <w:ilvl w:val="0"/>
          <w:numId w:val="6"/>
        </w:numPr>
        <w:tabs>
          <w:tab w:val="center" w:pos="4513"/>
        </w:tabs>
        <w:rPr>
          <w:color w:val="000000" w:themeColor="text1"/>
        </w:rPr>
      </w:pPr>
      <w:r w:rsidRPr="00431C11">
        <w:rPr>
          <w:rFonts w:eastAsia="Times New Roman" w:cs="Times New Roman"/>
          <w:lang w:eastAsia="de-CH"/>
        </w:rPr>
        <w:t xml:space="preserve">NIHR Southampton Respiratory Biomedical Research Unit, University of Southampton and University Hospital Southampton NHS Foundation Trust, Southampton, UK. </w:t>
      </w:r>
      <w:r w:rsidR="007E3DD5" w:rsidRPr="008144FE">
        <w:rPr>
          <w:rFonts w:eastAsia="Times New Roman" w:cs="Times New Roman"/>
          <w:lang w:eastAsia="de-CH"/>
        </w:rPr>
        <w:t>jlucas1@soton.ac.uk</w:t>
      </w:r>
      <w:r w:rsidRPr="00431C11">
        <w:rPr>
          <w:rFonts w:eastAsia="Times New Roman" w:cs="Times New Roman"/>
          <w:lang w:eastAsia="de-CH"/>
        </w:rPr>
        <w:t>.</w:t>
      </w:r>
      <w:r w:rsidR="00D17DBA">
        <w:rPr>
          <w:rFonts w:eastAsia="Times New Roman" w:cs="Times New Roman"/>
          <w:lang w:eastAsia="de-CH"/>
        </w:rPr>
        <w:t xml:space="preserve"> +44(0)23 8120 6160</w:t>
      </w:r>
    </w:p>
    <w:p w14:paraId="49FFE9DE" w14:textId="77777777" w:rsidR="007E3DD5" w:rsidRPr="007E3DD5" w:rsidRDefault="007E3DD5" w:rsidP="0053746D">
      <w:pPr>
        <w:pStyle w:val="ListParagraph"/>
        <w:rPr>
          <w:color w:val="000000" w:themeColor="text1"/>
        </w:rPr>
      </w:pPr>
    </w:p>
    <w:p w14:paraId="79BBC49C" w14:textId="77777777" w:rsidR="007E3DD5" w:rsidRDefault="007E3DD5" w:rsidP="0053746D">
      <w:pPr>
        <w:tabs>
          <w:tab w:val="center" w:pos="4513"/>
        </w:tabs>
        <w:rPr>
          <w:color w:val="000000" w:themeColor="text1"/>
        </w:rPr>
      </w:pPr>
    </w:p>
    <w:p w14:paraId="33728225" w14:textId="77777777" w:rsidR="00880304" w:rsidRDefault="00880304" w:rsidP="0053746D">
      <w:pPr>
        <w:tabs>
          <w:tab w:val="center" w:pos="4513"/>
        </w:tabs>
        <w:rPr>
          <w:color w:val="000000" w:themeColor="text1"/>
        </w:rPr>
      </w:pPr>
      <w:r>
        <w:rPr>
          <w:color w:val="000000" w:themeColor="text1"/>
        </w:rPr>
        <w:t xml:space="preserve">CEK and JSL are </w:t>
      </w:r>
      <w:r w:rsidRPr="007E3DD5">
        <w:rPr>
          <w:color w:val="000000" w:themeColor="text1"/>
          <w:lang w:val="en-US"/>
        </w:rPr>
        <w:t>participants in</w:t>
      </w:r>
      <w:r w:rsidRPr="00880304">
        <w:rPr>
          <w:color w:val="000000" w:themeColor="text1"/>
        </w:rPr>
        <w:t xml:space="preserve"> the European Union’s Seventh Framework Programme under EG-GA No.35404 BESTCILIA: Better Experimental Screening and Treatment for Primary Ciliary Dyskinesia. </w:t>
      </w:r>
      <w:r w:rsidR="00E6270A">
        <w:rPr>
          <w:color w:val="000000" w:themeColor="text1"/>
        </w:rPr>
        <w:t>They are Chair and Deputy Chair</w:t>
      </w:r>
      <w:r w:rsidRPr="00880304">
        <w:rPr>
          <w:color w:val="000000" w:themeColor="text1"/>
        </w:rPr>
        <w:t xml:space="preserve"> of COST Action BEAT-PCD:  Better Evidence to Advance Therapeutic </w:t>
      </w:r>
      <w:r>
        <w:rPr>
          <w:color w:val="000000" w:themeColor="text1"/>
        </w:rPr>
        <w:t xml:space="preserve">options for PCD (BM 1407) and are </w:t>
      </w:r>
      <w:r w:rsidRPr="00880304">
        <w:rPr>
          <w:color w:val="000000" w:themeColor="text1"/>
        </w:rPr>
        <w:t xml:space="preserve">members of the ERS PCD Taskforce for PCD Diagnostics (ERS TF-2014-04). </w:t>
      </w:r>
      <w:r>
        <w:rPr>
          <w:color w:val="000000" w:themeColor="text1"/>
        </w:rPr>
        <w:t xml:space="preserve"> The views expressed in this manuscript do not reflect official views of these collaborations.</w:t>
      </w:r>
    </w:p>
    <w:p w14:paraId="4AF78774" w14:textId="77777777" w:rsidR="00CC7C56" w:rsidRPr="00937DFF" w:rsidRDefault="00CC7C56" w:rsidP="0053746D">
      <w:pPr>
        <w:tabs>
          <w:tab w:val="center" w:pos="4513"/>
        </w:tabs>
        <w:rPr>
          <w:color w:val="000000" w:themeColor="text1"/>
        </w:rPr>
      </w:pPr>
    </w:p>
    <w:p w14:paraId="151447F5" w14:textId="77777777" w:rsidR="001544A1" w:rsidRDefault="001544A1" w:rsidP="0053746D">
      <w:pPr>
        <w:tabs>
          <w:tab w:val="center" w:pos="4513"/>
        </w:tabs>
        <w:rPr>
          <w:color w:val="000000" w:themeColor="text1"/>
        </w:rPr>
      </w:pPr>
      <w:r w:rsidRPr="003E6765">
        <w:rPr>
          <w:b/>
          <w:color w:val="000000" w:themeColor="text1"/>
        </w:rPr>
        <w:t>Key Words</w:t>
      </w:r>
      <w:r>
        <w:rPr>
          <w:color w:val="000000" w:themeColor="text1"/>
        </w:rPr>
        <w:t>: primary ciliary dyskinesia, diagnosis, clinical features, epidemiology</w:t>
      </w:r>
    </w:p>
    <w:p w14:paraId="46193B2D" w14:textId="77777777" w:rsidR="001544A1" w:rsidRPr="00E6270A" w:rsidRDefault="001544A1" w:rsidP="0053746D">
      <w:pPr>
        <w:tabs>
          <w:tab w:val="center" w:pos="4513"/>
        </w:tabs>
        <w:rPr>
          <w:color w:val="000000" w:themeColor="text1"/>
        </w:rPr>
      </w:pPr>
      <w:r w:rsidRPr="00E6270A">
        <w:rPr>
          <w:b/>
          <w:color w:val="000000" w:themeColor="text1"/>
        </w:rPr>
        <w:t>Running head:</w:t>
      </w:r>
      <w:r w:rsidR="00E6270A" w:rsidRPr="00E6270A">
        <w:rPr>
          <w:color w:val="000000" w:themeColor="text1"/>
        </w:rPr>
        <w:t xml:space="preserve"> </w:t>
      </w:r>
      <w:r w:rsidR="00E6270A">
        <w:rPr>
          <w:color w:val="000000" w:themeColor="text1"/>
        </w:rPr>
        <w:t>Identifying w</w:t>
      </w:r>
      <w:r w:rsidR="00E6270A" w:rsidRPr="00E6270A">
        <w:rPr>
          <w:color w:val="000000" w:themeColor="text1"/>
        </w:rPr>
        <w:t xml:space="preserve">hom </w:t>
      </w:r>
      <w:r w:rsidRPr="00E6270A">
        <w:rPr>
          <w:color w:val="000000" w:themeColor="text1"/>
        </w:rPr>
        <w:t>to</w:t>
      </w:r>
      <w:r w:rsidR="00E6270A">
        <w:rPr>
          <w:color w:val="000000" w:themeColor="text1"/>
        </w:rPr>
        <w:t xml:space="preserve"> refer for PCD diagnostic tests</w:t>
      </w:r>
    </w:p>
    <w:p w14:paraId="50FFF787" w14:textId="77777777" w:rsidR="00146A27" w:rsidRDefault="00146A27" w:rsidP="0053746D">
      <w:pPr>
        <w:tabs>
          <w:tab w:val="center" w:pos="4513"/>
        </w:tabs>
        <w:rPr>
          <w:color w:val="000000" w:themeColor="text1"/>
        </w:rPr>
      </w:pPr>
      <w:r w:rsidRPr="00454380">
        <w:rPr>
          <w:b/>
          <w:color w:val="000000" w:themeColor="text1"/>
        </w:rPr>
        <w:t>Word Count</w:t>
      </w:r>
      <w:r w:rsidRPr="00454380">
        <w:rPr>
          <w:color w:val="000000" w:themeColor="text1"/>
        </w:rPr>
        <w:t>:</w:t>
      </w:r>
      <w:r w:rsidR="00A64B80" w:rsidRPr="00454380">
        <w:rPr>
          <w:color w:val="000000" w:themeColor="text1"/>
        </w:rPr>
        <w:t xml:space="preserve"> </w:t>
      </w:r>
      <w:r w:rsidR="00454380" w:rsidRPr="00454380">
        <w:rPr>
          <w:color w:val="000000" w:themeColor="text1"/>
        </w:rPr>
        <w:t>2384</w:t>
      </w:r>
      <w:r w:rsidR="00F54575" w:rsidRPr="00454380">
        <w:rPr>
          <w:color w:val="000000" w:themeColor="text1"/>
        </w:rPr>
        <w:t xml:space="preserve"> (target 1500-3000)</w:t>
      </w:r>
    </w:p>
    <w:p w14:paraId="06C7C924" w14:textId="77777777" w:rsidR="00146A27" w:rsidRDefault="00146A27" w:rsidP="0053746D">
      <w:pPr>
        <w:tabs>
          <w:tab w:val="center" w:pos="4513"/>
        </w:tabs>
        <w:rPr>
          <w:color w:val="000000" w:themeColor="text1"/>
        </w:rPr>
      </w:pPr>
    </w:p>
    <w:p w14:paraId="397C2E6A" w14:textId="77777777" w:rsidR="007754FC" w:rsidRDefault="009C7116" w:rsidP="0053746D">
      <w:pPr>
        <w:rPr>
          <w:b/>
        </w:rPr>
      </w:pPr>
      <w:r w:rsidRPr="003E6765">
        <w:rPr>
          <w:b/>
          <w:color w:val="000000" w:themeColor="text1"/>
        </w:rPr>
        <w:t>Acknowledgements</w:t>
      </w:r>
      <w:r w:rsidRPr="009C7116">
        <w:rPr>
          <w:color w:val="000000" w:themeColor="text1"/>
        </w:rPr>
        <w:t>:</w:t>
      </w:r>
      <w:r>
        <w:rPr>
          <w:color w:val="000000" w:themeColor="text1"/>
        </w:rPr>
        <w:t xml:space="preserve"> </w:t>
      </w:r>
      <w:r w:rsidRPr="009C7116">
        <w:rPr>
          <w:color w:val="000000" w:themeColor="text1"/>
        </w:rPr>
        <w:t xml:space="preserve">We thank </w:t>
      </w:r>
      <w:r>
        <w:rPr>
          <w:color w:val="000000" w:themeColor="text1"/>
        </w:rPr>
        <w:t xml:space="preserve">Florian </w:t>
      </w:r>
      <w:proofErr w:type="spellStart"/>
      <w:r>
        <w:rPr>
          <w:color w:val="000000" w:themeColor="text1"/>
        </w:rPr>
        <w:t>Halbeisen</w:t>
      </w:r>
      <w:proofErr w:type="spellEnd"/>
      <w:r>
        <w:rPr>
          <w:color w:val="000000" w:themeColor="text1"/>
        </w:rPr>
        <w:t xml:space="preserve"> and</w:t>
      </w:r>
      <w:r w:rsidR="00773FDD">
        <w:rPr>
          <w:color w:val="000000" w:themeColor="text1"/>
        </w:rPr>
        <w:t xml:space="preserve"> Myrona Goutaki, University of Bern, for </w:t>
      </w:r>
      <w:r w:rsidR="00C91258">
        <w:rPr>
          <w:color w:val="000000" w:themeColor="text1"/>
        </w:rPr>
        <w:t xml:space="preserve">help with </w:t>
      </w:r>
      <w:r w:rsidR="00EC0996">
        <w:rPr>
          <w:color w:val="000000" w:themeColor="text1"/>
        </w:rPr>
        <w:t>calculations</w:t>
      </w:r>
      <w:r w:rsidR="00D02113">
        <w:rPr>
          <w:color w:val="000000" w:themeColor="text1"/>
        </w:rPr>
        <w:t xml:space="preserve"> and</w:t>
      </w:r>
      <w:r w:rsidR="00235B40">
        <w:rPr>
          <w:color w:val="000000" w:themeColor="text1"/>
        </w:rPr>
        <w:t xml:space="preserve"> </w:t>
      </w:r>
      <w:r w:rsidR="00773FDD">
        <w:rPr>
          <w:color w:val="000000" w:themeColor="text1"/>
        </w:rPr>
        <w:t xml:space="preserve">comments on previous versions of this manuscript. </w:t>
      </w:r>
      <w:r w:rsidR="007754FC">
        <w:rPr>
          <w:b/>
        </w:rPr>
        <w:br w:type="page"/>
      </w:r>
    </w:p>
    <w:p w14:paraId="6C0D6528" w14:textId="5954DBE9" w:rsidR="00146A27" w:rsidRDefault="00146A27" w:rsidP="0053746D">
      <w:pPr>
        <w:spacing w:line="480" w:lineRule="auto"/>
        <w:rPr>
          <w:b/>
        </w:rPr>
      </w:pPr>
      <w:r w:rsidRPr="00E6270A">
        <w:rPr>
          <w:b/>
        </w:rPr>
        <w:lastRenderedPageBreak/>
        <w:t>Abstract</w:t>
      </w:r>
      <w:r w:rsidR="00711C62" w:rsidRPr="00E6270A">
        <w:rPr>
          <w:b/>
        </w:rPr>
        <w:t xml:space="preserve"> </w:t>
      </w:r>
    </w:p>
    <w:p w14:paraId="58EEA8C4" w14:textId="1129BEF6" w:rsidR="005503EE" w:rsidRDefault="005503EE" w:rsidP="0081328C">
      <w:pPr>
        <w:spacing w:line="480" w:lineRule="auto"/>
      </w:pPr>
      <w:r w:rsidRPr="00D54ECA">
        <w:t xml:space="preserve">Primary ciliary dyskinesia is a rare heterogeneous recessive </w:t>
      </w:r>
      <w:r w:rsidR="0053746D">
        <w:t xml:space="preserve">genetic </w:t>
      </w:r>
      <w:r w:rsidRPr="00D54ECA">
        <w:t>disorder of motile cilia,</w:t>
      </w:r>
      <w:r>
        <w:t xml:space="preserve"> leading to chronic upper and lower respiratory symptoms. Prevalence </w:t>
      </w:r>
      <w:proofErr w:type="gramStart"/>
      <w:r>
        <w:t>is estimated</w:t>
      </w:r>
      <w:proofErr w:type="gramEnd"/>
      <w:r>
        <w:t xml:space="preserve"> </w:t>
      </w:r>
      <w:r w:rsidR="00D02113">
        <w:t>at around</w:t>
      </w:r>
      <w:r>
        <w:t xml:space="preserve"> 1:10</w:t>
      </w:r>
      <w:r w:rsidR="003D2A12">
        <w:t>,</w:t>
      </w:r>
      <w:r>
        <w:t xml:space="preserve">000, but </w:t>
      </w:r>
      <w:r w:rsidR="00235B40">
        <w:t>many</w:t>
      </w:r>
      <w:r>
        <w:t xml:space="preserve"> patients remain undiagnosed, while other</w:t>
      </w:r>
      <w:r w:rsidR="003D2A12">
        <w:t>s</w:t>
      </w:r>
      <w:r>
        <w:t xml:space="preserve"> receive the label incorrectly. Proper diagnosis is </w:t>
      </w:r>
      <w:r w:rsidR="00F156A0">
        <w:t>complicated</w:t>
      </w:r>
      <w:r>
        <w:t xml:space="preserve"> by the fact that the key symptoms </w:t>
      </w:r>
      <w:r w:rsidR="003D2A12">
        <w:t>such as</w:t>
      </w:r>
      <w:r>
        <w:t xml:space="preserve"> wet cough, chronic rhinitis and recurrent upper and lower respiratory </w:t>
      </w:r>
      <w:r w:rsidR="00F156A0">
        <w:t>infection</w:t>
      </w:r>
      <w:r w:rsidR="00002495">
        <w:t>,</w:t>
      </w:r>
      <w:r>
        <w:t xml:space="preserve"> are common and nonspecific. There is no single gold standard test to </w:t>
      </w:r>
      <w:r w:rsidR="00F156A0">
        <w:t>diagnose</w:t>
      </w:r>
      <w:r>
        <w:t xml:space="preserve"> PCD</w:t>
      </w:r>
      <w:r w:rsidR="0053746D">
        <w:t xml:space="preserve">. Presently, the </w:t>
      </w:r>
      <w:r>
        <w:t xml:space="preserve">diagnosis </w:t>
      </w:r>
      <w:proofErr w:type="gramStart"/>
      <w:r w:rsidR="0074555B">
        <w:t>is</w:t>
      </w:r>
      <w:r>
        <w:t xml:space="preserve"> made</w:t>
      </w:r>
      <w:proofErr w:type="gramEnd"/>
      <w:r>
        <w:t xml:space="preserve"> </w:t>
      </w:r>
      <w:r w:rsidR="0083322F">
        <w:t xml:space="preserve">in patients with a compatible medical history following </w:t>
      </w:r>
      <w:r>
        <w:t xml:space="preserve">a </w:t>
      </w:r>
      <w:r w:rsidR="00E6270A">
        <w:t>demanding combination of tests including nasal nitric oxide</w:t>
      </w:r>
      <w:r>
        <w:t>, high</w:t>
      </w:r>
      <w:r w:rsidR="0053746D">
        <w:t>-</w:t>
      </w:r>
      <w:r>
        <w:t xml:space="preserve">speed </w:t>
      </w:r>
      <w:r w:rsidR="00F156A0">
        <w:t>video microscopy</w:t>
      </w:r>
      <w:r>
        <w:t>, transmission electron microscopy, genetics</w:t>
      </w:r>
      <w:r w:rsidR="0053746D">
        <w:t>,</w:t>
      </w:r>
      <w:r>
        <w:t xml:space="preserve"> and ciliary culture. </w:t>
      </w:r>
      <w:r w:rsidR="00F156A0">
        <w:t>These tests are</w:t>
      </w:r>
      <w:r>
        <w:t xml:space="preserve"> </w:t>
      </w:r>
      <w:proofErr w:type="gramStart"/>
      <w:r>
        <w:t>costly</w:t>
      </w:r>
      <w:r w:rsidR="00235B40">
        <w:t xml:space="preserve"> and</w:t>
      </w:r>
      <w:r w:rsidR="00F156A0">
        <w:t xml:space="preserve"> need sophisticated equipment</w:t>
      </w:r>
      <w:proofErr w:type="gramEnd"/>
      <w:r w:rsidR="00F156A0">
        <w:t xml:space="preserve"> and experienced staff, </w:t>
      </w:r>
      <w:r w:rsidR="003D2A12">
        <w:t>restricting use to</w:t>
      </w:r>
      <w:r>
        <w:t xml:space="preserve"> highly specialised </w:t>
      </w:r>
      <w:proofErr w:type="spellStart"/>
      <w:r w:rsidR="0081328C">
        <w:t>centers</w:t>
      </w:r>
      <w:proofErr w:type="spellEnd"/>
      <w:r>
        <w:t xml:space="preserve">. Therefore, it would be </w:t>
      </w:r>
      <w:r w:rsidR="00F156A0">
        <w:t>desirable to have a screening test</w:t>
      </w:r>
      <w:r w:rsidR="003D2A12">
        <w:t xml:space="preserve"> </w:t>
      </w:r>
      <w:r w:rsidR="00D02113">
        <w:t>for</w:t>
      </w:r>
      <w:r w:rsidR="003D2A12">
        <w:t xml:space="preserve"> identify</w:t>
      </w:r>
      <w:r w:rsidR="00D02113">
        <w:t>ing</w:t>
      </w:r>
      <w:r w:rsidR="003D2A12">
        <w:t xml:space="preserve"> </w:t>
      </w:r>
      <w:r w:rsidR="00F156A0">
        <w:t xml:space="preserve">those patients who should undergo </w:t>
      </w:r>
      <w:r w:rsidR="00D02113">
        <w:t xml:space="preserve">detailed </w:t>
      </w:r>
      <w:r w:rsidR="00235B40">
        <w:t>diagnostic testing</w:t>
      </w:r>
      <w:r w:rsidR="00F156A0">
        <w:t xml:space="preserve">. Three recent studies </w:t>
      </w:r>
      <w:r w:rsidR="00235B40">
        <w:t>focused on</w:t>
      </w:r>
      <w:r w:rsidR="00F156A0">
        <w:t xml:space="preserve"> </w:t>
      </w:r>
      <w:r w:rsidR="00D02113">
        <w:t>potential</w:t>
      </w:r>
      <w:r w:rsidR="00235B40">
        <w:t xml:space="preserve"> </w:t>
      </w:r>
      <w:r w:rsidR="00F156A0">
        <w:t>screening</w:t>
      </w:r>
      <w:r w:rsidR="00D02113">
        <w:t xml:space="preserve"> tools</w:t>
      </w:r>
      <w:r w:rsidR="00235B40">
        <w:t xml:space="preserve">: </w:t>
      </w:r>
      <w:r w:rsidR="00F156A0">
        <w:t xml:space="preserve"> </w:t>
      </w:r>
      <w:r w:rsidR="00235B40">
        <w:t>one</w:t>
      </w:r>
      <w:r w:rsidR="00F156A0">
        <w:t xml:space="preserve"> </w:t>
      </w:r>
      <w:r w:rsidR="00D02113">
        <w:t xml:space="preserve">paper </w:t>
      </w:r>
      <w:r w:rsidR="00F156A0">
        <w:t>assess</w:t>
      </w:r>
      <w:r w:rsidR="0074555B">
        <w:t>ed</w:t>
      </w:r>
      <w:r w:rsidR="00E6270A">
        <w:t xml:space="preserve"> the validity of nasal nitric oxide</w:t>
      </w:r>
      <w:r w:rsidR="0074555B">
        <w:t xml:space="preserve"> for screening</w:t>
      </w:r>
      <w:r w:rsidR="00F156A0">
        <w:t xml:space="preserve">, and two studies developed </w:t>
      </w:r>
      <w:r w:rsidR="00235B40">
        <w:t xml:space="preserve">new </w:t>
      </w:r>
      <w:r w:rsidR="00F156A0">
        <w:t xml:space="preserve">symptom-based </w:t>
      </w:r>
      <w:r w:rsidR="00235B40">
        <w:t xml:space="preserve">screening </w:t>
      </w:r>
      <w:r w:rsidR="00F156A0">
        <w:t xml:space="preserve">tools. </w:t>
      </w:r>
      <w:r w:rsidR="0074555B">
        <w:t xml:space="preserve">These simple tools are welcome, and hopefully remind physicians whom to refer for definitive testing. However, they </w:t>
      </w:r>
      <w:proofErr w:type="gramStart"/>
      <w:r w:rsidR="0074555B">
        <w:t>have been developed</w:t>
      </w:r>
      <w:proofErr w:type="gramEnd"/>
      <w:r w:rsidR="0074555B">
        <w:t xml:space="preserve"> in tertiary care settings, where 10 to 50% of tested patients have PCD. S</w:t>
      </w:r>
      <w:r w:rsidR="00F156A0">
        <w:t xml:space="preserve">ensitivity and specificity of the tools are reasonable, </w:t>
      </w:r>
      <w:r w:rsidR="0074555B">
        <w:t xml:space="preserve">but </w:t>
      </w:r>
      <w:r w:rsidR="00F156A0">
        <w:t>positive and negative predictive values</w:t>
      </w:r>
      <w:r w:rsidR="0074555B">
        <w:t xml:space="preserve"> </w:t>
      </w:r>
      <w:r w:rsidR="0053746D">
        <w:t xml:space="preserve">may </w:t>
      </w:r>
      <w:r w:rsidR="0074555B">
        <w:t xml:space="preserve">be poor in primary or secondary care settings. </w:t>
      </w:r>
      <w:r w:rsidR="00F156A0">
        <w:t xml:space="preserve"> </w:t>
      </w:r>
      <w:r w:rsidR="0074555B">
        <w:t>While these studies take an important step forward towards an</w:t>
      </w:r>
      <w:r w:rsidR="00E6270A">
        <w:t xml:space="preserve"> earlier diagnosis of PCD, </w:t>
      </w:r>
      <w:r w:rsidR="0074555B">
        <w:t xml:space="preserve">more remains to </w:t>
      </w:r>
      <w:proofErr w:type="gramStart"/>
      <w:r w:rsidR="0074555B">
        <w:t>be done</w:t>
      </w:r>
      <w:proofErr w:type="gramEnd"/>
      <w:r w:rsidR="0074555B">
        <w:t xml:space="preserve"> before we have tools</w:t>
      </w:r>
      <w:r w:rsidR="00F156A0">
        <w:t xml:space="preserve"> tailored </w:t>
      </w:r>
      <w:r w:rsidR="00D02113">
        <w:t xml:space="preserve">to </w:t>
      </w:r>
      <w:r w:rsidR="0074555B">
        <w:t xml:space="preserve">different health care settings.  </w:t>
      </w:r>
    </w:p>
    <w:p w14:paraId="56CD3D25" w14:textId="77777777" w:rsidR="0053746D" w:rsidRDefault="0053746D">
      <w:pPr>
        <w:spacing w:line="480" w:lineRule="auto"/>
      </w:pPr>
    </w:p>
    <w:p w14:paraId="1AAF9B65" w14:textId="77777777" w:rsidR="00C74F2E" w:rsidRPr="003F53FF" w:rsidRDefault="0053746D">
      <w:pPr>
        <w:spacing w:line="480" w:lineRule="auto"/>
      </w:pPr>
      <w:r w:rsidRPr="003F53FF">
        <w:t>Abstract word count: 257</w:t>
      </w:r>
    </w:p>
    <w:p w14:paraId="5DE93B32" w14:textId="77777777" w:rsidR="0074555B" w:rsidRDefault="0074555B">
      <w:pPr>
        <w:rPr>
          <w:b/>
        </w:rPr>
      </w:pPr>
      <w:r>
        <w:rPr>
          <w:b/>
        </w:rPr>
        <w:br w:type="page"/>
      </w:r>
    </w:p>
    <w:p w14:paraId="6946167D" w14:textId="55818F44" w:rsidR="003A5CAF" w:rsidRPr="00AA602C" w:rsidRDefault="00C74F2E">
      <w:pPr>
        <w:spacing w:after="0" w:line="360" w:lineRule="auto"/>
        <w:ind w:firstLine="720"/>
        <w:rPr>
          <w:shd w:val="clear" w:color="auto" w:fill="FFFFFF"/>
        </w:rPr>
      </w:pPr>
      <w:bookmarkStart w:id="0" w:name="_GoBack"/>
      <w:r w:rsidRPr="00AA602C">
        <w:rPr>
          <w:shd w:val="clear" w:color="auto" w:fill="FFFFFF"/>
        </w:rPr>
        <w:lastRenderedPageBreak/>
        <w:t>Primary ciliary dyskinesia (PCD) is a</w:t>
      </w:r>
      <w:r w:rsidR="001D4001">
        <w:rPr>
          <w:shd w:val="clear" w:color="auto" w:fill="FFFFFF"/>
        </w:rPr>
        <w:t>n</w:t>
      </w:r>
      <w:r w:rsidRPr="00AA602C">
        <w:rPr>
          <w:shd w:val="clear" w:color="auto" w:fill="FFFFFF"/>
        </w:rPr>
        <w:t xml:space="preserve"> </w:t>
      </w:r>
      <w:r w:rsidR="00AB092B" w:rsidRPr="00AA602C">
        <w:rPr>
          <w:shd w:val="clear" w:color="auto" w:fill="FFFFFF"/>
        </w:rPr>
        <w:t>inherited</w:t>
      </w:r>
      <w:r w:rsidRPr="00AA602C">
        <w:rPr>
          <w:shd w:val="clear" w:color="auto" w:fill="FFFFFF"/>
        </w:rPr>
        <w:t xml:space="preserve"> disease characterized by abnormal ciliary function</w:t>
      </w:r>
      <w:r w:rsidR="001D4001">
        <w:rPr>
          <w:shd w:val="clear" w:color="auto" w:fill="FFFFFF"/>
        </w:rPr>
        <w:t xml:space="preserve"> and, in about 8</w:t>
      </w:r>
      <w:r w:rsidR="00BC5B61" w:rsidRPr="00AA602C">
        <w:rPr>
          <w:shd w:val="clear" w:color="auto" w:fill="FFFFFF"/>
        </w:rPr>
        <w:t xml:space="preserve">0% of cases, </w:t>
      </w:r>
      <w:r w:rsidRPr="00AA602C">
        <w:rPr>
          <w:shd w:val="clear" w:color="auto" w:fill="FFFFFF"/>
        </w:rPr>
        <w:t>abnormal ciliary ultrastructure</w:t>
      </w:r>
      <w:r w:rsidR="003F53FF">
        <w:rPr>
          <w:noProof/>
          <w:shd w:val="clear" w:color="auto" w:fill="FFFFFF"/>
        </w:rPr>
        <w:t xml:space="preserve"> (</w:t>
      </w:r>
      <w:r w:rsidR="00F85EE8">
        <w:rPr>
          <w:noProof/>
          <w:shd w:val="clear" w:color="auto" w:fill="FFFFFF"/>
        </w:rPr>
        <w:t>1</w:t>
      </w:r>
      <w:r w:rsidR="003F53FF">
        <w:rPr>
          <w:noProof/>
          <w:shd w:val="clear" w:color="auto" w:fill="FFFFFF"/>
        </w:rPr>
        <w:t xml:space="preserve">, </w:t>
      </w:r>
      <w:r w:rsidR="00F85EE8">
        <w:rPr>
          <w:noProof/>
          <w:shd w:val="clear" w:color="auto" w:fill="FFFFFF"/>
        </w:rPr>
        <w:t>2</w:t>
      </w:r>
      <w:r w:rsidR="003F53FF">
        <w:rPr>
          <w:noProof/>
          <w:shd w:val="clear" w:color="auto" w:fill="FFFFFF"/>
        </w:rPr>
        <w:t>)</w:t>
      </w:r>
      <w:r w:rsidR="00EC0996">
        <w:rPr>
          <w:shd w:val="clear" w:color="auto" w:fill="FFFFFF"/>
        </w:rPr>
        <w:t>.</w:t>
      </w:r>
      <w:r w:rsidRPr="00AA602C">
        <w:rPr>
          <w:shd w:val="clear" w:color="auto" w:fill="FFFFFF"/>
        </w:rPr>
        <w:t xml:space="preserve"> It </w:t>
      </w:r>
      <w:r w:rsidR="00AB092B" w:rsidRPr="00AA602C">
        <w:rPr>
          <w:shd w:val="clear" w:color="auto" w:fill="FFFFFF"/>
        </w:rPr>
        <w:t>affects</w:t>
      </w:r>
      <w:r w:rsidR="001D4001">
        <w:rPr>
          <w:shd w:val="clear" w:color="auto" w:fill="FFFFFF"/>
        </w:rPr>
        <w:t xml:space="preserve"> </w:t>
      </w:r>
      <w:proofErr w:type="spellStart"/>
      <w:r w:rsidR="001D4001">
        <w:rPr>
          <w:shd w:val="clear" w:color="auto" w:fill="FFFFFF"/>
        </w:rPr>
        <w:t>mucociliary</w:t>
      </w:r>
      <w:proofErr w:type="spellEnd"/>
      <w:r w:rsidR="001D4001">
        <w:rPr>
          <w:shd w:val="clear" w:color="auto" w:fill="FFFFFF"/>
        </w:rPr>
        <w:t xml:space="preserve"> clearance and </w:t>
      </w:r>
      <w:r w:rsidR="00AB092B" w:rsidRPr="00AA602C">
        <w:rPr>
          <w:shd w:val="clear" w:color="auto" w:fill="FFFFFF"/>
        </w:rPr>
        <w:t xml:space="preserve">leads to a </w:t>
      </w:r>
      <w:r w:rsidRPr="00AA602C">
        <w:rPr>
          <w:shd w:val="clear" w:color="auto" w:fill="FFFFFF"/>
        </w:rPr>
        <w:t xml:space="preserve">wide variety of symptoms primarily </w:t>
      </w:r>
      <w:r w:rsidR="0053746D">
        <w:rPr>
          <w:shd w:val="clear" w:color="auto" w:fill="FFFFFF"/>
        </w:rPr>
        <w:t>affecting</w:t>
      </w:r>
      <w:r w:rsidR="0053746D" w:rsidRPr="00AA602C">
        <w:rPr>
          <w:shd w:val="clear" w:color="auto" w:fill="FFFFFF"/>
        </w:rPr>
        <w:t xml:space="preserve"> </w:t>
      </w:r>
      <w:r w:rsidRPr="00AA602C">
        <w:rPr>
          <w:shd w:val="clear" w:color="auto" w:fill="FFFFFF"/>
        </w:rPr>
        <w:t>the respiratory system</w:t>
      </w:r>
      <w:r w:rsidR="009F3CEA" w:rsidRPr="00AA602C">
        <w:rPr>
          <w:shd w:val="clear" w:color="auto" w:fill="FFFFFF"/>
        </w:rPr>
        <w:t>, which usually present soon after birth</w:t>
      </w:r>
      <w:r w:rsidR="00807CA4">
        <w:rPr>
          <w:shd w:val="clear" w:color="auto" w:fill="FFFFFF"/>
        </w:rPr>
        <w:t xml:space="preserve"> </w:t>
      </w:r>
      <w:r w:rsidR="00070EC7">
        <w:rPr>
          <w:noProof/>
          <w:shd w:val="clear" w:color="auto" w:fill="FFFFFF"/>
        </w:rPr>
        <w:t>(</w:t>
      </w:r>
      <w:r w:rsidR="00F85EE8">
        <w:rPr>
          <w:noProof/>
          <w:shd w:val="clear" w:color="auto" w:fill="FFFFFF"/>
        </w:rPr>
        <w:t>3</w:t>
      </w:r>
      <w:r w:rsidR="00070EC7">
        <w:rPr>
          <w:noProof/>
          <w:shd w:val="clear" w:color="auto" w:fill="FFFFFF"/>
        </w:rPr>
        <w:t>)</w:t>
      </w:r>
      <w:r w:rsidR="00EC0996">
        <w:rPr>
          <w:shd w:val="clear" w:color="auto" w:fill="FFFFFF"/>
        </w:rPr>
        <w:t>.</w:t>
      </w:r>
      <w:r w:rsidRPr="00AA602C">
        <w:rPr>
          <w:shd w:val="clear" w:color="auto" w:fill="FFFFFF"/>
        </w:rPr>
        <w:t xml:space="preserve"> The  </w:t>
      </w:r>
      <w:r w:rsidR="00287335" w:rsidRPr="00AA602C">
        <w:rPr>
          <w:shd w:val="clear" w:color="auto" w:fill="FFFFFF"/>
        </w:rPr>
        <w:t xml:space="preserve">key </w:t>
      </w:r>
      <w:r w:rsidRPr="00AA602C">
        <w:rPr>
          <w:shd w:val="clear" w:color="auto" w:fill="FFFFFF"/>
        </w:rPr>
        <w:t>symptoms</w:t>
      </w:r>
      <w:r w:rsidR="0053746D">
        <w:rPr>
          <w:shd w:val="clear" w:color="auto" w:fill="FFFFFF"/>
        </w:rPr>
        <w:t>-</w:t>
      </w:r>
      <w:r w:rsidR="00BC1711" w:rsidRPr="00AA602C">
        <w:rPr>
          <w:shd w:val="clear" w:color="auto" w:fill="FFFFFF"/>
        </w:rPr>
        <w:t xml:space="preserve"> -</w:t>
      </w:r>
      <w:r w:rsidRPr="00AA602C">
        <w:rPr>
          <w:shd w:val="clear" w:color="auto" w:fill="FFFFFF"/>
        </w:rPr>
        <w:t>productive cough, chronic rhinitis and recurrent upper and lower respiratory tract infections</w:t>
      </w:r>
      <w:r w:rsidR="00BC1711" w:rsidRPr="00AA602C">
        <w:rPr>
          <w:shd w:val="clear" w:color="auto" w:fill="FFFFFF"/>
        </w:rPr>
        <w:t>-</w:t>
      </w:r>
      <w:r w:rsidR="0053746D">
        <w:rPr>
          <w:shd w:val="clear" w:color="auto" w:fill="FFFFFF"/>
        </w:rPr>
        <w:t>-</w:t>
      </w:r>
      <w:r w:rsidR="00BC1711" w:rsidRPr="00AA602C">
        <w:rPr>
          <w:shd w:val="clear" w:color="auto" w:fill="FFFFFF"/>
        </w:rPr>
        <w:t>are all nonspecific</w:t>
      </w:r>
      <w:r w:rsidRPr="00AA602C">
        <w:rPr>
          <w:shd w:val="clear" w:color="auto" w:fill="FFFFFF"/>
        </w:rPr>
        <w:t xml:space="preserve"> and occur in many respiratory diseases, including common ones like asthma and </w:t>
      </w:r>
      <w:r w:rsidR="00BC1711" w:rsidRPr="00AA602C">
        <w:rPr>
          <w:shd w:val="clear" w:color="auto" w:fill="FFFFFF"/>
        </w:rPr>
        <w:t>COP</w:t>
      </w:r>
      <w:r w:rsidRPr="00AA602C">
        <w:rPr>
          <w:shd w:val="clear" w:color="auto" w:fill="FFFFFF"/>
        </w:rPr>
        <w:t>D, and rare ones like cystic fibrosis and immune deficiency syndromes</w:t>
      </w:r>
      <w:r w:rsidR="00807CA4">
        <w:rPr>
          <w:shd w:val="clear" w:color="auto" w:fill="FFFFFF"/>
        </w:rPr>
        <w:t xml:space="preserve"> </w:t>
      </w:r>
      <w:r w:rsidR="00070EC7">
        <w:rPr>
          <w:noProof/>
          <w:shd w:val="clear" w:color="auto" w:fill="FFFFFF"/>
        </w:rPr>
        <w:t>(</w:t>
      </w:r>
      <w:r w:rsidR="00F85EE8">
        <w:rPr>
          <w:noProof/>
          <w:shd w:val="clear" w:color="auto" w:fill="FFFFFF"/>
        </w:rPr>
        <w:t>4</w:t>
      </w:r>
      <w:r w:rsidR="00070EC7">
        <w:rPr>
          <w:noProof/>
          <w:shd w:val="clear" w:color="auto" w:fill="FFFFFF"/>
        </w:rPr>
        <w:t>)</w:t>
      </w:r>
      <w:r w:rsidR="00EC0996">
        <w:rPr>
          <w:shd w:val="clear" w:color="auto" w:fill="FFFFFF"/>
        </w:rPr>
        <w:t>.</w:t>
      </w:r>
      <w:r w:rsidRPr="00AA602C">
        <w:rPr>
          <w:shd w:val="clear" w:color="auto" w:fill="FFFFFF"/>
        </w:rPr>
        <w:t xml:space="preserve"> </w:t>
      </w:r>
      <w:r w:rsidR="009F3CEA" w:rsidRPr="00AA602C">
        <w:rPr>
          <w:shd w:val="clear" w:color="auto" w:fill="FFFFFF"/>
        </w:rPr>
        <w:t>Because embryonic nodal cilia determine left-right asymmetry</w:t>
      </w:r>
      <w:r w:rsidR="0053746D">
        <w:rPr>
          <w:shd w:val="clear" w:color="auto" w:fill="FFFFFF"/>
        </w:rPr>
        <w:t>,</w:t>
      </w:r>
      <w:r w:rsidR="009F3CEA" w:rsidRPr="00AA602C">
        <w:rPr>
          <w:shd w:val="clear" w:color="auto" w:fill="FFFFFF"/>
        </w:rPr>
        <w:t xml:space="preserve"> approximately half of PCD </w:t>
      </w:r>
      <w:r w:rsidR="009F3CEA" w:rsidRPr="003F6C2A">
        <w:rPr>
          <w:shd w:val="clear" w:color="auto" w:fill="FFFFFF"/>
        </w:rPr>
        <w:t xml:space="preserve">patients have situs </w:t>
      </w:r>
      <w:proofErr w:type="spellStart"/>
      <w:r w:rsidR="009F3CEA" w:rsidRPr="003F6C2A">
        <w:rPr>
          <w:shd w:val="clear" w:color="auto" w:fill="FFFFFF"/>
        </w:rPr>
        <w:t>inversus</w:t>
      </w:r>
      <w:proofErr w:type="spellEnd"/>
      <w:r w:rsidR="009F3CEA" w:rsidRPr="003F6C2A">
        <w:rPr>
          <w:shd w:val="clear" w:color="auto" w:fill="FFFFFF"/>
        </w:rPr>
        <w:t xml:space="preserve">, and some have </w:t>
      </w:r>
      <w:proofErr w:type="spellStart"/>
      <w:r w:rsidR="009F3CEA" w:rsidRPr="003F6C2A">
        <w:rPr>
          <w:shd w:val="clear" w:color="auto" w:fill="FFFFFF"/>
        </w:rPr>
        <w:t>heterotaxic</w:t>
      </w:r>
      <w:proofErr w:type="spellEnd"/>
      <w:r w:rsidR="009F3CEA" w:rsidRPr="003F6C2A">
        <w:rPr>
          <w:shd w:val="clear" w:color="auto" w:fill="FFFFFF"/>
        </w:rPr>
        <w:t xml:space="preserve"> syndromes with </w:t>
      </w:r>
      <w:r w:rsidR="00BC5B61" w:rsidRPr="003F6C2A">
        <w:rPr>
          <w:shd w:val="clear" w:color="auto" w:fill="FFFFFF"/>
        </w:rPr>
        <w:t xml:space="preserve">or without </w:t>
      </w:r>
      <w:r w:rsidR="009F3CEA" w:rsidRPr="003F6C2A">
        <w:rPr>
          <w:shd w:val="clear" w:color="auto" w:fill="FFFFFF"/>
        </w:rPr>
        <w:t>cardiac malformations</w:t>
      </w:r>
      <w:r w:rsidR="00363AE7" w:rsidRPr="003F6C2A">
        <w:rPr>
          <w:shd w:val="clear" w:color="auto" w:fill="FFFFFF"/>
        </w:rPr>
        <w:t xml:space="preserve"> </w:t>
      </w:r>
      <w:r w:rsidR="00070EC7" w:rsidRPr="003F6C2A">
        <w:rPr>
          <w:noProof/>
          <w:shd w:val="clear" w:color="auto" w:fill="FFFFFF"/>
        </w:rPr>
        <w:t>(</w:t>
      </w:r>
      <w:r w:rsidR="00F85EE8" w:rsidRPr="003F6C2A">
        <w:rPr>
          <w:noProof/>
          <w:shd w:val="clear" w:color="auto" w:fill="FFFFFF"/>
        </w:rPr>
        <w:t>5</w:t>
      </w:r>
      <w:r w:rsidR="00070EC7" w:rsidRPr="003F6C2A">
        <w:rPr>
          <w:noProof/>
          <w:shd w:val="clear" w:color="auto" w:fill="FFFFFF"/>
        </w:rPr>
        <w:t>)</w:t>
      </w:r>
      <w:r w:rsidR="00363AE7" w:rsidRPr="003F6C2A">
        <w:rPr>
          <w:vanish/>
          <w:shd w:val="clear" w:color="auto" w:fill="FFFFFF"/>
        </w:rPr>
        <w:t>mucociliary clearance and a ch ide</w:t>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363AE7" w:rsidRPr="003F6C2A">
        <w:rPr>
          <w:vanish/>
          <w:shd w:val="clear" w:color="auto" w:fill="FFFFFF"/>
        </w:rPr>
        <w:pgNum/>
      </w:r>
      <w:r w:rsidR="00EC0996" w:rsidRPr="003F6C2A">
        <w:rPr>
          <w:shd w:val="clear" w:color="auto" w:fill="FFFFFF"/>
        </w:rPr>
        <w:t>.</w:t>
      </w:r>
      <w:r w:rsidRPr="003F6C2A">
        <w:rPr>
          <w:shd w:val="clear" w:color="auto" w:fill="FFFFFF"/>
        </w:rPr>
        <w:t xml:space="preserve"> </w:t>
      </w:r>
      <w:r w:rsidR="00BC1711" w:rsidRPr="003F6C2A">
        <w:rPr>
          <w:shd w:val="clear" w:color="auto" w:fill="FFFFFF"/>
        </w:rPr>
        <w:t>Male infertility</w:t>
      </w:r>
      <w:r w:rsidR="00BC1711" w:rsidRPr="00AA602C">
        <w:rPr>
          <w:shd w:val="clear" w:color="auto" w:fill="FFFFFF"/>
        </w:rPr>
        <w:t xml:space="preserve"> is comm</w:t>
      </w:r>
      <w:r w:rsidR="009F3CEA" w:rsidRPr="00AA602C">
        <w:rPr>
          <w:shd w:val="clear" w:color="auto" w:fill="FFFFFF"/>
        </w:rPr>
        <w:t xml:space="preserve">on because sperm </w:t>
      </w:r>
      <w:proofErr w:type="spellStart"/>
      <w:r w:rsidR="009F3CEA" w:rsidRPr="00AA602C">
        <w:rPr>
          <w:shd w:val="clear" w:color="auto" w:fill="FFFFFF"/>
        </w:rPr>
        <w:t>flagella</w:t>
      </w:r>
      <w:r w:rsidR="00BC5B61" w:rsidRPr="00AA602C">
        <w:rPr>
          <w:shd w:val="clear" w:color="auto" w:fill="FFFFFF"/>
        </w:rPr>
        <w:t>e</w:t>
      </w:r>
      <w:proofErr w:type="spellEnd"/>
      <w:r w:rsidR="009F3CEA" w:rsidRPr="00AA602C">
        <w:rPr>
          <w:shd w:val="clear" w:color="auto" w:fill="FFFFFF"/>
        </w:rPr>
        <w:t xml:space="preserve"> have a similar ultrastructure as cilia. Female infertility, renal malformations, hydrocephalus and retinitis </w:t>
      </w:r>
      <w:proofErr w:type="spellStart"/>
      <w:r w:rsidR="009F3CEA" w:rsidRPr="00AA602C">
        <w:rPr>
          <w:shd w:val="clear" w:color="auto" w:fill="FFFFFF"/>
        </w:rPr>
        <w:t>pigmentosa</w:t>
      </w:r>
      <w:proofErr w:type="spellEnd"/>
      <w:r w:rsidR="009F3CEA" w:rsidRPr="00AA602C">
        <w:rPr>
          <w:shd w:val="clear" w:color="auto" w:fill="FFFFFF"/>
        </w:rPr>
        <w:t xml:space="preserve"> </w:t>
      </w:r>
      <w:proofErr w:type="gramStart"/>
      <w:r w:rsidR="00796F26" w:rsidRPr="00AA602C">
        <w:rPr>
          <w:shd w:val="clear" w:color="auto" w:fill="FFFFFF"/>
        </w:rPr>
        <w:t>are seen</w:t>
      </w:r>
      <w:proofErr w:type="gramEnd"/>
      <w:r w:rsidR="009F3CEA" w:rsidRPr="00AA602C">
        <w:rPr>
          <w:shd w:val="clear" w:color="auto" w:fill="FFFFFF"/>
        </w:rPr>
        <w:t xml:space="preserve"> occasionally, but their incidence is </w:t>
      </w:r>
      <w:r w:rsidR="00BC1711" w:rsidRPr="00AA602C">
        <w:rPr>
          <w:shd w:val="clear" w:color="auto" w:fill="FFFFFF"/>
        </w:rPr>
        <w:t>unknown</w:t>
      </w:r>
      <w:r w:rsidRPr="00AA602C">
        <w:rPr>
          <w:shd w:val="clear" w:color="auto" w:fill="FFFFFF"/>
        </w:rPr>
        <w:t>.</w:t>
      </w:r>
    </w:p>
    <w:p w14:paraId="40D9A90E" w14:textId="4BBC078A" w:rsidR="00BC1711" w:rsidRPr="00AA602C" w:rsidRDefault="00BC1711">
      <w:pPr>
        <w:spacing w:after="0" w:line="360" w:lineRule="auto"/>
        <w:ind w:firstLine="720"/>
        <w:rPr>
          <w:shd w:val="clear" w:color="auto" w:fill="FFFFFF"/>
        </w:rPr>
      </w:pPr>
      <w:r w:rsidRPr="00AA602C">
        <w:rPr>
          <w:shd w:val="clear" w:color="auto" w:fill="FFFFFF"/>
        </w:rPr>
        <w:t xml:space="preserve"> PCD is a rare disease. </w:t>
      </w:r>
      <w:r w:rsidR="00292D24" w:rsidRPr="00AA602C">
        <w:rPr>
          <w:shd w:val="clear" w:color="auto" w:fill="FFFFFF"/>
        </w:rPr>
        <w:t>Its</w:t>
      </w:r>
      <w:r w:rsidRPr="00AA602C">
        <w:rPr>
          <w:shd w:val="clear" w:color="auto" w:fill="FFFFFF"/>
        </w:rPr>
        <w:t xml:space="preserve"> prevalence is difficult to determine </w:t>
      </w:r>
      <w:r w:rsidR="00292D24" w:rsidRPr="00AA602C">
        <w:rPr>
          <w:shd w:val="clear" w:color="auto" w:fill="FFFFFF"/>
        </w:rPr>
        <w:t xml:space="preserve">because </w:t>
      </w:r>
      <w:r w:rsidR="00796F26" w:rsidRPr="00AA602C">
        <w:rPr>
          <w:shd w:val="clear" w:color="auto" w:fill="FFFFFF"/>
        </w:rPr>
        <w:t xml:space="preserve">of </w:t>
      </w:r>
      <w:r w:rsidRPr="00AA602C">
        <w:rPr>
          <w:shd w:val="clear" w:color="auto" w:fill="FFFFFF"/>
        </w:rPr>
        <w:t>limited representative data</w:t>
      </w:r>
      <w:r w:rsidR="00292D24" w:rsidRPr="00AA602C">
        <w:rPr>
          <w:shd w:val="clear" w:color="auto" w:fill="FFFFFF"/>
        </w:rPr>
        <w:t xml:space="preserve">. </w:t>
      </w:r>
      <w:r w:rsidR="003A5CAF" w:rsidRPr="00AA602C">
        <w:rPr>
          <w:shd w:val="clear" w:color="auto" w:fill="FFFFFF"/>
        </w:rPr>
        <w:t>P</w:t>
      </w:r>
      <w:r w:rsidRPr="00AA602C">
        <w:rPr>
          <w:shd w:val="clear" w:color="auto" w:fill="FFFFFF"/>
        </w:rPr>
        <w:t>revalence</w:t>
      </w:r>
      <w:r w:rsidR="003A5CAF" w:rsidRPr="00AA602C">
        <w:rPr>
          <w:shd w:val="clear" w:color="auto" w:fill="FFFFFF"/>
        </w:rPr>
        <w:t xml:space="preserve"> </w:t>
      </w:r>
      <w:r w:rsidR="00796F26" w:rsidRPr="00AA602C">
        <w:rPr>
          <w:shd w:val="clear" w:color="auto" w:fill="FFFFFF"/>
        </w:rPr>
        <w:t xml:space="preserve">estimates for </w:t>
      </w:r>
      <w:r w:rsidR="003A5CAF" w:rsidRPr="00AA602C">
        <w:rPr>
          <w:shd w:val="clear" w:color="auto" w:fill="FFFFFF"/>
        </w:rPr>
        <w:t>the general population</w:t>
      </w:r>
      <w:r w:rsidRPr="00AA602C">
        <w:rPr>
          <w:shd w:val="clear" w:color="auto" w:fill="FFFFFF"/>
        </w:rPr>
        <w:t xml:space="preserve"> </w:t>
      </w:r>
      <w:r w:rsidR="00796F26" w:rsidRPr="00AA602C">
        <w:rPr>
          <w:shd w:val="clear" w:color="auto" w:fill="FFFFFF"/>
        </w:rPr>
        <w:t>vary</w:t>
      </w:r>
      <w:r w:rsidRPr="00AA602C">
        <w:rPr>
          <w:shd w:val="clear" w:color="auto" w:fill="FFFFFF"/>
        </w:rPr>
        <w:t xml:space="preserve"> </w:t>
      </w:r>
      <w:proofErr w:type="gramStart"/>
      <w:r w:rsidR="003A5CAF" w:rsidRPr="00AA602C">
        <w:rPr>
          <w:shd w:val="clear" w:color="auto" w:fill="FFFFFF"/>
        </w:rPr>
        <w:t>between</w:t>
      </w:r>
      <w:r w:rsidRPr="00AA602C">
        <w:rPr>
          <w:shd w:val="clear" w:color="auto" w:fill="FFFFFF"/>
        </w:rPr>
        <w:t xml:space="preserve"> 1</w:t>
      </w:r>
      <w:r w:rsidR="0053746D">
        <w:rPr>
          <w:shd w:val="clear" w:color="auto" w:fill="FFFFFF"/>
        </w:rPr>
        <w:t xml:space="preserve"> in </w:t>
      </w:r>
      <w:r w:rsidRPr="00AA602C">
        <w:rPr>
          <w:shd w:val="clear" w:color="auto" w:fill="FFFFFF"/>
        </w:rPr>
        <w:t>2,000 to 1</w:t>
      </w:r>
      <w:r w:rsidR="0053746D">
        <w:rPr>
          <w:shd w:val="clear" w:color="auto" w:fill="FFFFFF"/>
        </w:rPr>
        <w:t xml:space="preserve"> in </w:t>
      </w:r>
      <w:r w:rsidRPr="00AA602C">
        <w:rPr>
          <w:shd w:val="clear" w:color="auto" w:fill="FFFFFF"/>
        </w:rPr>
        <w:t>40,000</w:t>
      </w:r>
      <w:proofErr w:type="gramEnd"/>
      <w:r w:rsidR="0053746D">
        <w:rPr>
          <w:shd w:val="clear" w:color="auto" w:fill="FFFFFF"/>
        </w:rPr>
        <w:t>. Prevalence estimates of</w:t>
      </w:r>
      <w:r w:rsidR="00F85EE8">
        <w:rPr>
          <w:shd w:val="clear" w:color="auto" w:fill="FFFFFF"/>
        </w:rPr>
        <w:t xml:space="preserve"> </w:t>
      </w:r>
      <w:r w:rsidR="003A5CAF" w:rsidRPr="00AA602C">
        <w:rPr>
          <w:shd w:val="clear" w:color="auto" w:fill="FFFFFF"/>
        </w:rPr>
        <w:t>1</w:t>
      </w:r>
      <w:r w:rsidR="0053746D">
        <w:rPr>
          <w:shd w:val="clear" w:color="auto" w:fill="FFFFFF"/>
        </w:rPr>
        <w:t xml:space="preserve"> in </w:t>
      </w:r>
      <w:r w:rsidR="003A5CAF" w:rsidRPr="00AA602C">
        <w:rPr>
          <w:shd w:val="clear" w:color="auto" w:fill="FFFFFF"/>
        </w:rPr>
        <w:t xml:space="preserve">2,000 </w:t>
      </w:r>
      <w:proofErr w:type="gramStart"/>
      <w:r w:rsidR="0053746D">
        <w:rPr>
          <w:shd w:val="clear" w:color="auto" w:fill="FFFFFF"/>
        </w:rPr>
        <w:t>are derived</w:t>
      </w:r>
      <w:proofErr w:type="gramEnd"/>
      <w:r w:rsidR="0053746D">
        <w:rPr>
          <w:shd w:val="clear" w:color="auto" w:fill="FFFFFF"/>
        </w:rPr>
        <w:t xml:space="preserve"> from </w:t>
      </w:r>
      <w:r w:rsidR="00F85EE8">
        <w:rPr>
          <w:shd w:val="clear" w:color="auto" w:fill="FFFFFF"/>
        </w:rPr>
        <w:t xml:space="preserve">certain </w:t>
      </w:r>
      <w:r w:rsidR="0053746D">
        <w:rPr>
          <w:shd w:val="clear" w:color="auto" w:fill="FFFFFF"/>
        </w:rPr>
        <w:t>populations</w:t>
      </w:r>
      <w:r w:rsidR="003A5CAF" w:rsidRPr="00AA602C">
        <w:rPr>
          <w:shd w:val="clear" w:color="auto" w:fill="FFFFFF"/>
        </w:rPr>
        <w:t xml:space="preserve"> with high proportions of consanguineous marriages</w:t>
      </w:r>
      <w:r w:rsidR="00754C46">
        <w:rPr>
          <w:shd w:val="clear" w:color="auto" w:fill="FFFFFF"/>
        </w:rPr>
        <w:t xml:space="preserve"> </w:t>
      </w:r>
      <w:r w:rsidR="00F85EE8">
        <w:rPr>
          <w:noProof/>
          <w:shd w:val="clear" w:color="auto" w:fill="FFFFFF"/>
        </w:rPr>
        <w:t>(6)</w:t>
      </w:r>
      <w:r w:rsidR="003A5CAF" w:rsidRPr="00AA602C">
        <w:rPr>
          <w:shd w:val="clear" w:color="auto" w:fill="FFFFFF"/>
        </w:rPr>
        <w:t xml:space="preserve">. </w:t>
      </w:r>
    </w:p>
    <w:p w14:paraId="79374A49" w14:textId="68A3FC5E" w:rsidR="0053746D" w:rsidRDefault="009870D5" w:rsidP="003F6C2A">
      <w:pPr>
        <w:spacing w:after="0" w:line="360" w:lineRule="auto"/>
        <w:ind w:firstLine="720"/>
        <w:rPr>
          <w:rFonts w:cs="Times New Roman"/>
          <w:iCs/>
          <w:shd w:val="clear" w:color="auto" w:fill="FFFFFF"/>
        </w:rPr>
      </w:pPr>
      <w:r w:rsidRPr="00AA602C">
        <w:rPr>
          <w:rFonts w:cs="Times New Roman"/>
          <w:iCs/>
          <w:shd w:val="clear" w:color="auto" w:fill="FFFFFF"/>
        </w:rPr>
        <w:t>Diagnosis of PCD is challenging. There is no single ‘gold standard’ diagnostic test. European Consensus guidelines (2009) recommend a combination of tests</w:t>
      </w:r>
      <w:r w:rsidR="0053746D">
        <w:rPr>
          <w:rFonts w:cs="Times New Roman"/>
          <w:iCs/>
          <w:shd w:val="clear" w:color="auto" w:fill="FFFFFF"/>
        </w:rPr>
        <w:t xml:space="preserve"> for symptomatic patients</w:t>
      </w:r>
      <w:r w:rsidRPr="00AA602C">
        <w:rPr>
          <w:rFonts w:cs="Times New Roman"/>
          <w:iCs/>
          <w:shd w:val="clear" w:color="auto" w:fill="FFFFFF"/>
        </w:rPr>
        <w:t xml:space="preserve"> including </w:t>
      </w:r>
      <w:r w:rsidR="0053746D">
        <w:rPr>
          <w:rFonts w:cs="Times New Roman"/>
          <w:iCs/>
          <w:shd w:val="clear" w:color="auto" w:fill="FFFFFF"/>
        </w:rPr>
        <w:t xml:space="preserve">measurement of </w:t>
      </w:r>
      <w:r w:rsidRPr="00AA602C">
        <w:rPr>
          <w:rFonts w:cs="Times New Roman"/>
          <w:iCs/>
          <w:shd w:val="clear" w:color="auto" w:fill="FFFFFF"/>
        </w:rPr>
        <w:t>nasal nitric oxide (</w:t>
      </w:r>
      <w:proofErr w:type="spellStart"/>
      <w:r w:rsidRPr="00AA602C">
        <w:rPr>
          <w:rFonts w:cs="Times New Roman"/>
          <w:iCs/>
          <w:shd w:val="clear" w:color="auto" w:fill="FFFFFF"/>
        </w:rPr>
        <w:t>nNO</w:t>
      </w:r>
      <w:proofErr w:type="spellEnd"/>
      <w:r w:rsidRPr="00AA602C">
        <w:rPr>
          <w:rFonts w:cs="Times New Roman"/>
          <w:iCs/>
          <w:shd w:val="clear" w:color="auto" w:fill="FFFFFF"/>
        </w:rPr>
        <w:t xml:space="preserve">), high-speed video microscopy </w:t>
      </w:r>
      <w:r w:rsidR="009108B7">
        <w:rPr>
          <w:rFonts w:cs="Times New Roman"/>
          <w:iCs/>
          <w:shd w:val="clear" w:color="auto" w:fill="FFFFFF"/>
        </w:rPr>
        <w:t xml:space="preserve">analysis </w:t>
      </w:r>
      <w:r w:rsidRPr="00AA602C">
        <w:rPr>
          <w:rFonts w:cs="Times New Roman"/>
          <w:iCs/>
          <w:shd w:val="clear" w:color="auto" w:fill="FFFFFF"/>
        </w:rPr>
        <w:t>(HSVMA) of ciliary beat frequency and pattern, and quantitative transmission electron microscopy (TEM) of ciliary ultrastructure</w:t>
      </w:r>
      <w:r w:rsidR="00F85EE8">
        <w:rPr>
          <w:rFonts w:cs="Times New Roman"/>
          <w:iCs/>
          <w:noProof/>
          <w:shd w:val="clear" w:color="auto" w:fill="FFFFFF"/>
        </w:rPr>
        <w:t>(8)</w:t>
      </w:r>
      <w:r w:rsidRPr="00AA602C">
        <w:rPr>
          <w:rFonts w:cs="Times New Roman"/>
          <w:iCs/>
          <w:shd w:val="clear" w:color="auto" w:fill="FFFFFF"/>
        </w:rPr>
        <w:t xml:space="preserve">. </w:t>
      </w:r>
      <w:r w:rsidR="006C482A" w:rsidRPr="006C482A">
        <w:rPr>
          <w:rFonts w:cs="Times New Roman"/>
          <w:iCs/>
          <w:shd w:val="clear" w:color="auto" w:fill="FFFFFF"/>
        </w:rPr>
        <w:t xml:space="preserve">The European guidelines also suggest use of additional tests such as immunofluorescence labelling of cilia proteins, pulmonary </w:t>
      </w:r>
      <w:proofErr w:type="spellStart"/>
      <w:r w:rsidR="006C482A" w:rsidRPr="006C482A">
        <w:rPr>
          <w:rFonts w:cs="Times New Roman"/>
          <w:iCs/>
          <w:shd w:val="clear" w:color="auto" w:fill="FFFFFF"/>
        </w:rPr>
        <w:t>radioaerosol</w:t>
      </w:r>
      <w:proofErr w:type="spellEnd"/>
      <w:r w:rsidR="006C482A" w:rsidRPr="006C482A">
        <w:rPr>
          <w:rFonts w:cs="Times New Roman"/>
          <w:iCs/>
          <w:shd w:val="clear" w:color="auto" w:fill="FFFFFF"/>
        </w:rPr>
        <w:t xml:space="preserve"> </w:t>
      </w:r>
      <w:proofErr w:type="spellStart"/>
      <w:r w:rsidR="006C482A" w:rsidRPr="006C482A">
        <w:rPr>
          <w:rFonts w:cs="Times New Roman"/>
          <w:iCs/>
          <w:shd w:val="clear" w:color="auto" w:fill="FFFFFF"/>
        </w:rPr>
        <w:t>mucociliary</w:t>
      </w:r>
      <w:proofErr w:type="spellEnd"/>
      <w:r w:rsidR="006C482A" w:rsidRPr="006C482A">
        <w:rPr>
          <w:rFonts w:cs="Times New Roman"/>
          <w:iCs/>
          <w:shd w:val="clear" w:color="auto" w:fill="FFFFFF"/>
        </w:rPr>
        <w:t xml:space="preserve"> clearance and genotyping. </w:t>
      </w:r>
    </w:p>
    <w:p w14:paraId="5929C84E" w14:textId="69EC5408" w:rsidR="00292D24" w:rsidRPr="00AA602C" w:rsidRDefault="000647EF" w:rsidP="003F6C2A">
      <w:pPr>
        <w:spacing w:after="0" w:line="360" w:lineRule="auto"/>
        <w:ind w:firstLine="720"/>
        <w:rPr>
          <w:rFonts w:cs="Times New Roman"/>
          <w:iCs/>
          <w:shd w:val="clear" w:color="auto" w:fill="FFFFFF"/>
        </w:rPr>
      </w:pPr>
      <w:r>
        <w:rPr>
          <w:rFonts w:cs="Times New Roman"/>
          <w:iCs/>
          <w:shd w:val="clear" w:color="auto" w:fill="FFFFFF"/>
        </w:rPr>
        <w:t xml:space="preserve">Recent North American Consensus guidelines (2016) are not dissimilar, but </w:t>
      </w:r>
      <w:r w:rsidR="0053746D">
        <w:rPr>
          <w:rFonts w:cs="Times New Roman"/>
          <w:iCs/>
          <w:shd w:val="clear" w:color="auto" w:fill="FFFFFF"/>
        </w:rPr>
        <w:t xml:space="preserve">place </w:t>
      </w:r>
      <w:r>
        <w:rPr>
          <w:rFonts w:cs="Times New Roman"/>
          <w:iCs/>
          <w:shd w:val="clear" w:color="auto" w:fill="FFFFFF"/>
        </w:rPr>
        <w:t xml:space="preserve">more emphasis on genetic tests and less reliance on functional studies </w:t>
      </w:r>
      <w:proofErr w:type="gramStart"/>
      <w:r>
        <w:rPr>
          <w:rFonts w:cs="Times New Roman"/>
          <w:iCs/>
          <w:shd w:val="clear" w:color="auto" w:fill="FFFFFF"/>
        </w:rPr>
        <w:t>using  HSVMA</w:t>
      </w:r>
      <w:proofErr w:type="gramEnd"/>
      <w:r>
        <w:rPr>
          <w:rFonts w:cs="Times New Roman"/>
          <w:iCs/>
          <w:shd w:val="clear" w:color="auto" w:fill="FFFFFF"/>
        </w:rPr>
        <w:t xml:space="preserve"> </w:t>
      </w:r>
      <w:r w:rsidR="00F85EE8">
        <w:rPr>
          <w:rFonts w:cs="Times New Roman"/>
          <w:iCs/>
          <w:noProof/>
          <w:shd w:val="clear" w:color="auto" w:fill="FFFFFF"/>
        </w:rPr>
        <w:t>(9)</w:t>
      </w:r>
      <w:r>
        <w:rPr>
          <w:rFonts w:cs="Times New Roman"/>
          <w:iCs/>
          <w:shd w:val="clear" w:color="auto" w:fill="FFFFFF"/>
        </w:rPr>
        <w:t xml:space="preserve">. </w:t>
      </w:r>
      <w:r w:rsidR="006C482A">
        <w:rPr>
          <w:rFonts w:cs="Times New Roman"/>
          <w:iCs/>
          <w:shd w:val="clear" w:color="auto" w:fill="FFFFFF"/>
        </w:rPr>
        <w:t>None of the available</w:t>
      </w:r>
      <w:r w:rsidR="0031457D" w:rsidRPr="00AA602C">
        <w:rPr>
          <w:rFonts w:cs="Times New Roman"/>
          <w:iCs/>
          <w:shd w:val="clear" w:color="auto" w:fill="FFFFFF"/>
        </w:rPr>
        <w:t xml:space="preserve"> </w:t>
      </w:r>
      <w:r w:rsidR="00A14EF7" w:rsidRPr="00AA602C">
        <w:rPr>
          <w:rFonts w:cs="Times New Roman"/>
          <w:iCs/>
          <w:shd w:val="clear" w:color="auto" w:fill="FFFFFF"/>
        </w:rPr>
        <w:t>tests</w:t>
      </w:r>
      <w:r w:rsidR="0031457D" w:rsidRPr="00AA602C">
        <w:rPr>
          <w:rFonts w:cs="Times New Roman"/>
          <w:iCs/>
          <w:shd w:val="clear" w:color="auto" w:fill="FFFFFF"/>
        </w:rPr>
        <w:t xml:space="preserve"> detects all patients with PCD. For instance, about 16%</w:t>
      </w:r>
      <w:r w:rsidR="00796F26" w:rsidRPr="00AA602C">
        <w:rPr>
          <w:rFonts w:cs="Times New Roman"/>
          <w:iCs/>
          <w:shd w:val="clear" w:color="auto" w:fill="FFFFFF"/>
        </w:rPr>
        <w:t>-20%</w:t>
      </w:r>
      <w:r w:rsidR="0031457D" w:rsidRPr="00AA602C">
        <w:rPr>
          <w:rFonts w:cs="Times New Roman"/>
          <w:iCs/>
          <w:shd w:val="clear" w:color="auto" w:fill="FFFFFF"/>
        </w:rPr>
        <w:t xml:space="preserve"> of PCD patients have TEM without a detectable defect</w:t>
      </w:r>
      <w:r w:rsidR="00796F26" w:rsidRPr="00AA602C">
        <w:rPr>
          <w:rFonts w:cs="Times New Roman"/>
          <w:iCs/>
          <w:shd w:val="clear" w:color="auto" w:fill="FFFFFF"/>
        </w:rPr>
        <w:t xml:space="preserve"> and</w:t>
      </w:r>
      <w:r w:rsidR="0031457D" w:rsidRPr="00AA602C">
        <w:rPr>
          <w:rFonts w:cs="Times New Roman"/>
          <w:iCs/>
          <w:shd w:val="clear" w:color="auto" w:fill="FFFFFF"/>
        </w:rPr>
        <w:t xml:space="preserve"> some patients have a normal </w:t>
      </w:r>
      <w:proofErr w:type="spellStart"/>
      <w:r w:rsidR="0031457D" w:rsidRPr="00AA602C">
        <w:rPr>
          <w:rFonts w:cs="Times New Roman"/>
          <w:iCs/>
          <w:shd w:val="clear" w:color="auto" w:fill="FFFFFF"/>
        </w:rPr>
        <w:t>nNO</w:t>
      </w:r>
      <w:proofErr w:type="spellEnd"/>
      <w:r w:rsidR="006C482A">
        <w:rPr>
          <w:rFonts w:cs="Times New Roman"/>
          <w:iCs/>
          <w:shd w:val="clear" w:color="auto" w:fill="FFFFFF"/>
        </w:rPr>
        <w:t xml:space="preserve"> </w:t>
      </w:r>
      <w:r w:rsidR="00F85EE8">
        <w:rPr>
          <w:rFonts w:cs="Times New Roman"/>
          <w:iCs/>
          <w:noProof/>
          <w:shd w:val="clear" w:color="auto" w:fill="FFFFFF"/>
        </w:rPr>
        <w:t>(10, 11)</w:t>
      </w:r>
      <w:r w:rsidR="00EC0996">
        <w:rPr>
          <w:rFonts w:cs="Times New Roman"/>
          <w:iCs/>
          <w:shd w:val="clear" w:color="auto" w:fill="FFFFFF"/>
        </w:rPr>
        <w:t>.</w:t>
      </w:r>
      <w:r w:rsidR="00282215" w:rsidRPr="00AA602C">
        <w:rPr>
          <w:rFonts w:cs="Times New Roman"/>
          <w:iCs/>
          <w:shd w:val="clear" w:color="auto" w:fill="FFFFFF"/>
        </w:rPr>
        <w:t xml:space="preserve"> </w:t>
      </w:r>
      <w:r w:rsidR="00796F26" w:rsidRPr="00AA602C">
        <w:rPr>
          <w:rFonts w:cs="Times New Roman"/>
          <w:iCs/>
          <w:shd w:val="clear" w:color="auto" w:fill="FFFFFF"/>
        </w:rPr>
        <w:t xml:space="preserve"> </w:t>
      </w:r>
      <w:r w:rsidR="00A14EF7" w:rsidRPr="00AA602C">
        <w:rPr>
          <w:rFonts w:cs="Times New Roman"/>
          <w:iCs/>
          <w:shd w:val="clear" w:color="auto" w:fill="FFFFFF"/>
        </w:rPr>
        <w:t xml:space="preserve"> </w:t>
      </w:r>
      <w:r w:rsidR="0031457D" w:rsidRPr="00AA602C">
        <w:rPr>
          <w:rFonts w:cs="Times New Roman"/>
          <w:iCs/>
          <w:shd w:val="clear" w:color="auto" w:fill="FFFFFF"/>
        </w:rPr>
        <w:t>HSVM</w:t>
      </w:r>
      <w:r w:rsidR="009108B7">
        <w:rPr>
          <w:rFonts w:cs="Times New Roman"/>
          <w:iCs/>
          <w:shd w:val="clear" w:color="auto" w:fill="FFFFFF"/>
        </w:rPr>
        <w:t>A</w:t>
      </w:r>
      <w:r w:rsidR="0031457D" w:rsidRPr="00AA602C">
        <w:rPr>
          <w:rFonts w:cs="Times New Roman"/>
          <w:iCs/>
          <w:shd w:val="clear" w:color="auto" w:fill="FFFFFF"/>
        </w:rPr>
        <w:t xml:space="preserve"> </w:t>
      </w:r>
      <w:r w:rsidR="004A027F" w:rsidRPr="00AA602C">
        <w:rPr>
          <w:rFonts w:cs="Times New Roman"/>
          <w:iCs/>
          <w:shd w:val="clear" w:color="auto" w:fill="FFFFFF"/>
        </w:rPr>
        <w:t>is</w:t>
      </w:r>
      <w:r w:rsidR="00A14EF7" w:rsidRPr="00AA602C">
        <w:rPr>
          <w:rFonts w:cs="Times New Roman"/>
          <w:iCs/>
          <w:shd w:val="clear" w:color="auto" w:fill="FFFFFF"/>
        </w:rPr>
        <w:t xml:space="preserve"> more sensitive,</w:t>
      </w:r>
      <w:r w:rsidR="0031457D" w:rsidRPr="00AA602C">
        <w:rPr>
          <w:rFonts w:cs="Times New Roman"/>
          <w:iCs/>
          <w:shd w:val="clear" w:color="auto" w:fill="FFFFFF"/>
        </w:rPr>
        <w:t xml:space="preserve"> but not sufficiently standardised to rule out PCD as a stand-alone</w:t>
      </w:r>
      <w:r w:rsidR="00A14EF7" w:rsidRPr="00AA602C">
        <w:rPr>
          <w:rFonts w:cs="Times New Roman"/>
          <w:iCs/>
          <w:shd w:val="clear" w:color="auto" w:fill="FFFFFF"/>
        </w:rPr>
        <w:t xml:space="preserve"> test</w:t>
      </w:r>
      <w:r w:rsidR="00C1446E">
        <w:rPr>
          <w:rFonts w:cs="Times New Roman"/>
          <w:iCs/>
          <w:shd w:val="clear" w:color="auto" w:fill="FFFFFF"/>
        </w:rPr>
        <w:t xml:space="preserve"> </w:t>
      </w:r>
      <w:r w:rsidR="00F85EE8">
        <w:rPr>
          <w:rFonts w:cs="Times New Roman"/>
          <w:iCs/>
          <w:noProof/>
          <w:shd w:val="clear" w:color="auto" w:fill="FFFFFF"/>
        </w:rPr>
        <w:t>(12)</w:t>
      </w:r>
      <w:r w:rsidR="00A14EF7" w:rsidRPr="00AA602C">
        <w:rPr>
          <w:rFonts w:cs="Times New Roman"/>
          <w:iCs/>
          <w:shd w:val="clear" w:color="auto" w:fill="FFFFFF"/>
        </w:rPr>
        <w:t>.</w:t>
      </w:r>
      <w:r w:rsidR="0031457D" w:rsidRPr="00AA602C">
        <w:rPr>
          <w:rFonts w:cs="Times New Roman"/>
          <w:iCs/>
          <w:shd w:val="clear" w:color="auto" w:fill="FFFFFF"/>
        </w:rPr>
        <w:t xml:space="preserve"> </w:t>
      </w:r>
      <w:r w:rsidR="009870D5" w:rsidRPr="00AA602C">
        <w:rPr>
          <w:rFonts w:cs="Times New Roman"/>
          <w:iCs/>
          <w:shd w:val="clear" w:color="auto" w:fill="FFFFFF"/>
        </w:rPr>
        <w:t xml:space="preserve">Reanalysis following submerged or air-liquid interface </w:t>
      </w:r>
      <w:r w:rsidR="00796F26" w:rsidRPr="00AA602C">
        <w:rPr>
          <w:rFonts w:cs="Times New Roman"/>
          <w:iCs/>
          <w:shd w:val="clear" w:color="auto" w:fill="FFFFFF"/>
        </w:rPr>
        <w:t xml:space="preserve">(ALI) </w:t>
      </w:r>
      <w:r w:rsidR="009870D5" w:rsidRPr="00AA602C">
        <w:rPr>
          <w:rFonts w:cs="Times New Roman"/>
          <w:iCs/>
          <w:shd w:val="clear" w:color="auto" w:fill="FFFFFF"/>
        </w:rPr>
        <w:t>culture helps to exclude second</w:t>
      </w:r>
      <w:r w:rsidR="006C482A">
        <w:rPr>
          <w:rFonts w:cs="Times New Roman"/>
          <w:iCs/>
          <w:shd w:val="clear" w:color="auto" w:fill="FFFFFF"/>
        </w:rPr>
        <w:t>ary ciliary dyskinesia</w:t>
      </w:r>
      <w:r w:rsidR="00C1446E">
        <w:rPr>
          <w:rFonts w:cs="Times New Roman"/>
          <w:iCs/>
          <w:shd w:val="clear" w:color="auto" w:fill="FFFFFF"/>
        </w:rPr>
        <w:t xml:space="preserve"> </w:t>
      </w:r>
      <w:r w:rsidR="00F85EE8">
        <w:rPr>
          <w:rFonts w:cs="Times New Roman"/>
          <w:iCs/>
          <w:noProof/>
          <w:shd w:val="clear" w:color="auto" w:fill="FFFFFF"/>
        </w:rPr>
        <w:t>(13)</w:t>
      </w:r>
      <w:r w:rsidR="006C482A">
        <w:rPr>
          <w:rFonts w:cs="Times New Roman"/>
          <w:iCs/>
          <w:shd w:val="clear" w:color="auto" w:fill="FFFFFF"/>
        </w:rPr>
        <w:t xml:space="preserve">. </w:t>
      </w:r>
      <w:r w:rsidR="0056284D" w:rsidRPr="00AA602C">
        <w:rPr>
          <w:rFonts w:cs="Times New Roman"/>
          <w:iCs/>
          <w:shd w:val="clear" w:color="auto" w:fill="FFFFFF"/>
        </w:rPr>
        <w:t xml:space="preserve">More than 30 PCD-causing genes </w:t>
      </w:r>
      <w:proofErr w:type="gramStart"/>
      <w:r w:rsidR="0056284D" w:rsidRPr="00AA602C">
        <w:rPr>
          <w:rFonts w:cs="Times New Roman"/>
          <w:iCs/>
          <w:shd w:val="clear" w:color="auto" w:fill="FFFFFF"/>
        </w:rPr>
        <w:t xml:space="preserve">have been </w:t>
      </w:r>
      <w:r w:rsidR="00A14EF7" w:rsidRPr="00AA602C">
        <w:rPr>
          <w:rFonts w:cs="Times New Roman"/>
          <w:iCs/>
          <w:shd w:val="clear" w:color="auto" w:fill="FFFFFF"/>
        </w:rPr>
        <w:t>discovered</w:t>
      </w:r>
      <w:proofErr w:type="gramEnd"/>
      <w:r w:rsidR="00A14EF7" w:rsidRPr="00AA602C">
        <w:rPr>
          <w:rFonts w:cs="Times New Roman"/>
          <w:iCs/>
          <w:shd w:val="clear" w:color="auto" w:fill="FFFFFF"/>
        </w:rPr>
        <w:t xml:space="preserve">, which together explain </w:t>
      </w:r>
      <w:r w:rsidR="0056284D" w:rsidRPr="00AA602C">
        <w:rPr>
          <w:rFonts w:cs="Times New Roman"/>
          <w:iCs/>
          <w:shd w:val="clear" w:color="auto" w:fill="FFFFFF"/>
        </w:rPr>
        <w:t>about 70% of PCD cases</w:t>
      </w:r>
      <w:r w:rsidR="00C1446E">
        <w:rPr>
          <w:rFonts w:cs="Times New Roman"/>
          <w:iCs/>
          <w:shd w:val="clear" w:color="auto" w:fill="FFFFFF"/>
        </w:rPr>
        <w:t xml:space="preserve"> </w:t>
      </w:r>
      <w:r w:rsidR="00F85EE8">
        <w:rPr>
          <w:rFonts w:cs="Times New Roman"/>
          <w:iCs/>
          <w:noProof/>
          <w:shd w:val="clear" w:color="auto" w:fill="FFFFFF"/>
        </w:rPr>
        <w:t>(14)</w:t>
      </w:r>
      <w:r w:rsidR="00541F82">
        <w:rPr>
          <w:rFonts w:cs="Times New Roman"/>
          <w:iCs/>
          <w:shd w:val="clear" w:color="auto" w:fill="FFFFFF"/>
        </w:rPr>
        <w:t>.</w:t>
      </w:r>
    </w:p>
    <w:p w14:paraId="32F646DB" w14:textId="60153590" w:rsidR="00494AF1" w:rsidRPr="00AA602C" w:rsidRDefault="00165691" w:rsidP="00CA2CD0">
      <w:pPr>
        <w:spacing w:after="0" w:line="360" w:lineRule="auto"/>
        <w:ind w:firstLine="720"/>
        <w:rPr>
          <w:rFonts w:cs="Times New Roman"/>
          <w:iCs/>
          <w:shd w:val="clear" w:color="auto" w:fill="FFFFFF"/>
        </w:rPr>
      </w:pPr>
      <w:r w:rsidRPr="00AA602C">
        <w:rPr>
          <w:rFonts w:cs="Times New Roman"/>
          <w:iCs/>
          <w:shd w:val="clear" w:color="auto" w:fill="FFFFFF"/>
        </w:rPr>
        <w:t>In</w:t>
      </w:r>
      <w:r w:rsidR="00494AF1" w:rsidRPr="00AA602C">
        <w:rPr>
          <w:rFonts w:cs="Times New Roman"/>
          <w:iCs/>
          <w:shd w:val="clear" w:color="auto" w:fill="FFFFFF"/>
        </w:rPr>
        <w:t xml:space="preserve"> situations without a ‘gold standard’ diagnostic test, clinicians and researchers </w:t>
      </w:r>
      <w:r w:rsidR="00CF7E72" w:rsidRPr="00AA602C">
        <w:rPr>
          <w:rFonts w:cs="Times New Roman"/>
          <w:iCs/>
          <w:shd w:val="clear" w:color="auto" w:fill="FFFFFF"/>
        </w:rPr>
        <w:t xml:space="preserve">must determine </w:t>
      </w:r>
      <w:r w:rsidRPr="00AA602C">
        <w:rPr>
          <w:rFonts w:cs="Times New Roman"/>
          <w:iCs/>
          <w:shd w:val="clear" w:color="auto" w:fill="FFFFFF"/>
        </w:rPr>
        <w:t xml:space="preserve">diagnosis based on </w:t>
      </w:r>
      <w:r w:rsidR="00494AF1" w:rsidRPr="00AA602C">
        <w:rPr>
          <w:rFonts w:cs="Times New Roman"/>
          <w:iCs/>
          <w:shd w:val="clear" w:color="auto" w:fill="FFFFFF"/>
        </w:rPr>
        <w:t>mu</w:t>
      </w:r>
      <w:r w:rsidR="00C1446E">
        <w:rPr>
          <w:rFonts w:cs="Times New Roman"/>
          <w:iCs/>
          <w:shd w:val="clear" w:color="auto" w:fill="FFFFFF"/>
        </w:rPr>
        <w:t>ltiple test results</w:t>
      </w:r>
      <w:r w:rsidR="00541F82">
        <w:rPr>
          <w:rFonts w:cs="Times New Roman"/>
          <w:iCs/>
          <w:shd w:val="clear" w:color="auto" w:fill="FFFFFF"/>
        </w:rPr>
        <w:t xml:space="preserve"> </w:t>
      </w:r>
      <w:r w:rsidR="00F85EE8">
        <w:rPr>
          <w:rFonts w:cs="Times New Roman"/>
          <w:iCs/>
          <w:noProof/>
          <w:shd w:val="clear" w:color="auto" w:fill="FFFFFF"/>
        </w:rPr>
        <w:t>(15, 16)</w:t>
      </w:r>
      <w:r w:rsidR="00EC0996">
        <w:rPr>
          <w:rFonts w:cs="Times New Roman"/>
          <w:iCs/>
          <w:shd w:val="clear" w:color="auto" w:fill="FFFFFF"/>
        </w:rPr>
        <w:t>.</w:t>
      </w:r>
      <w:r w:rsidR="00494AF1" w:rsidRPr="00AA602C">
        <w:rPr>
          <w:rFonts w:cs="Times New Roman"/>
          <w:iCs/>
          <w:shd w:val="clear" w:color="auto" w:fill="FFFFFF"/>
        </w:rPr>
        <w:t xml:space="preserve"> </w:t>
      </w:r>
      <w:r w:rsidRPr="00AA602C">
        <w:rPr>
          <w:rFonts w:cs="Times New Roman"/>
          <w:iCs/>
          <w:shd w:val="clear" w:color="auto" w:fill="FFFFFF"/>
        </w:rPr>
        <w:t>The</w:t>
      </w:r>
      <w:r w:rsidR="003A3AAE" w:rsidRPr="00AA602C">
        <w:rPr>
          <w:rFonts w:cs="Times New Roman"/>
          <w:iCs/>
          <w:shd w:val="clear" w:color="auto" w:fill="FFFFFF"/>
        </w:rPr>
        <w:t xml:space="preserve"> </w:t>
      </w:r>
      <w:proofErr w:type="gramStart"/>
      <w:r w:rsidR="0053746D">
        <w:rPr>
          <w:rFonts w:cs="Times New Roman"/>
          <w:iCs/>
          <w:shd w:val="clear" w:color="auto" w:fill="FFFFFF"/>
        </w:rPr>
        <w:t>3</w:t>
      </w:r>
      <w:proofErr w:type="gramEnd"/>
      <w:r w:rsidR="0053746D" w:rsidRPr="00AA602C">
        <w:rPr>
          <w:rFonts w:cs="Times New Roman"/>
          <w:iCs/>
          <w:shd w:val="clear" w:color="auto" w:fill="FFFFFF"/>
        </w:rPr>
        <w:t xml:space="preserve"> </w:t>
      </w:r>
      <w:r w:rsidR="003A3AAE" w:rsidRPr="00AA602C">
        <w:rPr>
          <w:rFonts w:cs="Times New Roman"/>
          <w:iCs/>
          <w:shd w:val="clear" w:color="auto" w:fill="FFFFFF"/>
        </w:rPr>
        <w:t xml:space="preserve">diagnostic reference </w:t>
      </w:r>
      <w:proofErr w:type="spellStart"/>
      <w:r w:rsidR="0081328C">
        <w:rPr>
          <w:rFonts w:cs="Times New Roman"/>
          <w:iCs/>
          <w:shd w:val="clear" w:color="auto" w:fill="FFFFFF"/>
        </w:rPr>
        <w:t>centers</w:t>
      </w:r>
      <w:proofErr w:type="spellEnd"/>
      <w:r w:rsidR="003A3AAE" w:rsidRPr="00AA602C">
        <w:rPr>
          <w:rFonts w:cs="Times New Roman"/>
          <w:iCs/>
          <w:shd w:val="clear" w:color="auto" w:fill="FFFFFF"/>
        </w:rPr>
        <w:t xml:space="preserve"> for PCD in England, w</w:t>
      </w:r>
      <w:r w:rsidR="004150CC" w:rsidRPr="00AA602C">
        <w:rPr>
          <w:rFonts w:cs="Times New Roman"/>
          <w:iCs/>
          <w:shd w:val="clear" w:color="auto" w:fill="FFFFFF"/>
        </w:rPr>
        <w:t>ork in close</w:t>
      </w:r>
      <w:r w:rsidR="003A3AAE" w:rsidRPr="00AA602C">
        <w:rPr>
          <w:rFonts w:cs="Times New Roman"/>
          <w:iCs/>
          <w:shd w:val="clear" w:color="auto" w:fill="FFFFFF"/>
        </w:rPr>
        <w:t xml:space="preserve"> collaborat</w:t>
      </w:r>
      <w:r w:rsidR="004150CC" w:rsidRPr="00AA602C">
        <w:rPr>
          <w:rFonts w:cs="Times New Roman"/>
          <w:iCs/>
          <w:shd w:val="clear" w:color="auto" w:fill="FFFFFF"/>
        </w:rPr>
        <w:t>ion to</w:t>
      </w:r>
      <w:r w:rsidRPr="00AA602C">
        <w:rPr>
          <w:rFonts w:cs="Times New Roman"/>
          <w:iCs/>
          <w:shd w:val="clear" w:color="auto" w:fill="FFFFFF"/>
        </w:rPr>
        <w:t xml:space="preserve"> diagnose PCD </w:t>
      </w:r>
      <w:r w:rsidR="003A3AAE" w:rsidRPr="00AA602C">
        <w:rPr>
          <w:rFonts w:cs="Times New Roman"/>
          <w:iCs/>
          <w:shd w:val="clear" w:color="auto" w:fill="FFFFFF"/>
        </w:rPr>
        <w:t xml:space="preserve">based on </w:t>
      </w:r>
      <w:proofErr w:type="spellStart"/>
      <w:r w:rsidR="003A3AAE" w:rsidRPr="00AA602C">
        <w:rPr>
          <w:rFonts w:cs="Times New Roman"/>
          <w:iCs/>
          <w:shd w:val="clear" w:color="auto" w:fill="FFFFFF"/>
        </w:rPr>
        <w:t>nNO</w:t>
      </w:r>
      <w:proofErr w:type="spellEnd"/>
      <w:r w:rsidR="003A3AAE" w:rsidRPr="00AA602C">
        <w:rPr>
          <w:rFonts w:cs="Times New Roman"/>
          <w:iCs/>
          <w:shd w:val="clear" w:color="auto" w:fill="FFFFFF"/>
        </w:rPr>
        <w:t>, HSVMA and TEM</w:t>
      </w:r>
      <w:r w:rsidR="00EC0996">
        <w:rPr>
          <w:rFonts w:cs="Times New Roman"/>
          <w:iCs/>
          <w:shd w:val="clear" w:color="auto" w:fill="FFFFFF"/>
        </w:rPr>
        <w:t xml:space="preserve"> </w:t>
      </w:r>
      <w:r w:rsidR="00F85EE8">
        <w:rPr>
          <w:rFonts w:cs="Times New Roman"/>
          <w:iCs/>
          <w:noProof/>
          <w:shd w:val="clear" w:color="auto" w:fill="FFFFFF"/>
        </w:rPr>
        <w:t>(17, 18)</w:t>
      </w:r>
      <w:r w:rsidR="00EC0996">
        <w:rPr>
          <w:rFonts w:cs="Times New Roman"/>
          <w:iCs/>
          <w:shd w:val="clear" w:color="auto" w:fill="FFFFFF"/>
        </w:rPr>
        <w:t xml:space="preserve">. </w:t>
      </w:r>
      <w:r w:rsidR="003A3AAE" w:rsidRPr="00AA602C">
        <w:rPr>
          <w:rFonts w:cs="Times New Roman"/>
          <w:iCs/>
          <w:shd w:val="clear" w:color="auto" w:fill="FFFFFF"/>
        </w:rPr>
        <w:t>Inconclusive and positive samples</w:t>
      </w:r>
      <w:r w:rsidRPr="00AA602C">
        <w:rPr>
          <w:rFonts w:cs="Times New Roman"/>
          <w:iCs/>
          <w:shd w:val="clear" w:color="auto" w:fill="FFFFFF"/>
        </w:rPr>
        <w:t xml:space="preserve"> </w:t>
      </w:r>
      <w:r w:rsidR="003A3AAE" w:rsidRPr="00AA602C">
        <w:rPr>
          <w:rFonts w:cs="Times New Roman"/>
          <w:iCs/>
          <w:shd w:val="clear" w:color="auto" w:fill="FFFFFF"/>
        </w:rPr>
        <w:t>are reanalysed</w:t>
      </w:r>
      <w:r w:rsidRPr="00AA602C">
        <w:rPr>
          <w:rFonts w:cs="Times New Roman"/>
          <w:iCs/>
          <w:shd w:val="clear" w:color="auto" w:fill="FFFFFF"/>
        </w:rPr>
        <w:t xml:space="preserve"> following culture. In North America, HSVM is </w:t>
      </w:r>
      <w:r w:rsidRPr="00AA602C">
        <w:rPr>
          <w:rFonts w:cs="Times New Roman"/>
          <w:iCs/>
          <w:shd w:val="clear" w:color="auto" w:fill="FFFFFF"/>
        </w:rPr>
        <w:lastRenderedPageBreak/>
        <w:t xml:space="preserve">not </w:t>
      </w:r>
      <w:r w:rsidR="004150CC" w:rsidRPr="00AA602C">
        <w:rPr>
          <w:rFonts w:cs="Times New Roman"/>
          <w:iCs/>
          <w:shd w:val="clear" w:color="auto" w:fill="FFFFFF"/>
        </w:rPr>
        <w:t xml:space="preserve">widely </w:t>
      </w:r>
      <w:r w:rsidR="003A3AAE" w:rsidRPr="00AA602C">
        <w:rPr>
          <w:rFonts w:cs="Times New Roman"/>
          <w:iCs/>
          <w:shd w:val="clear" w:color="auto" w:fill="FFFFFF"/>
        </w:rPr>
        <w:t xml:space="preserve">used, and </w:t>
      </w:r>
      <w:r w:rsidR="00714A70" w:rsidRPr="00AA602C">
        <w:rPr>
          <w:rFonts w:cs="Times New Roman"/>
          <w:iCs/>
          <w:shd w:val="clear" w:color="auto" w:fill="FFFFFF"/>
        </w:rPr>
        <w:t xml:space="preserve">PCD is diagnosed based on results from </w:t>
      </w:r>
      <w:r w:rsidRPr="00AA602C">
        <w:rPr>
          <w:rFonts w:cs="Times New Roman"/>
          <w:iCs/>
          <w:shd w:val="clear" w:color="auto" w:fill="FFFFFF"/>
        </w:rPr>
        <w:t xml:space="preserve">TEM, </w:t>
      </w:r>
      <w:proofErr w:type="spellStart"/>
      <w:r w:rsidRPr="00AA602C">
        <w:rPr>
          <w:rFonts w:cs="Times New Roman"/>
          <w:iCs/>
          <w:shd w:val="clear" w:color="auto" w:fill="FFFFFF"/>
        </w:rPr>
        <w:t>nNO</w:t>
      </w:r>
      <w:proofErr w:type="spellEnd"/>
      <w:r w:rsidRPr="00AA602C">
        <w:rPr>
          <w:rFonts w:cs="Times New Roman"/>
          <w:iCs/>
          <w:shd w:val="clear" w:color="auto" w:fill="FFFFFF"/>
        </w:rPr>
        <w:t xml:space="preserve"> and genetic testing</w:t>
      </w:r>
      <w:r w:rsidR="00EC0996">
        <w:rPr>
          <w:rFonts w:cs="Times New Roman"/>
          <w:iCs/>
          <w:shd w:val="clear" w:color="auto" w:fill="FFFFFF"/>
        </w:rPr>
        <w:t xml:space="preserve"> </w:t>
      </w:r>
      <w:r w:rsidR="00F85EE8">
        <w:rPr>
          <w:rFonts w:cs="Times New Roman"/>
          <w:iCs/>
          <w:noProof/>
          <w:shd w:val="clear" w:color="auto" w:fill="FFFFFF"/>
        </w:rPr>
        <w:t>(9, 16)</w:t>
      </w:r>
      <w:r w:rsidR="00EC0996">
        <w:rPr>
          <w:rFonts w:cs="Times New Roman"/>
          <w:iCs/>
          <w:shd w:val="clear" w:color="auto" w:fill="FFFFFF"/>
        </w:rPr>
        <w:t>.</w:t>
      </w:r>
      <w:r w:rsidRPr="00AA602C">
        <w:rPr>
          <w:rFonts w:cs="Times New Roman"/>
          <w:iCs/>
          <w:shd w:val="clear" w:color="auto" w:fill="FFFFFF"/>
        </w:rPr>
        <w:t xml:space="preserve"> </w:t>
      </w:r>
      <w:r w:rsidR="003A3AAE" w:rsidRPr="00AA602C">
        <w:rPr>
          <w:rFonts w:cs="Times New Roman"/>
          <w:iCs/>
          <w:shd w:val="clear" w:color="auto" w:fill="FFFFFF"/>
        </w:rPr>
        <w:t>All diagnostic tests for PCD</w:t>
      </w:r>
      <w:r w:rsidR="000513E3" w:rsidRPr="00AA602C">
        <w:rPr>
          <w:rFonts w:cs="Times New Roman"/>
          <w:iCs/>
          <w:shd w:val="clear" w:color="auto" w:fill="FFFFFF"/>
        </w:rPr>
        <w:t xml:space="preserve"> are technically demanding</w:t>
      </w:r>
      <w:proofErr w:type="gramStart"/>
      <w:r w:rsidR="004150CC" w:rsidRPr="00AA602C">
        <w:rPr>
          <w:rFonts w:cs="Times New Roman"/>
          <w:iCs/>
          <w:shd w:val="clear" w:color="auto" w:fill="FFFFFF"/>
        </w:rPr>
        <w:t>,</w:t>
      </w:r>
      <w:proofErr w:type="gramEnd"/>
      <w:r w:rsidR="003A3AAE" w:rsidRPr="00AA602C">
        <w:rPr>
          <w:rFonts w:cs="Times New Roman"/>
          <w:iCs/>
          <w:shd w:val="clear" w:color="auto" w:fill="FFFFFF"/>
        </w:rPr>
        <w:t xml:space="preserve"> need up-to date equipment and well-trained staff with a high level of expertise. To allow technicians to acquire sufficient expertise with this rare disease</w:t>
      </w:r>
      <w:r w:rsidR="00472481">
        <w:rPr>
          <w:rFonts w:cs="Times New Roman"/>
          <w:iCs/>
          <w:shd w:val="clear" w:color="auto" w:fill="FFFFFF"/>
        </w:rPr>
        <w:t>,</w:t>
      </w:r>
      <w:r w:rsidR="003A3AAE" w:rsidRPr="00AA602C">
        <w:rPr>
          <w:rFonts w:cs="Times New Roman"/>
          <w:iCs/>
          <w:shd w:val="clear" w:color="auto" w:fill="FFFFFF"/>
        </w:rPr>
        <w:t xml:space="preserve"> diagnostic facilities should be responsible for </w:t>
      </w:r>
      <w:r w:rsidR="00472481">
        <w:rPr>
          <w:rFonts w:cs="Times New Roman"/>
          <w:iCs/>
          <w:shd w:val="clear" w:color="auto" w:fill="FFFFFF"/>
        </w:rPr>
        <w:t>patient populations</w:t>
      </w:r>
      <w:r w:rsidR="003A3AAE" w:rsidRPr="00AA602C">
        <w:rPr>
          <w:rFonts w:cs="Times New Roman"/>
          <w:iCs/>
          <w:shd w:val="clear" w:color="auto" w:fill="FFFFFF"/>
        </w:rPr>
        <w:t>. For instance, in a region with a population of 1 million and an estimated prevalence of 1</w:t>
      </w:r>
      <w:r w:rsidR="00472481">
        <w:rPr>
          <w:rFonts w:cs="Times New Roman"/>
          <w:iCs/>
          <w:shd w:val="clear" w:color="auto" w:fill="FFFFFF"/>
        </w:rPr>
        <w:t xml:space="preserve"> in </w:t>
      </w:r>
      <w:r w:rsidR="003A3AAE" w:rsidRPr="00AA602C">
        <w:rPr>
          <w:rFonts w:cs="Times New Roman"/>
          <w:iCs/>
          <w:shd w:val="clear" w:color="auto" w:fill="FFFFFF"/>
        </w:rPr>
        <w:t>10,000</w:t>
      </w:r>
      <w:proofErr w:type="gramStart"/>
      <w:r w:rsidR="00472481">
        <w:rPr>
          <w:rFonts w:cs="Times New Roman"/>
          <w:iCs/>
          <w:shd w:val="clear" w:color="auto" w:fill="FFFFFF"/>
        </w:rPr>
        <w:t>;</w:t>
      </w:r>
      <w:proofErr w:type="gramEnd"/>
      <w:r w:rsidR="003A3AAE" w:rsidRPr="00AA602C">
        <w:rPr>
          <w:rFonts w:cs="Times New Roman"/>
          <w:iCs/>
          <w:shd w:val="clear" w:color="auto" w:fill="FFFFFF"/>
        </w:rPr>
        <w:t xml:space="preserve"> we expect 100 persons to have PCD. Given the average life expectancy of 80 years, every year about </w:t>
      </w:r>
      <w:proofErr w:type="gramStart"/>
      <w:r w:rsidR="003A3AAE" w:rsidRPr="00AA602C">
        <w:rPr>
          <w:rFonts w:cs="Times New Roman"/>
          <w:iCs/>
          <w:shd w:val="clear" w:color="auto" w:fill="FFFFFF"/>
        </w:rPr>
        <w:t>1</w:t>
      </w:r>
      <w:proofErr w:type="gramEnd"/>
      <w:r w:rsidR="000215E4" w:rsidRPr="00AA602C">
        <w:rPr>
          <w:rFonts w:cs="Times New Roman"/>
          <w:iCs/>
          <w:shd w:val="clear" w:color="auto" w:fill="FFFFFF"/>
        </w:rPr>
        <w:t xml:space="preserve"> </w:t>
      </w:r>
      <w:r w:rsidR="003A3AAE" w:rsidRPr="00AA602C">
        <w:rPr>
          <w:rFonts w:cs="Times New Roman"/>
          <w:iCs/>
          <w:shd w:val="clear" w:color="auto" w:fill="FFFFFF"/>
        </w:rPr>
        <w:t>person will be newly diagnosed</w:t>
      </w:r>
      <w:r w:rsidR="00B42BE6" w:rsidRPr="00AA602C">
        <w:rPr>
          <w:rFonts w:cs="Times New Roman"/>
          <w:iCs/>
          <w:shd w:val="clear" w:color="auto" w:fill="FFFFFF"/>
        </w:rPr>
        <w:t xml:space="preserve">, if 100% </w:t>
      </w:r>
      <w:r w:rsidR="006529D3" w:rsidRPr="00AA602C">
        <w:rPr>
          <w:rFonts w:cs="Times New Roman"/>
          <w:iCs/>
          <w:shd w:val="clear" w:color="auto" w:fill="FFFFFF"/>
        </w:rPr>
        <w:t>of cases are</w:t>
      </w:r>
      <w:r w:rsidR="00B42BE6" w:rsidRPr="00AA602C">
        <w:rPr>
          <w:rFonts w:cs="Times New Roman"/>
          <w:iCs/>
          <w:shd w:val="clear" w:color="auto" w:fill="FFFFFF"/>
        </w:rPr>
        <w:t xml:space="preserve"> diagnosed</w:t>
      </w:r>
      <w:r w:rsidR="003A3AAE" w:rsidRPr="00AA602C">
        <w:rPr>
          <w:rFonts w:cs="Times New Roman"/>
          <w:iCs/>
          <w:shd w:val="clear" w:color="auto" w:fill="FFFFFF"/>
        </w:rPr>
        <w:t xml:space="preserve">. </w:t>
      </w:r>
      <w:r w:rsidR="000215E4" w:rsidRPr="00AA602C">
        <w:rPr>
          <w:rFonts w:cs="Times New Roman"/>
          <w:iCs/>
          <w:shd w:val="clear" w:color="auto" w:fill="FFFFFF"/>
        </w:rPr>
        <w:t xml:space="preserve">In a region or country covering 10 million inhabitants, we expect </w:t>
      </w:r>
      <w:r w:rsidR="00B42BE6" w:rsidRPr="00AA602C">
        <w:rPr>
          <w:rFonts w:cs="Times New Roman"/>
          <w:iCs/>
          <w:shd w:val="clear" w:color="auto" w:fill="FFFFFF"/>
        </w:rPr>
        <w:t xml:space="preserve">a maximum of </w:t>
      </w:r>
      <w:r w:rsidR="000215E4" w:rsidRPr="00AA602C">
        <w:rPr>
          <w:rFonts w:cs="Times New Roman"/>
          <w:iCs/>
          <w:shd w:val="clear" w:color="auto" w:fill="FFFFFF"/>
        </w:rPr>
        <w:t xml:space="preserve">10-12 new cases every year – this might be a minimal number to allow the diagnostic team to </w:t>
      </w:r>
      <w:r w:rsidR="00541F82">
        <w:rPr>
          <w:rFonts w:cs="Times New Roman"/>
          <w:iCs/>
          <w:shd w:val="clear" w:color="auto" w:fill="FFFFFF"/>
        </w:rPr>
        <w:t>be familiar with positive TEM and</w:t>
      </w:r>
      <w:r w:rsidR="000215E4" w:rsidRPr="00AA602C">
        <w:rPr>
          <w:rFonts w:cs="Times New Roman"/>
          <w:iCs/>
          <w:shd w:val="clear" w:color="auto" w:fill="FFFFFF"/>
        </w:rPr>
        <w:t xml:space="preserve"> HSVM findings</w:t>
      </w:r>
      <w:r w:rsidR="00541F82">
        <w:rPr>
          <w:rFonts w:cs="Times New Roman"/>
          <w:iCs/>
          <w:shd w:val="clear" w:color="auto" w:fill="FFFFFF"/>
        </w:rPr>
        <w:t>, including difficult subtle cases</w:t>
      </w:r>
      <w:r w:rsidR="000215E4" w:rsidRPr="00AA602C">
        <w:rPr>
          <w:rFonts w:cs="Times New Roman"/>
          <w:iCs/>
          <w:shd w:val="clear" w:color="auto" w:fill="FFFFFF"/>
        </w:rPr>
        <w:t xml:space="preserve">. </w:t>
      </w:r>
    </w:p>
    <w:p w14:paraId="2D091654" w14:textId="77777777" w:rsidR="00494AF1" w:rsidRPr="00AA602C" w:rsidRDefault="00494AF1" w:rsidP="00CA2CD0">
      <w:pPr>
        <w:tabs>
          <w:tab w:val="left" w:pos="7486"/>
        </w:tabs>
        <w:spacing w:after="0" w:line="360" w:lineRule="auto"/>
        <w:ind w:firstLine="720"/>
        <w:rPr>
          <w:rFonts w:cs="Times New Roman"/>
          <w:iCs/>
          <w:shd w:val="clear" w:color="auto" w:fill="FFFFFF"/>
        </w:rPr>
      </w:pPr>
      <w:r w:rsidRPr="00AA602C">
        <w:rPr>
          <w:rFonts w:cs="Times New Roman"/>
          <w:iCs/>
          <w:shd w:val="clear" w:color="auto" w:fill="FFFFFF"/>
        </w:rPr>
        <w:t xml:space="preserve">  </w:t>
      </w:r>
      <w:r w:rsidR="000215E4" w:rsidRPr="00AA602C">
        <w:rPr>
          <w:rFonts w:cs="Times New Roman"/>
          <w:iCs/>
          <w:shd w:val="clear" w:color="auto" w:fill="FFFFFF"/>
        </w:rPr>
        <w:tab/>
      </w:r>
    </w:p>
    <w:p w14:paraId="50AA5507" w14:textId="77777777" w:rsidR="00146A27" w:rsidRPr="00AA602C" w:rsidRDefault="008B2C32" w:rsidP="00CA2CD0">
      <w:pPr>
        <w:tabs>
          <w:tab w:val="left" w:pos="7548"/>
        </w:tabs>
        <w:spacing w:after="0" w:line="360" w:lineRule="auto"/>
        <w:rPr>
          <w:b/>
          <w:sz w:val="24"/>
          <w:szCs w:val="24"/>
        </w:rPr>
      </w:pPr>
      <w:r w:rsidRPr="00AA602C">
        <w:rPr>
          <w:b/>
          <w:sz w:val="24"/>
          <w:szCs w:val="24"/>
        </w:rPr>
        <w:t>PCD is underdiagnosed</w:t>
      </w:r>
    </w:p>
    <w:p w14:paraId="318CD672" w14:textId="1699D9D6" w:rsidR="00472481" w:rsidRDefault="009C5139" w:rsidP="0081328C">
      <w:pPr>
        <w:spacing w:after="0" w:line="360" w:lineRule="auto"/>
        <w:ind w:firstLine="720"/>
      </w:pPr>
      <w:r w:rsidRPr="00AA602C">
        <w:t xml:space="preserve">Although </w:t>
      </w:r>
      <w:r w:rsidR="00472481">
        <w:t xml:space="preserve">the </w:t>
      </w:r>
      <w:r w:rsidRPr="00AA602C">
        <w:t xml:space="preserve">estimated prevalence of </w:t>
      </w:r>
      <w:r w:rsidR="00684108" w:rsidRPr="00AA602C">
        <w:t xml:space="preserve">PCD </w:t>
      </w:r>
      <w:r w:rsidRPr="00AA602C">
        <w:t xml:space="preserve">is </w:t>
      </w:r>
      <w:proofErr w:type="gramStart"/>
      <w:r w:rsidRPr="00AA602C">
        <w:t>around</w:t>
      </w:r>
      <w:r w:rsidR="00B841BA" w:rsidRPr="00AA602C">
        <w:t xml:space="preserve"> </w:t>
      </w:r>
      <w:r w:rsidR="00684108" w:rsidRPr="00AA602C">
        <w:t xml:space="preserve"> 1</w:t>
      </w:r>
      <w:proofErr w:type="gramEnd"/>
      <w:r w:rsidR="00472481">
        <w:t xml:space="preserve"> in</w:t>
      </w:r>
      <w:r w:rsidR="00684108" w:rsidRPr="00AA602C">
        <w:t xml:space="preserve">10,000 </w:t>
      </w:r>
      <w:r w:rsidR="00B841BA" w:rsidRPr="00AA602C">
        <w:t>live births</w:t>
      </w:r>
      <w:r w:rsidR="00EC0996">
        <w:t xml:space="preserve"> </w:t>
      </w:r>
      <w:r w:rsidR="00F85EE8">
        <w:rPr>
          <w:noProof/>
        </w:rPr>
        <w:t>(19)</w:t>
      </w:r>
      <w:r w:rsidR="00EC0996">
        <w:t>,</w:t>
      </w:r>
      <w:r w:rsidR="008E4F88" w:rsidRPr="00AA602C">
        <w:t xml:space="preserve"> </w:t>
      </w:r>
      <w:r w:rsidR="00EE15E9" w:rsidRPr="00AA602C">
        <w:t>a</w:t>
      </w:r>
      <w:r w:rsidR="00684108" w:rsidRPr="00AA602C">
        <w:t xml:space="preserve"> survey of paediatric pulmonologists fro</w:t>
      </w:r>
      <w:r w:rsidR="00EE15E9" w:rsidRPr="00AA602C">
        <w:t xml:space="preserve">m 26 European countries </w:t>
      </w:r>
      <w:r w:rsidR="00684108" w:rsidRPr="00AA602C">
        <w:t xml:space="preserve">found </w:t>
      </w:r>
      <w:r w:rsidR="008E4F88" w:rsidRPr="00AA602C">
        <w:t xml:space="preserve">that </w:t>
      </w:r>
      <w:r w:rsidR="00684108" w:rsidRPr="00AA602C">
        <w:t>doctor-diagnosed case</w:t>
      </w:r>
      <w:r w:rsidR="00E12D9F" w:rsidRPr="00AA602C">
        <w:t>s</w:t>
      </w:r>
      <w:r w:rsidR="00684108" w:rsidRPr="00AA602C">
        <w:t xml:space="preserve"> </w:t>
      </w:r>
      <w:r w:rsidR="008E4F88" w:rsidRPr="00AA602C">
        <w:t>were</w:t>
      </w:r>
      <w:r w:rsidR="00684108" w:rsidRPr="00AA602C">
        <w:t xml:space="preserve"> consi</w:t>
      </w:r>
      <w:r w:rsidR="00054598" w:rsidRPr="00AA602C">
        <w:t xml:space="preserve">derably </w:t>
      </w:r>
      <w:r w:rsidR="008E4F88" w:rsidRPr="00AA602C">
        <w:t xml:space="preserve">less frequent </w:t>
      </w:r>
      <w:r w:rsidR="00054598" w:rsidRPr="00AA602C">
        <w:t xml:space="preserve">in </w:t>
      </w:r>
      <w:r w:rsidR="008E4F88" w:rsidRPr="00AA602C">
        <w:t>most</w:t>
      </w:r>
      <w:r w:rsidR="00054598" w:rsidRPr="00AA602C">
        <w:t xml:space="preserve"> countries </w:t>
      </w:r>
      <w:r w:rsidR="007C27A0" w:rsidRPr="00AA602C">
        <w:t>and that h</w:t>
      </w:r>
      <w:r w:rsidR="00B84C58" w:rsidRPr="00AA602C">
        <w:t>alf of the</w:t>
      </w:r>
      <w:r w:rsidR="008114FB" w:rsidRPr="00AA602C">
        <w:t xml:space="preserve"> children were not diagnosed until school age</w:t>
      </w:r>
      <w:r w:rsidR="00472481">
        <w:t>. D</w:t>
      </w:r>
      <w:r w:rsidR="00B84C58" w:rsidRPr="00AA602C">
        <w:t xml:space="preserve">iagnosis was particularly late in </w:t>
      </w:r>
      <w:r w:rsidR="008114FB" w:rsidRPr="00AA602C">
        <w:t>those with normal situs</w:t>
      </w:r>
      <w:r w:rsidR="00EC0996">
        <w:t>.</w:t>
      </w:r>
      <w:r w:rsidR="006A73B8" w:rsidRPr="00AA602C">
        <w:t xml:space="preserve"> </w:t>
      </w:r>
      <w:r w:rsidR="001B17D6" w:rsidRPr="00AA602C">
        <w:t xml:space="preserve">Diagnostic testing and management of PCD </w:t>
      </w:r>
      <w:proofErr w:type="gramStart"/>
      <w:r w:rsidRPr="00AA602C">
        <w:t>was found</w:t>
      </w:r>
      <w:proofErr w:type="gramEnd"/>
      <w:r w:rsidRPr="00AA602C">
        <w:t xml:space="preserve"> to vary </w:t>
      </w:r>
      <w:r w:rsidR="001B17D6" w:rsidRPr="00AA602C">
        <w:t>widely within Europe</w:t>
      </w:r>
      <w:r w:rsidR="00EC0996">
        <w:t xml:space="preserve"> </w:t>
      </w:r>
      <w:r w:rsidR="00F85EE8">
        <w:rPr>
          <w:noProof/>
        </w:rPr>
        <w:t>(20)</w:t>
      </w:r>
      <w:r w:rsidR="00EC0996">
        <w:t>.</w:t>
      </w:r>
      <w:r w:rsidR="007754FC" w:rsidRPr="00AA602C">
        <w:t xml:space="preserve"> </w:t>
      </w:r>
    </w:p>
    <w:p w14:paraId="030B9248" w14:textId="28AC84A4" w:rsidR="00472481" w:rsidRDefault="004C3360">
      <w:pPr>
        <w:spacing w:after="0" w:line="360" w:lineRule="auto"/>
        <w:ind w:firstLine="720"/>
      </w:pPr>
      <w:r w:rsidRPr="00AA602C">
        <w:t xml:space="preserve">In </w:t>
      </w:r>
      <w:r w:rsidR="00B84C58" w:rsidRPr="00AA602C">
        <w:t xml:space="preserve">the </w:t>
      </w:r>
      <w:r w:rsidRPr="00AA602C">
        <w:t>U.S.</w:t>
      </w:r>
      <w:r w:rsidR="00D90895" w:rsidRPr="00AA602C">
        <w:t>,</w:t>
      </w:r>
      <w:r w:rsidRPr="00AA602C">
        <w:t xml:space="preserve"> </w:t>
      </w:r>
      <w:r w:rsidR="00535D09" w:rsidRPr="00AA602C">
        <w:t>fewer than 1000</w:t>
      </w:r>
      <w:r w:rsidRPr="00AA602C">
        <w:t xml:space="preserve"> patients had an </w:t>
      </w:r>
      <w:r w:rsidR="00B84C58" w:rsidRPr="00AA602C">
        <w:t>established diagnosis</w:t>
      </w:r>
      <w:r w:rsidRPr="00AA602C">
        <w:t xml:space="preserve"> of PCD in </w:t>
      </w:r>
      <w:r w:rsidR="00472481" w:rsidRPr="00AA602C">
        <w:t>2013</w:t>
      </w:r>
      <w:r w:rsidR="00472481">
        <w:t xml:space="preserve">, </w:t>
      </w:r>
      <w:r w:rsidR="009C5139" w:rsidRPr="00AA602C">
        <w:t xml:space="preserve">which would correspond to an incidence of </w:t>
      </w:r>
      <w:r w:rsidR="00472481">
        <w:t xml:space="preserve">approximately </w:t>
      </w:r>
      <w:r w:rsidR="008E2D56" w:rsidRPr="00AA602C">
        <w:t>1</w:t>
      </w:r>
      <w:r w:rsidR="00472481">
        <w:t xml:space="preserve">in </w:t>
      </w:r>
      <w:r w:rsidR="008E2D56" w:rsidRPr="00AA602C">
        <w:t>315,000</w:t>
      </w:r>
      <w:r w:rsidR="003E4B3D" w:rsidRPr="00AA602C">
        <w:t>. The</w:t>
      </w:r>
      <w:r w:rsidR="00B233AB" w:rsidRPr="00AA602C">
        <w:t xml:space="preserve"> </w:t>
      </w:r>
      <w:r w:rsidRPr="00AA602C">
        <w:t xml:space="preserve">median age </w:t>
      </w:r>
      <w:r w:rsidR="003B2DE7" w:rsidRPr="00AA602C">
        <w:t xml:space="preserve">at diagnosis was </w:t>
      </w:r>
      <w:r w:rsidRPr="00AA602C">
        <w:t>5 years</w:t>
      </w:r>
      <w:r w:rsidR="00EC0996">
        <w:t xml:space="preserve"> </w:t>
      </w:r>
      <w:r w:rsidR="00F85EE8">
        <w:rPr>
          <w:noProof/>
        </w:rPr>
        <w:t>(21)</w:t>
      </w:r>
      <w:r w:rsidR="00EC0996">
        <w:t>.</w:t>
      </w:r>
      <w:r w:rsidR="00B84C58" w:rsidRPr="00AA602C">
        <w:t xml:space="preserve"> </w:t>
      </w:r>
      <w:r w:rsidR="00F5116B" w:rsidRPr="00AA602C">
        <w:t>A study from Australia reported a median age at diagnosis of 6.4 years, and disturbingly found bro</w:t>
      </w:r>
      <w:r w:rsidR="003E4B3D" w:rsidRPr="00AA602C">
        <w:t xml:space="preserve">nchiectasis already present in </w:t>
      </w:r>
      <w:proofErr w:type="gramStart"/>
      <w:r w:rsidR="003E4B3D" w:rsidRPr="00AA602C">
        <w:t>one</w:t>
      </w:r>
      <w:r w:rsidR="00F5116B" w:rsidRPr="00AA602C">
        <w:t xml:space="preserve"> third</w:t>
      </w:r>
      <w:proofErr w:type="gramEnd"/>
      <w:r w:rsidR="00EC0996">
        <w:t xml:space="preserve"> </w:t>
      </w:r>
      <w:r w:rsidR="00F85EE8">
        <w:rPr>
          <w:noProof/>
        </w:rPr>
        <w:t>(22)</w:t>
      </w:r>
      <w:r w:rsidR="00EC0996">
        <w:t>.</w:t>
      </w:r>
      <w:r w:rsidR="00F5116B" w:rsidRPr="00AA602C">
        <w:t xml:space="preserve"> </w:t>
      </w:r>
    </w:p>
    <w:p w14:paraId="6DF796D7" w14:textId="77777777" w:rsidR="003E4B3D" w:rsidRPr="00AA602C" w:rsidRDefault="00F5116B">
      <w:pPr>
        <w:spacing w:after="0" w:line="360" w:lineRule="auto"/>
        <w:ind w:firstLine="720"/>
      </w:pPr>
      <w:r w:rsidRPr="00AA602C">
        <w:t>These</w:t>
      </w:r>
      <w:r w:rsidR="008114FB" w:rsidRPr="00AA602C">
        <w:t xml:space="preserve"> </w:t>
      </w:r>
      <w:r w:rsidRPr="00AA602C">
        <w:t>studies</w:t>
      </w:r>
      <w:r w:rsidR="008114FB" w:rsidRPr="00AA602C">
        <w:t xml:space="preserve"> did not </w:t>
      </w:r>
      <w:r w:rsidRPr="00AA602C">
        <w:t>take into consideration the larger</w:t>
      </w:r>
      <w:r w:rsidR="008114FB" w:rsidRPr="00AA602C">
        <w:t xml:space="preserve"> adult population with </w:t>
      </w:r>
      <w:r w:rsidR="00EE15E9" w:rsidRPr="00AA602C">
        <w:t>‘missed’ PCD</w:t>
      </w:r>
      <w:r w:rsidR="003E4B3D" w:rsidRPr="00AA602C">
        <w:t xml:space="preserve">. </w:t>
      </w:r>
      <w:r w:rsidR="003E4B3D" w:rsidRPr="00AA602C">
        <w:rPr>
          <w:iCs/>
        </w:rPr>
        <w:t>Delayed and overlooked diagnos</w:t>
      </w:r>
      <w:r w:rsidR="009C5139" w:rsidRPr="00AA602C">
        <w:rPr>
          <w:iCs/>
        </w:rPr>
        <w:t>es</w:t>
      </w:r>
      <w:r w:rsidR="003E4B3D" w:rsidRPr="00AA602C">
        <w:rPr>
          <w:iCs/>
        </w:rPr>
        <w:t xml:space="preserve"> in North America, Europe and Australia shows that </w:t>
      </w:r>
      <w:proofErr w:type="spellStart"/>
      <w:r w:rsidR="003E4B3D" w:rsidRPr="00AA602C">
        <w:rPr>
          <w:iCs/>
        </w:rPr>
        <w:t>pediatricians</w:t>
      </w:r>
      <w:proofErr w:type="spellEnd"/>
      <w:r w:rsidR="003E4B3D" w:rsidRPr="00AA602C">
        <w:rPr>
          <w:iCs/>
        </w:rPr>
        <w:t xml:space="preserve"> are not thinking of this rare disease when encountering symptomatic patients. </w:t>
      </w:r>
      <w:r w:rsidR="003E4B3D" w:rsidRPr="00AA602C">
        <w:t xml:space="preserve">These findings are concerning because early detection and appropriate management </w:t>
      </w:r>
      <w:r w:rsidR="00D90895" w:rsidRPr="00AA602C">
        <w:t>might</w:t>
      </w:r>
      <w:r w:rsidR="003E4B3D" w:rsidRPr="00AA602C">
        <w:t xml:space="preserve"> slow the progression of bronchiectasis, </w:t>
      </w:r>
      <w:r w:rsidR="00852CDA" w:rsidRPr="00AA602C">
        <w:t xml:space="preserve">improve </w:t>
      </w:r>
      <w:r w:rsidR="003E4B3D" w:rsidRPr="00AA602C">
        <w:t xml:space="preserve">hearing to prevent speech and educational delays, and provide genetic counselling for families.  The problem extends to adult practice. Anecdotal </w:t>
      </w:r>
      <w:r w:rsidR="00485DA6" w:rsidRPr="00AA602C">
        <w:t>evidence suggests that many adult</w:t>
      </w:r>
      <w:r w:rsidRPr="00AA602C">
        <w:t xml:space="preserve"> patient</w:t>
      </w:r>
      <w:r w:rsidR="00EE15E9" w:rsidRPr="00AA602C">
        <w:t>s</w:t>
      </w:r>
      <w:r w:rsidRPr="00AA602C">
        <w:t xml:space="preserve"> </w:t>
      </w:r>
      <w:proofErr w:type="gramStart"/>
      <w:r w:rsidRPr="00AA602C">
        <w:t>are managed</w:t>
      </w:r>
      <w:proofErr w:type="gramEnd"/>
      <w:r w:rsidR="008114FB" w:rsidRPr="00AA602C">
        <w:t xml:space="preserve"> in non-CF bronchiectasis clinics</w:t>
      </w:r>
      <w:r w:rsidR="00485DA6" w:rsidRPr="00AA602C">
        <w:t>,</w:t>
      </w:r>
      <w:r w:rsidR="008114FB" w:rsidRPr="00AA602C">
        <w:t xml:space="preserve"> where cystic fibrosis and immunolog</w:t>
      </w:r>
      <w:r w:rsidR="00EE15E9" w:rsidRPr="00AA602C">
        <w:t xml:space="preserve">ical causes </w:t>
      </w:r>
      <w:r w:rsidR="003B2DE7" w:rsidRPr="00AA602C">
        <w:t xml:space="preserve">are </w:t>
      </w:r>
      <w:r w:rsidR="00EE15E9" w:rsidRPr="00AA602C">
        <w:t>excluded</w:t>
      </w:r>
      <w:r w:rsidR="003E4B3D" w:rsidRPr="00AA602C">
        <w:t xml:space="preserve"> by appropriate diagnostic studies</w:t>
      </w:r>
      <w:r w:rsidR="008114FB" w:rsidRPr="00AA602C">
        <w:t>, but testin</w:t>
      </w:r>
      <w:r w:rsidRPr="00AA602C">
        <w:t xml:space="preserve">g for PCD </w:t>
      </w:r>
      <w:r w:rsidR="003B2DE7" w:rsidRPr="00AA602C">
        <w:t>is often no</w:t>
      </w:r>
      <w:r w:rsidR="00A205E7" w:rsidRPr="00AA602C">
        <w:t>t</w:t>
      </w:r>
      <w:r w:rsidRPr="00AA602C">
        <w:t xml:space="preserve"> considered</w:t>
      </w:r>
      <w:r w:rsidR="008114FB" w:rsidRPr="00AA602C">
        <w:t>.</w:t>
      </w:r>
      <w:r w:rsidRPr="00AA602C">
        <w:t xml:space="preserve"> </w:t>
      </w:r>
    </w:p>
    <w:p w14:paraId="4E62A946" w14:textId="77777777" w:rsidR="008B2C32" w:rsidRPr="00AA602C" w:rsidRDefault="008B2C32">
      <w:pPr>
        <w:spacing w:after="0" w:line="360" w:lineRule="auto"/>
        <w:ind w:firstLine="720"/>
        <w:rPr>
          <w:b/>
        </w:rPr>
      </w:pPr>
    </w:p>
    <w:p w14:paraId="3A04B3E1" w14:textId="77777777" w:rsidR="008B2C32" w:rsidRPr="00AA602C" w:rsidRDefault="008B2C32" w:rsidP="001B76F7">
      <w:pPr>
        <w:tabs>
          <w:tab w:val="left" w:pos="7548"/>
        </w:tabs>
        <w:spacing w:after="0" w:line="360" w:lineRule="auto"/>
        <w:rPr>
          <w:b/>
          <w:sz w:val="24"/>
          <w:szCs w:val="24"/>
        </w:rPr>
      </w:pPr>
      <w:r w:rsidRPr="00AA602C">
        <w:rPr>
          <w:b/>
          <w:sz w:val="24"/>
          <w:szCs w:val="24"/>
        </w:rPr>
        <w:t>The diagnostic challenge</w:t>
      </w:r>
    </w:p>
    <w:p w14:paraId="61758339" w14:textId="098FA409" w:rsidR="008B2C32" w:rsidRPr="00AA602C" w:rsidRDefault="001A66E3" w:rsidP="0081328C">
      <w:pPr>
        <w:spacing w:after="0" w:line="360" w:lineRule="auto"/>
        <w:ind w:firstLine="720"/>
      </w:pPr>
      <w:r w:rsidRPr="00AA602C">
        <w:t xml:space="preserve">What can we do to improve the situation, so that patients with PCD </w:t>
      </w:r>
      <w:proofErr w:type="gramStart"/>
      <w:r w:rsidRPr="00AA602C">
        <w:t>are diagnosed</w:t>
      </w:r>
      <w:proofErr w:type="gramEnd"/>
      <w:r w:rsidRPr="00AA602C">
        <w:t xml:space="preserve"> at a young age and receiving appropriate treatment? </w:t>
      </w:r>
      <w:r w:rsidR="008B2C32" w:rsidRPr="00AA602C">
        <w:t xml:space="preserve">Given the low prevalence of the disease, and the </w:t>
      </w:r>
      <w:r w:rsidRPr="00AA602C">
        <w:t xml:space="preserve">high costs for testing, it is impossible to </w:t>
      </w:r>
      <w:r w:rsidR="00472481">
        <w:t>perform</w:t>
      </w:r>
      <w:r w:rsidR="00472481" w:rsidRPr="00AA602C">
        <w:t xml:space="preserve"> </w:t>
      </w:r>
      <w:r w:rsidRPr="00AA602C">
        <w:t xml:space="preserve">the </w:t>
      </w:r>
      <w:proofErr w:type="gramStart"/>
      <w:r w:rsidRPr="00AA602C">
        <w:t>whole</w:t>
      </w:r>
      <w:proofErr w:type="gramEnd"/>
      <w:r w:rsidRPr="00AA602C">
        <w:t xml:space="preserve"> set of diagnostic tests in the whole </w:t>
      </w:r>
      <w:r w:rsidRPr="00AA602C">
        <w:lastRenderedPageBreak/>
        <w:t>population</w:t>
      </w:r>
      <w:r w:rsidR="00472481">
        <w:t xml:space="preserve"> or even in all patients with compatible symptoms</w:t>
      </w:r>
      <w:r w:rsidRPr="00AA602C">
        <w:t xml:space="preserve">. It would even be very costly to </w:t>
      </w:r>
      <w:r w:rsidR="00D90895" w:rsidRPr="00AA602C">
        <w:t xml:space="preserve">test </w:t>
      </w:r>
      <w:r w:rsidR="00472481">
        <w:t>6</w:t>
      </w:r>
      <w:r w:rsidR="00472481" w:rsidRPr="00AA602C">
        <w:t xml:space="preserve"> </w:t>
      </w:r>
      <w:r w:rsidR="006A7ECF" w:rsidRPr="00AA602C">
        <w:t xml:space="preserve">to </w:t>
      </w:r>
      <w:r w:rsidR="00472481">
        <w:t>12</w:t>
      </w:r>
      <w:r w:rsidR="00472481" w:rsidRPr="00AA602C">
        <w:t xml:space="preserve"> </w:t>
      </w:r>
      <w:r w:rsidR="009A0ADB" w:rsidRPr="00AA602C">
        <w:t>percen</w:t>
      </w:r>
      <w:r w:rsidR="00D90895" w:rsidRPr="00AA602C">
        <w:t>t</w:t>
      </w:r>
      <w:r w:rsidRPr="00AA602C">
        <w:t xml:space="preserve"> of the population for PCD, the proportion of </w:t>
      </w:r>
      <w:r w:rsidR="006A7ECF" w:rsidRPr="00AA602C">
        <w:t xml:space="preserve">children and </w:t>
      </w:r>
      <w:r w:rsidR="0049485E" w:rsidRPr="00AA602C">
        <w:t>young adults with</w:t>
      </w:r>
      <w:r w:rsidRPr="00AA602C">
        <w:t xml:space="preserve"> chronic wet cough</w:t>
      </w:r>
      <w:r w:rsidR="00EC0996">
        <w:t xml:space="preserve"> </w:t>
      </w:r>
      <w:r w:rsidR="00F85EE8">
        <w:rPr>
          <w:noProof/>
        </w:rPr>
        <w:t>(23, 24)</w:t>
      </w:r>
      <w:r w:rsidR="00EC0996">
        <w:t>.</w:t>
      </w:r>
      <w:r w:rsidR="006A7ECF" w:rsidRPr="00AA602C">
        <w:t xml:space="preserve"> </w:t>
      </w:r>
      <w:r w:rsidRPr="00AA602C">
        <w:t xml:space="preserve"> </w:t>
      </w:r>
      <w:r w:rsidR="008C6EF2" w:rsidRPr="00AA602C">
        <w:rPr>
          <w:iCs/>
        </w:rPr>
        <w:t xml:space="preserve">Pulmonologists, neonatologists, </w:t>
      </w:r>
      <w:proofErr w:type="spellStart"/>
      <w:r w:rsidR="008C6EF2" w:rsidRPr="00AA602C">
        <w:rPr>
          <w:iCs/>
        </w:rPr>
        <w:t>otorhinolaryngologists</w:t>
      </w:r>
      <w:proofErr w:type="spellEnd"/>
      <w:r w:rsidR="008C6EF2" w:rsidRPr="00AA602C">
        <w:rPr>
          <w:iCs/>
        </w:rPr>
        <w:t xml:space="preserve">, and </w:t>
      </w:r>
      <w:proofErr w:type="spellStart"/>
      <w:r w:rsidR="008C6EF2" w:rsidRPr="00AA602C">
        <w:rPr>
          <w:iCs/>
        </w:rPr>
        <w:t>pediatricians</w:t>
      </w:r>
      <w:proofErr w:type="spellEnd"/>
      <w:r w:rsidR="008C6EF2" w:rsidRPr="00AA602C">
        <w:rPr>
          <w:iCs/>
        </w:rPr>
        <w:t xml:space="preserve"> need guidance to identify patients whose complaints warrant extensive testing. Until </w:t>
      </w:r>
      <w:proofErr w:type="gramStart"/>
      <w:r w:rsidR="008C6EF2" w:rsidRPr="00AA602C">
        <w:rPr>
          <w:iCs/>
        </w:rPr>
        <w:t>now</w:t>
      </w:r>
      <w:proofErr w:type="gramEnd"/>
      <w:r w:rsidR="008C6EF2" w:rsidRPr="00AA602C">
        <w:rPr>
          <w:iCs/>
        </w:rPr>
        <w:t xml:space="preserve"> “</w:t>
      </w:r>
      <w:r w:rsidR="006A7ECF" w:rsidRPr="00AA602C">
        <w:rPr>
          <w:iCs/>
        </w:rPr>
        <w:t>c</w:t>
      </w:r>
      <w:r w:rsidR="008C6EF2" w:rsidRPr="00AA602C">
        <w:rPr>
          <w:iCs/>
        </w:rPr>
        <w:t xml:space="preserve">linical experience” </w:t>
      </w:r>
      <w:r w:rsidR="003C71C7" w:rsidRPr="00AA602C">
        <w:rPr>
          <w:iCs/>
        </w:rPr>
        <w:t xml:space="preserve">was used </w:t>
      </w:r>
      <w:r w:rsidR="008C6EF2" w:rsidRPr="00AA602C">
        <w:rPr>
          <w:iCs/>
        </w:rPr>
        <w:t xml:space="preserve">to decide, which patients to refer for testing. The large </w:t>
      </w:r>
      <w:r w:rsidR="006A7ECF" w:rsidRPr="00AA602C">
        <w:rPr>
          <w:iCs/>
        </w:rPr>
        <w:t>proportion</w:t>
      </w:r>
      <w:r w:rsidR="008C6EF2" w:rsidRPr="00AA602C">
        <w:rPr>
          <w:iCs/>
        </w:rPr>
        <w:t xml:space="preserve"> of undiagnosed </w:t>
      </w:r>
      <w:r w:rsidR="006A7ECF" w:rsidRPr="00AA602C">
        <w:rPr>
          <w:iCs/>
        </w:rPr>
        <w:t xml:space="preserve">PCD </w:t>
      </w:r>
      <w:r w:rsidR="008C6EF2" w:rsidRPr="00AA602C">
        <w:rPr>
          <w:iCs/>
        </w:rPr>
        <w:t>patients</w:t>
      </w:r>
      <w:r w:rsidR="00093CBC">
        <w:rPr>
          <w:iCs/>
        </w:rPr>
        <w:t xml:space="preserve">, and the reports from patients who </w:t>
      </w:r>
      <w:r w:rsidR="00E333FF">
        <w:rPr>
          <w:iCs/>
        </w:rPr>
        <w:t>were</w:t>
      </w:r>
      <w:r w:rsidR="00093CBC">
        <w:rPr>
          <w:iCs/>
        </w:rPr>
        <w:t xml:space="preserve"> diagnosed after long delays,</w:t>
      </w:r>
      <w:r w:rsidR="001B76F7">
        <w:rPr>
          <w:iCs/>
        </w:rPr>
        <w:t xml:space="preserve"> </w:t>
      </w:r>
      <w:r w:rsidR="00F85EE8">
        <w:rPr>
          <w:iCs/>
          <w:noProof/>
        </w:rPr>
        <w:t>(7)</w:t>
      </w:r>
      <w:r w:rsidR="008C6EF2" w:rsidRPr="00AA602C">
        <w:rPr>
          <w:iCs/>
        </w:rPr>
        <w:t xml:space="preserve"> shows that this strategy has not been very successful. </w:t>
      </w:r>
      <w:r w:rsidR="006A7ECF" w:rsidRPr="00AA602C">
        <w:t>A</w:t>
      </w:r>
      <w:r w:rsidRPr="00AA602C">
        <w:t xml:space="preserve"> good screening test</w:t>
      </w:r>
      <w:r w:rsidR="003C71C7" w:rsidRPr="00AA602C">
        <w:t xml:space="preserve"> that </w:t>
      </w:r>
      <w:r w:rsidR="009A0ADB" w:rsidRPr="00AA602C">
        <w:t>filter</w:t>
      </w:r>
      <w:r w:rsidR="003C71C7" w:rsidRPr="00AA602C">
        <w:t>s</w:t>
      </w:r>
      <w:r w:rsidR="009A0ADB" w:rsidRPr="00AA602C">
        <w:t xml:space="preserve"> out – among people with chronic respiratory symptoms – those </w:t>
      </w:r>
      <w:r w:rsidR="003C71C7" w:rsidRPr="00AA602C">
        <w:t>most</w:t>
      </w:r>
      <w:r w:rsidR="009A0ADB" w:rsidRPr="00AA602C">
        <w:t xml:space="preserve"> </w:t>
      </w:r>
      <w:r w:rsidR="00093CBC">
        <w:t xml:space="preserve">likely </w:t>
      </w:r>
      <w:r w:rsidR="009A0ADB" w:rsidRPr="00AA602C">
        <w:t xml:space="preserve">to have </w:t>
      </w:r>
      <w:proofErr w:type="gramStart"/>
      <w:r w:rsidR="009A0ADB" w:rsidRPr="00AA602C">
        <w:t>PCD</w:t>
      </w:r>
      <w:r w:rsidR="006A7ECF" w:rsidRPr="00AA602C">
        <w:t>,</w:t>
      </w:r>
      <w:proofErr w:type="gramEnd"/>
      <w:r w:rsidR="006A7ECF" w:rsidRPr="00AA602C">
        <w:t xml:space="preserve"> would be </w:t>
      </w:r>
      <w:r w:rsidR="003C71C7" w:rsidRPr="00AA602C">
        <w:t>welcome</w:t>
      </w:r>
      <w:r w:rsidR="009A0ADB" w:rsidRPr="00AA602C">
        <w:t xml:space="preserve">. </w:t>
      </w:r>
    </w:p>
    <w:p w14:paraId="7437FC4B" w14:textId="6E0FCD03" w:rsidR="00A330A4" w:rsidRPr="00AA602C" w:rsidRDefault="009A0ADB" w:rsidP="0081328C">
      <w:pPr>
        <w:spacing w:after="0" w:line="360" w:lineRule="auto"/>
        <w:ind w:firstLine="720"/>
        <w:rPr>
          <w:iCs/>
        </w:rPr>
      </w:pPr>
      <w:r w:rsidRPr="00AA602C">
        <w:t xml:space="preserve">Three recent </w:t>
      </w:r>
      <w:r w:rsidR="003C71C7" w:rsidRPr="00AA602C">
        <w:t xml:space="preserve">publications </w:t>
      </w:r>
      <w:r w:rsidRPr="00AA602C">
        <w:t>have focused on this topic</w:t>
      </w:r>
      <w:r w:rsidR="00682CE0">
        <w:t>,</w:t>
      </w:r>
      <w:r w:rsidR="00472481">
        <w:t xml:space="preserve"> including one published in this issue of </w:t>
      </w:r>
      <w:proofErr w:type="spellStart"/>
      <w:r w:rsidR="00472481" w:rsidRPr="001B76F7">
        <w:rPr>
          <w:i/>
        </w:rPr>
        <w:t>AnnalsATS</w:t>
      </w:r>
      <w:proofErr w:type="spellEnd"/>
      <w:r w:rsidR="00155A09" w:rsidRPr="00AA602C">
        <w:t xml:space="preserve"> </w:t>
      </w:r>
      <w:r w:rsidR="00F85EE8">
        <w:rPr>
          <w:noProof/>
        </w:rPr>
        <w:t>(25)</w:t>
      </w:r>
      <w:r w:rsidR="00472481">
        <w:t xml:space="preserve"> </w:t>
      </w:r>
      <w:r w:rsidR="00155A09" w:rsidRPr="00AA602C">
        <w:t>(</w:t>
      </w:r>
      <w:r w:rsidR="00155A09" w:rsidRPr="00AA602C">
        <w:rPr>
          <w:b/>
        </w:rPr>
        <w:t>Table 1</w:t>
      </w:r>
      <w:r w:rsidR="00155A09" w:rsidRPr="00AA602C">
        <w:t>)</w:t>
      </w:r>
      <w:r w:rsidR="003C71C7" w:rsidRPr="00AA602C">
        <w:t xml:space="preserve">. Collins et al investigated the validity of </w:t>
      </w:r>
      <w:proofErr w:type="spellStart"/>
      <w:r w:rsidR="003C71C7" w:rsidRPr="00AA602C">
        <w:t>nNO</w:t>
      </w:r>
      <w:proofErr w:type="spellEnd"/>
      <w:r w:rsidR="003C71C7" w:rsidRPr="00AA602C">
        <w:t xml:space="preserve"> as screening test for PCD in hypothetical populations with different prevalence of PCD</w:t>
      </w:r>
      <w:r w:rsidR="002F46D6">
        <w:t xml:space="preserve"> </w:t>
      </w:r>
      <w:r w:rsidR="00F85EE8">
        <w:rPr>
          <w:noProof/>
        </w:rPr>
        <w:t>(26)</w:t>
      </w:r>
      <w:r w:rsidR="001B76F7">
        <w:t>.</w:t>
      </w:r>
      <w:r w:rsidR="003C71C7" w:rsidRPr="00AA602C">
        <w:t xml:space="preserve"> </w:t>
      </w:r>
      <w:r w:rsidR="00682CE0">
        <w:t>Reports</w:t>
      </w:r>
      <w:r w:rsidR="00472481">
        <w:t xml:space="preserve"> by Behan and colleagues </w:t>
      </w:r>
      <w:r w:rsidR="00F85EE8">
        <w:rPr>
          <w:noProof/>
        </w:rPr>
        <w:t>(27)</w:t>
      </w:r>
      <w:r w:rsidR="00682CE0">
        <w:rPr>
          <w:noProof/>
        </w:rPr>
        <w:t xml:space="preserve"> </w:t>
      </w:r>
      <w:r w:rsidR="00472481">
        <w:t xml:space="preserve">and Leigh and </w:t>
      </w:r>
      <w:proofErr w:type="spellStart"/>
      <w:r w:rsidR="00472481">
        <w:t>coauthors</w:t>
      </w:r>
      <w:proofErr w:type="spellEnd"/>
      <w:r w:rsidR="00472481">
        <w:t xml:space="preserve"> </w:t>
      </w:r>
      <w:r w:rsidR="00F85EE8">
        <w:rPr>
          <w:noProof/>
        </w:rPr>
        <w:t>(25)</w:t>
      </w:r>
      <w:r w:rsidR="00682CE0">
        <w:rPr>
          <w:iCs/>
          <w:noProof/>
        </w:rPr>
        <w:t xml:space="preserve"> </w:t>
      </w:r>
      <w:r w:rsidR="00472481">
        <w:t>both</w:t>
      </w:r>
      <w:r w:rsidR="001C383D" w:rsidRPr="00AA602C">
        <w:t xml:space="preserve"> propos</w:t>
      </w:r>
      <w:r w:rsidR="00682CE0">
        <w:t>e</w:t>
      </w:r>
      <w:r w:rsidR="001C383D" w:rsidRPr="00AA602C">
        <w:t xml:space="preserve"> screening tools based on symptom scores</w:t>
      </w:r>
      <w:r w:rsidR="002F46D6">
        <w:t xml:space="preserve"> </w:t>
      </w:r>
    </w:p>
    <w:p w14:paraId="22D6BA3D" w14:textId="77777777" w:rsidR="00146A27" w:rsidRPr="00AA602C" w:rsidRDefault="00146A27">
      <w:pPr>
        <w:spacing w:after="0" w:line="360" w:lineRule="auto"/>
        <w:ind w:firstLine="720"/>
        <w:rPr>
          <w:iCs/>
        </w:rPr>
      </w:pPr>
    </w:p>
    <w:p w14:paraId="22B38CB4" w14:textId="77777777" w:rsidR="00241F6F" w:rsidRPr="00AA602C" w:rsidRDefault="00241F6F" w:rsidP="00150FD4">
      <w:pPr>
        <w:tabs>
          <w:tab w:val="left" w:pos="7548"/>
        </w:tabs>
        <w:spacing w:after="0" w:line="360" w:lineRule="auto"/>
        <w:rPr>
          <w:b/>
          <w:sz w:val="24"/>
          <w:szCs w:val="24"/>
        </w:rPr>
      </w:pPr>
      <w:r w:rsidRPr="00AA602C">
        <w:rPr>
          <w:b/>
          <w:sz w:val="24"/>
          <w:szCs w:val="24"/>
        </w:rPr>
        <w:t xml:space="preserve">Who </w:t>
      </w:r>
      <w:proofErr w:type="gramStart"/>
      <w:r w:rsidRPr="00AA602C">
        <w:rPr>
          <w:b/>
          <w:sz w:val="24"/>
          <w:szCs w:val="24"/>
        </w:rPr>
        <w:t>should be referred</w:t>
      </w:r>
      <w:proofErr w:type="gramEnd"/>
      <w:r w:rsidRPr="00AA602C">
        <w:rPr>
          <w:b/>
          <w:sz w:val="24"/>
          <w:szCs w:val="24"/>
        </w:rPr>
        <w:t xml:space="preserve"> for diagnostic testing?</w:t>
      </w:r>
    </w:p>
    <w:p w14:paraId="5D29A75C" w14:textId="667BD08A" w:rsidR="00F53E9A" w:rsidRPr="00AA602C" w:rsidRDefault="001C383D" w:rsidP="0081328C">
      <w:pPr>
        <w:spacing w:after="0" w:line="360" w:lineRule="auto"/>
        <w:ind w:firstLine="720"/>
        <w:rPr>
          <w:iCs/>
        </w:rPr>
      </w:pPr>
      <w:r w:rsidRPr="00AA602C">
        <w:t>In a short paper</w:t>
      </w:r>
      <w:r w:rsidR="00682CE0">
        <w:t>,</w:t>
      </w:r>
      <w:r w:rsidRPr="00AA602C">
        <w:t xml:space="preserve"> </w:t>
      </w:r>
      <w:r w:rsidR="00282215" w:rsidRPr="00AA602C">
        <w:t xml:space="preserve">Collins </w:t>
      </w:r>
      <w:r w:rsidR="00682CE0">
        <w:t xml:space="preserve">and </w:t>
      </w:r>
      <w:proofErr w:type="spellStart"/>
      <w:r w:rsidR="00682CE0">
        <w:t>coworkers</w:t>
      </w:r>
      <w:proofErr w:type="spellEnd"/>
      <w:r w:rsidR="00282215" w:rsidRPr="00AA602C">
        <w:t xml:space="preserve"> investigated </w:t>
      </w:r>
      <w:r w:rsidR="00F53E9A" w:rsidRPr="00AA602C">
        <w:t xml:space="preserve">the </w:t>
      </w:r>
      <w:r w:rsidR="00F53E9A" w:rsidRPr="002F46D6">
        <w:t>validity of</w:t>
      </w:r>
      <w:r w:rsidR="00282215" w:rsidRPr="002F46D6">
        <w:t xml:space="preserve"> </w:t>
      </w:r>
      <w:proofErr w:type="spellStart"/>
      <w:r w:rsidR="00282215" w:rsidRPr="002F46D6">
        <w:rPr>
          <w:iCs/>
        </w:rPr>
        <w:t>nNO</w:t>
      </w:r>
      <w:proofErr w:type="spellEnd"/>
      <w:r w:rsidR="00282215" w:rsidRPr="002F46D6">
        <w:rPr>
          <w:iCs/>
        </w:rPr>
        <w:t xml:space="preserve"> </w:t>
      </w:r>
      <w:r w:rsidR="00F53E9A" w:rsidRPr="002F46D6">
        <w:rPr>
          <w:iCs/>
        </w:rPr>
        <w:t>in the population</w:t>
      </w:r>
      <w:r w:rsidR="00F53E9A" w:rsidRPr="00AA602C">
        <w:rPr>
          <w:iCs/>
        </w:rPr>
        <w:t xml:space="preserve"> of </w:t>
      </w:r>
      <w:r w:rsidR="00FF11BD" w:rsidRPr="00AA602C">
        <w:rPr>
          <w:iCs/>
        </w:rPr>
        <w:t xml:space="preserve">282 </w:t>
      </w:r>
      <w:r w:rsidR="00F53E9A" w:rsidRPr="00AA602C">
        <w:rPr>
          <w:iCs/>
        </w:rPr>
        <w:t xml:space="preserve">patients referred to one of the national PCD diagnostic </w:t>
      </w:r>
      <w:proofErr w:type="spellStart"/>
      <w:r w:rsidR="0081328C">
        <w:rPr>
          <w:iCs/>
        </w:rPr>
        <w:t>centers</w:t>
      </w:r>
      <w:proofErr w:type="spellEnd"/>
      <w:r w:rsidR="00F53E9A" w:rsidRPr="00AA602C">
        <w:rPr>
          <w:iCs/>
        </w:rPr>
        <w:t xml:space="preserve"> in England. </w:t>
      </w:r>
      <w:r w:rsidR="00F85EE8">
        <w:rPr>
          <w:iCs/>
          <w:noProof/>
        </w:rPr>
        <w:t>(26)</w:t>
      </w:r>
      <w:r w:rsidR="00F53E9A" w:rsidRPr="00AA602C">
        <w:rPr>
          <w:iCs/>
        </w:rPr>
        <w:t xml:space="preserve"> Using a combination of </w:t>
      </w:r>
      <w:r w:rsidR="002F46D6">
        <w:rPr>
          <w:iCs/>
        </w:rPr>
        <w:t>tests, 11% of the referrals</w:t>
      </w:r>
      <w:r w:rsidR="00FF11BD" w:rsidRPr="00AA602C">
        <w:rPr>
          <w:iCs/>
        </w:rPr>
        <w:t xml:space="preserve"> </w:t>
      </w:r>
      <w:proofErr w:type="gramStart"/>
      <w:r w:rsidR="00F53E9A" w:rsidRPr="00AA602C">
        <w:rPr>
          <w:iCs/>
        </w:rPr>
        <w:t>were finally diagnosed</w:t>
      </w:r>
      <w:proofErr w:type="gramEnd"/>
      <w:r w:rsidR="00F53E9A" w:rsidRPr="00AA602C">
        <w:rPr>
          <w:iCs/>
        </w:rPr>
        <w:t xml:space="preserve"> with PCD. Collins calculated sensitivity, specificity, positive and negative predictive values of </w:t>
      </w:r>
      <w:proofErr w:type="spellStart"/>
      <w:r w:rsidR="00F53E9A" w:rsidRPr="00AA602C">
        <w:rPr>
          <w:iCs/>
        </w:rPr>
        <w:t>nNO</w:t>
      </w:r>
      <w:proofErr w:type="spellEnd"/>
      <w:r w:rsidR="00F53E9A" w:rsidRPr="00AA602C">
        <w:rPr>
          <w:iCs/>
        </w:rPr>
        <w:t xml:space="preserve"> in this population, but also in hypothetical populations with a lower prevalence of PCD. He found</w:t>
      </w:r>
      <w:r w:rsidR="00282215" w:rsidRPr="00AA602C">
        <w:rPr>
          <w:iCs/>
        </w:rPr>
        <w:t xml:space="preserve"> that </w:t>
      </w:r>
      <w:proofErr w:type="spellStart"/>
      <w:r w:rsidR="00282215" w:rsidRPr="00AA602C">
        <w:rPr>
          <w:iCs/>
        </w:rPr>
        <w:t>nNO</w:t>
      </w:r>
      <w:proofErr w:type="spellEnd"/>
      <w:r w:rsidR="00282215" w:rsidRPr="00AA602C">
        <w:rPr>
          <w:iCs/>
        </w:rPr>
        <w:t xml:space="preserve"> perform</w:t>
      </w:r>
      <w:r w:rsidR="00F53E9A" w:rsidRPr="00AA602C">
        <w:rPr>
          <w:iCs/>
        </w:rPr>
        <w:t>ed</w:t>
      </w:r>
      <w:r w:rsidR="00282215" w:rsidRPr="00AA602C">
        <w:rPr>
          <w:iCs/>
        </w:rPr>
        <w:t xml:space="preserve"> well in </w:t>
      </w:r>
      <w:r w:rsidR="00F53E9A" w:rsidRPr="00AA602C">
        <w:rPr>
          <w:iCs/>
        </w:rPr>
        <w:t xml:space="preserve">his </w:t>
      </w:r>
      <w:r w:rsidR="00282215" w:rsidRPr="00AA602C">
        <w:rPr>
          <w:iCs/>
        </w:rPr>
        <w:t>highly selected patients</w:t>
      </w:r>
      <w:r w:rsidR="00F53E9A" w:rsidRPr="00AA602C">
        <w:rPr>
          <w:iCs/>
        </w:rPr>
        <w:t xml:space="preserve">. However, in </w:t>
      </w:r>
      <w:r w:rsidR="00282215" w:rsidRPr="00AA602C">
        <w:rPr>
          <w:iCs/>
        </w:rPr>
        <w:t>population</w:t>
      </w:r>
      <w:r w:rsidR="00F53E9A" w:rsidRPr="00AA602C">
        <w:rPr>
          <w:iCs/>
        </w:rPr>
        <w:t>s with a lower prevalence of PCD</w:t>
      </w:r>
      <w:r w:rsidR="00282215" w:rsidRPr="00AA602C">
        <w:rPr>
          <w:iCs/>
        </w:rPr>
        <w:t xml:space="preserve">, the number of false positive cases identified by </w:t>
      </w:r>
      <w:proofErr w:type="spellStart"/>
      <w:r w:rsidR="00282215" w:rsidRPr="00AA602C">
        <w:rPr>
          <w:iCs/>
        </w:rPr>
        <w:t>nNO</w:t>
      </w:r>
      <w:proofErr w:type="spellEnd"/>
      <w:r w:rsidR="00282215" w:rsidRPr="00AA602C">
        <w:rPr>
          <w:iCs/>
        </w:rPr>
        <w:t xml:space="preserve"> </w:t>
      </w:r>
      <w:r w:rsidR="00F53E9A" w:rsidRPr="00AA602C">
        <w:rPr>
          <w:iCs/>
        </w:rPr>
        <w:t xml:space="preserve">would </w:t>
      </w:r>
      <w:r w:rsidR="00282215" w:rsidRPr="00AA602C">
        <w:rPr>
          <w:iCs/>
        </w:rPr>
        <w:t>far out-weigh the true positives</w:t>
      </w:r>
      <w:r w:rsidR="002F46D6">
        <w:rPr>
          <w:iCs/>
        </w:rPr>
        <w:t xml:space="preserve"> </w:t>
      </w:r>
      <w:r w:rsidR="00F85EE8">
        <w:rPr>
          <w:iCs/>
          <w:noProof/>
        </w:rPr>
        <w:t>(26)</w:t>
      </w:r>
      <w:r w:rsidR="00F53E9A" w:rsidRPr="00AA602C">
        <w:rPr>
          <w:iCs/>
        </w:rPr>
        <w:t xml:space="preserve">. If </w:t>
      </w:r>
      <w:proofErr w:type="spellStart"/>
      <w:r w:rsidR="00FF11BD" w:rsidRPr="00AA602C">
        <w:rPr>
          <w:iCs/>
        </w:rPr>
        <w:t>nNO</w:t>
      </w:r>
      <w:proofErr w:type="spellEnd"/>
      <w:r w:rsidR="00FF11BD" w:rsidRPr="00AA602C">
        <w:rPr>
          <w:iCs/>
        </w:rPr>
        <w:t xml:space="preserve"> </w:t>
      </w:r>
      <w:proofErr w:type="gramStart"/>
      <w:r w:rsidR="00FF11BD" w:rsidRPr="00AA602C">
        <w:rPr>
          <w:iCs/>
        </w:rPr>
        <w:t>was</w:t>
      </w:r>
      <w:proofErr w:type="gramEnd"/>
      <w:r w:rsidR="00FF11BD" w:rsidRPr="00AA602C">
        <w:rPr>
          <w:iCs/>
        </w:rPr>
        <w:t xml:space="preserve"> </w:t>
      </w:r>
      <w:r w:rsidR="00F53E9A" w:rsidRPr="00AA602C">
        <w:rPr>
          <w:iCs/>
        </w:rPr>
        <w:t xml:space="preserve">applied as a </w:t>
      </w:r>
      <w:r w:rsidR="002F46D6" w:rsidRPr="00AA602C">
        <w:rPr>
          <w:iCs/>
        </w:rPr>
        <w:t>screening</w:t>
      </w:r>
      <w:r w:rsidR="00F53E9A" w:rsidRPr="00AA602C">
        <w:rPr>
          <w:iCs/>
        </w:rPr>
        <w:t xml:space="preserve"> tool to the general population, it</w:t>
      </w:r>
      <w:r w:rsidR="00282215" w:rsidRPr="00AA602C">
        <w:rPr>
          <w:iCs/>
        </w:rPr>
        <w:t xml:space="preserve"> </w:t>
      </w:r>
      <w:r w:rsidR="00F53E9A" w:rsidRPr="00AA602C">
        <w:rPr>
          <w:iCs/>
        </w:rPr>
        <w:t>would lead to a huge number of patients wrongly referred to</w:t>
      </w:r>
      <w:r w:rsidR="00282215" w:rsidRPr="00AA602C">
        <w:rPr>
          <w:iCs/>
        </w:rPr>
        <w:t xml:space="preserve"> the expensive diagnostic services.  </w:t>
      </w:r>
    </w:p>
    <w:p w14:paraId="220669B0" w14:textId="2DF97327" w:rsidR="00682CE0" w:rsidRDefault="00C56B1E">
      <w:pPr>
        <w:spacing w:after="0" w:line="360" w:lineRule="auto"/>
        <w:ind w:firstLine="720"/>
        <w:rPr>
          <w:iCs/>
        </w:rPr>
      </w:pPr>
      <w:r w:rsidRPr="00AA602C">
        <w:rPr>
          <w:iCs/>
        </w:rPr>
        <w:t xml:space="preserve">Leigh and </w:t>
      </w:r>
      <w:proofErr w:type="spellStart"/>
      <w:r w:rsidRPr="00AA602C">
        <w:rPr>
          <w:iCs/>
        </w:rPr>
        <w:t>coauthors</w:t>
      </w:r>
      <w:proofErr w:type="spellEnd"/>
      <w:r w:rsidR="00D42161" w:rsidRPr="00AA602C">
        <w:rPr>
          <w:i/>
          <w:iCs/>
        </w:rPr>
        <w:t xml:space="preserve"> </w:t>
      </w:r>
      <w:r w:rsidR="007A24DC" w:rsidRPr="00AA602C">
        <w:rPr>
          <w:iCs/>
        </w:rPr>
        <w:t>studied</w:t>
      </w:r>
      <w:r w:rsidR="00D42161" w:rsidRPr="00AA602C">
        <w:rPr>
          <w:iCs/>
        </w:rPr>
        <w:t xml:space="preserve"> a </w:t>
      </w:r>
      <w:r w:rsidR="00682CE0">
        <w:rPr>
          <w:iCs/>
        </w:rPr>
        <w:t>cohort</w:t>
      </w:r>
      <w:r w:rsidR="00682CE0" w:rsidRPr="00AA602C">
        <w:rPr>
          <w:iCs/>
        </w:rPr>
        <w:t xml:space="preserve"> </w:t>
      </w:r>
      <w:r w:rsidR="00D42161" w:rsidRPr="00AA602C">
        <w:rPr>
          <w:iCs/>
        </w:rPr>
        <w:t xml:space="preserve">of patients </w:t>
      </w:r>
      <w:r w:rsidRPr="00AA602C">
        <w:rPr>
          <w:iCs/>
        </w:rPr>
        <w:t xml:space="preserve">aged 18 </w:t>
      </w:r>
      <w:r w:rsidR="00FF11BD" w:rsidRPr="00AA602C">
        <w:rPr>
          <w:iCs/>
        </w:rPr>
        <w:t>years</w:t>
      </w:r>
      <w:r w:rsidR="00682CE0">
        <w:rPr>
          <w:iCs/>
        </w:rPr>
        <w:t xml:space="preserve"> of age</w:t>
      </w:r>
      <w:r w:rsidR="00FF11BD" w:rsidRPr="00AA602C">
        <w:rPr>
          <w:iCs/>
        </w:rPr>
        <w:t xml:space="preserve"> </w:t>
      </w:r>
      <w:r w:rsidRPr="00AA602C">
        <w:rPr>
          <w:iCs/>
        </w:rPr>
        <w:t xml:space="preserve">or younger </w:t>
      </w:r>
      <w:r w:rsidR="00D42161" w:rsidRPr="00AA602C">
        <w:rPr>
          <w:iCs/>
        </w:rPr>
        <w:t xml:space="preserve">referred </w:t>
      </w:r>
      <w:r w:rsidR="007A24DC" w:rsidRPr="00AA602C">
        <w:rPr>
          <w:iCs/>
        </w:rPr>
        <w:t xml:space="preserve">to </w:t>
      </w:r>
      <w:r w:rsidR="002F46D6">
        <w:rPr>
          <w:iCs/>
        </w:rPr>
        <w:t>one</w:t>
      </w:r>
      <w:r w:rsidR="0088111C" w:rsidRPr="00AA602C">
        <w:rPr>
          <w:iCs/>
        </w:rPr>
        <w:t xml:space="preserve"> of </w:t>
      </w:r>
      <w:proofErr w:type="gramStart"/>
      <w:r w:rsidR="0088111C" w:rsidRPr="00AA602C">
        <w:rPr>
          <w:iCs/>
        </w:rPr>
        <w:t>7</w:t>
      </w:r>
      <w:proofErr w:type="gramEnd"/>
      <w:r w:rsidR="0088111C" w:rsidRPr="00AA602C">
        <w:rPr>
          <w:iCs/>
        </w:rPr>
        <w:t xml:space="preserve"> specialized medical </w:t>
      </w:r>
      <w:proofErr w:type="spellStart"/>
      <w:r w:rsidR="0088111C" w:rsidRPr="00AA602C">
        <w:rPr>
          <w:iCs/>
        </w:rPr>
        <w:t>centers</w:t>
      </w:r>
      <w:proofErr w:type="spellEnd"/>
      <w:r w:rsidR="0088111C" w:rsidRPr="00AA602C">
        <w:rPr>
          <w:iCs/>
        </w:rPr>
        <w:t xml:space="preserve"> participating in the </w:t>
      </w:r>
      <w:r w:rsidR="00832E4A" w:rsidRPr="00AA602C">
        <w:rPr>
          <w:iCs/>
        </w:rPr>
        <w:t>North American</w:t>
      </w:r>
      <w:r w:rsidR="00B176BA" w:rsidRPr="00AA602C">
        <w:rPr>
          <w:iCs/>
        </w:rPr>
        <w:t xml:space="preserve"> </w:t>
      </w:r>
      <w:r w:rsidR="0088111C" w:rsidRPr="00AA602C">
        <w:rPr>
          <w:iCs/>
        </w:rPr>
        <w:t xml:space="preserve">Genetic Disorders of </w:t>
      </w:r>
      <w:proofErr w:type="spellStart"/>
      <w:r w:rsidR="0088111C" w:rsidRPr="00AA602C">
        <w:rPr>
          <w:iCs/>
        </w:rPr>
        <w:t>Mucociliary</w:t>
      </w:r>
      <w:proofErr w:type="spellEnd"/>
      <w:r w:rsidR="0088111C" w:rsidRPr="00AA602C">
        <w:rPr>
          <w:iCs/>
        </w:rPr>
        <w:t xml:space="preserve"> Clearance Consortium </w:t>
      </w:r>
      <w:r w:rsidR="00831562" w:rsidRPr="00AA602C">
        <w:rPr>
          <w:iCs/>
        </w:rPr>
        <w:t xml:space="preserve">because of a </w:t>
      </w:r>
      <w:r w:rsidR="00D42161" w:rsidRPr="00AA602C">
        <w:rPr>
          <w:iCs/>
        </w:rPr>
        <w:t>high suspicion of PCD</w:t>
      </w:r>
      <w:r w:rsidR="003A63B9">
        <w:rPr>
          <w:iCs/>
        </w:rPr>
        <w:t xml:space="preserve"> </w:t>
      </w:r>
      <w:r w:rsidR="00F85EE8">
        <w:rPr>
          <w:iCs/>
          <w:noProof/>
        </w:rPr>
        <w:t>(25)</w:t>
      </w:r>
      <w:r w:rsidR="003A63B9">
        <w:rPr>
          <w:iCs/>
        </w:rPr>
        <w:t xml:space="preserve">. </w:t>
      </w:r>
      <w:r w:rsidR="00831562" w:rsidRPr="00AA602C">
        <w:rPr>
          <w:iCs/>
        </w:rPr>
        <w:t>They</w:t>
      </w:r>
      <w:r w:rsidRPr="00AA602C">
        <w:rPr>
          <w:iCs/>
        </w:rPr>
        <w:t xml:space="preserve"> investigated</w:t>
      </w:r>
      <w:r w:rsidR="00682CE0">
        <w:rPr>
          <w:iCs/>
        </w:rPr>
        <w:t xml:space="preserve"> the performance of</w:t>
      </w:r>
      <w:r w:rsidR="00995D8E" w:rsidRPr="00AA602C">
        <w:rPr>
          <w:iCs/>
        </w:rPr>
        <w:t xml:space="preserve"> </w:t>
      </w:r>
      <w:r w:rsidR="00682CE0">
        <w:rPr>
          <w:iCs/>
        </w:rPr>
        <w:t>5</w:t>
      </w:r>
      <w:r w:rsidR="00682CE0" w:rsidRPr="00AA602C">
        <w:rPr>
          <w:iCs/>
        </w:rPr>
        <w:t xml:space="preserve"> </w:t>
      </w:r>
      <w:r w:rsidRPr="00AA602C">
        <w:rPr>
          <w:iCs/>
        </w:rPr>
        <w:t xml:space="preserve">individual, </w:t>
      </w:r>
      <w:r w:rsidR="00095485" w:rsidRPr="00AA602C">
        <w:rPr>
          <w:iCs/>
        </w:rPr>
        <w:t xml:space="preserve">pre-defined </w:t>
      </w:r>
      <w:r w:rsidR="00995D8E" w:rsidRPr="00AA602C">
        <w:rPr>
          <w:iCs/>
        </w:rPr>
        <w:t xml:space="preserve">clinical characteristics </w:t>
      </w:r>
      <w:r w:rsidR="00D42161" w:rsidRPr="00AA602C">
        <w:rPr>
          <w:iCs/>
        </w:rPr>
        <w:t xml:space="preserve">and </w:t>
      </w:r>
      <w:r w:rsidRPr="00AA602C">
        <w:rPr>
          <w:iCs/>
        </w:rPr>
        <w:t>various</w:t>
      </w:r>
      <w:r w:rsidR="00D42161" w:rsidRPr="00AA602C">
        <w:rPr>
          <w:iCs/>
        </w:rPr>
        <w:t xml:space="preserve"> </w:t>
      </w:r>
      <w:proofErr w:type="gramStart"/>
      <w:r w:rsidR="00D42161" w:rsidRPr="00AA602C">
        <w:rPr>
          <w:iCs/>
        </w:rPr>
        <w:t xml:space="preserve">combinations </w:t>
      </w:r>
      <w:r w:rsidR="00682CE0">
        <w:rPr>
          <w:iCs/>
        </w:rPr>
        <w:t xml:space="preserve"> these</w:t>
      </w:r>
      <w:proofErr w:type="gramEnd"/>
      <w:r w:rsidR="00682CE0">
        <w:rPr>
          <w:iCs/>
        </w:rPr>
        <w:t xml:space="preserve"> characteristics </w:t>
      </w:r>
      <w:r w:rsidR="00995D8E" w:rsidRPr="00AA602C">
        <w:rPr>
          <w:iCs/>
        </w:rPr>
        <w:t>as predictors of PCD</w:t>
      </w:r>
      <w:r w:rsidR="009A24C6" w:rsidRPr="00AA602C">
        <w:rPr>
          <w:iCs/>
        </w:rPr>
        <w:t>. The</w:t>
      </w:r>
      <w:r w:rsidR="00C21F8E" w:rsidRPr="00AA602C">
        <w:rPr>
          <w:iCs/>
        </w:rPr>
        <w:t>y</w:t>
      </w:r>
      <w:r w:rsidR="009A24C6" w:rsidRPr="00AA602C">
        <w:rPr>
          <w:iCs/>
        </w:rPr>
        <w:t xml:space="preserve"> achieved this </w:t>
      </w:r>
      <w:r w:rsidR="00831562" w:rsidRPr="00AA602C">
        <w:rPr>
          <w:iCs/>
        </w:rPr>
        <w:t xml:space="preserve">by comparing </w:t>
      </w:r>
      <w:r w:rsidR="00095485" w:rsidRPr="00AA602C">
        <w:rPr>
          <w:iCs/>
        </w:rPr>
        <w:t>patients</w:t>
      </w:r>
      <w:r w:rsidR="007A24DC" w:rsidRPr="00AA602C">
        <w:rPr>
          <w:iCs/>
        </w:rPr>
        <w:t xml:space="preserve"> in whom PCD </w:t>
      </w:r>
      <w:r w:rsidR="003C64F1" w:rsidRPr="00AA602C">
        <w:rPr>
          <w:iCs/>
        </w:rPr>
        <w:t>was</w:t>
      </w:r>
      <w:r w:rsidR="007A24DC" w:rsidRPr="00AA602C">
        <w:rPr>
          <w:iCs/>
        </w:rPr>
        <w:t xml:space="preserve"> confirmed by a hallmark ultrastructural defect or two mutations in a PCD-associated gene (‘definite PCD’, n=205) with patients, in whom PCD was excluded (‘other disease/undefined, </w:t>
      </w:r>
      <w:r w:rsidR="009A24C6" w:rsidRPr="00AA602C">
        <w:rPr>
          <w:iCs/>
        </w:rPr>
        <w:t>n=</w:t>
      </w:r>
      <w:r w:rsidR="007A24DC" w:rsidRPr="00AA602C">
        <w:rPr>
          <w:iCs/>
        </w:rPr>
        <w:t xml:space="preserve">187), or in whom PCD remained probable but </w:t>
      </w:r>
      <w:r w:rsidR="00BE7979" w:rsidRPr="00AA602C">
        <w:rPr>
          <w:iCs/>
        </w:rPr>
        <w:t>could not</w:t>
      </w:r>
      <w:r w:rsidR="007A24DC" w:rsidRPr="00AA602C">
        <w:rPr>
          <w:iCs/>
        </w:rPr>
        <w:t xml:space="preserve"> be confirmed (‘probable PCD’</w:t>
      </w:r>
      <w:r w:rsidR="00BE7979" w:rsidRPr="00AA602C">
        <w:rPr>
          <w:iCs/>
        </w:rPr>
        <w:t>,</w:t>
      </w:r>
      <w:r w:rsidR="007A24DC" w:rsidRPr="00AA602C">
        <w:rPr>
          <w:iCs/>
        </w:rPr>
        <w:t xml:space="preserve"> </w:t>
      </w:r>
      <w:r w:rsidR="009A24C6" w:rsidRPr="00AA602C">
        <w:rPr>
          <w:iCs/>
        </w:rPr>
        <w:t>n=</w:t>
      </w:r>
      <w:r w:rsidR="007A24DC" w:rsidRPr="00AA602C">
        <w:rPr>
          <w:iCs/>
        </w:rPr>
        <w:t xml:space="preserve">142).  </w:t>
      </w:r>
    </w:p>
    <w:p w14:paraId="6B1142AD" w14:textId="5482FA50" w:rsidR="007A4F1D" w:rsidRPr="00AA602C" w:rsidRDefault="00BE7979">
      <w:pPr>
        <w:spacing w:after="0" w:line="360" w:lineRule="auto"/>
        <w:ind w:firstLine="720"/>
        <w:rPr>
          <w:iCs/>
        </w:rPr>
      </w:pPr>
      <w:r w:rsidRPr="00AA602C">
        <w:rPr>
          <w:iCs/>
        </w:rPr>
        <w:t xml:space="preserve">Among the </w:t>
      </w:r>
      <w:proofErr w:type="gramStart"/>
      <w:r w:rsidR="00682CE0">
        <w:rPr>
          <w:iCs/>
        </w:rPr>
        <w:t>5</w:t>
      </w:r>
      <w:proofErr w:type="gramEnd"/>
      <w:r w:rsidR="00682CE0" w:rsidRPr="00AA602C">
        <w:rPr>
          <w:iCs/>
        </w:rPr>
        <w:t xml:space="preserve"> </w:t>
      </w:r>
      <w:r w:rsidR="00165A2D" w:rsidRPr="00AA602C">
        <w:rPr>
          <w:iCs/>
        </w:rPr>
        <w:t xml:space="preserve">expert-defined </w:t>
      </w:r>
      <w:r w:rsidRPr="00AA602C">
        <w:rPr>
          <w:iCs/>
        </w:rPr>
        <w:t xml:space="preserve">symptoms, </w:t>
      </w:r>
      <w:r w:rsidR="00682CE0">
        <w:rPr>
          <w:iCs/>
        </w:rPr>
        <w:t>4</w:t>
      </w:r>
      <w:r w:rsidR="00682CE0" w:rsidRPr="00AA602C">
        <w:rPr>
          <w:iCs/>
        </w:rPr>
        <w:t xml:space="preserve"> </w:t>
      </w:r>
      <w:r w:rsidRPr="00AA602C">
        <w:rPr>
          <w:iCs/>
        </w:rPr>
        <w:t>were significantly more common in patients with definite PCD compared</w:t>
      </w:r>
      <w:r w:rsidR="00C56B1E" w:rsidRPr="00AA602C">
        <w:rPr>
          <w:iCs/>
        </w:rPr>
        <w:t xml:space="preserve"> to ‘other/undefined’ patients. These </w:t>
      </w:r>
      <w:proofErr w:type="gramStart"/>
      <w:r w:rsidR="00C56B1E" w:rsidRPr="00AA602C">
        <w:rPr>
          <w:iCs/>
        </w:rPr>
        <w:t>were:</w:t>
      </w:r>
      <w:proofErr w:type="gramEnd"/>
      <w:r w:rsidRPr="00AA602C">
        <w:rPr>
          <w:iCs/>
        </w:rPr>
        <w:t xml:space="preserve"> </w:t>
      </w:r>
      <w:r w:rsidR="00C56B1E" w:rsidRPr="00AA602C">
        <w:rPr>
          <w:iCs/>
        </w:rPr>
        <w:t>neonatal respiratory distress; chronic cough;</w:t>
      </w:r>
      <w:r w:rsidR="008276FB" w:rsidRPr="00AA602C">
        <w:rPr>
          <w:iCs/>
        </w:rPr>
        <w:t xml:space="preserve"> chronic nasal congestion</w:t>
      </w:r>
      <w:r w:rsidR="00C56B1E" w:rsidRPr="00AA602C">
        <w:rPr>
          <w:iCs/>
        </w:rPr>
        <w:t>;</w:t>
      </w:r>
      <w:r w:rsidR="008276FB" w:rsidRPr="00AA602C">
        <w:rPr>
          <w:iCs/>
        </w:rPr>
        <w:t xml:space="preserve"> and </w:t>
      </w:r>
      <w:r w:rsidR="008276FB" w:rsidRPr="00AA602C">
        <w:rPr>
          <w:i/>
          <w:iCs/>
        </w:rPr>
        <w:t xml:space="preserve">situs </w:t>
      </w:r>
      <w:proofErr w:type="spellStart"/>
      <w:r w:rsidR="008276FB" w:rsidRPr="00AA602C">
        <w:rPr>
          <w:i/>
          <w:iCs/>
        </w:rPr>
        <w:t>inversus</w:t>
      </w:r>
      <w:proofErr w:type="spellEnd"/>
      <w:r w:rsidR="00C56B1E" w:rsidRPr="00AA602C">
        <w:rPr>
          <w:i/>
          <w:iCs/>
        </w:rPr>
        <w:t>.</w:t>
      </w:r>
      <w:r w:rsidR="00831562" w:rsidRPr="00AA602C">
        <w:rPr>
          <w:i/>
          <w:iCs/>
        </w:rPr>
        <w:t xml:space="preserve"> </w:t>
      </w:r>
      <w:r w:rsidR="00C56B1E" w:rsidRPr="00AA602C">
        <w:rPr>
          <w:iCs/>
        </w:rPr>
        <w:t>Recurrent</w:t>
      </w:r>
      <w:r w:rsidR="00F61E8B" w:rsidRPr="00AA602C">
        <w:rPr>
          <w:iCs/>
        </w:rPr>
        <w:t xml:space="preserve"> </w:t>
      </w:r>
      <w:r w:rsidR="00831562" w:rsidRPr="00AA602C">
        <w:rPr>
          <w:iCs/>
        </w:rPr>
        <w:t>otitis did not discriminate</w:t>
      </w:r>
      <w:r w:rsidR="00831562" w:rsidRPr="00AA602C">
        <w:rPr>
          <w:i/>
          <w:iCs/>
        </w:rPr>
        <w:t xml:space="preserve">. </w:t>
      </w:r>
      <w:r w:rsidR="008276FB" w:rsidRPr="00AA602C">
        <w:rPr>
          <w:iCs/>
        </w:rPr>
        <w:t xml:space="preserve"> </w:t>
      </w:r>
      <w:r w:rsidR="00831562" w:rsidRPr="00AA602C">
        <w:rPr>
          <w:iCs/>
        </w:rPr>
        <w:lastRenderedPageBreak/>
        <w:t xml:space="preserve">Rewording the symptoms to make them more specific (for instance </w:t>
      </w:r>
      <w:proofErr w:type="gramStart"/>
      <w:r w:rsidR="00831562" w:rsidRPr="00AA602C">
        <w:rPr>
          <w:iCs/>
        </w:rPr>
        <w:t>‘unexplained neonatal respiratory distress’</w:t>
      </w:r>
      <w:proofErr w:type="gramEnd"/>
      <w:r w:rsidR="00831562" w:rsidRPr="00AA602C">
        <w:rPr>
          <w:iCs/>
        </w:rPr>
        <w:t xml:space="preserve"> instead of ‘neonatal respiratory distress’</w:t>
      </w:r>
      <w:r w:rsidR="00002495" w:rsidRPr="00AA602C">
        <w:rPr>
          <w:iCs/>
        </w:rPr>
        <w:t>)</w:t>
      </w:r>
      <w:r w:rsidR="00831562" w:rsidRPr="00AA602C">
        <w:rPr>
          <w:iCs/>
        </w:rPr>
        <w:t xml:space="preserve"> decreased prevalence of the feature in both groups, and thus</w:t>
      </w:r>
      <w:r w:rsidR="007A4F1D" w:rsidRPr="00AA602C">
        <w:rPr>
          <w:iCs/>
        </w:rPr>
        <w:t xml:space="preserve"> </w:t>
      </w:r>
      <w:r w:rsidR="00831562" w:rsidRPr="00AA602C">
        <w:rPr>
          <w:iCs/>
        </w:rPr>
        <w:t xml:space="preserve">decreased sensitivity but increased specificity of the symptoms compared to the more general wording. </w:t>
      </w:r>
      <w:r w:rsidR="00F61E8B" w:rsidRPr="00AA602C">
        <w:rPr>
          <w:iCs/>
        </w:rPr>
        <w:t>The authors</w:t>
      </w:r>
      <w:r w:rsidR="007A4F1D" w:rsidRPr="00AA602C">
        <w:rPr>
          <w:iCs/>
        </w:rPr>
        <w:t xml:space="preserve"> calculated sensitivity and specificity </w:t>
      </w:r>
      <w:r w:rsidR="00F61E8B" w:rsidRPr="00AA602C">
        <w:rPr>
          <w:iCs/>
        </w:rPr>
        <w:t>for each symptom</w:t>
      </w:r>
      <w:r w:rsidR="007A4F1D" w:rsidRPr="00AA602C">
        <w:rPr>
          <w:iCs/>
        </w:rPr>
        <w:t xml:space="preserve"> alone, and for combinations of </w:t>
      </w:r>
      <w:r w:rsidR="00FF11BD" w:rsidRPr="00AA602C">
        <w:rPr>
          <w:iCs/>
        </w:rPr>
        <w:t xml:space="preserve">two, </w:t>
      </w:r>
      <w:proofErr w:type="gramStart"/>
      <w:r w:rsidR="00682CE0">
        <w:rPr>
          <w:iCs/>
        </w:rPr>
        <w:t>3</w:t>
      </w:r>
      <w:proofErr w:type="gramEnd"/>
      <w:r w:rsidR="00682CE0">
        <w:rPr>
          <w:iCs/>
        </w:rPr>
        <w:t>,</w:t>
      </w:r>
      <w:r w:rsidR="00682CE0" w:rsidRPr="00AA602C">
        <w:rPr>
          <w:iCs/>
        </w:rPr>
        <w:t xml:space="preserve"> </w:t>
      </w:r>
      <w:r w:rsidR="00FF11BD" w:rsidRPr="00AA602C">
        <w:rPr>
          <w:iCs/>
        </w:rPr>
        <w:t xml:space="preserve">and </w:t>
      </w:r>
      <w:r w:rsidR="00682CE0">
        <w:rPr>
          <w:iCs/>
        </w:rPr>
        <w:t>4</w:t>
      </w:r>
      <w:r w:rsidR="00682CE0" w:rsidRPr="00AA602C">
        <w:rPr>
          <w:iCs/>
        </w:rPr>
        <w:t xml:space="preserve"> </w:t>
      </w:r>
      <w:r w:rsidR="007A4F1D" w:rsidRPr="00AA602C">
        <w:rPr>
          <w:iCs/>
        </w:rPr>
        <w:t xml:space="preserve">symptoms. </w:t>
      </w:r>
      <w:r w:rsidR="00FF11BD" w:rsidRPr="00AA602C">
        <w:rPr>
          <w:iCs/>
        </w:rPr>
        <w:t>The c</w:t>
      </w:r>
      <w:r w:rsidR="007A4F1D" w:rsidRPr="00AA602C">
        <w:rPr>
          <w:iCs/>
        </w:rPr>
        <w:t xml:space="preserve">ombination of laterality defects and neonatal distress </w:t>
      </w:r>
      <w:r w:rsidR="00FF11BD" w:rsidRPr="00AA602C">
        <w:rPr>
          <w:iCs/>
        </w:rPr>
        <w:t xml:space="preserve">performed best, with </w:t>
      </w:r>
      <w:r w:rsidR="007A4F1D" w:rsidRPr="00AA602C">
        <w:rPr>
          <w:iCs/>
        </w:rPr>
        <w:t xml:space="preserve">a sensitivity of 34% and a specificity of 95%.   </w:t>
      </w:r>
    </w:p>
    <w:p w14:paraId="1037DA77" w14:textId="56582984" w:rsidR="00682CE0" w:rsidRDefault="00682CE0">
      <w:pPr>
        <w:spacing w:after="0" w:line="360" w:lineRule="auto"/>
        <w:ind w:firstLine="720"/>
        <w:rPr>
          <w:iCs/>
        </w:rPr>
      </w:pPr>
      <w:r>
        <w:rPr>
          <w:iCs/>
        </w:rPr>
        <w:t>Recently</w:t>
      </w:r>
      <w:r w:rsidR="006A42DB" w:rsidRPr="00AA602C">
        <w:rPr>
          <w:iCs/>
        </w:rPr>
        <w:t>,</w:t>
      </w:r>
      <w:r w:rsidR="00F61E8B" w:rsidRPr="00AA602C">
        <w:rPr>
          <w:iCs/>
        </w:rPr>
        <w:t xml:space="preserve"> Behan </w:t>
      </w:r>
      <w:r w:rsidR="00407A4A" w:rsidRPr="00AA602C">
        <w:rPr>
          <w:iCs/>
        </w:rPr>
        <w:t xml:space="preserve">and </w:t>
      </w:r>
      <w:proofErr w:type="spellStart"/>
      <w:r w:rsidR="00407A4A" w:rsidRPr="00AA602C">
        <w:rPr>
          <w:iCs/>
        </w:rPr>
        <w:t>coworkers</w:t>
      </w:r>
      <w:proofErr w:type="spellEnd"/>
      <w:r w:rsidR="00B278FA" w:rsidRPr="00AA602C">
        <w:rPr>
          <w:iCs/>
        </w:rPr>
        <w:t xml:space="preserve"> proposed another symptom score as a predictive tool for PCD</w:t>
      </w:r>
      <w:r w:rsidR="003A63B9">
        <w:rPr>
          <w:iCs/>
        </w:rPr>
        <w:t xml:space="preserve"> </w:t>
      </w:r>
      <w:r w:rsidR="00F85EE8">
        <w:rPr>
          <w:iCs/>
          <w:noProof/>
        </w:rPr>
        <w:t>(27)</w:t>
      </w:r>
      <w:r w:rsidR="00B278FA" w:rsidRPr="00AA602C">
        <w:rPr>
          <w:iCs/>
        </w:rPr>
        <w:t>. They</w:t>
      </w:r>
      <w:r w:rsidR="00F61E8B" w:rsidRPr="00AA602C">
        <w:rPr>
          <w:iCs/>
        </w:rPr>
        <w:t xml:space="preserve"> </w:t>
      </w:r>
      <w:r w:rsidR="004F2F4C" w:rsidRPr="00AA602C">
        <w:rPr>
          <w:iCs/>
        </w:rPr>
        <w:t>includ</w:t>
      </w:r>
      <w:r w:rsidR="00F61E8B" w:rsidRPr="00AA602C">
        <w:rPr>
          <w:iCs/>
        </w:rPr>
        <w:t>ed</w:t>
      </w:r>
      <w:r w:rsidR="004F2F4C" w:rsidRPr="00AA602C">
        <w:rPr>
          <w:iCs/>
        </w:rPr>
        <w:t xml:space="preserve"> 641 patients referred</w:t>
      </w:r>
      <w:r w:rsidR="00407A4A" w:rsidRPr="00AA602C">
        <w:rPr>
          <w:iCs/>
        </w:rPr>
        <w:t xml:space="preserve"> for diagnostic evaluation</w:t>
      </w:r>
      <w:r w:rsidR="004F2F4C" w:rsidRPr="00AA602C">
        <w:rPr>
          <w:iCs/>
        </w:rPr>
        <w:t xml:space="preserve"> </w:t>
      </w:r>
      <w:r w:rsidR="00407A4A" w:rsidRPr="00AA602C">
        <w:rPr>
          <w:iCs/>
        </w:rPr>
        <w:t>to the PCD Diagnostic Centre in University Hospital Southampton (UHS)</w:t>
      </w:r>
      <w:r w:rsidR="004F2F4C" w:rsidRPr="00AA602C">
        <w:rPr>
          <w:iCs/>
        </w:rPr>
        <w:t xml:space="preserve">, of whom 75 </w:t>
      </w:r>
      <w:r w:rsidR="00F86898" w:rsidRPr="00AA602C">
        <w:rPr>
          <w:iCs/>
        </w:rPr>
        <w:t xml:space="preserve">(12%) </w:t>
      </w:r>
      <w:r w:rsidR="004F2F4C" w:rsidRPr="00AA602C">
        <w:rPr>
          <w:iCs/>
        </w:rPr>
        <w:t>were confirmed</w:t>
      </w:r>
      <w:r>
        <w:rPr>
          <w:iCs/>
        </w:rPr>
        <w:t xml:space="preserve"> to have PCD</w:t>
      </w:r>
      <w:r w:rsidR="003031CA" w:rsidRPr="00AA602C">
        <w:rPr>
          <w:iCs/>
        </w:rPr>
        <w:t>.</w:t>
      </w:r>
      <w:r w:rsidR="003A63B9" w:rsidRPr="00AA602C">
        <w:rPr>
          <w:iCs/>
          <w:noProof/>
        </w:rPr>
        <w:t xml:space="preserve"> </w:t>
      </w:r>
      <w:r w:rsidR="00A205E7" w:rsidRPr="00AA602C">
        <w:rPr>
          <w:iCs/>
          <w:noProof/>
        </w:rPr>
        <w:t xml:space="preserve"> </w:t>
      </w:r>
      <w:r w:rsidR="003C64F1" w:rsidRPr="00AA602C">
        <w:rPr>
          <w:iCs/>
        </w:rPr>
        <w:t>The</w:t>
      </w:r>
      <w:r w:rsidR="000A15FE" w:rsidRPr="00AA602C">
        <w:rPr>
          <w:iCs/>
        </w:rPr>
        <w:t xml:space="preserve"> methodolog</w:t>
      </w:r>
      <w:r w:rsidR="004F2F4C" w:rsidRPr="00AA602C">
        <w:rPr>
          <w:iCs/>
        </w:rPr>
        <w:t>y</w:t>
      </w:r>
      <w:r w:rsidR="003C64F1" w:rsidRPr="00AA602C">
        <w:rPr>
          <w:iCs/>
        </w:rPr>
        <w:t xml:space="preserve"> differ</w:t>
      </w:r>
      <w:r w:rsidR="00407A4A" w:rsidRPr="00AA602C">
        <w:rPr>
          <w:iCs/>
        </w:rPr>
        <w:t>ed from that employed by Leigh and colleagues. R</w:t>
      </w:r>
      <w:r w:rsidR="00997BEC" w:rsidRPr="00AA602C">
        <w:rPr>
          <w:iCs/>
        </w:rPr>
        <w:t xml:space="preserve">ather than </w:t>
      </w:r>
      <w:r w:rsidR="003C64F1" w:rsidRPr="00AA602C">
        <w:rPr>
          <w:iCs/>
        </w:rPr>
        <w:t xml:space="preserve">testing predefined </w:t>
      </w:r>
      <w:r w:rsidR="000A15FE" w:rsidRPr="00AA602C">
        <w:rPr>
          <w:iCs/>
        </w:rPr>
        <w:t xml:space="preserve">predictors based on expert opinion, </w:t>
      </w:r>
      <w:r w:rsidR="003C64F1" w:rsidRPr="00AA602C">
        <w:rPr>
          <w:iCs/>
        </w:rPr>
        <w:t xml:space="preserve">Behan </w:t>
      </w:r>
      <w:r>
        <w:rPr>
          <w:iCs/>
        </w:rPr>
        <w:t>and colleagues</w:t>
      </w:r>
      <w:r w:rsidR="003C64F1" w:rsidRPr="00AA602C">
        <w:rPr>
          <w:iCs/>
        </w:rPr>
        <w:t xml:space="preserve"> used a statistical</w:t>
      </w:r>
      <w:r w:rsidR="00C335A2" w:rsidRPr="00AA602C">
        <w:rPr>
          <w:iCs/>
        </w:rPr>
        <w:t xml:space="preserve"> approach to </w:t>
      </w:r>
      <w:r w:rsidR="00F61E8B" w:rsidRPr="00AA602C">
        <w:rPr>
          <w:iCs/>
        </w:rPr>
        <w:t xml:space="preserve">decide </w:t>
      </w:r>
      <w:r w:rsidR="00C335A2" w:rsidRPr="00AA602C">
        <w:rPr>
          <w:iCs/>
        </w:rPr>
        <w:t xml:space="preserve">which of 27 </w:t>
      </w:r>
      <w:r w:rsidR="00B33F5E" w:rsidRPr="00AA602C">
        <w:rPr>
          <w:iCs/>
        </w:rPr>
        <w:t xml:space="preserve">questions </w:t>
      </w:r>
      <w:r w:rsidR="00C335A2" w:rsidRPr="00AA602C">
        <w:rPr>
          <w:iCs/>
        </w:rPr>
        <w:t xml:space="preserve">recorded </w:t>
      </w:r>
      <w:r w:rsidR="00B33F5E" w:rsidRPr="00AA602C">
        <w:rPr>
          <w:iCs/>
        </w:rPr>
        <w:t xml:space="preserve">routinely </w:t>
      </w:r>
      <w:r w:rsidR="003031CA" w:rsidRPr="00AA602C">
        <w:rPr>
          <w:iCs/>
        </w:rPr>
        <w:t>during</w:t>
      </w:r>
      <w:r w:rsidR="004F2F4C" w:rsidRPr="00AA602C">
        <w:rPr>
          <w:iCs/>
        </w:rPr>
        <w:t xml:space="preserve"> </w:t>
      </w:r>
      <w:r w:rsidR="003C64F1" w:rsidRPr="00AA602C">
        <w:rPr>
          <w:iCs/>
        </w:rPr>
        <w:t>the</w:t>
      </w:r>
      <w:r w:rsidR="004F2F4C" w:rsidRPr="00AA602C">
        <w:rPr>
          <w:iCs/>
        </w:rPr>
        <w:t xml:space="preserve"> PCD </w:t>
      </w:r>
      <w:r w:rsidR="003031CA" w:rsidRPr="00AA602C">
        <w:rPr>
          <w:iCs/>
        </w:rPr>
        <w:t>diagnostic</w:t>
      </w:r>
      <w:r w:rsidR="004F2F4C" w:rsidRPr="00AA602C">
        <w:rPr>
          <w:iCs/>
        </w:rPr>
        <w:t xml:space="preserve"> clinic </w:t>
      </w:r>
      <w:r w:rsidR="00C335A2" w:rsidRPr="00AA602C">
        <w:rPr>
          <w:iCs/>
        </w:rPr>
        <w:t xml:space="preserve">best predicted a diagnosis of PCD. </w:t>
      </w:r>
      <w:r w:rsidR="004F2F4C" w:rsidRPr="00AA602C">
        <w:rPr>
          <w:iCs/>
        </w:rPr>
        <w:t xml:space="preserve">Seven variables remained significantly associated with PCD in a multivariable logistic regression. </w:t>
      </w:r>
      <w:r w:rsidR="00C56B1E" w:rsidRPr="00AA602C">
        <w:rPr>
          <w:iCs/>
        </w:rPr>
        <w:t>As in the study by Leigh and colleagues, t</w:t>
      </w:r>
      <w:r w:rsidR="00366C99" w:rsidRPr="00AA602C">
        <w:rPr>
          <w:iCs/>
        </w:rPr>
        <w:t xml:space="preserve">hese </w:t>
      </w:r>
      <w:proofErr w:type="gramStart"/>
      <w:r w:rsidR="00C56B1E" w:rsidRPr="00AA602C">
        <w:rPr>
          <w:iCs/>
        </w:rPr>
        <w:t>included</w:t>
      </w:r>
      <w:r w:rsidR="0069381F" w:rsidRPr="00AA602C">
        <w:rPr>
          <w:iCs/>
        </w:rPr>
        <w:t>:</w:t>
      </w:r>
      <w:proofErr w:type="gramEnd"/>
      <w:r w:rsidR="0069381F" w:rsidRPr="00AA602C">
        <w:rPr>
          <w:iCs/>
        </w:rPr>
        <w:t xml:space="preserve"> </w:t>
      </w:r>
      <w:r w:rsidR="0069381F" w:rsidRPr="00AA602C">
        <w:rPr>
          <w:i/>
          <w:iCs/>
        </w:rPr>
        <w:t>s</w:t>
      </w:r>
      <w:r w:rsidR="00366C99" w:rsidRPr="00AA602C">
        <w:rPr>
          <w:i/>
          <w:iCs/>
        </w:rPr>
        <w:t>itus</w:t>
      </w:r>
      <w:r w:rsidR="00366C99" w:rsidRPr="00AA602C">
        <w:rPr>
          <w:iCs/>
        </w:rPr>
        <w:t xml:space="preserve"> </w:t>
      </w:r>
      <w:proofErr w:type="spellStart"/>
      <w:r w:rsidR="00366C99" w:rsidRPr="00AA602C">
        <w:rPr>
          <w:i/>
          <w:iCs/>
        </w:rPr>
        <w:t>inversus</w:t>
      </w:r>
      <w:proofErr w:type="spellEnd"/>
      <w:r w:rsidR="00366C99" w:rsidRPr="00AA602C">
        <w:rPr>
          <w:iCs/>
        </w:rPr>
        <w:t>, neonatal chest symptoms, admission to the neonatal unit</w:t>
      </w:r>
      <w:r w:rsidR="0069381F" w:rsidRPr="00AA602C">
        <w:rPr>
          <w:iCs/>
        </w:rPr>
        <w:t xml:space="preserve"> and </w:t>
      </w:r>
      <w:r w:rsidR="00366C99" w:rsidRPr="00AA602C">
        <w:rPr>
          <w:iCs/>
        </w:rPr>
        <w:t>rhinitis</w:t>
      </w:r>
      <w:r w:rsidR="00431C11" w:rsidRPr="00AA602C">
        <w:rPr>
          <w:iCs/>
        </w:rPr>
        <w:t>.</w:t>
      </w:r>
    </w:p>
    <w:p w14:paraId="49C4C532" w14:textId="6206FBFA" w:rsidR="00230C8A" w:rsidRDefault="00431C11">
      <w:pPr>
        <w:spacing w:after="0" w:line="360" w:lineRule="auto"/>
        <w:ind w:firstLine="720"/>
        <w:rPr>
          <w:iCs/>
        </w:rPr>
      </w:pPr>
      <w:r w:rsidRPr="00AA602C">
        <w:rPr>
          <w:iCs/>
        </w:rPr>
        <w:t xml:space="preserve"> In contrast to </w:t>
      </w:r>
      <w:r w:rsidR="00236716" w:rsidRPr="00AA602C">
        <w:rPr>
          <w:iCs/>
        </w:rPr>
        <w:t>Leigh’s study</w:t>
      </w:r>
      <w:r w:rsidR="0069381F" w:rsidRPr="00AA602C">
        <w:rPr>
          <w:iCs/>
        </w:rPr>
        <w:t xml:space="preserve">, chronic cough was not a predictor </w:t>
      </w:r>
      <w:r w:rsidR="003031CA" w:rsidRPr="00AA602C">
        <w:rPr>
          <w:iCs/>
        </w:rPr>
        <w:t>of PCD, being common in those with and without the diagnosis</w:t>
      </w:r>
      <w:r w:rsidR="00C56B1E" w:rsidRPr="00AA602C">
        <w:rPr>
          <w:iCs/>
        </w:rPr>
        <w:t>.</w:t>
      </w:r>
      <w:r w:rsidR="0069381F" w:rsidRPr="00AA602C">
        <w:rPr>
          <w:iCs/>
        </w:rPr>
        <w:t xml:space="preserve"> </w:t>
      </w:r>
      <w:r w:rsidR="00C56B1E" w:rsidRPr="00AA602C">
        <w:rPr>
          <w:iCs/>
        </w:rPr>
        <w:t>However,</w:t>
      </w:r>
      <w:r w:rsidR="0069381F" w:rsidRPr="00AA602C">
        <w:rPr>
          <w:iCs/>
        </w:rPr>
        <w:t xml:space="preserve"> gestational age, congenital heart defects</w:t>
      </w:r>
      <w:r w:rsidR="00C56B1E" w:rsidRPr="00AA602C">
        <w:rPr>
          <w:iCs/>
        </w:rPr>
        <w:t>,</w:t>
      </w:r>
      <w:r w:rsidR="0069381F" w:rsidRPr="00AA602C">
        <w:rPr>
          <w:iCs/>
        </w:rPr>
        <w:t xml:space="preserve"> and ear and hearing problems were</w:t>
      </w:r>
      <w:r w:rsidR="00C56B1E" w:rsidRPr="00AA602C">
        <w:rPr>
          <w:iCs/>
        </w:rPr>
        <w:t xml:space="preserve"> predictive</w:t>
      </w:r>
      <w:r w:rsidR="0069381F" w:rsidRPr="00AA602C">
        <w:rPr>
          <w:iCs/>
        </w:rPr>
        <w:t xml:space="preserve">. </w:t>
      </w:r>
      <w:r w:rsidR="00366C99" w:rsidRPr="00AA602C">
        <w:rPr>
          <w:iCs/>
        </w:rPr>
        <w:t xml:space="preserve"> </w:t>
      </w:r>
      <w:r w:rsidR="00C56B1E" w:rsidRPr="00AA602C">
        <w:rPr>
          <w:iCs/>
        </w:rPr>
        <w:t>The authors</w:t>
      </w:r>
      <w:r w:rsidR="00F61E8B" w:rsidRPr="00AA602C">
        <w:rPr>
          <w:iCs/>
        </w:rPr>
        <w:t xml:space="preserve"> simplified the</w:t>
      </w:r>
      <w:r w:rsidR="0069381F" w:rsidRPr="00AA602C">
        <w:rPr>
          <w:iCs/>
        </w:rPr>
        <w:t xml:space="preserve"> regression model </w:t>
      </w:r>
      <w:r w:rsidR="004F2F4C" w:rsidRPr="00AA602C">
        <w:rPr>
          <w:iCs/>
        </w:rPr>
        <w:t>into a</w:t>
      </w:r>
      <w:r w:rsidR="00002495" w:rsidRPr="00AA602C">
        <w:rPr>
          <w:iCs/>
        </w:rPr>
        <w:t xml:space="preserve"> short</w:t>
      </w:r>
      <w:r w:rsidR="004F2F4C" w:rsidRPr="00AA602C">
        <w:rPr>
          <w:iCs/>
        </w:rPr>
        <w:t xml:space="preserve"> clinical tool</w:t>
      </w:r>
      <w:r w:rsidR="00230C8A">
        <w:rPr>
          <w:iCs/>
        </w:rPr>
        <w:t xml:space="preserve">, which </w:t>
      </w:r>
      <w:r w:rsidR="00230C8A" w:rsidRPr="0081328C">
        <w:rPr>
          <w:rFonts w:cstheme="minorHAnsi"/>
          <w:iCs/>
        </w:rPr>
        <w:t xml:space="preserve">they call </w:t>
      </w:r>
      <w:r w:rsidR="004F2F4C" w:rsidRPr="0083322F">
        <w:rPr>
          <w:rFonts w:cstheme="minorHAnsi"/>
          <w:iCs/>
        </w:rPr>
        <w:t>PICADAR</w:t>
      </w:r>
      <w:r w:rsidR="00230C8A" w:rsidRPr="0083322F">
        <w:rPr>
          <w:rFonts w:cstheme="minorHAnsi"/>
          <w:iCs/>
        </w:rPr>
        <w:t xml:space="preserve"> </w:t>
      </w:r>
      <w:r w:rsidR="00230C8A">
        <w:rPr>
          <w:rFonts w:cstheme="minorHAnsi"/>
          <w:iCs/>
        </w:rPr>
        <w:t xml:space="preserve">(the </w:t>
      </w:r>
      <w:proofErr w:type="spellStart"/>
      <w:r w:rsidR="00230C8A" w:rsidRPr="00150FD4">
        <w:rPr>
          <w:rFonts w:cstheme="minorHAnsi"/>
          <w:color w:val="505050"/>
          <w:shd w:val="clear" w:color="auto" w:fill="FFFFFF"/>
        </w:rPr>
        <w:t>PrImary</w:t>
      </w:r>
      <w:proofErr w:type="spellEnd"/>
      <w:r w:rsidR="00230C8A" w:rsidRPr="00150FD4">
        <w:rPr>
          <w:rFonts w:cstheme="minorHAnsi"/>
          <w:color w:val="505050"/>
          <w:shd w:val="clear" w:color="auto" w:fill="FFFFFF"/>
        </w:rPr>
        <w:t xml:space="preserve"> </w:t>
      </w:r>
      <w:proofErr w:type="spellStart"/>
      <w:r w:rsidR="00230C8A" w:rsidRPr="00150FD4">
        <w:rPr>
          <w:rFonts w:cstheme="minorHAnsi"/>
          <w:color w:val="505050"/>
          <w:shd w:val="clear" w:color="auto" w:fill="FFFFFF"/>
        </w:rPr>
        <w:t>CiliARy</w:t>
      </w:r>
      <w:proofErr w:type="spellEnd"/>
      <w:r w:rsidR="00230C8A" w:rsidRPr="00150FD4">
        <w:rPr>
          <w:rFonts w:cstheme="minorHAnsi"/>
          <w:color w:val="505050"/>
          <w:shd w:val="clear" w:color="auto" w:fill="FFFFFF"/>
        </w:rPr>
        <w:t xml:space="preserve"> </w:t>
      </w:r>
      <w:proofErr w:type="spellStart"/>
      <w:r w:rsidR="00230C8A" w:rsidRPr="00150FD4">
        <w:rPr>
          <w:rFonts w:cstheme="minorHAnsi"/>
          <w:color w:val="505050"/>
          <w:shd w:val="clear" w:color="auto" w:fill="FFFFFF"/>
        </w:rPr>
        <w:t>DyskinesiA</w:t>
      </w:r>
      <w:proofErr w:type="spellEnd"/>
      <w:r w:rsidR="00230C8A" w:rsidRPr="00150FD4">
        <w:rPr>
          <w:rFonts w:cstheme="minorHAnsi"/>
          <w:color w:val="505050"/>
          <w:shd w:val="clear" w:color="auto" w:fill="FFFFFF"/>
        </w:rPr>
        <w:t xml:space="preserve"> Rule</w:t>
      </w:r>
      <w:r w:rsidR="00150FD4">
        <w:rPr>
          <w:rFonts w:cstheme="minorHAnsi"/>
          <w:color w:val="505050"/>
          <w:shd w:val="clear" w:color="auto" w:fill="FFFFFF"/>
        </w:rPr>
        <w:t xml:space="preserve"> </w:t>
      </w:r>
      <w:r w:rsidR="00F85EE8">
        <w:rPr>
          <w:rFonts w:cstheme="minorHAnsi"/>
          <w:noProof/>
          <w:color w:val="505050"/>
          <w:shd w:val="clear" w:color="auto" w:fill="FFFFFF"/>
        </w:rPr>
        <w:t>(27)</w:t>
      </w:r>
      <w:r w:rsidR="004F2F4C" w:rsidRPr="0081328C">
        <w:rPr>
          <w:rFonts w:cstheme="minorHAnsi"/>
          <w:iCs/>
        </w:rPr>
        <w:t>)</w:t>
      </w:r>
      <w:r w:rsidR="00230C8A">
        <w:rPr>
          <w:rFonts w:cstheme="minorHAnsi"/>
          <w:iCs/>
        </w:rPr>
        <w:t xml:space="preserve">. They </w:t>
      </w:r>
      <w:r w:rsidR="00230C8A" w:rsidRPr="00AA602C">
        <w:rPr>
          <w:iCs/>
        </w:rPr>
        <w:t xml:space="preserve">then </w:t>
      </w:r>
      <w:r w:rsidR="00C56B1E" w:rsidRPr="00AA602C">
        <w:rPr>
          <w:iCs/>
        </w:rPr>
        <w:t>performed</w:t>
      </w:r>
      <w:r w:rsidR="00F61E8B" w:rsidRPr="00AA602C">
        <w:rPr>
          <w:iCs/>
        </w:rPr>
        <w:t xml:space="preserve"> an external </w:t>
      </w:r>
      <w:r w:rsidR="004F2F4C" w:rsidRPr="00AA602C">
        <w:rPr>
          <w:iCs/>
        </w:rPr>
        <w:t>valid</w:t>
      </w:r>
      <w:r w:rsidR="00F61E8B" w:rsidRPr="00AA602C">
        <w:rPr>
          <w:iCs/>
        </w:rPr>
        <w:t>ation</w:t>
      </w:r>
      <w:r w:rsidR="004F2F4C" w:rsidRPr="00AA602C">
        <w:rPr>
          <w:iCs/>
        </w:rPr>
        <w:t xml:space="preserve"> </w:t>
      </w:r>
      <w:r w:rsidR="00C56B1E" w:rsidRPr="00AA602C">
        <w:rPr>
          <w:iCs/>
        </w:rPr>
        <w:t>study on</w:t>
      </w:r>
      <w:r w:rsidR="004F2F4C" w:rsidRPr="00AA602C">
        <w:rPr>
          <w:iCs/>
        </w:rPr>
        <w:t xml:space="preserve"> an independent cohort. </w:t>
      </w:r>
    </w:p>
    <w:p w14:paraId="1CCDF153" w14:textId="08FCC383" w:rsidR="00551202" w:rsidRPr="00150FD4" w:rsidRDefault="00236716">
      <w:pPr>
        <w:spacing w:after="0" w:line="360" w:lineRule="auto"/>
        <w:ind w:firstLine="720"/>
        <w:rPr>
          <w:iCs/>
        </w:rPr>
      </w:pPr>
      <w:r w:rsidRPr="00AA602C">
        <w:rPr>
          <w:iCs/>
          <w:lang w:val="en-IE"/>
        </w:rPr>
        <w:t xml:space="preserve">The </w:t>
      </w:r>
      <w:r w:rsidR="00230C8A" w:rsidRPr="00B67102">
        <w:rPr>
          <w:rFonts w:cstheme="minorHAnsi"/>
          <w:iCs/>
        </w:rPr>
        <w:t xml:space="preserve">PICADAR </w:t>
      </w:r>
      <w:r w:rsidRPr="00AA602C">
        <w:rPr>
          <w:iCs/>
          <w:lang w:val="en-IE"/>
        </w:rPr>
        <w:t xml:space="preserve">score </w:t>
      </w:r>
      <w:r w:rsidR="00230C8A">
        <w:rPr>
          <w:iCs/>
          <w:lang w:val="en-IE"/>
        </w:rPr>
        <w:t>predicted</w:t>
      </w:r>
      <w:r w:rsidRPr="00AA602C">
        <w:rPr>
          <w:iCs/>
          <w:lang w:val="en-IE"/>
        </w:rPr>
        <w:t xml:space="preserve"> with reasonable accuracy those </w:t>
      </w:r>
      <w:r w:rsidR="00230C8A">
        <w:rPr>
          <w:iCs/>
          <w:lang w:val="en-IE"/>
        </w:rPr>
        <w:t xml:space="preserve">who subsequently had </w:t>
      </w:r>
      <w:r w:rsidRPr="00AA602C">
        <w:rPr>
          <w:iCs/>
          <w:lang w:val="en-IE"/>
        </w:rPr>
        <w:t>a positive or negative test</w:t>
      </w:r>
      <w:r w:rsidR="00230C8A">
        <w:rPr>
          <w:iCs/>
          <w:lang w:val="en-IE"/>
        </w:rPr>
        <w:t xml:space="preserve"> for PCD</w:t>
      </w:r>
      <w:r w:rsidRPr="00AA602C">
        <w:rPr>
          <w:iCs/>
          <w:lang w:val="en-IE"/>
        </w:rPr>
        <w:t>.</w:t>
      </w:r>
      <w:r w:rsidR="00551202" w:rsidRPr="00AA602C">
        <w:rPr>
          <w:iCs/>
          <w:lang w:val="en-IE"/>
        </w:rPr>
        <w:t xml:space="preserve">  For example, using a cut-off score of </w:t>
      </w:r>
      <w:proofErr w:type="gramStart"/>
      <w:r w:rsidR="00551202" w:rsidRPr="00AA602C">
        <w:rPr>
          <w:iCs/>
          <w:lang w:val="en-IE"/>
        </w:rPr>
        <w:t>6</w:t>
      </w:r>
      <w:proofErr w:type="gramEnd"/>
      <w:r w:rsidR="00F86898" w:rsidRPr="00AA602C">
        <w:rPr>
          <w:iCs/>
          <w:lang w:val="en-IE"/>
        </w:rPr>
        <w:t>,</w:t>
      </w:r>
      <w:r w:rsidR="00551202" w:rsidRPr="00AA602C">
        <w:rPr>
          <w:iCs/>
          <w:lang w:val="en-IE"/>
        </w:rPr>
        <w:t xml:space="preserve"> PICADAR had 89% sensitivity and 83% specificity to differentiate PCD positive and negative patients in the derivation group</w:t>
      </w:r>
      <w:r w:rsidR="00F86898" w:rsidRPr="00AA602C">
        <w:rPr>
          <w:iCs/>
          <w:lang w:val="en-IE"/>
        </w:rPr>
        <w:t>,</w:t>
      </w:r>
      <w:r w:rsidR="00551202" w:rsidRPr="00AA602C">
        <w:rPr>
          <w:iCs/>
          <w:lang w:val="en-IE"/>
        </w:rPr>
        <w:t xml:space="preserve"> and 81% sensitivity and 76% specificity in the validation group. If patients with a score </w:t>
      </w:r>
      <w:r w:rsidR="00F86898" w:rsidRPr="00AA602C">
        <w:rPr>
          <w:iCs/>
          <w:lang w:val="en-IE"/>
        </w:rPr>
        <w:t xml:space="preserve">of </w:t>
      </w:r>
      <w:r w:rsidR="00551202" w:rsidRPr="00AA602C">
        <w:rPr>
          <w:iCs/>
          <w:lang w:val="en-IE"/>
        </w:rPr>
        <w:t>&lt;</w:t>
      </w:r>
      <w:proofErr w:type="gramStart"/>
      <w:r w:rsidR="00551202" w:rsidRPr="00AA602C">
        <w:rPr>
          <w:iCs/>
          <w:lang w:val="en-IE"/>
        </w:rPr>
        <w:t>6</w:t>
      </w:r>
      <w:proofErr w:type="gramEnd"/>
      <w:r w:rsidR="00551202" w:rsidRPr="00AA602C">
        <w:rPr>
          <w:iCs/>
          <w:lang w:val="en-IE"/>
        </w:rPr>
        <w:t xml:space="preserve"> had not proceeded to further testing, 247 (82.6%) and 59 (75.6%) negative patients would have avoided formal testing at the diagnostic </w:t>
      </w:r>
      <w:proofErr w:type="spellStart"/>
      <w:r w:rsidR="0081328C">
        <w:rPr>
          <w:iCs/>
          <w:lang w:val="en-IE"/>
        </w:rPr>
        <w:t>centers</w:t>
      </w:r>
      <w:proofErr w:type="spellEnd"/>
      <w:r w:rsidR="00551202" w:rsidRPr="00AA602C">
        <w:rPr>
          <w:iCs/>
          <w:lang w:val="en-IE"/>
        </w:rPr>
        <w:t xml:space="preserve"> however, it is important to caution that 8 (11.4%) positive patients in the derivation group and 15 (18.8%) in the validation group would have been missed.</w:t>
      </w:r>
    </w:p>
    <w:p w14:paraId="23AFAEAF" w14:textId="77777777" w:rsidR="003C64F1" w:rsidRPr="00AA602C" w:rsidRDefault="003C64F1">
      <w:pPr>
        <w:spacing w:after="0" w:line="360" w:lineRule="auto"/>
        <w:ind w:firstLine="720"/>
        <w:rPr>
          <w:b/>
          <w:iCs/>
        </w:rPr>
      </w:pPr>
    </w:p>
    <w:p w14:paraId="25CD2586" w14:textId="77777777" w:rsidR="00067235" w:rsidRPr="00AA602C" w:rsidRDefault="003C64F1" w:rsidP="00150FD4">
      <w:pPr>
        <w:tabs>
          <w:tab w:val="left" w:pos="7548"/>
        </w:tabs>
        <w:spacing w:after="0" w:line="360" w:lineRule="auto"/>
        <w:rPr>
          <w:b/>
          <w:sz w:val="24"/>
          <w:szCs w:val="24"/>
        </w:rPr>
      </w:pPr>
      <w:r w:rsidRPr="00AA602C">
        <w:rPr>
          <w:b/>
          <w:sz w:val="24"/>
          <w:szCs w:val="24"/>
        </w:rPr>
        <w:t>Extrapolation to other settings</w:t>
      </w:r>
    </w:p>
    <w:p w14:paraId="4A255720" w14:textId="77777777" w:rsidR="003C26FD" w:rsidRPr="00AA602C" w:rsidRDefault="003C26FD" w:rsidP="0081328C">
      <w:pPr>
        <w:spacing w:after="0" w:line="360" w:lineRule="auto"/>
        <w:ind w:firstLine="720"/>
        <w:rPr>
          <w:iCs/>
        </w:rPr>
      </w:pPr>
      <w:proofErr w:type="gramStart"/>
      <w:r w:rsidRPr="00AA602C">
        <w:rPr>
          <w:iCs/>
        </w:rPr>
        <w:t xml:space="preserve">Can the results from these </w:t>
      </w:r>
      <w:r w:rsidR="0088111C" w:rsidRPr="00AA602C">
        <w:rPr>
          <w:iCs/>
        </w:rPr>
        <w:t xml:space="preserve">two </w:t>
      </w:r>
      <w:r w:rsidRPr="00AA602C">
        <w:rPr>
          <w:iCs/>
        </w:rPr>
        <w:t>studies be extrapolated</w:t>
      </w:r>
      <w:proofErr w:type="gramEnd"/>
      <w:r w:rsidRPr="00AA602C">
        <w:rPr>
          <w:iCs/>
        </w:rPr>
        <w:t xml:space="preserve"> to other settings, </w:t>
      </w:r>
      <w:r w:rsidR="003C64F1" w:rsidRPr="00AA602C">
        <w:rPr>
          <w:iCs/>
        </w:rPr>
        <w:t>for instance</w:t>
      </w:r>
      <w:r w:rsidRPr="00AA602C">
        <w:rPr>
          <w:iCs/>
        </w:rPr>
        <w:t xml:space="preserve"> </w:t>
      </w:r>
      <w:r w:rsidR="00E9600D" w:rsidRPr="00AA602C">
        <w:rPr>
          <w:iCs/>
        </w:rPr>
        <w:t xml:space="preserve">other countries, other </w:t>
      </w:r>
      <w:r w:rsidR="0088111C" w:rsidRPr="00AA602C">
        <w:rPr>
          <w:iCs/>
        </w:rPr>
        <w:t>specialty practices</w:t>
      </w:r>
      <w:r w:rsidR="00E9600D" w:rsidRPr="00AA602C">
        <w:rPr>
          <w:iCs/>
        </w:rPr>
        <w:t xml:space="preserve">, such </w:t>
      </w:r>
      <w:r w:rsidR="0088111C" w:rsidRPr="00AA602C">
        <w:rPr>
          <w:iCs/>
        </w:rPr>
        <w:t>as otorhinolaryngology</w:t>
      </w:r>
      <w:r w:rsidR="00E9600D" w:rsidRPr="00AA602C">
        <w:rPr>
          <w:iCs/>
        </w:rPr>
        <w:t xml:space="preserve"> clinics, or </w:t>
      </w:r>
      <w:r w:rsidR="003C64F1" w:rsidRPr="00AA602C">
        <w:rPr>
          <w:iCs/>
        </w:rPr>
        <w:t xml:space="preserve">other levels of care (e.g. </w:t>
      </w:r>
      <w:r w:rsidR="00E9600D" w:rsidRPr="00AA602C">
        <w:rPr>
          <w:iCs/>
        </w:rPr>
        <w:t>primary care</w:t>
      </w:r>
      <w:r w:rsidR="003C64F1" w:rsidRPr="00AA602C">
        <w:rPr>
          <w:iCs/>
        </w:rPr>
        <w:t>)</w:t>
      </w:r>
      <w:r w:rsidR="00E9600D" w:rsidRPr="00AA602C">
        <w:rPr>
          <w:iCs/>
        </w:rPr>
        <w:t xml:space="preserve">?  Only with great caution. </w:t>
      </w:r>
    </w:p>
    <w:p w14:paraId="158C517A" w14:textId="2F2C6461" w:rsidR="003C64F1" w:rsidRPr="00AA602C" w:rsidRDefault="00F86898">
      <w:pPr>
        <w:spacing w:after="0" w:line="360" w:lineRule="auto"/>
        <w:ind w:firstLine="720"/>
        <w:rPr>
          <w:iCs/>
        </w:rPr>
      </w:pPr>
      <w:r w:rsidRPr="00AA602C">
        <w:rPr>
          <w:iCs/>
        </w:rPr>
        <w:lastRenderedPageBreak/>
        <w:t xml:space="preserve">All </w:t>
      </w:r>
      <w:proofErr w:type="gramStart"/>
      <w:r w:rsidR="00230C8A">
        <w:rPr>
          <w:iCs/>
        </w:rPr>
        <w:t>3</w:t>
      </w:r>
      <w:proofErr w:type="gramEnd"/>
      <w:r w:rsidR="00230C8A" w:rsidRPr="00AA602C">
        <w:rPr>
          <w:iCs/>
        </w:rPr>
        <w:t xml:space="preserve"> </w:t>
      </w:r>
      <w:r w:rsidRPr="00AA602C">
        <w:rPr>
          <w:iCs/>
        </w:rPr>
        <w:t>screening tests perform reasonabl</w:t>
      </w:r>
      <w:r w:rsidR="00230C8A">
        <w:rPr>
          <w:iCs/>
        </w:rPr>
        <w:t>y</w:t>
      </w:r>
      <w:r w:rsidRPr="00AA602C">
        <w:rPr>
          <w:iCs/>
        </w:rPr>
        <w:t xml:space="preserve"> </w:t>
      </w:r>
      <w:r w:rsidR="00483266" w:rsidRPr="00AA602C">
        <w:rPr>
          <w:iCs/>
        </w:rPr>
        <w:t>well</w:t>
      </w:r>
      <w:r w:rsidRPr="00AA602C">
        <w:rPr>
          <w:iCs/>
        </w:rPr>
        <w:t xml:space="preserve"> in </w:t>
      </w:r>
      <w:r w:rsidR="003226E4" w:rsidRPr="00AA602C">
        <w:rPr>
          <w:iCs/>
        </w:rPr>
        <w:t xml:space="preserve">the </w:t>
      </w:r>
      <w:r w:rsidR="00230C8A">
        <w:rPr>
          <w:iCs/>
        </w:rPr>
        <w:t xml:space="preserve">setting of </w:t>
      </w:r>
      <w:r w:rsidR="003226E4" w:rsidRPr="00AA602C">
        <w:rPr>
          <w:iCs/>
        </w:rPr>
        <w:t>highly</w:t>
      </w:r>
      <w:r w:rsidR="00E9600D" w:rsidRPr="00AA602C">
        <w:rPr>
          <w:iCs/>
        </w:rPr>
        <w:t xml:space="preserve"> specialised </w:t>
      </w:r>
      <w:r w:rsidR="00230C8A">
        <w:rPr>
          <w:iCs/>
        </w:rPr>
        <w:t>referral practices</w:t>
      </w:r>
      <w:r w:rsidRPr="00AA602C">
        <w:rPr>
          <w:iCs/>
        </w:rPr>
        <w:t xml:space="preserve">, where </w:t>
      </w:r>
      <w:r w:rsidR="00230C8A">
        <w:rPr>
          <w:iCs/>
        </w:rPr>
        <w:t>the studies</w:t>
      </w:r>
      <w:r w:rsidR="00230C8A" w:rsidRPr="00AA602C">
        <w:rPr>
          <w:iCs/>
        </w:rPr>
        <w:t xml:space="preserve"> </w:t>
      </w:r>
      <w:r w:rsidRPr="00AA602C">
        <w:rPr>
          <w:iCs/>
        </w:rPr>
        <w:t>had been conducted (</w:t>
      </w:r>
      <w:r w:rsidRPr="00AA602C">
        <w:rPr>
          <w:b/>
          <w:iCs/>
        </w:rPr>
        <w:t>Table 1</w:t>
      </w:r>
      <w:r w:rsidRPr="00AA602C">
        <w:rPr>
          <w:iCs/>
        </w:rPr>
        <w:t>)</w:t>
      </w:r>
      <w:r w:rsidR="0088111C" w:rsidRPr="00AA602C">
        <w:rPr>
          <w:iCs/>
        </w:rPr>
        <w:t>. T</w:t>
      </w:r>
      <w:r w:rsidR="00E9600D" w:rsidRPr="00AA602C">
        <w:rPr>
          <w:iCs/>
        </w:rPr>
        <w:t xml:space="preserve">he PICADAR study </w:t>
      </w:r>
      <w:r w:rsidRPr="00AA602C">
        <w:rPr>
          <w:iCs/>
        </w:rPr>
        <w:t>came from a</w:t>
      </w:r>
      <w:r w:rsidR="00EC5D99" w:rsidRPr="00AA602C">
        <w:rPr>
          <w:iCs/>
        </w:rPr>
        <w:t xml:space="preserve"> </w:t>
      </w:r>
      <w:r w:rsidR="00E9600D" w:rsidRPr="00AA602C">
        <w:rPr>
          <w:iCs/>
        </w:rPr>
        <w:t xml:space="preserve">national diagnostic </w:t>
      </w:r>
      <w:proofErr w:type="spellStart"/>
      <w:r w:rsidR="00407A4A" w:rsidRPr="00AA602C">
        <w:rPr>
          <w:iCs/>
        </w:rPr>
        <w:t>center</w:t>
      </w:r>
      <w:proofErr w:type="spellEnd"/>
      <w:r w:rsidR="00E9600D" w:rsidRPr="00AA602C">
        <w:rPr>
          <w:iCs/>
        </w:rPr>
        <w:t xml:space="preserve"> for PCD </w:t>
      </w:r>
      <w:r w:rsidR="00241F6F" w:rsidRPr="00AA602C">
        <w:rPr>
          <w:iCs/>
        </w:rPr>
        <w:t>in England</w:t>
      </w:r>
      <w:r w:rsidR="00E9600D" w:rsidRPr="00AA602C">
        <w:rPr>
          <w:iCs/>
        </w:rPr>
        <w:t xml:space="preserve">; with </w:t>
      </w:r>
      <w:r w:rsidR="00EC5D99" w:rsidRPr="00AA602C">
        <w:rPr>
          <w:iCs/>
        </w:rPr>
        <w:t xml:space="preserve">most </w:t>
      </w:r>
      <w:r w:rsidR="00E9600D" w:rsidRPr="00AA602C">
        <w:rPr>
          <w:iCs/>
        </w:rPr>
        <w:t xml:space="preserve">patients </w:t>
      </w:r>
      <w:proofErr w:type="gramStart"/>
      <w:r w:rsidR="00EC5D99" w:rsidRPr="00AA602C">
        <w:rPr>
          <w:iCs/>
        </w:rPr>
        <w:t>being referred</w:t>
      </w:r>
      <w:proofErr w:type="gramEnd"/>
      <w:r w:rsidR="00EC5D99" w:rsidRPr="00AA602C">
        <w:rPr>
          <w:iCs/>
        </w:rPr>
        <w:t xml:space="preserve"> </w:t>
      </w:r>
      <w:r w:rsidR="00241F6F" w:rsidRPr="00AA602C">
        <w:rPr>
          <w:iCs/>
        </w:rPr>
        <w:t>via seco</w:t>
      </w:r>
      <w:r w:rsidR="003C64F1" w:rsidRPr="00AA602C">
        <w:rPr>
          <w:iCs/>
        </w:rPr>
        <w:t>ndary</w:t>
      </w:r>
      <w:r w:rsidR="00EC5D99" w:rsidRPr="00AA602C">
        <w:rPr>
          <w:iCs/>
        </w:rPr>
        <w:t xml:space="preserve"> </w:t>
      </w:r>
      <w:r w:rsidR="00F53159" w:rsidRPr="00AA602C">
        <w:rPr>
          <w:iCs/>
        </w:rPr>
        <w:t xml:space="preserve">or specialist respiratory </w:t>
      </w:r>
      <w:r w:rsidR="00EC5D99" w:rsidRPr="00AA602C">
        <w:rPr>
          <w:iCs/>
        </w:rPr>
        <w:t>care</w:t>
      </w:r>
      <w:r w:rsidR="00483266" w:rsidRPr="00AA602C">
        <w:rPr>
          <w:iCs/>
        </w:rPr>
        <w:t xml:space="preserve"> and 12%</w:t>
      </w:r>
      <w:r w:rsidR="00EC5D99" w:rsidRPr="00AA602C">
        <w:rPr>
          <w:iCs/>
        </w:rPr>
        <w:t xml:space="preserve"> </w:t>
      </w:r>
      <w:r w:rsidR="00241F6F" w:rsidRPr="00AA602C">
        <w:rPr>
          <w:iCs/>
        </w:rPr>
        <w:t xml:space="preserve">were finally </w:t>
      </w:r>
      <w:r w:rsidR="00EC5D99" w:rsidRPr="00AA602C">
        <w:rPr>
          <w:iCs/>
        </w:rPr>
        <w:t>dia</w:t>
      </w:r>
      <w:r w:rsidR="0088111C" w:rsidRPr="00AA602C">
        <w:rPr>
          <w:iCs/>
        </w:rPr>
        <w:t xml:space="preserve">gnosed with PCD. The setting for the North American study </w:t>
      </w:r>
      <w:r w:rsidR="00EC5D99" w:rsidRPr="00AA602C">
        <w:rPr>
          <w:iCs/>
        </w:rPr>
        <w:t xml:space="preserve">was </w:t>
      </w:r>
      <w:r w:rsidR="003226E4">
        <w:rPr>
          <w:iCs/>
        </w:rPr>
        <w:t>even more selective. Their study comprised</w:t>
      </w:r>
      <w:r w:rsidR="00483266" w:rsidRPr="00AA602C">
        <w:rPr>
          <w:iCs/>
        </w:rPr>
        <w:t xml:space="preserve"> a </w:t>
      </w:r>
      <w:r w:rsidR="00241F6F" w:rsidRPr="00AA602C">
        <w:rPr>
          <w:iCs/>
        </w:rPr>
        <w:t>diagnostic re-</w:t>
      </w:r>
      <w:r w:rsidR="001B3D41" w:rsidRPr="00AA602C">
        <w:rPr>
          <w:iCs/>
        </w:rPr>
        <w:t xml:space="preserve">evaluation of </w:t>
      </w:r>
      <w:r w:rsidR="00064AE2" w:rsidRPr="00AA602C">
        <w:rPr>
          <w:iCs/>
        </w:rPr>
        <w:t xml:space="preserve">a cohort of </w:t>
      </w:r>
      <w:r w:rsidR="001B3D41" w:rsidRPr="00AA602C">
        <w:rPr>
          <w:iCs/>
        </w:rPr>
        <w:t>patients</w:t>
      </w:r>
      <w:r w:rsidR="00064AE2" w:rsidRPr="00AA602C">
        <w:rPr>
          <w:iCs/>
        </w:rPr>
        <w:t xml:space="preserve"> with </w:t>
      </w:r>
      <w:r w:rsidR="001B3D41" w:rsidRPr="00AA602C">
        <w:rPr>
          <w:iCs/>
        </w:rPr>
        <w:t xml:space="preserve">a firm suspicion of PCD. Of </w:t>
      </w:r>
      <w:r w:rsidR="00F95502" w:rsidRPr="00AA602C">
        <w:rPr>
          <w:iCs/>
        </w:rPr>
        <w:t>392</w:t>
      </w:r>
      <w:r w:rsidR="001B3D41" w:rsidRPr="00AA602C">
        <w:rPr>
          <w:iCs/>
        </w:rPr>
        <w:t xml:space="preserve"> </w:t>
      </w:r>
      <w:r w:rsidR="00F95502" w:rsidRPr="00AA602C">
        <w:rPr>
          <w:iCs/>
        </w:rPr>
        <w:t>patients included in the</w:t>
      </w:r>
      <w:r w:rsidR="00230C8A">
        <w:rPr>
          <w:iCs/>
        </w:rPr>
        <w:t>ir</w:t>
      </w:r>
      <w:r w:rsidR="00F95502" w:rsidRPr="00AA602C">
        <w:rPr>
          <w:iCs/>
        </w:rPr>
        <w:t xml:space="preserve"> analysis</w:t>
      </w:r>
      <w:r w:rsidR="001B3D41" w:rsidRPr="00AA602C">
        <w:rPr>
          <w:iCs/>
        </w:rPr>
        <w:t xml:space="preserve">, </w:t>
      </w:r>
      <w:r w:rsidR="00064AE2" w:rsidRPr="00AA602C">
        <w:rPr>
          <w:iCs/>
        </w:rPr>
        <w:t xml:space="preserve">PCD was confirmed in </w:t>
      </w:r>
      <w:r w:rsidR="001B3D41" w:rsidRPr="00AA602C">
        <w:rPr>
          <w:iCs/>
        </w:rPr>
        <w:t>205 (</w:t>
      </w:r>
      <w:r w:rsidR="00F95502" w:rsidRPr="00AA602C">
        <w:rPr>
          <w:iCs/>
        </w:rPr>
        <w:t>52</w:t>
      </w:r>
      <w:r w:rsidR="001B3D41" w:rsidRPr="00AA602C">
        <w:rPr>
          <w:iCs/>
        </w:rPr>
        <w:t>%)</w:t>
      </w:r>
      <w:r w:rsidR="003C64F1" w:rsidRPr="00AA602C">
        <w:rPr>
          <w:iCs/>
        </w:rPr>
        <w:t>,</w:t>
      </w:r>
      <w:r w:rsidR="001B3D41" w:rsidRPr="00AA602C">
        <w:rPr>
          <w:iCs/>
        </w:rPr>
        <w:t xml:space="preserve"> </w:t>
      </w:r>
      <w:r w:rsidR="0088111C" w:rsidRPr="00AA602C">
        <w:rPr>
          <w:iCs/>
        </w:rPr>
        <w:t>based on</w:t>
      </w:r>
      <w:r w:rsidR="001B3D41" w:rsidRPr="00AA602C">
        <w:rPr>
          <w:iCs/>
        </w:rPr>
        <w:t xml:space="preserve"> hallmark </w:t>
      </w:r>
      <w:r w:rsidR="0088111C" w:rsidRPr="00AA602C">
        <w:rPr>
          <w:iCs/>
        </w:rPr>
        <w:t>findings in transmission electron micrographs</w:t>
      </w:r>
      <w:r w:rsidR="001B3D41" w:rsidRPr="00AA602C">
        <w:rPr>
          <w:iCs/>
        </w:rPr>
        <w:t xml:space="preserve"> </w:t>
      </w:r>
      <w:r w:rsidR="00064AE2" w:rsidRPr="00AA602C">
        <w:rPr>
          <w:iCs/>
        </w:rPr>
        <w:t>or</w:t>
      </w:r>
      <w:r w:rsidR="001B3D41" w:rsidRPr="00AA602C">
        <w:rPr>
          <w:iCs/>
        </w:rPr>
        <w:t xml:space="preserve"> </w:t>
      </w:r>
      <w:r w:rsidR="0088111C" w:rsidRPr="00AA602C">
        <w:rPr>
          <w:iCs/>
        </w:rPr>
        <w:t xml:space="preserve">the presence of </w:t>
      </w:r>
      <w:r w:rsidR="00D7556F" w:rsidRPr="00AA602C">
        <w:rPr>
          <w:iCs/>
        </w:rPr>
        <w:t xml:space="preserve">two </w:t>
      </w:r>
      <w:r w:rsidR="0088111C" w:rsidRPr="00AA602C">
        <w:rPr>
          <w:iCs/>
        </w:rPr>
        <w:t xml:space="preserve">disease-causing </w:t>
      </w:r>
      <w:r w:rsidR="00D7556F" w:rsidRPr="00AA602C">
        <w:rPr>
          <w:iCs/>
        </w:rPr>
        <w:t xml:space="preserve">mutations. </w:t>
      </w:r>
      <w:r w:rsidR="001B3D41" w:rsidRPr="00AA602C">
        <w:rPr>
          <w:iCs/>
        </w:rPr>
        <w:t xml:space="preserve"> </w:t>
      </w:r>
    </w:p>
    <w:p w14:paraId="431E698C" w14:textId="3D7F178C" w:rsidR="00E9600D" w:rsidRPr="00AA602C" w:rsidRDefault="001D079C">
      <w:pPr>
        <w:spacing w:after="0" w:line="360" w:lineRule="auto"/>
        <w:ind w:firstLine="720"/>
        <w:rPr>
          <w:iCs/>
        </w:rPr>
      </w:pPr>
      <w:r w:rsidRPr="00AA602C">
        <w:rPr>
          <w:iCs/>
        </w:rPr>
        <w:t xml:space="preserve">The validity of the predictive </w:t>
      </w:r>
      <w:r w:rsidR="003C64F1" w:rsidRPr="00AA602C">
        <w:rPr>
          <w:iCs/>
        </w:rPr>
        <w:t xml:space="preserve">symptom </w:t>
      </w:r>
      <w:r w:rsidRPr="00AA602C">
        <w:rPr>
          <w:iCs/>
        </w:rPr>
        <w:t xml:space="preserve">score in </w:t>
      </w:r>
      <w:r w:rsidR="00483266" w:rsidRPr="00AA602C">
        <w:rPr>
          <w:iCs/>
        </w:rPr>
        <w:t>these</w:t>
      </w:r>
      <w:r w:rsidRPr="00AA602C">
        <w:rPr>
          <w:iCs/>
        </w:rPr>
        <w:t xml:space="preserve"> studies </w:t>
      </w:r>
      <w:proofErr w:type="gramStart"/>
      <w:r w:rsidRPr="00AA602C">
        <w:rPr>
          <w:iCs/>
        </w:rPr>
        <w:t>is influenced</w:t>
      </w:r>
      <w:proofErr w:type="gramEnd"/>
      <w:r w:rsidRPr="00AA602C">
        <w:rPr>
          <w:iCs/>
        </w:rPr>
        <w:t xml:space="preserve"> by several </w:t>
      </w:r>
      <w:r w:rsidR="003C64F1" w:rsidRPr="00AA602C">
        <w:rPr>
          <w:iCs/>
        </w:rPr>
        <w:t>factors</w:t>
      </w:r>
      <w:r w:rsidRPr="00AA602C">
        <w:rPr>
          <w:iCs/>
        </w:rPr>
        <w:t xml:space="preserve">: </w:t>
      </w:r>
      <w:r w:rsidR="0088111C" w:rsidRPr="00AA602C">
        <w:rPr>
          <w:iCs/>
        </w:rPr>
        <w:t>First</w:t>
      </w:r>
      <w:r w:rsidR="00241F6F" w:rsidRPr="00AA602C">
        <w:rPr>
          <w:iCs/>
        </w:rPr>
        <w:t>, the mix of patients</w:t>
      </w:r>
      <w:r w:rsidR="00FE70D7" w:rsidRPr="00AA602C">
        <w:rPr>
          <w:iCs/>
        </w:rPr>
        <w:t xml:space="preserve"> deter</w:t>
      </w:r>
      <w:r w:rsidR="00241F6F" w:rsidRPr="00AA602C">
        <w:rPr>
          <w:iCs/>
        </w:rPr>
        <w:t>mined by loca</w:t>
      </w:r>
      <w:r w:rsidR="0088111C" w:rsidRPr="00AA602C">
        <w:rPr>
          <w:iCs/>
        </w:rPr>
        <w:t>l referral habits</w:t>
      </w:r>
      <w:r w:rsidR="00230C8A">
        <w:rPr>
          <w:iCs/>
        </w:rPr>
        <w:t xml:space="preserve">: </w:t>
      </w:r>
      <w:r w:rsidR="00FE70D7" w:rsidRPr="00AA602C">
        <w:rPr>
          <w:iCs/>
        </w:rPr>
        <w:t xml:space="preserve">this </w:t>
      </w:r>
      <w:r w:rsidR="003C64F1" w:rsidRPr="00AA602C">
        <w:rPr>
          <w:iCs/>
        </w:rPr>
        <w:t>determines which</w:t>
      </w:r>
      <w:r w:rsidR="00FE70D7" w:rsidRPr="00AA602C">
        <w:rPr>
          <w:iCs/>
        </w:rPr>
        <w:t xml:space="preserve"> predictors will </w:t>
      </w:r>
      <w:r w:rsidR="003C64F1" w:rsidRPr="00AA602C">
        <w:rPr>
          <w:iCs/>
        </w:rPr>
        <w:t>discriminate between patients. Second</w:t>
      </w:r>
      <w:r w:rsidR="0088111C" w:rsidRPr="00AA602C">
        <w:rPr>
          <w:iCs/>
        </w:rPr>
        <w:t xml:space="preserve">, </w:t>
      </w:r>
      <w:r w:rsidR="00FE70D7" w:rsidRPr="00AA602C">
        <w:rPr>
          <w:iCs/>
        </w:rPr>
        <w:t>the definition of PCD (i.e. the diagnostic gold standard)</w:t>
      </w:r>
      <w:r w:rsidR="00230C8A">
        <w:rPr>
          <w:iCs/>
        </w:rPr>
        <w:t xml:space="preserve">: </w:t>
      </w:r>
      <w:r w:rsidR="00FE70D7" w:rsidRPr="00AA602C">
        <w:rPr>
          <w:iCs/>
        </w:rPr>
        <w:t>th</w:t>
      </w:r>
      <w:r w:rsidR="00241F6F" w:rsidRPr="00AA602C">
        <w:rPr>
          <w:iCs/>
        </w:rPr>
        <w:t xml:space="preserve">is affects </w:t>
      </w:r>
      <w:r w:rsidR="0088111C" w:rsidRPr="00AA602C">
        <w:rPr>
          <w:iCs/>
        </w:rPr>
        <w:t xml:space="preserve">the </w:t>
      </w:r>
      <w:r w:rsidR="00241F6F" w:rsidRPr="00AA602C">
        <w:rPr>
          <w:iCs/>
        </w:rPr>
        <w:t>sensitivity of the s</w:t>
      </w:r>
      <w:r w:rsidR="00FE70D7" w:rsidRPr="00AA602C">
        <w:rPr>
          <w:iCs/>
        </w:rPr>
        <w:t>c</w:t>
      </w:r>
      <w:r w:rsidR="00241F6F" w:rsidRPr="00AA602C">
        <w:rPr>
          <w:iCs/>
        </w:rPr>
        <w:t>o</w:t>
      </w:r>
      <w:r w:rsidR="00FE70D7" w:rsidRPr="00AA602C">
        <w:rPr>
          <w:iCs/>
        </w:rPr>
        <w:t>re</w:t>
      </w:r>
      <w:r w:rsidR="003C64F1" w:rsidRPr="00AA602C">
        <w:rPr>
          <w:iCs/>
        </w:rPr>
        <w:t xml:space="preserve">. </w:t>
      </w:r>
      <w:r w:rsidR="0088111C" w:rsidRPr="00AA602C">
        <w:rPr>
          <w:iCs/>
        </w:rPr>
        <w:t>Third,</w:t>
      </w:r>
      <w:r w:rsidR="003C64F1" w:rsidRPr="00AA602C">
        <w:rPr>
          <w:iCs/>
        </w:rPr>
        <w:t xml:space="preserve"> </w:t>
      </w:r>
      <w:r w:rsidRPr="00AA602C">
        <w:rPr>
          <w:iCs/>
        </w:rPr>
        <w:t xml:space="preserve">the prevalence of PCD within </w:t>
      </w:r>
      <w:r w:rsidR="003C64F1" w:rsidRPr="00AA602C">
        <w:rPr>
          <w:iCs/>
        </w:rPr>
        <w:t>the patient population</w:t>
      </w:r>
      <w:r w:rsidR="00230C8A">
        <w:rPr>
          <w:iCs/>
        </w:rPr>
        <w:t xml:space="preserve">: </w:t>
      </w:r>
      <w:r w:rsidRPr="00AA602C">
        <w:rPr>
          <w:iCs/>
        </w:rPr>
        <w:t xml:space="preserve">this influences positive and negative predictive value </w:t>
      </w:r>
      <w:r w:rsidR="00FE70D7" w:rsidRPr="00AA602C">
        <w:rPr>
          <w:iCs/>
        </w:rPr>
        <w:t xml:space="preserve">of test results. </w:t>
      </w:r>
    </w:p>
    <w:p w14:paraId="00C3EA7E" w14:textId="49CAB273" w:rsidR="00FE70D7" w:rsidRPr="00AA602C" w:rsidRDefault="00FE70D7">
      <w:pPr>
        <w:spacing w:after="0" w:line="360" w:lineRule="auto"/>
        <w:ind w:firstLine="720"/>
        <w:rPr>
          <w:iCs/>
        </w:rPr>
      </w:pPr>
      <w:r w:rsidRPr="00AA602C">
        <w:rPr>
          <w:iCs/>
        </w:rPr>
        <w:t xml:space="preserve">The first </w:t>
      </w:r>
      <w:r w:rsidR="00230C8A">
        <w:rPr>
          <w:iCs/>
        </w:rPr>
        <w:t>factor</w:t>
      </w:r>
      <w:r w:rsidR="00230C8A" w:rsidRPr="00AA602C">
        <w:rPr>
          <w:iCs/>
        </w:rPr>
        <w:t xml:space="preserve"> </w:t>
      </w:r>
      <w:r w:rsidRPr="00AA602C">
        <w:rPr>
          <w:iCs/>
        </w:rPr>
        <w:t>is</w:t>
      </w:r>
      <w:r w:rsidR="0088111C" w:rsidRPr="00AA602C">
        <w:rPr>
          <w:iCs/>
        </w:rPr>
        <w:t xml:space="preserve"> illustrated nicely by the observation</w:t>
      </w:r>
      <w:r w:rsidRPr="00AA602C">
        <w:rPr>
          <w:iCs/>
        </w:rPr>
        <w:t xml:space="preserve"> that chronic cough</w:t>
      </w:r>
      <w:r w:rsidR="00235AD0" w:rsidRPr="00AA602C">
        <w:rPr>
          <w:iCs/>
        </w:rPr>
        <w:t>,</w:t>
      </w:r>
      <w:r w:rsidRPr="00AA602C">
        <w:rPr>
          <w:iCs/>
        </w:rPr>
        <w:t xml:space="preserve"> a hallmark symptom of </w:t>
      </w:r>
      <w:r w:rsidR="00235AD0" w:rsidRPr="00AA602C">
        <w:rPr>
          <w:iCs/>
        </w:rPr>
        <w:t>PCD, emerged</w:t>
      </w:r>
      <w:r w:rsidRPr="00AA602C">
        <w:rPr>
          <w:iCs/>
        </w:rPr>
        <w:t xml:space="preserve"> </w:t>
      </w:r>
      <w:r w:rsidR="003C64F1" w:rsidRPr="00AA602C">
        <w:rPr>
          <w:iCs/>
        </w:rPr>
        <w:t xml:space="preserve">as </w:t>
      </w:r>
      <w:r w:rsidRPr="00AA602C">
        <w:rPr>
          <w:iCs/>
        </w:rPr>
        <w:t>a</w:t>
      </w:r>
      <w:r w:rsidR="00431C11" w:rsidRPr="00AA602C">
        <w:rPr>
          <w:iCs/>
        </w:rPr>
        <w:t xml:space="preserve"> significant predictor in the </w:t>
      </w:r>
      <w:r w:rsidR="0088111C" w:rsidRPr="00AA602C">
        <w:rPr>
          <w:iCs/>
        </w:rPr>
        <w:t>North American</w:t>
      </w:r>
      <w:r w:rsidRPr="00AA602C">
        <w:rPr>
          <w:iCs/>
        </w:rPr>
        <w:t xml:space="preserve"> study but not in the </w:t>
      </w:r>
      <w:r w:rsidR="00431C11" w:rsidRPr="00AA602C">
        <w:rPr>
          <w:iCs/>
        </w:rPr>
        <w:t>UK</w:t>
      </w:r>
      <w:r w:rsidR="0088111C" w:rsidRPr="00AA602C">
        <w:rPr>
          <w:iCs/>
        </w:rPr>
        <w:t xml:space="preserve"> study</w:t>
      </w:r>
      <w:r w:rsidRPr="00AA602C">
        <w:rPr>
          <w:iCs/>
        </w:rPr>
        <w:t xml:space="preserve">. </w:t>
      </w:r>
      <w:r w:rsidR="00A840F3" w:rsidRPr="00AA602C">
        <w:rPr>
          <w:iCs/>
        </w:rPr>
        <w:t xml:space="preserve">This seeming paradox is explained by the fact, that chronic cough was a </w:t>
      </w:r>
      <w:r w:rsidR="00235AD0" w:rsidRPr="00AA602C">
        <w:rPr>
          <w:iCs/>
        </w:rPr>
        <w:t xml:space="preserve">relative </w:t>
      </w:r>
      <w:r w:rsidR="00A840F3" w:rsidRPr="00AA602C">
        <w:rPr>
          <w:iCs/>
        </w:rPr>
        <w:t xml:space="preserve">prerequisite for referral to the UK </w:t>
      </w:r>
      <w:proofErr w:type="spellStart"/>
      <w:r w:rsidR="00230C8A">
        <w:rPr>
          <w:iCs/>
        </w:rPr>
        <w:t>center</w:t>
      </w:r>
      <w:proofErr w:type="spellEnd"/>
      <w:r w:rsidR="00230C8A" w:rsidRPr="00AA602C">
        <w:rPr>
          <w:iCs/>
        </w:rPr>
        <w:t xml:space="preserve"> </w:t>
      </w:r>
      <w:r w:rsidR="00431C11" w:rsidRPr="00AA602C">
        <w:rPr>
          <w:iCs/>
        </w:rPr>
        <w:t xml:space="preserve">and </w:t>
      </w:r>
      <w:r w:rsidR="00A840F3" w:rsidRPr="00AA602C">
        <w:rPr>
          <w:iCs/>
        </w:rPr>
        <w:t>virtually every patient had it</w:t>
      </w:r>
      <w:r w:rsidR="00F53159" w:rsidRPr="00AA602C">
        <w:rPr>
          <w:iCs/>
        </w:rPr>
        <w:t xml:space="preserve">; </w:t>
      </w:r>
      <w:proofErr w:type="gramStart"/>
      <w:r w:rsidR="00A840F3" w:rsidRPr="00AA602C">
        <w:rPr>
          <w:iCs/>
        </w:rPr>
        <w:t>thus</w:t>
      </w:r>
      <w:proofErr w:type="gramEnd"/>
      <w:r w:rsidR="00A840F3" w:rsidRPr="00AA602C">
        <w:rPr>
          <w:iCs/>
        </w:rPr>
        <w:t xml:space="preserve"> </w:t>
      </w:r>
      <w:r w:rsidR="00230C8A">
        <w:rPr>
          <w:iCs/>
        </w:rPr>
        <w:t>cough</w:t>
      </w:r>
      <w:r w:rsidR="00230C8A" w:rsidRPr="00AA602C">
        <w:rPr>
          <w:iCs/>
        </w:rPr>
        <w:t xml:space="preserve"> </w:t>
      </w:r>
      <w:r w:rsidR="00A840F3" w:rsidRPr="00AA602C">
        <w:rPr>
          <w:iCs/>
        </w:rPr>
        <w:t xml:space="preserve">did not discriminate between patients who finally </w:t>
      </w:r>
      <w:r w:rsidR="00AA2487" w:rsidRPr="00AA602C">
        <w:rPr>
          <w:iCs/>
        </w:rPr>
        <w:t>were or</w:t>
      </w:r>
      <w:r w:rsidR="00A840F3" w:rsidRPr="00AA602C">
        <w:rPr>
          <w:iCs/>
        </w:rPr>
        <w:t xml:space="preserve"> were not diagnosed with PCD.  </w:t>
      </w:r>
      <w:r w:rsidR="00AA2487" w:rsidRPr="00AA602C">
        <w:rPr>
          <w:iCs/>
        </w:rPr>
        <w:t xml:space="preserve">The PICADAR score therefore </w:t>
      </w:r>
      <w:proofErr w:type="gramStart"/>
      <w:r w:rsidR="00D0374E" w:rsidRPr="00AA602C">
        <w:rPr>
          <w:iCs/>
        </w:rPr>
        <w:t>should only be applied</w:t>
      </w:r>
      <w:proofErr w:type="gramEnd"/>
      <w:r w:rsidR="00D0374E" w:rsidRPr="00AA602C">
        <w:rPr>
          <w:iCs/>
        </w:rPr>
        <w:t xml:space="preserve"> to </w:t>
      </w:r>
      <w:r w:rsidR="00AA2487" w:rsidRPr="00AA602C">
        <w:rPr>
          <w:iCs/>
        </w:rPr>
        <w:t xml:space="preserve">patients with chronic cough. </w:t>
      </w:r>
      <w:r w:rsidR="00D0374E" w:rsidRPr="00AA602C">
        <w:rPr>
          <w:iCs/>
        </w:rPr>
        <w:t xml:space="preserve">In analogy, we would expect that in a study </w:t>
      </w:r>
      <w:r w:rsidR="00AA2487" w:rsidRPr="00AA602C">
        <w:rPr>
          <w:iCs/>
        </w:rPr>
        <w:t xml:space="preserve">conducted in an </w:t>
      </w:r>
      <w:r w:rsidR="00E462B1" w:rsidRPr="00AA602C">
        <w:rPr>
          <w:iCs/>
        </w:rPr>
        <w:t>otorhinolaryngology</w:t>
      </w:r>
      <w:r w:rsidR="00AA2487" w:rsidRPr="00AA602C">
        <w:rPr>
          <w:iCs/>
        </w:rPr>
        <w:t xml:space="preserve"> department, chronic rhinitis </w:t>
      </w:r>
      <w:r w:rsidR="00D0374E" w:rsidRPr="00AA602C">
        <w:rPr>
          <w:iCs/>
        </w:rPr>
        <w:t>would</w:t>
      </w:r>
      <w:r w:rsidR="00D13DD5" w:rsidRPr="00AA602C">
        <w:rPr>
          <w:iCs/>
        </w:rPr>
        <w:t xml:space="preserve"> not have emerged as a </w:t>
      </w:r>
      <w:r w:rsidR="00E462B1" w:rsidRPr="00AA602C">
        <w:rPr>
          <w:iCs/>
        </w:rPr>
        <w:t xml:space="preserve">useful </w:t>
      </w:r>
      <w:r w:rsidR="00D13DD5" w:rsidRPr="00AA602C">
        <w:rPr>
          <w:iCs/>
        </w:rPr>
        <w:t xml:space="preserve">predictor.  </w:t>
      </w:r>
    </w:p>
    <w:p w14:paraId="770793F3" w14:textId="16C66D2E" w:rsidR="00D13DD5" w:rsidRPr="00AA602C" w:rsidRDefault="00D13DD5">
      <w:pPr>
        <w:spacing w:after="0" w:line="360" w:lineRule="auto"/>
        <w:ind w:firstLine="720"/>
        <w:rPr>
          <w:iCs/>
        </w:rPr>
      </w:pPr>
      <w:r w:rsidRPr="00AA602C">
        <w:rPr>
          <w:iCs/>
        </w:rPr>
        <w:t>Second</w:t>
      </w:r>
      <w:r w:rsidR="00241F6F" w:rsidRPr="00AA602C">
        <w:rPr>
          <w:iCs/>
        </w:rPr>
        <w:t>ly</w:t>
      </w:r>
      <w:r w:rsidRPr="00AA602C">
        <w:rPr>
          <w:iCs/>
        </w:rPr>
        <w:t xml:space="preserve">, as we lack a gold standard </w:t>
      </w:r>
      <w:r w:rsidR="00D0374E" w:rsidRPr="00AA602C">
        <w:rPr>
          <w:iCs/>
        </w:rPr>
        <w:t xml:space="preserve">diagnostic </w:t>
      </w:r>
      <w:r w:rsidRPr="00AA602C">
        <w:rPr>
          <w:iCs/>
        </w:rPr>
        <w:t xml:space="preserve">test, both </w:t>
      </w:r>
      <w:proofErr w:type="spellStart"/>
      <w:r w:rsidR="00E462B1" w:rsidRPr="00AA602C">
        <w:rPr>
          <w:iCs/>
        </w:rPr>
        <w:t>centers</w:t>
      </w:r>
      <w:proofErr w:type="spellEnd"/>
      <w:r w:rsidRPr="00AA602C">
        <w:rPr>
          <w:iCs/>
        </w:rPr>
        <w:t xml:space="preserve"> used a composite test for the final diagnosis. In PICADAR, this composite test included </w:t>
      </w:r>
      <w:proofErr w:type="spellStart"/>
      <w:r w:rsidRPr="00AA602C">
        <w:rPr>
          <w:iCs/>
        </w:rPr>
        <w:t>nNO</w:t>
      </w:r>
      <w:proofErr w:type="spellEnd"/>
      <w:r w:rsidRPr="00AA602C">
        <w:rPr>
          <w:iCs/>
        </w:rPr>
        <w:t xml:space="preserve">, </w:t>
      </w:r>
      <w:r w:rsidR="00E462B1" w:rsidRPr="00AA602C">
        <w:rPr>
          <w:iCs/>
        </w:rPr>
        <w:t xml:space="preserve">transmission </w:t>
      </w:r>
      <w:r w:rsidR="00151051">
        <w:rPr>
          <w:iCs/>
        </w:rPr>
        <w:t xml:space="preserve">electron </w:t>
      </w:r>
      <w:r w:rsidR="00E462B1" w:rsidRPr="00AA602C">
        <w:rPr>
          <w:iCs/>
        </w:rPr>
        <w:t>microscopy,</w:t>
      </w:r>
      <w:r w:rsidR="00151051">
        <w:rPr>
          <w:iCs/>
        </w:rPr>
        <w:t xml:space="preserve"> and HSVMA</w:t>
      </w:r>
      <w:r w:rsidR="00E462B1" w:rsidRPr="00AA602C">
        <w:rPr>
          <w:iCs/>
        </w:rPr>
        <w:t>. I</w:t>
      </w:r>
      <w:r w:rsidR="00241F6F" w:rsidRPr="00AA602C">
        <w:rPr>
          <w:iCs/>
        </w:rPr>
        <w:t>n the US study</w:t>
      </w:r>
      <w:r w:rsidR="00E462B1" w:rsidRPr="00AA602C">
        <w:rPr>
          <w:iCs/>
        </w:rPr>
        <w:t>,</w:t>
      </w:r>
      <w:r w:rsidR="00241F6F" w:rsidRPr="00AA602C">
        <w:rPr>
          <w:iCs/>
        </w:rPr>
        <w:t xml:space="preserve"> </w:t>
      </w:r>
      <w:r w:rsidR="00E462B1" w:rsidRPr="00AA602C">
        <w:rPr>
          <w:iCs/>
        </w:rPr>
        <w:t>the diagnosis of PCD</w:t>
      </w:r>
      <w:r w:rsidRPr="00AA602C">
        <w:rPr>
          <w:iCs/>
        </w:rPr>
        <w:t xml:space="preserve"> </w:t>
      </w:r>
      <w:proofErr w:type="gramStart"/>
      <w:r w:rsidRPr="00AA602C">
        <w:rPr>
          <w:iCs/>
        </w:rPr>
        <w:t>was based</w:t>
      </w:r>
      <w:proofErr w:type="gramEnd"/>
      <w:r w:rsidRPr="00AA602C">
        <w:rPr>
          <w:iCs/>
        </w:rPr>
        <w:t xml:space="preserve"> </w:t>
      </w:r>
      <w:r w:rsidR="00D0374E" w:rsidRPr="00AA602C">
        <w:rPr>
          <w:iCs/>
        </w:rPr>
        <w:t xml:space="preserve">on </w:t>
      </w:r>
      <w:r w:rsidRPr="00AA602C">
        <w:rPr>
          <w:iCs/>
        </w:rPr>
        <w:t xml:space="preserve">hallmark </w:t>
      </w:r>
      <w:r w:rsidR="00E462B1" w:rsidRPr="00AA602C">
        <w:rPr>
          <w:iCs/>
        </w:rPr>
        <w:t xml:space="preserve">findings on transmission </w:t>
      </w:r>
      <w:r w:rsidR="00151051">
        <w:rPr>
          <w:iCs/>
        </w:rPr>
        <w:t xml:space="preserve">electron </w:t>
      </w:r>
      <w:r w:rsidR="00E462B1" w:rsidRPr="00AA602C">
        <w:rPr>
          <w:iCs/>
        </w:rPr>
        <w:t xml:space="preserve">microscopy or the presence of </w:t>
      </w:r>
      <w:r w:rsidRPr="00AA602C">
        <w:rPr>
          <w:iCs/>
        </w:rPr>
        <w:t xml:space="preserve">two </w:t>
      </w:r>
      <w:r w:rsidR="00E462B1" w:rsidRPr="00AA602C">
        <w:rPr>
          <w:iCs/>
        </w:rPr>
        <w:t xml:space="preserve">disease-specific </w:t>
      </w:r>
      <w:r w:rsidRPr="00AA602C">
        <w:rPr>
          <w:iCs/>
        </w:rPr>
        <w:t xml:space="preserve">mutations. As </w:t>
      </w:r>
      <w:proofErr w:type="gramStart"/>
      <w:r w:rsidRPr="00AA602C">
        <w:rPr>
          <w:iCs/>
        </w:rPr>
        <w:t>PCD</w:t>
      </w:r>
      <w:proofErr w:type="gramEnd"/>
      <w:r w:rsidRPr="00AA602C">
        <w:rPr>
          <w:iCs/>
        </w:rPr>
        <w:t xml:space="preserve"> genes </w:t>
      </w:r>
      <w:r w:rsidR="00F53159" w:rsidRPr="00AA602C">
        <w:rPr>
          <w:iCs/>
        </w:rPr>
        <w:t xml:space="preserve">currently </w:t>
      </w:r>
      <w:r w:rsidRPr="00AA602C">
        <w:rPr>
          <w:iCs/>
        </w:rPr>
        <w:t xml:space="preserve">explain only 70% of PCD cases, and a significant proportion of patients </w:t>
      </w:r>
      <w:r w:rsidR="00F53159" w:rsidRPr="00AA602C">
        <w:rPr>
          <w:iCs/>
        </w:rPr>
        <w:t xml:space="preserve">have normal ciliary </w:t>
      </w:r>
      <w:r w:rsidR="00E462B1" w:rsidRPr="00AA602C">
        <w:rPr>
          <w:iCs/>
        </w:rPr>
        <w:t>ultrastructure on transmission electron microscopy</w:t>
      </w:r>
      <w:r w:rsidR="00F53159" w:rsidRPr="00AA602C">
        <w:rPr>
          <w:iCs/>
        </w:rPr>
        <w:t>,</w:t>
      </w:r>
      <w:r w:rsidRPr="00AA602C">
        <w:rPr>
          <w:iCs/>
        </w:rPr>
        <w:t xml:space="preserve"> this approach misses patients </w:t>
      </w:r>
      <w:r w:rsidR="00E462B1" w:rsidRPr="00AA602C">
        <w:rPr>
          <w:iCs/>
        </w:rPr>
        <w:t>who</w:t>
      </w:r>
      <w:r w:rsidRPr="00AA602C">
        <w:rPr>
          <w:iCs/>
        </w:rPr>
        <w:t xml:space="preserve"> </w:t>
      </w:r>
      <w:r w:rsidR="00151051">
        <w:rPr>
          <w:iCs/>
        </w:rPr>
        <w:t>therefore</w:t>
      </w:r>
      <w:r w:rsidRPr="00AA602C">
        <w:rPr>
          <w:iCs/>
        </w:rPr>
        <w:t xml:space="preserve"> </w:t>
      </w:r>
      <w:r w:rsidR="00D0374E" w:rsidRPr="00AA602C">
        <w:rPr>
          <w:iCs/>
        </w:rPr>
        <w:t>landed</w:t>
      </w:r>
      <w:r w:rsidRPr="00AA602C">
        <w:rPr>
          <w:iCs/>
        </w:rPr>
        <w:t xml:space="preserve"> in the “probable/possible” category. Adding these cases </w:t>
      </w:r>
      <w:r w:rsidR="00D0374E" w:rsidRPr="00AA602C">
        <w:rPr>
          <w:iCs/>
        </w:rPr>
        <w:t xml:space="preserve">in a sensitivity analysis </w:t>
      </w:r>
      <w:r w:rsidRPr="00AA602C">
        <w:rPr>
          <w:iCs/>
        </w:rPr>
        <w:t>did reduce sensitivity of the prognostic score, as illustrated in online table 1</w:t>
      </w:r>
      <w:r w:rsidR="003F68FC" w:rsidRPr="00AA602C">
        <w:rPr>
          <w:iCs/>
        </w:rPr>
        <w:t xml:space="preserve"> in</w:t>
      </w:r>
      <w:r w:rsidR="003A63B9">
        <w:rPr>
          <w:iCs/>
        </w:rPr>
        <w:t xml:space="preserve"> </w:t>
      </w:r>
      <w:r w:rsidR="00F85EE8">
        <w:rPr>
          <w:iCs/>
          <w:noProof/>
        </w:rPr>
        <w:t>(25)</w:t>
      </w:r>
      <w:r w:rsidRPr="00AA602C">
        <w:rPr>
          <w:iCs/>
        </w:rPr>
        <w:t xml:space="preserve">. </w:t>
      </w:r>
    </w:p>
    <w:p w14:paraId="78C3C99C" w14:textId="77777777" w:rsidR="0081328C" w:rsidRDefault="00A10B2B">
      <w:pPr>
        <w:spacing w:after="0" w:line="360" w:lineRule="auto"/>
        <w:ind w:firstLine="720"/>
        <w:rPr>
          <w:iCs/>
        </w:rPr>
      </w:pPr>
      <w:r w:rsidRPr="00AA602C">
        <w:rPr>
          <w:iCs/>
        </w:rPr>
        <w:t>Third</w:t>
      </w:r>
      <w:r w:rsidR="00CB4A67" w:rsidRPr="00AA602C">
        <w:rPr>
          <w:iCs/>
        </w:rPr>
        <w:t>ly</w:t>
      </w:r>
      <w:r w:rsidRPr="00AA602C">
        <w:rPr>
          <w:iCs/>
        </w:rPr>
        <w:t xml:space="preserve">, </w:t>
      </w:r>
      <w:r w:rsidR="00BC5B81" w:rsidRPr="00AA602C">
        <w:rPr>
          <w:iCs/>
        </w:rPr>
        <w:t xml:space="preserve">while sensitivity and specificity are independent of the prevalence of the disease, the positive </w:t>
      </w:r>
      <w:r w:rsidR="00E462B1" w:rsidRPr="00AA602C">
        <w:rPr>
          <w:iCs/>
        </w:rPr>
        <w:t xml:space="preserve">and negative predictive values </w:t>
      </w:r>
      <w:proofErr w:type="gramStart"/>
      <w:r w:rsidR="00BC5B81" w:rsidRPr="00AA602C">
        <w:rPr>
          <w:iCs/>
        </w:rPr>
        <w:t>are strongly influenc</w:t>
      </w:r>
      <w:r w:rsidR="00161745" w:rsidRPr="00AA602C">
        <w:rPr>
          <w:iCs/>
        </w:rPr>
        <w:t>ed</w:t>
      </w:r>
      <w:proofErr w:type="gramEnd"/>
      <w:r w:rsidR="00161745" w:rsidRPr="00AA602C">
        <w:rPr>
          <w:iCs/>
        </w:rPr>
        <w:t xml:space="preserve"> by </w:t>
      </w:r>
      <w:r w:rsidR="00964387" w:rsidRPr="00AA602C">
        <w:rPr>
          <w:iCs/>
        </w:rPr>
        <w:t xml:space="preserve">the </w:t>
      </w:r>
      <w:r w:rsidR="00161745" w:rsidRPr="00AA602C">
        <w:rPr>
          <w:iCs/>
        </w:rPr>
        <w:t xml:space="preserve">prevalence of </w:t>
      </w:r>
      <w:r w:rsidR="00964387" w:rsidRPr="00AA602C">
        <w:rPr>
          <w:iCs/>
        </w:rPr>
        <w:t>PCD among those referred for testing</w:t>
      </w:r>
      <w:r w:rsidR="00BC5B81" w:rsidRPr="00AA602C">
        <w:rPr>
          <w:iCs/>
        </w:rPr>
        <w:t xml:space="preserve">. </w:t>
      </w:r>
      <w:r w:rsidR="003F68FC" w:rsidRPr="00AA602C">
        <w:rPr>
          <w:iCs/>
        </w:rPr>
        <w:t>For example, the combination of laterality de</w:t>
      </w:r>
      <w:r w:rsidR="00CB4A67" w:rsidRPr="00AA602C">
        <w:rPr>
          <w:iCs/>
        </w:rPr>
        <w:t xml:space="preserve">fects and </w:t>
      </w:r>
      <w:r w:rsidR="00151051">
        <w:rPr>
          <w:iCs/>
        </w:rPr>
        <w:t>a history of</w:t>
      </w:r>
      <w:r w:rsidR="00E462B1" w:rsidRPr="00AA602C">
        <w:rPr>
          <w:iCs/>
        </w:rPr>
        <w:t xml:space="preserve"> </w:t>
      </w:r>
      <w:r w:rsidR="00CB4A67" w:rsidRPr="00AA602C">
        <w:rPr>
          <w:iCs/>
        </w:rPr>
        <w:t>neonatal distress had,</w:t>
      </w:r>
      <w:r w:rsidR="00431C11" w:rsidRPr="00AA602C">
        <w:rPr>
          <w:iCs/>
        </w:rPr>
        <w:t xml:space="preserve"> in the US cohort (</w:t>
      </w:r>
      <w:r w:rsidR="003F68FC" w:rsidRPr="00AA602C">
        <w:rPr>
          <w:iCs/>
        </w:rPr>
        <w:t xml:space="preserve">PCD prevalence of </w:t>
      </w:r>
      <w:r w:rsidR="00964387" w:rsidRPr="00AA602C">
        <w:rPr>
          <w:iCs/>
        </w:rPr>
        <w:t>52</w:t>
      </w:r>
      <w:r w:rsidR="00CB4A67" w:rsidRPr="00AA602C">
        <w:rPr>
          <w:iCs/>
        </w:rPr>
        <w:t>%</w:t>
      </w:r>
      <w:r w:rsidR="00431C11" w:rsidRPr="00AA602C">
        <w:rPr>
          <w:iCs/>
        </w:rPr>
        <w:t>)</w:t>
      </w:r>
      <w:r w:rsidR="00CB4A67" w:rsidRPr="00AA602C">
        <w:rPr>
          <w:iCs/>
        </w:rPr>
        <w:t>,</w:t>
      </w:r>
      <w:r w:rsidR="003F68FC" w:rsidRPr="00AA602C">
        <w:rPr>
          <w:iCs/>
        </w:rPr>
        <w:t xml:space="preserve"> a sensitivity of 34% and a specificity </w:t>
      </w:r>
      <w:r w:rsidR="003F68FC" w:rsidRPr="00AA602C">
        <w:rPr>
          <w:iCs/>
        </w:rPr>
        <w:lastRenderedPageBreak/>
        <w:t xml:space="preserve">of 95%. This translates into a </w:t>
      </w:r>
      <w:r w:rsidR="00E462B1" w:rsidRPr="00AA602C">
        <w:rPr>
          <w:iCs/>
        </w:rPr>
        <w:t>positive predictive value</w:t>
      </w:r>
      <w:r w:rsidR="003F68FC" w:rsidRPr="00AA602C">
        <w:rPr>
          <w:iCs/>
        </w:rPr>
        <w:t xml:space="preserve"> of </w:t>
      </w:r>
      <w:r w:rsidR="000D331B" w:rsidRPr="00AA602C">
        <w:rPr>
          <w:iCs/>
        </w:rPr>
        <w:t>8</w:t>
      </w:r>
      <w:r w:rsidR="00C21F8E" w:rsidRPr="00AA602C">
        <w:rPr>
          <w:iCs/>
        </w:rPr>
        <w:t>8</w:t>
      </w:r>
      <w:r w:rsidR="000D331B" w:rsidRPr="00AA602C">
        <w:rPr>
          <w:iCs/>
        </w:rPr>
        <w:t xml:space="preserve">% and </w:t>
      </w:r>
      <w:r w:rsidR="00CB4A67" w:rsidRPr="00AA602C">
        <w:rPr>
          <w:iCs/>
        </w:rPr>
        <w:t xml:space="preserve">a </w:t>
      </w:r>
      <w:r w:rsidR="00E462B1" w:rsidRPr="00AA602C">
        <w:rPr>
          <w:iCs/>
        </w:rPr>
        <w:t>negative predicted value</w:t>
      </w:r>
      <w:r w:rsidR="00CB4A67" w:rsidRPr="00AA602C">
        <w:rPr>
          <w:iCs/>
        </w:rPr>
        <w:t xml:space="preserve"> of </w:t>
      </w:r>
      <w:r w:rsidR="000D331B" w:rsidRPr="00AA602C">
        <w:rPr>
          <w:iCs/>
        </w:rPr>
        <w:t xml:space="preserve">57% </w:t>
      </w:r>
      <w:r w:rsidR="003F68FC" w:rsidRPr="00AA602C">
        <w:rPr>
          <w:iCs/>
        </w:rPr>
        <w:t>(Table 1</w:t>
      </w:r>
      <w:r w:rsidR="003226E4">
        <w:rPr>
          <w:iCs/>
        </w:rPr>
        <w:t>, Scenario 1</w:t>
      </w:r>
      <w:r w:rsidR="003F68FC" w:rsidRPr="00AA602C">
        <w:rPr>
          <w:iCs/>
        </w:rPr>
        <w:t>)</w:t>
      </w:r>
      <w:r w:rsidR="000D331B" w:rsidRPr="00AA602C">
        <w:rPr>
          <w:iCs/>
        </w:rPr>
        <w:t xml:space="preserve">. </w:t>
      </w:r>
    </w:p>
    <w:p w14:paraId="0A1A667A" w14:textId="77777777" w:rsidR="00A10B2B" w:rsidRPr="00AA602C" w:rsidRDefault="000D331B">
      <w:pPr>
        <w:spacing w:after="0" w:line="360" w:lineRule="auto"/>
        <w:ind w:firstLine="720"/>
        <w:rPr>
          <w:iCs/>
        </w:rPr>
      </w:pPr>
      <w:r w:rsidRPr="00AA602C">
        <w:rPr>
          <w:iCs/>
        </w:rPr>
        <w:t xml:space="preserve">In a </w:t>
      </w:r>
      <w:r w:rsidR="00E462B1" w:rsidRPr="00AA602C">
        <w:rPr>
          <w:iCs/>
        </w:rPr>
        <w:t>cohort</w:t>
      </w:r>
      <w:r w:rsidRPr="00AA602C">
        <w:rPr>
          <w:iCs/>
        </w:rPr>
        <w:t xml:space="preserve"> where only 12% of the referral </w:t>
      </w:r>
      <w:r w:rsidR="00F76A78" w:rsidRPr="00AA602C">
        <w:rPr>
          <w:iCs/>
        </w:rPr>
        <w:t xml:space="preserve">group </w:t>
      </w:r>
      <w:r w:rsidR="00926C01" w:rsidRPr="00AA602C">
        <w:rPr>
          <w:iCs/>
        </w:rPr>
        <w:t>has</w:t>
      </w:r>
      <w:r w:rsidRPr="00AA602C">
        <w:rPr>
          <w:iCs/>
        </w:rPr>
        <w:t xml:space="preserve"> PCD, as in the UK</w:t>
      </w:r>
      <w:r w:rsidR="00E462B1" w:rsidRPr="00AA602C">
        <w:rPr>
          <w:iCs/>
        </w:rPr>
        <w:t xml:space="preserve"> study,</w:t>
      </w:r>
      <w:r w:rsidRPr="00AA602C">
        <w:rPr>
          <w:iCs/>
        </w:rPr>
        <w:t xml:space="preserve"> </w:t>
      </w:r>
      <w:r w:rsidR="00E462B1" w:rsidRPr="00AA602C">
        <w:rPr>
          <w:iCs/>
        </w:rPr>
        <w:t>the positive and negative predictive values</w:t>
      </w:r>
      <w:r w:rsidRPr="00AA602C">
        <w:rPr>
          <w:iCs/>
        </w:rPr>
        <w:t xml:space="preserve"> </w:t>
      </w:r>
      <w:r w:rsidR="00CB4A67" w:rsidRPr="00AA602C">
        <w:rPr>
          <w:iCs/>
        </w:rPr>
        <w:t>change to 48% and 91%</w:t>
      </w:r>
      <w:r w:rsidR="00F76A78" w:rsidRPr="00AA602C">
        <w:rPr>
          <w:iCs/>
        </w:rPr>
        <w:t xml:space="preserve"> respectively</w:t>
      </w:r>
      <w:r w:rsidR="003226E4">
        <w:rPr>
          <w:iCs/>
        </w:rPr>
        <w:t xml:space="preserve"> (Table 1, Scenario 2</w:t>
      </w:r>
      <w:r w:rsidR="00483266" w:rsidRPr="00AA602C">
        <w:rPr>
          <w:iCs/>
        </w:rPr>
        <w:t>)</w:t>
      </w:r>
      <w:r w:rsidRPr="00AA602C">
        <w:rPr>
          <w:iCs/>
        </w:rPr>
        <w:t xml:space="preserve">. </w:t>
      </w:r>
      <w:r w:rsidR="00E462B1" w:rsidRPr="00AA602C">
        <w:rPr>
          <w:iCs/>
        </w:rPr>
        <w:t xml:space="preserve">If only 1 in </w:t>
      </w:r>
      <w:r w:rsidR="00F76A78" w:rsidRPr="00AA602C">
        <w:rPr>
          <w:iCs/>
        </w:rPr>
        <w:t xml:space="preserve">100 patients </w:t>
      </w:r>
      <w:r w:rsidR="00E462B1" w:rsidRPr="00AA602C">
        <w:rPr>
          <w:iCs/>
        </w:rPr>
        <w:t xml:space="preserve">have PCD, </w:t>
      </w:r>
      <w:r w:rsidR="00F76A78" w:rsidRPr="00AA602C">
        <w:rPr>
          <w:iCs/>
        </w:rPr>
        <w:t xml:space="preserve">as might be the case in respiratory patients </w:t>
      </w:r>
      <w:r w:rsidR="00483266" w:rsidRPr="00AA602C">
        <w:rPr>
          <w:iCs/>
        </w:rPr>
        <w:t xml:space="preserve">seen </w:t>
      </w:r>
      <w:r w:rsidR="00F76A78" w:rsidRPr="00AA602C">
        <w:rPr>
          <w:iCs/>
        </w:rPr>
        <w:t xml:space="preserve">in </w:t>
      </w:r>
      <w:r w:rsidR="009F6670" w:rsidRPr="00AA602C">
        <w:rPr>
          <w:iCs/>
        </w:rPr>
        <w:t xml:space="preserve">secondary </w:t>
      </w:r>
      <w:r w:rsidR="00F76A78" w:rsidRPr="00AA602C">
        <w:rPr>
          <w:iCs/>
        </w:rPr>
        <w:t>care</w:t>
      </w:r>
      <w:r w:rsidR="003226E4">
        <w:rPr>
          <w:iCs/>
        </w:rPr>
        <w:t xml:space="preserve"> (Table 1, Scenario 3</w:t>
      </w:r>
      <w:r w:rsidR="00483266" w:rsidRPr="00AA602C">
        <w:rPr>
          <w:iCs/>
        </w:rPr>
        <w:t>)</w:t>
      </w:r>
      <w:r w:rsidR="00F76A78" w:rsidRPr="00AA602C">
        <w:rPr>
          <w:iCs/>
        </w:rPr>
        <w:t>, or 1 in 10,000, as in the general population</w:t>
      </w:r>
      <w:r w:rsidR="003226E4">
        <w:rPr>
          <w:iCs/>
        </w:rPr>
        <w:t xml:space="preserve">  (Table 1, Scenario 4</w:t>
      </w:r>
      <w:r w:rsidR="00483266" w:rsidRPr="00AA602C">
        <w:rPr>
          <w:iCs/>
        </w:rPr>
        <w:t>)</w:t>
      </w:r>
      <w:r w:rsidR="00F76A78" w:rsidRPr="00AA602C">
        <w:rPr>
          <w:iCs/>
        </w:rPr>
        <w:t xml:space="preserve">, </w:t>
      </w:r>
      <w:r w:rsidR="00E462B1" w:rsidRPr="00AA602C">
        <w:rPr>
          <w:iCs/>
        </w:rPr>
        <w:t>the positive predictive value</w:t>
      </w:r>
      <w:r w:rsidR="00F76A78" w:rsidRPr="00AA602C">
        <w:rPr>
          <w:iCs/>
        </w:rPr>
        <w:t xml:space="preserve"> would fal</w:t>
      </w:r>
      <w:r w:rsidR="00431C11" w:rsidRPr="00AA602C">
        <w:rPr>
          <w:iCs/>
        </w:rPr>
        <w:t>l to 6% and</w:t>
      </w:r>
      <w:r w:rsidR="00F76A78" w:rsidRPr="00AA602C">
        <w:rPr>
          <w:iCs/>
        </w:rPr>
        <w:t xml:space="preserve"> 0</w:t>
      </w:r>
      <w:r w:rsidR="00C21F8E" w:rsidRPr="00AA602C">
        <w:rPr>
          <w:iCs/>
        </w:rPr>
        <w:t>.07</w:t>
      </w:r>
      <w:r w:rsidR="00F76A78" w:rsidRPr="00AA602C">
        <w:rPr>
          <w:iCs/>
        </w:rPr>
        <w:t xml:space="preserve">% respectively. </w:t>
      </w:r>
      <w:r w:rsidR="00483266" w:rsidRPr="00AA602C">
        <w:rPr>
          <w:iCs/>
        </w:rPr>
        <w:t xml:space="preserve">The same </w:t>
      </w:r>
      <w:proofErr w:type="gramStart"/>
      <w:r w:rsidR="00483266" w:rsidRPr="00AA602C">
        <w:rPr>
          <w:iCs/>
        </w:rPr>
        <w:t>can be observed</w:t>
      </w:r>
      <w:proofErr w:type="gramEnd"/>
      <w:r w:rsidR="00483266" w:rsidRPr="00AA602C">
        <w:rPr>
          <w:iCs/>
        </w:rPr>
        <w:t xml:space="preserve"> for the PICADAR tool and </w:t>
      </w:r>
      <w:proofErr w:type="spellStart"/>
      <w:r w:rsidR="00483266" w:rsidRPr="00AA602C">
        <w:rPr>
          <w:iCs/>
        </w:rPr>
        <w:t>nNO</w:t>
      </w:r>
      <w:proofErr w:type="spellEnd"/>
      <w:r w:rsidR="00BE64B2" w:rsidRPr="00AA602C">
        <w:rPr>
          <w:iCs/>
        </w:rPr>
        <w:t xml:space="preserve">: the </w:t>
      </w:r>
      <w:r w:rsidR="00483266" w:rsidRPr="00AA602C">
        <w:rPr>
          <w:iCs/>
        </w:rPr>
        <w:t>positive predictive value, e.g. the likelihood that a positive</w:t>
      </w:r>
      <w:r w:rsidR="00BE64B2" w:rsidRPr="00AA602C">
        <w:rPr>
          <w:iCs/>
        </w:rPr>
        <w:t xml:space="preserve">ly screened patient has PCD, falls with decreasing prevalence of PCD in the study population. </w:t>
      </w:r>
    </w:p>
    <w:p w14:paraId="31DA1317" w14:textId="77777777" w:rsidR="00146A27" w:rsidRPr="00AA602C" w:rsidRDefault="00202847">
      <w:pPr>
        <w:spacing w:after="0" w:line="360" w:lineRule="auto"/>
        <w:ind w:firstLine="540"/>
        <w:rPr>
          <w:iCs/>
        </w:rPr>
      </w:pPr>
      <w:r w:rsidRPr="00202847">
        <w:t xml:space="preserve">As is the case with cystic fibrosis, there are mild or atypical phenotypes of inherited ciliary dysfunction, many of which </w:t>
      </w:r>
      <w:proofErr w:type="gramStart"/>
      <w:r w:rsidRPr="00202847">
        <w:t>have not yet been fully characterized</w:t>
      </w:r>
      <w:proofErr w:type="gramEnd"/>
      <w:r w:rsidRPr="00202847">
        <w:t xml:space="preserve">. Some may manifest later in childhood or first in adults.  </w:t>
      </w:r>
      <w:r>
        <w:t xml:space="preserve">A limitation of </w:t>
      </w:r>
      <w:r w:rsidR="0083322F">
        <w:t xml:space="preserve">studies investigating diagnostic and screening tests for PCD is </w:t>
      </w:r>
      <w:r>
        <w:t xml:space="preserve">that they systematically exclude patients </w:t>
      </w:r>
      <w:r w:rsidR="0083322F">
        <w:t xml:space="preserve">with </w:t>
      </w:r>
      <w:r>
        <w:t xml:space="preserve">atypical symptoms because the diagnosis </w:t>
      </w:r>
      <w:proofErr w:type="gramStart"/>
      <w:r>
        <w:t>has not been considered</w:t>
      </w:r>
      <w:proofErr w:type="gramEnd"/>
      <w:r>
        <w:t xml:space="preserve">. </w:t>
      </w:r>
      <w:r w:rsidR="008522C7">
        <w:t xml:space="preserve">For example, patients with defects effecting the central apparatus of the cilia will not have situs abnormalities and are thereby systematically less likely to score highly on either of the symptom screening tools. Similarly there are a small number of patients whose PCD is caused by mutations associated with normal nasal nitric oxide levels. </w:t>
      </w:r>
      <w:r w:rsidR="00263710">
        <w:t>Adults might often not know</w:t>
      </w:r>
      <w:r w:rsidR="00263710" w:rsidRPr="00263710">
        <w:t xml:space="preserve"> </w:t>
      </w:r>
      <w:r w:rsidR="00263710">
        <w:t xml:space="preserve">about neonatal symptoms, or at least not report them proactively, which again decreases their scores in both instruments. </w:t>
      </w:r>
      <w:r>
        <w:t>F</w:t>
      </w:r>
      <w:r w:rsidR="008522C7">
        <w:t xml:space="preserve">urthermore, </w:t>
      </w:r>
      <w:r>
        <w:t xml:space="preserve">‘atypical’ patients </w:t>
      </w:r>
      <w:proofErr w:type="gramStart"/>
      <w:r>
        <w:t>might be falsely labelled</w:t>
      </w:r>
      <w:proofErr w:type="gramEnd"/>
      <w:r>
        <w:t xml:space="preserve"> as ‘PCD negative’ </w:t>
      </w:r>
      <w:r w:rsidR="008522C7">
        <w:t xml:space="preserve">by detailed diagnostic testing </w:t>
      </w:r>
      <w:r>
        <w:t xml:space="preserve">because current diagnostic tests (e.g. TEM and genetics) fail to identify them correctly. </w:t>
      </w:r>
    </w:p>
    <w:p w14:paraId="4E4C7C13" w14:textId="77777777" w:rsidR="00172C0A" w:rsidRDefault="00172C0A" w:rsidP="00172C0A">
      <w:pPr>
        <w:rPr>
          <w:b/>
          <w:sz w:val="24"/>
          <w:szCs w:val="24"/>
        </w:rPr>
      </w:pPr>
    </w:p>
    <w:p w14:paraId="2891247D" w14:textId="3F2D7774" w:rsidR="00146A27" w:rsidRPr="00AA602C" w:rsidRDefault="00146A27" w:rsidP="00172C0A">
      <w:pPr>
        <w:rPr>
          <w:b/>
          <w:sz w:val="24"/>
          <w:szCs w:val="24"/>
        </w:rPr>
      </w:pPr>
      <w:r w:rsidRPr="00AA602C">
        <w:rPr>
          <w:b/>
          <w:sz w:val="24"/>
          <w:szCs w:val="24"/>
        </w:rPr>
        <w:t>Conclusions</w:t>
      </w:r>
    </w:p>
    <w:p w14:paraId="6331A5BA" w14:textId="3BD8F6A8" w:rsidR="00535D09" w:rsidRPr="00AA602C" w:rsidRDefault="00551202">
      <w:pPr>
        <w:spacing w:after="0" w:line="360" w:lineRule="auto"/>
        <w:ind w:firstLine="540"/>
        <w:rPr>
          <w:iCs/>
        </w:rPr>
      </w:pPr>
      <w:r w:rsidRPr="00AA602C">
        <w:rPr>
          <w:iCs/>
        </w:rPr>
        <w:t xml:space="preserve">In summary, </w:t>
      </w:r>
      <w:r w:rsidR="00BE64B2" w:rsidRPr="00AA602C">
        <w:rPr>
          <w:iCs/>
        </w:rPr>
        <w:t xml:space="preserve">two recent studies </w:t>
      </w:r>
      <w:r w:rsidRPr="00AA602C">
        <w:rPr>
          <w:iCs/>
        </w:rPr>
        <w:t xml:space="preserve">have developed </w:t>
      </w:r>
      <w:r w:rsidR="00AA602C" w:rsidRPr="00AA602C">
        <w:rPr>
          <w:iCs/>
        </w:rPr>
        <w:t xml:space="preserve">symptom-based </w:t>
      </w:r>
      <w:r w:rsidRPr="00AA602C">
        <w:rPr>
          <w:iCs/>
        </w:rPr>
        <w:t xml:space="preserve">tools that </w:t>
      </w:r>
      <w:proofErr w:type="gramStart"/>
      <w:r w:rsidRPr="00AA602C">
        <w:rPr>
          <w:iCs/>
        </w:rPr>
        <w:t>can be used</w:t>
      </w:r>
      <w:proofErr w:type="gramEnd"/>
      <w:r w:rsidRPr="00AA602C">
        <w:rPr>
          <w:iCs/>
        </w:rPr>
        <w:t xml:space="preserve"> to identify patients at high risk for primary ciliary dyskinesia. Both are </w:t>
      </w:r>
      <w:proofErr w:type="gramStart"/>
      <w:r w:rsidRPr="00AA602C">
        <w:rPr>
          <w:iCs/>
        </w:rPr>
        <w:t>welcomed</w:t>
      </w:r>
      <w:proofErr w:type="gramEnd"/>
      <w:r w:rsidR="00656665" w:rsidRPr="00AA602C">
        <w:rPr>
          <w:iCs/>
        </w:rPr>
        <w:t xml:space="preserve"> as they will raise</w:t>
      </w:r>
      <w:r w:rsidRPr="00AA602C">
        <w:rPr>
          <w:iCs/>
        </w:rPr>
        <w:t xml:space="preserve"> awareness of the symptoms of PCD am</w:t>
      </w:r>
      <w:r w:rsidR="00656665" w:rsidRPr="00AA602C">
        <w:rPr>
          <w:iCs/>
        </w:rPr>
        <w:t xml:space="preserve">ongst non-specialists. Before they </w:t>
      </w:r>
      <w:proofErr w:type="gramStart"/>
      <w:r w:rsidR="00656665" w:rsidRPr="00AA602C">
        <w:rPr>
          <w:iCs/>
        </w:rPr>
        <w:t>are put</w:t>
      </w:r>
      <w:proofErr w:type="gramEnd"/>
      <w:r w:rsidR="00656665" w:rsidRPr="00AA602C">
        <w:rPr>
          <w:iCs/>
        </w:rPr>
        <w:t xml:space="preserve"> into widespread use</w:t>
      </w:r>
      <w:r w:rsidR="0081328C">
        <w:rPr>
          <w:iCs/>
        </w:rPr>
        <w:t>.</w:t>
      </w:r>
      <w:r w:rsidR="00656665" w:rsidRPr="00AA602C">
        <w:rPr>
          <w:iCs/>
        </w:rPr>
        <w:t xml:space="preserve"> </w:t>
      </w:r>
      <w:proofErr w:type="gramStart"/>
      <w:r w:rsidR="00656665" w:rsidRPr="00AA602C">
        <w:rPr>
          <w:iCs/>
        </w:rPr>
        <w:t>the</w:t>
      </w:r>
      <w:proofErr w:type="gramEnd"/>
      <w:r w:rsidR="00656665" w:rsidRPr="00AA602C">
        <w:rPr>
          <w:iCs/>
        </w:rPr>
        <w:t xml:space="preserve"> tools require validation in different clinical settings, </w:t>
      </w:r>
      <w:r w:rsidR="002542B8" w:rsidRPr="00AA602C">
        <w:rPr>
          <w:iCs/>
        </w:rPr>
        <w:t xml:space="preserve">for instance, primary, secondary and tertiary care, in </w:t>
      </w:r>
      <w:proofErr w:type="spellStart"/>
      <w:r w:rsidR="002542B8" w:rsidRPr="00AA602C">
        <w:rPr>
          <w:iCs/>
        </w:rPr>
        <w:t>pediatric</w:t>
      </w:r>
      <w:proofErr w:type="spellEnd"/>
      <w:r w:rsidR="002542B8" w:rsidRPr="00AA602C">
        <w:rPr>
          <w:iCs/>
        </w:rPr>
        <w:t xml:space="preserve"> pulmonology, adult pulmonology, or </w:t>
      </w:r>
      <w:r w:rsidR="00E462B1" w:rsidRPr="00AA602C">
        <w:rPr>
          <w:iCs/>
        </w:rPr>
        <w:t>otorhinolaryngology</w:t>
      </w:r>
      <w:r w:rsidR="00656665" w:rsidRPr="00AA602C">
        <w:rPr>
          <w:iCs/>
        </w:rPr>
        <w:t xml:space="preserve">. We can then </w:t>
      </w:r>
      <w:r w:rsidR="003B4CF1" w:rsidRPr="00AA602C">
        <w:rPr>
          <w:iCs/>
        </w:rPr>
        <w:t>refine</w:t>
      </w:r>
      <w:r w:rsidR="002542B8" w:rsidRPr="00AA602C">
        <w:rPr>
          <w:iCs/>
        </w:rPr>
        <w:t xml:space="preserve"> and </w:t>
      </w:r>
      <w:r w:rsidR="00656665" w:rsidRPr="00AA602C">
        <w:rPr>
          <w:iCs/>
        </w:rPr>
        <w:t>adapt the</w:t>
      </w:r>
      <w:r w:rsidR="002542B8" w:rsidRPr="00AA602C">
        <w:rPr>
          <w:iCs/>
        </w:rPr>
        <w:t xml:space="preserve"> prediction tools </w:t>
      </w:r>
      <w:r w:rsidR="00656665" w:rsidRPr="00AA602C">
        <w:rPr>
          <w:iCs/>
        </w:rPr>
        <w:t>for</w:t>
      </w:r>
      <w:r w:rsidR="002542B8" w:rsidRPr="00AA602C">
        <w:rPr>
          <w:iCs/>
        </w:rPr>
        <w:t xml:space="preserve"> these settings</w:t>
      </w:r>
      <w:r w:rsidR="00030F3D" w:rsidRPr="00AA602C">
        <w:rPr>
          <w:iCs/>
        </w:rPr>
        <w:t>.</w:t>
      </w:r>
    </w:p>
    <w:bookmarkEnd w:id="0"/>
    <w:p w14:paraId="7DFD977C" w14:textId="4EA375AC" w:rsidR="00754C46" w:rsidRPr="00F85EE8" w:rsidRDefault="00754C46" w:rsidP="00F85EE8">
      <w:pPr>
        <w:spacing w:after="0" w:line="360" w:lineRule="auto"/>
        <w:rPr>
          <w:iCs/>
        </w:rPr>
      </w:pPr>
    </w:p>
    <w:p w14:paraId="04A9798B" w14:textId="77777777" w:rsidR="00850849" w:rsidRDefault="00850849">
      <w:pPr>
        <w:spacing w:after="0" w:line="480" w:lineRule="auto"/>
        <w:ind w:left="284" w:hanging="284"/>
      </w:pPr>
      <w:r>
        <w:br w:type="page"/>
      </w:r>
    </w:p>
    <w:p w14:paraId="74A888F5" w14:textId="77777777" w:rsidR="003B6277" w:rsidRDefault="003B6277">
      <w:pPr>
        <w:spacing w:after="0" w:line="480" w:lineRule="auto"/>
        <w:ind w:left="284" w:hanging="284"/>
        <w:sectPr w:rsidR="003B6277" w:rsidSect="003B6277">
          <w:footerReference w:type="default" r:id="rId9"/>
          <w:pgSz w:w="11906" w:h="16838"/>
          <w:pgMar w:top="1440" w:right="1440" w:bottom="1440" w:left="1440" w:header="708" w:footer="708" w:gutter="0"/>
          <w:cols w:space="708"/>
          <w:docGrid w:linePitch="360"/>
        </w:sectPr>
      </w:pPr>
    </w:p>
    <w:p w14:paraId="009B1971" w14:textId="77777777" w:rsidR="00684108" w:rsidRDefault="00684108"/>
    <w:p w14:paraId="592BB008" w14:textId="77777777" w:rsidR="00850849" w:rsidRDefault="00850849"/>
    <w:p w14:paraId="7C0D14A5" w14:textId="718C545A" w:rsidR="00850849" w:rsidRPr="002D663F" w:rsidRDefault="00850849">
      <w:pPr>
        <w:tabs>
          <w:tab w:val="left" w:pos="3980"/>
        </w:tabs>
        <w:rPr>
          <w:b/>
          <w:iCs/>
        </w:rPr>
      </w:pPr>
      <w:r w:rsidRPr="002D663F">
        <w:rPr>
          <w:b/>
          <w:iCs/>
        </w:rPr>
        <w:t xml:space="preserve">Table 1: </w:t>
      </w:r>
      <w:r w:rsidRPr="002D663F">
        <w:rPr>
          <w:b/>
        </w:rPr>
        <w:t xml:space="preserve">Relationship between PPV and NPV and the </w:t>
      </w:r>
      <w:proofErr w:type="spellStart"/>
      <w:r w:rsidRPr="002D663F">
        <w:rPr>
          <w:b/>
        </w:rPr>
        <w:t>pretest</w:t>
      </w:r>
      <w:proofErr w:type="spellEnd"/>
      <w:r w:rsidRPr="002D663F">
        <w:rPr>
          <w:b/>
        </w:rPr>
        <w:t xml:space="preserve"> probability of PCD (proportion of patients with PCD in the tested population)</w:t>
      </w:r>
      <w:r w:rsidRPr="002D663F">
        <w:rPr>
          <w:b/>
          <w:iCs/>
        </w:rPr>
        <w:t xml:space="preserve">, for </w:t>
      </w:r>
      <w:r>
        <w:rPr>
          <w:b/>
          <w:iCs/>
        </w:rPr>
        <w:t>three proposed screening tests for PCD:</w:t>
      </w:r>
      <w:r w:rsidRPr="000D2EDC">
        <w:rPr>
          <w:iCs/>
        </w:rPr>
        <w:t xml:space="preserve"> nasal NO,</w:t>
      </w:r>
      <w:r w:rsidR="00E333FF">
        <w:rPr>
          <w:iCs/>
        </w:rPr>
        <w:t xml:space="preserve"> </w:t>
      </w:r>
      <w:r w:rsidRPr="000D2EDC">
        <w:rPr>
          <w:iCs/>
        </w:rPr>
        <w:t>PICADAR (cut-off &gt;6)</w:t>
      </w:r>
      <w:r>
        <w:rPr>
          <w:iCs/>
        </w:rPr>
        <w:t>,</w:t>
      </w:r>
      <w:r>
        <w:rPr>
          <w:iCs/>
          <w:noProof/>
        </w:rPr>
        <w:t xml:space="preserve"> </w:t>
      </w:r>
      <w:r w:rsidRPr="000D2EDC">
        <w:rPr>
          <w:iCs/>
        </w:rPr>
        <w:t xml:space="preserve">and clinical symptom score (combination of neonatal </w:t>
      </w:r>
      <w:r w:rsidR="00E333FF">
        <w:rPr>
          <w:iCs/>
        </w:rPr>
        <w:t>distress and laterality defects.</w:t>
      </w:r>
    </w:p>
    <w:p w14:paraId="1CDDFF45" w14:textId="77777777" w:rsidR="00850849" w:rsidRPr="002D663F" w:rsidRDefault="00850849"/>
    <w:tbl>
      <w:tblPr>
        <w:tblStyle w:val="TableGrid"/>
        <w:tblW w:w="14277" w:type="dxa"/>
        <w:tblLayout w:type="fixed"/>
        <w:tblLook w:val="04A0" w:firstRow="1" w:lastRow="0" w:firstColumn="1" w:lastColumn="0" w:noHBand="0" w:noVBand="1"/>
      </w:tblPr>
      <w:tblGrid>
        <w:gridCol w:w="1129"/>
        <w:gridCol w:w="1985"/>
        <w:gridCol w:w="1134"/>
        <w:gridCol w:w="1134"/>
        <w:gridCol w:w="1134"/>
        <w:gridCol w:w="992"/>
        <w:gridCol w:w="992"/>
        <w:gridCol w:w="1037"/>
        <w:gridCol w:w="1184"/>
        <w:gridCol w:w="1182"/>
        <w:gridCol w:w="1189"/>
        <w:gridCol w:w="1185"/>
      </w:tblGrid>
      <w:tr w:rsidR="00850849" w:rsidRPr="00023E71" w14:paraId="15979FD3" w14:textId="77777777" w:rsidTr="00850849">
        <w:tc>
          <w:tcPr>
            <w:tcW w:w="1129" w:type="dxa"/>
          </w:tcPr>
          <w:p w14:paraId="0B96C154" w14:textId="77777777" w:rsidR="00850849" w:rsidRPr="00023E71" w:rsidRDefault="00850849">
            <w:r w:rsidRPr="00023E71">
              <w:t>Publication</w:t>
            </w:r>
          </w:p>
        </w:tc>
        <w:tc>
          <w:tcPr>
            <w:tcW w:w="1985" w:type="dxa"/>
          </w:tcPr>
          <w:p w14:paraId="31835D07" w14:textId="77777777" w:rsidR="00850849" w:rsidRPr="00023E71" w:rsidRDefault="00850849">
            <w:r w:rsidRPr="00023E71">
              <w:t>Screening instrument</w:t>
            </w:r>
          </w:p>
        </w:tc>
        <w:tc>
          <w:tcPr>
            <w:tcW w:w="1134" w:type="dxa"/>
          </w:tcPr>
          <w:p w14:paraId="1794A126" w14:textId="77777777" w:rsidR="00850849" w:rsidRPr="00023E71" w:rsidRDefault="00850849"/>
        </w:tc>
        <w:tc>
          <w:tcPr>
            <w:tcW w:w="1134" w:type="dxa"/>
          </w:tcPr>
          <w:p w14:paraId="3BF6ECD9" w14:textId="77777777" w:rsidR="00850849" w:rsidRPr="00023E71" w:rsidRDefault="00850849"/>
        </w:tc>
        <w:tc>
          <w:tcPr>
            <w:tcW w:w="2126" w:type="dxa"/>
            <w:gridSpan w:val="2"/>
          </w:tcPr>
          <w:p w14:paraId="0AE90399" w14:textId="77777777" w:rsidR="00850849" w:rsidRPr="00023E71" w:rsidRDefault="00151051">
            <w:r w:rsidRPr="00023E71">
              <w:t>Scenario</w:t>
            </w:r>
            <w:r w:rsidR="00850849" w:rsidRPr="00023E71">
              <w:t xml:space="preserve"> 1</w:t>
            </w:r>
          </w:p>
          <w:p w14:paraId="283BB1FE" w14:textId="77777777" w:rsidR="00850849" w:rsidRPr="00023E71" w:rsidRDefault="00850849">
            <w:r w:rsidRPr="00023E71">
              <w:t>US referral group</w:t>
            </w:r>
          </w:p>
          <w:p w14:paraId="15281399" w14:textId="77777777" w:rsidR="00850849" w:rsidRPr="00023E71" w:rsidRDefault="00850849">
            <w:r w:rsidRPr="00023E71">
              <w:t>PCD prevalence = 52%</w:t>
            </w:r>
          </w:p>
        </w:tc>
        <w:tc>
          <w:tcPr>
            <w:tcW w:w="2029" w:type="dxa"/>
            <w:gridSpan w:val="2"/>
          </w:tcPr>
          <w:p w14:paraId="3D84A282" w14:textId="77777777" w:rsidR="00850849" w:rsidRPr="00023E71" w:rsidRDefault="00151051">
            <w:r w:rsidRPr="00023E71">
              <w:t>Scenario</w:t>
            </w:r>
            <w:r w:rsidR="00850849" w:rsidRPr="00023E71">
              <w:t xml:space="preserve"> 2</w:t>
            </w:r>
          </w:p>
          <w:p w14:paraId="245B2B79" w14:textId="77777777" w:rsidR="00850849" w:rsidRPr="00023E71" w:rsidRDefault="00850849">
            <w:r w:rsidRPr="00023E71">
              <w:t>UK referral group</w:t>
            </w:r>
          </w:p>
          <w:p w14:paraId="589F770E" w14:textId="77777777" w:rsidR="00850849" w:rsidRPr="00023E71" w:rsidRDefault="00850849">
            <w:r w:rsidRPr="00023E71">
              <w:t>PCD prevalence = 12%</w:t>
            </w:r>
          </w:p>
        </w:tc>
        <w:tc>
          <w:tcPr>
            <w:tcW w:w="2366" w:type="dxa"/>
            <w:gridSpan w:val="2"/>
          </w:tcPr>
          <w:p w14:paraId="78A73377" w14:textId="77777777" w:rsidR="00850849" w:rsidRPr="00023E71" w:rsidRDefault="00151051">
            <w:r w:rsidRPr="00023E71">
              <w:t>Scenario</w:t>
            </w:r>
            <w:r w:rsidR="003226E4" w:rsidRPr="00023E71">
              <w:t xml:space="preserve"> 3</w:t>
            </w:r>
          </w:p>
          <w:p w14:paraId="416E6533" w14:textId="77777777" w:rsidR="00850849" w:rsidRPr="00023E71" w:rsidRDefault="00850849">
            <w:r w:rsidRPr="00023E71">
              <w:t>Secondary care</w:t>
            </w:r>
          </w:p>
          <w:p w14:paraId="432D30DD" w14:textId="77777777" w:rsidR="00850849" w:rsidRPr="00023E71" w:rsidRDefault="00850849">
            <w:r w:rsidRPr="00023E71">
              <w:t>PCD prevalence = 1%</w:t>
            </w:r>
          </w:p>
        </w:tc>
        <w:tc>
          <w:tcPr>
            <w:tcW w:w="2374" w:type="dxa"/>
            <w:gridSpan w:val="2"/>
          </w:tcPr>
          <w:p w14:paraId="37B8783C" w14:textId="77777777" w:rsidR="00850849" w:rsidRPr="00023E71" w:rsidRDefault="00151051">
            <w:r w:rsidRPr="00023E71">
              <w:t>Scenario</w:t>
            </w:r>
            <w:r w:rsidR="00850849" w:rsidRPr="00023E71">
              <w:t xml:space="preserve"> 4</w:t>
            </w:r>
          </w:p>
          <w:p w14:paraId="3AE9697E" w14:textId="77777777" w:rsidR="00850849" w:rsidRPr="00023E71" w:rsidRDefault="00850849">
            <w:r w:rsidRPr="00023E71">
              <w:t>General population</w:t>
            </w:r>
          </w:p>
          <w:p w14:paraId="2780DC7E" w14:textId="77777777" w:rsidR="00850849" w:rsidRPr="00023E71" w:rsidRDefault="00850849">
            <w:r w:rsidRPr="00023E71">
              <w:t>PCD prevalence=0.01%</w:t>
            </w:r>
          </w:p>
        </w:tc>
      </w:tr>
      <w:tr w:rsidR="00850849" w:rsidRPr="00023E71" w14:paraId="4B6B9C1A" w14:textId="77777777" w:rsidTr="00850849">
        <w:tc>
          <w:tcPr>
            <w:tcW w:w="1129" w:type="dxa"/>
          </w:tcPr>
          <w:p w14:paraId="74DB1127" w14:textId="77777777" w:rsidR="00850849" w:rsidRPr="00023E71" w:rsidRDefault="00850849" w:rsidP="0081328C"/>
        </w:tc>
        <w:tc>
          <w:tcPr>
            <w:tcW w:w="1985" w:type="dxa"/>
          </w:tcPr>
          <w:p w14:paraId="132E0B84" w14:textId="77777777" w:rsidR="00850849" w:rsidRPr="00023E71" w:rsidRDefault="00850849"/>
        </w:tc>
        <w:tc>
          <w:tcPr>
            <w:tcW w:w="1134" w:type="dxa"/>
          </w:tcPr>
          <w:p w14:paraId="687C94A7" w14:textId="77777777" w:rsidR="00850849" w:rsidRPr="00023E71" w:rsidRDefault="00850849">
            <w:r w:rsidRPr="00023E71">
              <w:t>Sensitivity</w:t>
            </w:r>
          </w:p>
        </w:tc>
        <w:tc>
          <w:tcPr>
            <w:tcW w:w="1134" w:type="dxa"/>
          </w:tcPr>
          <w:p w14:paraId="0E5FB25F" w14:textId="77777777" w:rsidR="00850849" w:rsidRPr="00023E71" w:rsidRDefault="00850849">
            <w:r w:rsidRPr="00023E71">
              <w:t>Specificity</w:t>
            </w:r>
          </w:p>
        </w:tc>
        <w:tc>
          <w:tcPr>
            <w:tcW w:w="1134" w:type="dxa"/>
          </w:tcPr>
          <w:p w14:paraId="084AA8FA" w14:textId="77777777" w:rsidR="00850849" w:rsidRPr="00023E71" w:rsidRDefault="00850849">
            <w:r w:rsidRPr="00023E71">
              <w:t>PPV</w:t>
            </w:r>
          </w:p>
        </w:tc>
        <w:tc>
          <w:tcPr>
            <w:tcW w:w="992" w:type="dxa"/>
          </w:tcPr>
          <w:p w14:paraId="334136B8" w14:textId="77777777" w:rsidR="00850849" w:rsidRPr="00023E71" w:rsidRDefault="00850849">
            <w:r w:rsidRPr="00023E71">
              <w:t>NPV</w:t>
            </w:r>
          </w:p>
        </w:tc>
        <w:tc>
          <w:tcPr>
            <w:tcW w:w="992" w:type="dxa"/>
          </w:tcPr>
          <w:p w14:paraId="67DCF7A6" w14:textId="77777777" w:rsidR="00850849" w:rsidRPr="00023E71" w:rsidRDefault="00850849">
            <w:r w:rsidRPr="00023E71">
              <w:t>PPV</w:t>
            </w:r>
          </w:p>
        </w:tc>
        <w:tc>
          <w:tcPr>
            <w:tcW w:w="1037" w:type="dxa"/>
          </w:tcPr>
          <w:p w14:paraId="23158E19" w14:textId="77777777" w:rsidR="00850849" w:rsidRPr="00023E71" w:rsidRDefault="00850849">
            <w:r w:rsidRPr="00023E71">
              <w:t>NPV</w:t>
            </w:r>
          </w:p>
        </w:tc>
        <w:tc>
          <w:tcPr>
            <w:tcW w:w="1184" w:type="dxa"/>
          </w:tcPr>
          <w:p w14:paraId="0CF9130D" w14:textId="77777777" w:rsidR="00850849" w:rsidRPr="00023E71" w:rsidRDefault="00850849">
            <w:r w:rsidRPr="00023E71">
              <w:t>PPV</w:t>
            </w:r>
          </w:p>
        </w:tc>
        <w:tc>
          <w:tcPr>
            <w:tcW w:w="1182" w:type="dxa"/>
          </w:tcPr>
          <w:p w14:paraId="4A5C9584" w14:textId="77777777" w:rsidR="00850849" w:rsidRPr="00023E71" w:rsidRDefault="00850849">
            <w:r w:rsidRPr="00023E71">
              <w:t>NPV</w:t>
            </w:r>
          </w:p>
        </w:tc>
        <w:tc>
          <w:tcPr>
            <w:tcW w:w="1189" w:type="dxa"/>
          </w:tcPr>
          <w:p w14:paraId="5CE0C0D8" w14:textId="77777777" w:rsidR="00850849" w:rsidRPr="00023E71" w:rsidRDefault="00850849">
            <w:r w:rsidRPr="00023E71">
              <w:t>PPV</w:t>
            </w:r>
          </w:p>
        </w:tc>
        <w:tc>
          <w:tcPr>
            <w:tcW w:w="1185" w:type="dxa"/>
          </w:tcPr>
          <w:p w14:paraId="3552FAC8" w14:textId="77777777" w:rsidR="00850849" w:rsidRPr="00023E71" w:rsidRDefault="00850849">
            <w:r w:rsidRPr="00023E71">
              <w:t>NPV</w:t>
            </w:r>
          </w:p>
        </w:tc>
      </w:tr>
      <w:tr w:rsidR="00850849" w:rsidRPr="00023E71" w14:paraId="78DB8EB8" w14:textId="77777777" w:rsidTr="00850849">
        <w:tc>
          <w:tcPr>
            <w:tcW w:w="1129" w:type="dxa"/>
          </w:tcPr>
          <w:p w14:paraId="7A507C4A" w14:textId="57EA92F8" w:rsidR="00850849" w:rsidRPr="00023E71" w:rsidRDefault="00850849" w:rsidP="00F85EE8">
            <w:r w:rsidRPr="00023E71">
              <w:t xml:space="preserve">Collins et al </w:t>
            </w:r>
            <w:r w:rsidR="00F85EE8">
              <w:rPr>
                <w:noProof/>
              </w:rPr>
              <w:t>(26)</w:t>
            </w:r>
          </w:p>
        </w:tc>
        <w:tc>
          <w:tcPr>
            <w:tcW w:w="1985" w:type="dxa"/>
          </w:tcPr>
          <w:p w14:paraId="7CBD23D5" w14:textId="77777777" w:rsidR="00850849" w:rsidRPr="00023E71" w:rsidRDefault="00850849">
            <w:proofErr w:type="spellStart"/>
            <w:r w:rsidRPr="00023E71">
              <w:t>nNO</w:t>
            </w:r>
            <w:proofErr w:type="spellEnd"/>
            <w:r w:rsidRPr="00023E71">
              <w:t xml:space="preserve"> (cut-off 77nl/min)</w:t>
            </w:r>
          </w:p>
        </w:tc>
        <w:tc>
          <w:tcPr>
            <w:tcW w:w="1134" w:type="dxa"/>
          </w:tcPr>
          <w:p w14:paraId="7F149371" w14:textId="77777777" w:rsidR="00850849" w:rsidRPr="00023E71" w:rsidRDefault="00850849">
            <w:r w:rsidRPr="00023E71">
              <w:t>94%</w:t>
            </w:r>
          </w:p>
        </w:tc>
        <w:tc>
          <w:tcPr>
            <w:tcW w:w="1134" w:type="dxa"/>
          </w:tcPr>
          <w:p w14:paraId="53695A00" w14:textId="77777777" w:rsidR="00850849" w:rsidRPr="00023E71" w:rsidRDefault="00850849">
            <w:r w:rsidRPr="00023E71">
              <w:t>84%</w:t>
            </w:r>
          </w:p>
        </w:tc>
        <w:tc>
          <w:tcPr>
            <w:tcW w:w="1134" w:type="dxa"/>
          </w:tcPr>
          <w:p w14:paraId="0BAE86E6" w14:textId="77777777" w:rsidR="00850849" w:rsidRPr="00023E71" w:rsidRDefault="00850849">
            <w:r w:rsidRPr="00023E71">
              <w:t>86%</w:t>
            </w:r>
          </w:p>
        </w:tc>
        <w:tc>
          <w:tcPr>
            <w:tcW w:w="992" w:type="dxa"/>
          </w:tcPr>
          <w:p w14:paraId="4179D150" w14:textId="77777777" w:rsidR="00850849" w:rsidRPr="00023E71" w:rsidRDefault="00850849">
            <w:r w:rsidRPr="00023E71">
              <w:t>92%</w:t>
            </w:r>
          </w:p>
        </w:tc>
        <w:tc>
          <w:tcPr>
            <w:tcW w:w="992" w:type="dxa"/>
          </w:tcPr>
          <w:p w14:paraId="795FC6E5" w14:textId="77777777" w:rsidR="00850849" w:rsidRPr="00023E71" w:rsidRDefault="00850849">
            <w:r w:rsidRPr="00023E71">
              <w:t>44%</w:t>
            </w:r>
          </w:p>
        </w:tc>
        <w:tc>
          <w:tcPr>
            <w:tcW w:w="1037" w:type="dxa"/>
          </w:tcPr>
          <w:p w14:paraId="6A5E416A" w14:textId="77777777" w:rsidR="00850849" w:rsidRPr="00023E71" w:rsidRDefault="00850849">
            <w:r w:rsidRPr="00023E71">
              <w:t>99%</w:t>
            </w:r>
          </w:p>
        </w:tc>
        <w:tc>
          <w:tcPr>
            <w:tcW w:w="1184" w:type="dxa"/>
          </w:tcPr>
          <w:p w14:paraId="3D007406" w14:textId="77777777" w:rsidR="00850849" w:rsidRPr="00023E71" w:rsidRDefault="00850849">
            <w:r w:rsidRPr="00023E71">
              <w:t>6%</w:t>
            </w:r>
          </w:p>
        </w:tc>
        <w:tc>
          <w:tcPr>
            <w:tcW w:w="1182" w:type="dxa"/>
          </w:tcPr>
          <w:p w14:paraId="556FCEF6" w14:textId="77777777" w:rsidR="00850849" w:rsidRPr="00023E71" w:rsidRDefault="00850849">
            <w:r w:rsidRPr="00023E71">
              <w:t>99.9%</w:t>
            </w:r>
          </w:p>
        </w:tc>
        <w:tc>
          <w:tcPr>
            <w:tcW w:w="1189" w:type="dxa"/>
          </w:tcPr>
          <w:p w14:paraId="3D63A9D4" w14:textId="77777777" w:rsidR="00850849" w:rsidRPr="00023E71" w:rsidRDefault="00850849">
            <w:r w:rsidRPr="00023E71">
              <w:t>0.06%</w:t>
            </w:r>
          </w:p>
        </w:tc>
        <w:tc>
          <w:tcPr>
            <w:tcW w:w="1185" w:type="dxa"/>
          </w:tcPr>
          <w:p w14:paraId="33770A86" w14:textId="77777777" w:rsidR="00850849" w:rsidRPr="00023E71" w:rsidRDefault="00850849">
            <w:r w:rsidRPr="00023E71">
              <w:t>99.9%</w:t>
            </w:r>
          </w:p>
        </w:tc>
      </w:tr>
      <w:tr w:rsidR="00850849" w:rsidRPr="00023E71" w14:paraId="55E87FEC" w14:textId="77777777" w:rsidTr="00850849">
        <w:tc>
          <w:tcPr>
            <w:tcW w:w="1129" w:type="dxa"/>
          </w:tcPr>
          <w:p w14:paraId="19FF1318" w14:textId="6805333B" w:rsidR="00850849" w:rsidRPr="00023E71" w:rsidRDefault="00850849" w:rsidP="00F85EE8">
            <w:r w:rsidRPr="00023E71">
              <w:t xml:space="preserve">Behan et al </w:t>
            </w:r>
            <w:r w:rsidR="00F85EE8">
              <w:rPr>
                <w:noProof/>
              </w:rPr>
              <w:t>(27)</w:t>
            </w:r>
          </w:p>
        </w:tc>
        <w:tc>
          <w:tcPr>
            <w:tcW w:w="1985" w:type="dxa"/>
          </w:tcPr>
          <w:p w14:paraId="698C4912" w14:textId="77777777" w:rsidR="00850849" w:rsidRPr="00023E71" w:rsidRDefault="00850849">
            <w:r w:rsidRPr="00023E71">
              <w:t>PICADAR tool (cut-off score &gt;6)</w:t>
            </w:r>
          </w:p>
        </w:tc>
        <w:tc>
          <w:tcPr>
            <w:tcW w:w="1134" w:type="dxa"/>
          </w:tcPr>
          <w:p w14:paraId="45DC3113" w14:textId="77777777" w:rsidR="00850849" w:rsidRPr="00023E71" w:rsidRDefault="00850849">
            <w:pPr>
              <w:tabs>
                <w:tab w:val="left" w:pos="3980"/>
              </w:tabs>
              <w:rPr>
                <w:iCs/>
              </w:rPr>
            </w:pPr>
            <w:r w:rsidRPr="00023E71">
              <w:rPr>
                <w:iCs/>
              </w:rPr>
              <w:t>76%</w:t>
            </w:r>
          </w:p>
        </w:tc>
        <w:tc>
          <w:tcPr>
            <w:tcW w:w="1134" w:type="dxa"/>
          </w:tcPr>
          <w:p w14:paraId="2B537135" w14:textId="77777777" w:rsidR="00850849" w:rsidRPr="00023E71" w:rsidRDefault="00850849">
            <w:pPr>
              <w:tabs>
                <w:tab w:val="left" w:pos="3980"/>
              </w:tabs>
              <w:rPr>
                <w:iCs/>
              </w:rPr>
            </w:pPr>
            <w:r w:rsidRPr="00023E71">
              <w:rPr>
                <w:iCs/>
              </w:rPr>
              <w:t>94%</w:t>
            </w:r>
          </w:p>
        </w:tc>
        <w:tc>
          <w:tcPr>
            <w:tcW w:w="1134" w:type="dxa"/>
          </w:tcPr>
          <w:p w14:paraId="3B2AC6C9" w14:textId="77777777" w:rsidR="00850849" w:rsidRPr="00023E71" w:rsidRDefault="00850849">
            <w:r w:rsidRPr="00023E71">
              <w:t>93%</w:t>
            </w:r>
          </w:p>
        </w:tc>
        <w:tc>
          <w:tcPr>
            <w:tcW w:w="992" w:type="dxa"/>
          </w:tcPr>
          <w:p w14:paraId="7318E043" w14:textId="77777777" w:rsidR="00850849" w:rsidRPr="00023E71" w:rsidRDefault="00850849">
            <w:r w:rsidRPr="00023E71">
              <w:t>78%</w:t>
            </w:r>
          </w:p>
        </w:tc>
        <w:tc>
          <w:tcPr>
            <w:tcW w:w="992" w:type="dxa"/>
          </w:tcPr>
          <w:p w14:paraId="1C6062FA" w14:textId="77777777" w:rsidR="00850849" w:rsidRPr="00023E71" w:rsidRDefault="00850849">
            <w:r w:rsidRPr="00023E71">
              <w:t>63%</w:t>
            </w:r>
          </w:p>
        </w:tc>
        <w:tc>
          <w:tcPr>
            <w:tcW w:w="1037" w:type="dxa"/>
          </w:tcPr>
          <w:p w14:paraId="38C1D561" w14:textId="77777777" w:rsidR="00850849" w:rsidRPr="00023E71" w:rsidRDefault="00850849">
            <w:r w:rsidRPr="00023E71">
              <w:t>97%</w:t>
            </w:r>
          </w:p>
        </w:tc>
        <w:tc>
          <w:tcPr>
            <w:tcW w:w="1184" w:type="dxa"/>
          </w:tcPr>
          <w:p w14:paraId="7F23CBCB" w14:textId="77777777" w:rsidR="00850849" w:rsidRPr="00023E71" w:rsidRDefault="00850849">
            <w:r w:rsidRPr="00023E71">
              <w:t>11%</w:t>
            </w:r>
          </w:p>
        </w:tc>
        <w:tc>
          <w:tcPr>
            <w:tcW w:w="1182" w:type="dxa"/>
          </w:tcPr>
          <w:p w14:paraId="1B4E179F" w14:textId="77777777" w:rsidR="00850849" w:rsidRPr="00023E71" w:rsidRDefault="00850849">
            <w:r w:rsidRPr="00023E71">
              <w:t>99.7%</w:t>
            </w:r>
          </w:p>
        </w:tc>
        <w:tc>
          <w:tcPr>
            <w:tcW w:w="1189" w:type="dxa"/>
          </w:tcPr>
          <w:p w14:paraId="1DECDF65" w14:textId="77777777" w:rsidR="00850849" w:rsidRPr="00023E71" w:rsidRDefault="00850849">
            <w:r w:rsidRPr="00023E71">
              <w:t>0.1%</w:t>
            </w:r>
          </w:p>
        </w:tc>
        <w:tc>
          <w:tcPr>
            <w:tcW w:w="1185" w:type="dxa"/>
          </w:tcPr>
          <w:p w14:paraId="2342D4C0" w14:textId="77777777" w:rsidR="00850849" w:rsidRPr="00023E71" w:rsidRDefault="00850849">
            <w:r w:rsidRPr="00023E71">
              <w:t>99.9%</w:t>
            </w:r>
          </w:p>
        </w:tc>
      </w:tr>
      <w:tr w:rsidR="00850849" w:rsidRPr="00023E71" w14:paraId="124636B2" w14:textId="77777777" w:rsidTr="00850849">
        <w:tc>
          <w:tcPr>
            <w:tcW w:w="1129" w:type="dxa"/>
          </w:tcPr>
          <w:p w14:paraId="53806716" w14:textId="3361CF70" w:rsidR="00850849" w:rsidRPr="00023E71" w:rsidRDefault="00850849" w:rsidP="00F85EE8">
            <w:r w:rsidRPr="00023E71">
              <w:t xml:space="preserve">Leigh et al </w:t>
            </w:r>
            <w:r w:rsidR="00F85EE8">
              <w:rPr>
                <w:noProof/>
              </w:rPr>
              <w:t>(25)</w:t>
            </w:r>
          </w:p>
        </w:tc>
        <w:tc>
          <w:tcPr>
            <w:tcW w:w="1985" w:type="dxa"/>
          </w:tcPr>
          <w:p w14:paraId="7FFF9579" w14:textId="77777777" w:rsidR="00850849" w:rsidRPr="00023E71" w:rsidRDefault="00850849">
            <w:r w:rsidRPr="00023E71">
              <w:t>Symptoms score (neonatal distress &amp; laterality defects)</w:t>
            </w:r>
          </w:p>
        </w:tc>
        <w:tc>
          <w:tcPr>
            <w:tcW w:w="1134" w:type="dxa"/>
          </w:tcPr>
          <w:p w14:paraId="0B164509" w14:textId="6D804139" w:rsidR="00850849" w:rsidRPr="00023E71" w:rsidRDefault="00EA6630">
            <w:pPr>
              <w:tabs>
                <w:tab w:val="left" w:pos="3980"/>
              </w:tabs>
              <w:rPr>
                <w:iCs/>
              </w:rPr>
            </w:pPr>
            <w:r>
              <w:rPr>
                <w:iCs/>
              </w:rPr>
              <w:t>34</w:t>
            </w:r>
            <w:r w:rsidR="00850849" w:rsidRPr="00023E71">
              <w:rPr>
                <w:iCs/>
              </w:rPr>
              <w:t>%</w:t>
            </w:r>
          </w:p>
        </w:tc>
        <w:tc>
          <w:tcPr>
            <w:tcW w:w="1134" w:type="dxa"/>
          </w:tcPr>
          <w:p w14:paraId="70632A55" w14:textId="6C531181" w:rsidR="00850849" w:rsidRPr="00023E71" w:rsidRDefault="00EA6630">
            <w:pPr>
              <w:tabs>
                <w:tab w:val="left" w:pos="3980"/>
              </w:tabs>
              <w:rPr>
                <w:iCs/>
              </w:rPr>
            </w:pPr>
            <w:r>
              <w:rPr>
                <w:iCs/>
              </w:rPr>
              <w:t>95</w:t>
            </w:r>
            <w:r w:rsidR="00850849" w:rsidRPr="00023E71">
              <w:rPr>
                <w:iCs/>
              </w:rPr>
              <w:t>%</w:t>
            </w:r>
          </w:p>
        </w:tc>
        <w:tc>
          <w:tcPr>
            <w:tcW w:w="1134" w:type="dxa"/>
          </w:tcPr>
          <w:p w14:paraId="275BE455" w14:textId="77777777" w:rsidR="00850849" w:rsidRPr="00023E71" w:rsidRDefault="00850849">
            <w:pPr>
              <w:tabs>
                <w:tab w:val="left" w:pos="3980"/>
              </w:tabs>
              <w:rPr>
                <w:iCs/>
              </w:rPr>
            </w:pPr>
            <w:r w:rsidRPr="00023E71">
              <w:rPr>
                <w:iCs/>
              </w:rPr>
              <w:t>88%</w:t>
            </w:r>
          </w:p>
        </w:tc>
        <w:tc>
          <w:tcPr>
            <w:tcW w:w="992" w:type="dxa"/>
          </w:tcPr>
          <w:p w14:paraId="0B5368A0" w14:textId="77777777" w:rsidR="00850849" w:rsidRPr="00023E71" w:rsidRDefault="00850849">
            <w:pPr>
              <w:tabs>
                <w:tab w:val="left" w:pos="3980"/>
              </w:tabs>
              <w:rPr>
                <w:iCs/>
              </w:rPr>
            </w:pPr>
            <w:r w:rsidRPr="00023E71">
              <w:rPr>
                <w:iCs/>
              </w:rPr>
              <w:t>57%</w:t>
            </w:r>
          </w:p>
        </w:tc>
        <w:tc>
          <w:tcPr>
            <w:tcW w:w="992" w:type="dxa"/>
          </w:tcPr>
          <w:p w14:paraId="19E16A24" w14:textId="77777777" w:rsidR="00850849" w:rsidRPr="00023E71" w:rsidRDefault="00850849">
            <w:pPr>
              <w:tabs>
                <w:tab w:val="left" w:pos="3980"/>
              </w:tabs>
              <w:rPr>
                <w:iCs/>
              </w:rPr>
            </w:pPr>
            <w:r w:rsidRPr="00023E71">
              <w:rPr>
                <w:iCs/>
              </w:rPr>
              <w:t>48%</w:t>
            </w:r>
          </w:p>
        </w:tc>
        <w:tc>
          <w:tcPr>
            <w:tcW w:w="1037" w:type="dxa"/>
          </w:tcPr>
          <w:p w14:paraId="77B19A67" w14:textId="77777777" w:rsidR="00850849" w:rsidRPr="00023E71" w:rsidRDefault="00850849">
            <w:pPr>
              <w:tabs>
                <w:tab w:val="left" w:pos="3980"/>
              </w:tabs>
              <w:rPr>
                <w:iCs/>
              </w:rPr>
            </w:pPr>
            <w:r w:rsidRPr="00023E71">
              <w:rPr>
                <w:iCs/>
              </w:rPr>
              <w:t>91%</w:t>
            </w:r>
          </w:p>
        </w:tc>
        <w:tc>
          <w:tcPr>
            <w:tcW w:w="1184" w:type="dxa"/>
          </w:tcPr>
          <w:p w14:paraId="737D4B83" w14:textId="77777777" w:rsidR="00850849" w:rsidRPr="00023E71" w:rsidRDefault="00850849">
            <w:pPr>
              <w:tabs>
                <w:tab w:val="left" w:pos="3980"/>
              </w:tabs>
              <w:rPr>
                <w:iCs/>
              </w:rPr>
            </w:pPr>
            <w:r w:rsidRPr="00023E71">
              <w:rPr>
                <w:iCs/>
              </w:rPr>
              <w:t>6%</w:t>
            </w:r>
          </w:p>
        </w:tc>
        <w:tc>
          <w:tcPr>
            <w:tcW w:w="1182" w:type="dxa"/>
          </w:tcPr>
          <w:p w14:paraId="28C6E896" w14:textId="77777777" w:rsidR="00850849" w:rsidRPr="00023E71" w:rsidRDefault="00850849">
            <w:pPr>
              <w:tabs>
                <w:tab w:val="left" w:pos="3980"/>
              </w:tabs>
              <w:rPr>
                <w:iCs/>
              </w:rPr>
            </w:pPr>
            <w:r w:rsidRPr="00023E71">
              <w:rPr>
                <w:iCs/>
              </w:rPr>
              <w:t>99.3%</w:t>
            </w:r>
          </w:p>
        </w:tc>
        <w:tc>
          <w:tcPr>
            <w:tcW w:w="1189" w:type="dxa"/>
          </w:tcPr>
          <w:p w14:paraId="71D5900A" w14:textId="77777777" w:rsidR="00850849" w:rsidRPr="00023E71" w:rsidRDefault="00850849">
            <w:r w:rsidRPr="00023E71">
              <w:t>0.07%</w:t>
            </w:r>
          </w:p>
        </w:tc>
        <w:tc>
          <w:tcPr>
            <w:tcW w:w="1185" w:type="dxa"/>
          </w:tcPr>
          <w:p w14:paraId="2903CFC3" w14:textId="77777777" w:rsidR="00850849" w:rsidRPr="00023E71" w:rsidRDefault="00850849">
            <w:r w:rsidRPr="00023E71">
              <w:t>99.9%</w:t>
            </w:r>
          </w:p>
        </w:tc>
      </w:tr>
    </w:tbl>
    <w:p w14:paraId="2AAD0FC0" w14:textId="77777777" w:rsidR="00850849" w:rsidRDefault="00850849" w:rsidP="0081328C"/>
    <w:p w14:paraId="4C41FE5C" w14:textId="6F379942" w:rsidR="00850849" w:rsidRPr="00EE7061" w:rsidRDefault="00850849">
      <w:r w:rsidRPr="00EE7061">
        <w:rPr>
          <w:b/>
        </w:rPr>
        <w:t>Legend:</w:t>
      </w:r>
      <w:r w:rsidRPr="00EE7061">
        <w:t xml:space="preserve"> </w:t>
      </w:r>
      <w:r>
        <w:t xml:space="preserve">PPV: positive predictive value; NPV negative predictive value. </w:t>
      </w:r>
      <w:r w:rsidRPr="00EE7061">
        <w:t xml:space="preserve">Sensitivity and specificity do not vary with disease prevalence. </w:t>
      </w:r>
      <w:r>
        <w:t>Columns</w:t>
      </w:r>
      <w:r w:rsidRPr="00EE7061">
        <w:t xml:space="preserve"> represent </w:t>
      </w:r>
      <w:r>
        <w:t xml:space="preserve">four </w:t>
      </w:r>
      <w:r w:rsidRPr="00EE7061">
        <w:t xml:space="preserve">different scenarios: 1) 52% of patients have PCD, as in </w:t>
      </w:r>
      <w:r w:rsidR="00F85EE8">
        <w:rPr>
          <w:noProof/>
        </w:rPr>
        <w:t>(25)</w:t>
      </w:r>
      <w:r w:rsidRPr="00EE7061">
        <w:t xml:space="preserve">; 2) 12% of patients have PCD as in </w:t>
      </w:r>
      <w:r w:rsidR="00F85EE8">
        <w:rPr>
          <w:noProof/>
        </w:rPr>
        <w:t>(27)</w:t>
      </w:r>
      <w:r w:rsidRPr="00EE7061">
        <w:t>; 3) 1% of patients has PCD as in patients with chronic respiratory symptoms presenting to secondary care; 4) 0.01% of patients have PCD as in the general population.</w:t>
      </w:r>
    </w:p>
    <w:p w14:paraId="1AC7DF73" w14:textId="77777777" w:rsidR="00850849" w:rsidRDefault="00850849"/>
    <w:p w14:paraId="00D3F1F5" w14:textId="77777777" w:rsidR="00850849" w:rsidRDefault="00850849"/>
    <w:p w14:paraId="5DF5F9CD" w14:textId="77777777" w:rsidR="00482D9D" w:rsidRDefault="00482D9D"/>
    <w:p w14:paraId="407D1759" w14:textId="77777777" w:rsidR="001244D7" w:rsidRDefault="001244D7"/>
    <w:p w14:paraId="19F58986" w14:textId="77777777" w:rsidR="001244D7" w:rsidRDefault="001244D7"/>
    <w:p w14:paraId="08BC782A" w14:textId="1A735E0D" w:rsidR="00F85EE8" w:rsidRPr="00F85EE8" w:rsidRDefault="00F85EE8" w:rsidP="00F85EE8">
      <w:pPr>
        <w:pStyle w:val="EndNoteBibliography"/>
        <w:spacing w:after="0"/>
        <w:ind w:left="720" w:hanging="720"/>
      </w:pPr>
      <w:bookmarkStart w:id="1" w:name="_ENREF_1"/>
      <w:r w:rsidRPr="00F85EE8">
        <w:lastRenderedPageBreak/>
        <w:t xml:space="preserve">1. Afzelius BA. A human syndrome caused by immotile cilia. </w:t>
      </w:r>
      <w:r w:rsidRPr="00F85EE8">
        <w:rPr>
          <w:i/>
        </w:rPr>
        <w:t xml:space="preserve">Science </w:t>
      </w:r>
      <w:r w:rsidRPr="00F85EE8">
        <w:t>1976; 193: 317-319.</w:t>
      </w:r>
      <w:bookmarkEnd w:id="1"/>
    </w:p>
    <w:p w14:paraId="0465DC6B" w14:textId="77777777" w:rsidR="00F85EE8" w:rsidRPr="00F85EE8" w:rsidRDefault="00F85EE8" w:rsidP="00F85EE8">
      <w:pPr>
        <w:pStyle w:val="EndNoteBibliography"/>
        <w:spacing w:after="0"/>
        <w:ind w:left="720" w:hanging="720"/>
      </w:pPr>
      <w:bookmarkStart w:id="2" w:name="_ENREF_2"/>
      <w:r w:rsidRPr="00F85EE8">
        <w:t xml:space="preserve">2. Chilvers MA, Rutman A, O'Callaghan C. Ciliary beat pattern is associated with specific ultrastructural defects in primary ciliary dyskinesia. </w:t>
      </w:r>
      <w:r w:rsidRPr="00F85EE8">
        <w:rPr>
          <w:i/>
        </w:rPr>
        <w:t xml:space="preserve">JAllergy ClinImmunol </w:t>
      </w:r>
      <w:r w:rsidRPr="00F85EE8">
        <w:t>2003; 112: 518-524.</w:t>
      </w:r>
      <w:bookmarkEnd w:id="2"/>
    </w:p>
    <w:p w14:paraId="046509AC" w14:textId="77777777" w:rsidR="00F85EE8" w:rsidRPr="00F85EE8" w:rsidRDefault="00F85EE8" w:rsidP="00F85EE8">
      <w:pPr>
        <w:pStyle w:val="EndNoteBibliography"/>
        <w:spacing w:after="0"/>
        <w:ind w:left="720" w:hanging="720"/>
      </w:pPr>
      <w:bookmarkStart w:id="3" w:name="_ENREF_3"/>
      <w:r w:rsidRPr="00F85EE8">
        <w:t xml:space="preserve">3. Mullowney T, Manson D, Kim R, Stephens D, Shah V, Dell S. Primary ciliary dyskinesia and neonatal respiratory distress. </w:t>
      </w:r>
      <w:r w:rsidRPr="00F85EE8">
        <w:rPr>
          <w:i/>
        </w:rPr>
        <w:t xml:space="preserve">Pediatrics </w:t>
      </w:r>
      <w:r w:rsidRPr="00F85EE8">
        <w:t>2014; 134: 1160-1166.</w:t>
      </w:r>
      <w:bookmarkEnd w:id="3"/>
    </w:p>
    <w:p w14:paraId="6E856745" w14:textId="61E84A28" w:rsidR="00F85EE8" w:rsidRPr="00F85EE8" w:rsidRDefault="00F85EE8" w:rsidP="00D30881">
      <w:pPr>
        <w:pStyle w:val="EndNoteBibliography"/>
        <w:spacing w:after="0"/>
        <w:ind w:left="720" w:hanging="720"/>
      </w:pPr>
      <w:bookmarkStart w:id="4" w:name="_ENREF_4"/>
      <w:r w:rsidRPr="00F85EE8">
        <w:t xml:space="preserve">4. </w:t>
      </w:r>
      <w:bookmarkEnd w:id="4"/>
      <w:r w:rsidR="00D30881">
        <w:t xml:space="preserve">Goutaki M, Meier A, Halbeisen F, Lucas JS, Dell S, Maurer E, Casaulta C, Jurca M, Spycher B, Kuehni  C. Clinical manifestations in Primary Ciliary Dyskinesia: systematic review and metaanalysis. </w:t>
      </w:r>
      <w:r w:rsidR="00D30881" w:rsidRPr="00D30881">
        <w:rPr>
          <w:i/>
          <w:lang w:val="en-GB"/>
        </w:rPr>
        <w:t xml:space="preserve">EurRespirJ </w:t>
      </w:r>
      <w:r w:rsidR="00D30881">
        <w:t>in press.</w:t>
      </w:r>
    </w:p>
    <w:p w14:paraId="4B1E9081" w14:textId="77777777" w:rsidR="00F85EE8" w:rsidRPr="00F85EE8" w:rsidRDefault="00F85EE8" w:rsidP="00F85EE8">
      <w:pPr>
        <w:pStyle w:val="EndNoteBibliography"/>
        <w:spacing w:after="0"/>
        <w:ind w:left="720" w:hanging="720"/>
      </w:pPr>
      <w:bookmarkStart w:id="5" w:name="_ENREF_5"/>
      <w:r w:rsidRPr="00F85EE8">
        <w:t xml:space="preserve">5. Shapiro AJ, Davis SD, Ferkol T, Dell SD, Rosenfeld M, Olivier KN, Sagel SD, Milla C, Zariwala MA, Wolf W, Carson JL, Hazucha MJ, Burns K, Robinson B, Knowles MR, Leigh MW. Laterality Defects other than Situs Inversus Totalis in Primary Ciliary Dyskinesia: Insights into Situs Ambiguus and Heterotaxy. </w:t>
      </w:r>
      <w:r w:rsidRPr="00F85EE8">
        <w:rPr>
          <w:i/>
        </w:rPr>
        <w:t xml:space="preserve">Chest </w:t>
      </w:r>
      <w:r w:rsidRPr="00F85EE8">
        <w:t>2014.</w:t>
      </w:r>
      <w:bookmarkEnd w:id="5"/>
    </w:p>
    <w:p w14:paraId="213B836E" w14:textId="77777777" w:rsidR="00F85EE8" w:rsidRPr="00F85EE8" w:rsidRDefault="00F85EE8" w:rsidP="00F85EE8">
      <w:pPr>
        <w:pStyle w:val="EndNoteBibliography"/>
        <w:spacing w:after="0"/>
        <w:ind w:left="720" w:hanging="720"/>
      </w:pPr>
      <w:bookmarkStart w:id="6" w:name="_ENREF_6"/>
      <w:r w:rsidRPr="00F85EE8">
        <w:t xml:space="preserve">6. O'Callaghan C, Chetcuti P, Moya E. High prevalence of primary ciliary dyskinesia in a British Asian population. </w:t>
      </w:r>
      <w:r w:rsidRPr="00F85EE8">
        <w:rPr>
          <w:i/>
        </w:rPr>
        <w:t xml:space="preserve">ArchDisChild </w:t>
      </w:r>
      <w:r w:rsidRPr="00F85EE8">
        <w:t>2010; 95: 51-52.</w:t>
      </w:r>
      <w:bookmarkEnd w:id="6"/>
    </w:p>
    <w:p w14:paraId="115003C3" w14:textId="42DDEDF3" w:rsidR="00F85EE8" w:rsidRPr="00F85EE8" w:rsidRDefault="00F85EE8" w:rsidP="00F85EE8">
      <w:pPr>
        <w:pStyle w:val="EndNoteBibliography"/>
        <w:spacing w:after="0"/>
        <w:ind w:left="720" w:hanging="720"/>
      </w:pPr>
      <w:bookmarkStart w:id="7" w:name="_ENREF_7"/>
      <w:r w:rsidRPr="00F85EE8">
        <w:t xml:space="preserve">7. </w:t>
      </w:r>
      <w:bookmarkEnd w:id="7"/>
      <w:r w:rsidR="00D30881">
        <w:t xml:space="preserve">Behan L, Dunn G, Rubbo B, Masefield S, Copeland F, Manion M, Rindlisbacher B, Redfern B, Lucas JS. Diagnosing primary ciliary dyskinesia; an international patient perspective. </w:t>
      </w:r>
      <w:r w:rsidR="00D30881" w:rsidRPr="00D30881">
        <w:rPr>
          <w:i/>
          <w:lang w:val="en-GB"/>
        </w:rPr>
        <w:t xml:space="preserve">EurRespirJ </w:t>
      </w:r>
      <w:r w:rsidR="00D30881">
        <w:t>in press.</w:t>
      </w:r>
    </w:p>
    <w:p w14:paraId="00CAEDDD" w14:textId="77777777" w:rsidR="00F85EE8" w:rsidRPr="00F85EE8" w:rsidRDefault="00F85EE8" w:rsidP="00F85EE8">
      <w:pPr>
        <w:pStyle w:val="EndNoteBibliography"/>
        <w:spacing w:after="0"/>
        <w:ind w:left="720" w:hanging="720"/>
      </w:pPr>
      <w:bookmarkStart w:id="8" w:name="_ENREF_8"/>
      <w:r w:rsidRPr="00F85EE8">
        <w:t xml:space="preserve">8. Barbato A, Frischer T, Kuehni CE, Snijders D, Azevedo I, Baktai G, Bartoloni L, Eber E, Escribano A, Haarman E, Hesselmar B, Hogg C, Jorissen M, Lucas J, Nielsen KG, O'Callaghan C, Omran H, Pohunek P, Strippoli MP, Bush A. Primary ciliary dyskinesia: a consensus statement on diagnostic and treatment approaches in children. </w:t>
      </w:r>
      <w:r w:rsidRPr="00F85EE8">
        <w:rPr>
          <w:i/>
        </w:rPr>
        <w:t xml:space="preserve">EurRespirJ </w:t>
      </w:r>
      <w:r w:rsidRPr="00F85EE8">
        <w:t>2009; 34: 1264-1276.</w:t>
      </w:r>
      <w:bookmarkEnd w:id="8"/>
    </w:p>
    <w:p w14:paraId="5D406416" w14:textId="77777777" w:rsidR="00F85EE8" w:rsidRPr="00F85EE8" w:rsidRDefault="00F85EE8" w:rsidP="00F85EE8">
      <w:pPr>
        <w:pStyle w:val="EndNoteBibliography"/>
        <w:spacing w:after="0"/>
        <w:ind w:left="720" w:hanging="720"/>
      </w:pPr>
      <w:bookmarkStart w:id="9" w:name="_ENREF_9"/>
      <w:r w:rsidRPr="00F85EE8">
        <w:t xml:space="preserve">9. Shapiro AJ, Zariwala MA, Ferkol T, Davis SD, Sagel SD, Dell SD, Rosenfeld M, Olivier KN, Milla C, Daniel SJ, Kimple AJ, Manion M, Knowles MR, Leigh MW. Diagnosis, monitoring, and treatment of primary ciliary dyskinesia: PCD foundation consensus recommendations based on state of the art review. </w:t>
      </w:r>
      <w:r w:rsidRPr="00F85EE8">
        <w:rPr>
          <w:i/>
        </w:rPr>
        <w:t xml:space="preserve">Pediatric pulmonology </w:t>
      </w:r>
      <w:r w:rsidRPr="00F85EE8">
        <w:t>2016; 51: 115-132.</w:t>
      </w:r>
      <w:bookmarkEnd w:id="9"/>
    </w:p>
    <w:p w14:paraId="45707F6D" w14:textId="77777777" w:rsidR="00F85EE8" w:rsidRPr="00F85EE8" w:rsidRDefault="00F85EE8" w:rsidP="00F85EE8">
      <w:pPr>
        <w:pStyle w:val="EndNoteBibliography"/>
        <w:spacing w:after="0"/>
        <w:ind w:left="720" w:hanging="720"/>
      </w:pPr>
      <w:bookmarkStart w:id="10" w:name="_ENREF_10"/>
      <w:r w:rsidRPr="00F85EE8">
        <w:t xml:space="preserve">10. Papon JF, Coste A, Roudot-Thoraval F, Boucherat M, Roger G, Tamalet A, Vojtek AM, Amselem S, Escudier E. A 20-year experience of electron microscopy in the diagnosis of primary ciliary dyskinesia. </w:t>
      </w:r>
      <w:r w:rsidRPr="00F85EE8">
        <w:rPr>
          <w:i/>
        </w:rPr>
        <w:t xml:space="preserve">EurRespirJ </w:t>
      </w:r>
      <w:r w:rsidRPr="00F85EE8">
        <w:t>2010; 35: 1057-1063.</w:t>
      </w:r>
      <w:bookmarkEnd w:id="10"/>
    </w:p>
    <w:p w14:paraId="1B5E602B" w14:textId="77777777" w:rsidR="00F85EE8" w:rsidRPr="00F85EE8" w:rsidRDefault="00F85EE8" w:rsidP="00F85EE8">
      <w:pPr>
        <w:pStyle w:val="EndNoteBibliography"/>
        <w:spacing w:after="0"/>
        <w:ind w:left="720" w:hanging="720"/>
      </w:pPr>
      <w:bookmarkStart w:id="11" w:name="_ENREF_11"/>
      <w:r w:rsidRPr="00F85EE8">
        <w:t xml:space="preserve">11. Shoemark A, Dixon M, Corrin B, Dewar A. Twenty-year review of quantitative transmission electron microscopy for the diagnosis of primary ciliary dyskinesia. </w:t>
      </w:r>
      <w:r w:rsidRPr="00F85EE8">
        <w:rPr>
          <w:i/>
        </w:rPr>
        <w:t xml:space="preserve">JClinPathol </w:t>
      </w:r>
      <w:r w:rsidRPr="00F85EE8">
        <w:t>2012; 65: 267-271.</w:t>
      </w:r>
      <w:bookmarkEnd w:id="11"/>
    </w:p>
    <w:p w14:paraId="70A155CE" w14:textId="77777777" w:rsidR="00F85EE8" w:rsidRPr="00F85EE8" w:rsidRDefault="00F85EE8" w:rsidP="00F85EE8">
      <w:pPr>
        <w:pStyle w:val="EndNoteBibliography"/>
        <w:spacing w:after="0"/>
        <w:ind w:left="720" w:hanging="720"/>
      </w:pPr>
      <w:bookmarkStart w:id="12" w:name="_ENREF_12"/>
      <w:r w:rsidRPr="00F85EE8">
        <w:t xml:space="preserve">12. Jackson CL, Behan L, Collins SA, Goggin PM, Adam EC, Coles JL, Evans HJ, Harris A, Lackie P, Packham S, Page A, Thompson J, Walker WT, Kuehni C, Lucas JS. Accuracy of diagnostic testing in primary ciliary dyskinesia. </w:t>
      </w:r>
      <w:r w:rsidRPr="00F85EE8">
        <w:rPr>
          <w:i/>
        </w:rPr>
        <w:t xml:space="preserve">The European respiratory journal </w:t>
      </w:r>
      <w:r w:rsidRPr="00F85EE8">
        <w:t>2016; 47: 837-848.</w:t>
      </w:r>
      <w:bookmarkEnd w:id="12"/>
    </w:p>
    <w:p w14:paraId="1BB2DE26" w14:textId="77777777" w:rsidR="00F85EE8" w:rsidRPr="00F85EE8" w:rsidRDefault="00F85EE8" w:rsidP="00F85EE8">
      <w:pPr>
        <w:pStyle w:val="EndNoteBibliography"/>
        <w:spacing w:after="0"/>
        <w:ind w:left="720" w:hanging="720"/>
      </w:pPr>
      <w:bookmarkStart w:id="13" w:name="_ENREF_13"/>
      <w:r w:rsidRPr="00F85EE8">
        <w:t xml:space="preserve">13. Hirst RA, Jackson CL, Coles JL, Williams G, Rutman A, Goggin PM, Adam EC, Page A, Evans HJ, Lackie PM, O'Callaghan C, Lucas JS. Culture of primary ciliary dyskinesia epithelial cells at air-liquid interface can alter ciliary phenotype but remains a robust and informative diagnostic aid. </w:t>
      </w:r>
      <w:r w:rsidRPr="00F85EE8">
        <w:rPr>
          <w:i/>
        </w:rPr>
        <w:t xml:space="preserve">PloS one </w:t>
      </w:r>
      <w:r w:rsidRPr="00F85EE8">
        <w:t>2014; 9: e89675.</w:t>
      </w:r>
      <w:bookmarkEnd w:id="13"/>
    </w:p>
    <w:p w14:paraId="13E66B29" w14:textId="77777777" w:rsidR="00F85EE8" w:rsidRPr="00F85EE8" w:rsidRDefault="00F85EE8" w:rsidP="00F85EE8">
      <w:pPr>
        <w:pStyle w:val="EndNoteBibliography"/>
        <w:spacing w:after="0"/>
        <w:ind w:left="720" w:hanging="720"/>
      </w:pPr>
      <w:bookmarkStart w:id="14" w:name="_ENREF_14"/>
      <w:r w:rsidRPr="00F85EE8">
        <w:t xml:space="preserve">14. Davis SD, Ferkol TW, Rosenfeld M, Lee HS, Dell SD, Sagel SD, Milla C, Zariwala MA, Pittman JE, Shapiro AJ, Carson JL, Krischer JP, Hazucha MJ, Cooper ML, Knowles MR, Leigh MW. Clinical features of childhood primary ciliary dyskinesia by genotype and ultrastructural phenotype. </w:t>
      </w:r>
      <w:r w:rsidRPr="00F85EE8">
        <w:rPr>
          <w:i/>
        </w:rPr>
        <w:t xml:space="preserve">American journal of respiratory and critical care medicine </w:t>
      </w:r>
      <w:r w:rsidRPr="00F85EE8">
        <w:t>2015; 191: 316-324.</w:t>
      </w:r>
      <w:bookmarkEnd w:id="14"/>
    </w:p>
    <w:p w14:paraId="00B8D22D" w14:textId="77777777" w:rsidR="00F85EE8" w:rsidRPr="00F85EE8" w:rsidRDefault="00F85EE8" w:rsidP="00F85EE8">
      <w:pPr>
        <w:pStyle w:val="EndNoteBibliography"/>
        <w:spacing w:after="0"/>
        <w:ind w:left="720" w:hanging="720"/>
      </w:pPr>
      <w:bookmarkStart w:id="15" w:name="_ENREF_15"/>
      <w:r w:rsidRPr="00F85EE8">
        <w:t xml:space="preserve">15. Rutjes A, Reitsma J, Coomarasamy A, Khan K, Bossuyt P. Evaluation of diagnostic tests when there is no gold standard. A review of methods. </w:t>
      </w:r>
      <w:r w:rsidRPr="00F85EE8">
        <w:rPr>
          <w:i/>
        </w:rPr>
        <w:t xml:space="preserve">Health Technology Assessment </w:t>
      </w:r>
      <w:r w:rsidRPr="00F85EE8">
        <w:t>2007; 11: 72.</w:t>
      </w:r>
      <w:bookmarkEnd w:id="15"/>
    </w:p>
    <w:p w14:paraId="3DAABE77" w14:textId="77777777" w:rsidR="00F85EE8" w:rsidRPr="00F85EE8" w:rsidRDefault="00F85EE8" w:rsidP="00F85EE8">
      <w:pPr>
        <w:pStyle w:val="EndNoteBibliography"/>
        <w:spacing w:after="0"/>
        <w:ind w:left="720" w:hanging="720"/>
      </w:pPr>
      <w:bookmarkStart w:id="16" w:name="_ENREF_16"/>
      <w:r w:rsidRPr="00F85EE8">
        <w:t xml:space="preserve">16. Lucas JS, Leigh MW. Diagnosis of primary ciliary dyskinesia: searching for a gold standard. </w:t>
      </w:r>
      <w:r w:rsidRPr="00F85EE8">
        <w:rPr>
          <w:i/>
        </w:rPr>
        <w:t xml:space="preserve">The European respiratory journal </w:t>
      </w:r>
      <w:r w:rsidRPr="00F85EE8">
        <w:t>2014; 44: 1418-1422.</w:t>
      </w:r>
      <w:bookmarkEnd w:id="16"/>
    </w:p>
    <w:p w14:paraId="3F3C3CEF" w14:textId="77777777" w:rsidR="00F85EE8" w:rsidRPr="00F85EE8" w:rsidRDefault="00F85EE8" w:rsidP="00F85EE8">
      <w:pPr>
        <w:pStyle w:val="EndNoteBibliography"/>
        <w:spacing w:after="0"/>
        <w:ind w:left="720" w:hanging="720"/>
      </w:pPr>
      <w:bookmarkStart w:id="17" w:name="_ENREF_17"/>
      <w:r w:rsidRPr="00F85EE8">
        <w:lastRenderedPageBreak/>
        <w:t xml:space="preserve">17. Lucas JS, Burgess A, Mitchison HM, Moya E, Williamson M, Hogg C. Diagnosis and management of primary ciliary dyskinesia. </w:t>
      </w:r>
      <w:r w:rsidRPr="00F85EE8">
        <w:rPr>
          <w:i/>
        </w:rPr>
        <w:t xml:space="preserve">ArchDisChild </w:t>
      </w:r>
      <w:r w:rsidRPr="00F85EE8">
        <w:t>2014; 99: 850-856.</w:t>
      </w:r>
      <w:bookmarkEnd w:id="17"/>
    </w:p>
    <w:p w14:paraId="7EE13801" w14:textId="77777777" w:rsidR="00F85EE8" w:rsidRPr="00F85EE8" w:rsidRDefault="00F85EE8" w:rsidP="00F85EE8">
      <w:pPr>
        <w:pStyle w:val="EndNoteBibliography"/>
        <w:spacing w:after="0"/>
        <w:ind w:left="720" w:hanging="720"/>
      </w:pPr>
      <w:bookmarkStart w:id="18" w:name="_ENREF_18"/>
      <w:r w:rsidRPr="00F85EE8">
        <w:t xml:space="preserve">18. Lucas JS, Chetcuti P, Copeland F, Hogg C, Kenny T, Moya E, O'Callaghan C, Walker WT. Overcoming challenges in the management of primary ciliary dyskinesia: the UK model. </w:t>
      </w:r>
      <w:r w:rsidRPr="00F85EE8">
        <w:rPr>
          <w:i/>
        </w:rPr>
        <w:t xml:space="preserve">Paediatric respiratory reviews </w:t>
      </w:r>
      <w:r w:rsidRPr="00F85EE8">
        <w:t>2014; 15: 142-145.</w:t>
      </w:r>
      <w:bookmarkEnd w:id="18"/>
    </w:p>
    <w:p w14:paraId="211D90B4" w14:textId="77777777" w:rsidR="00F85EE8" w:rsidRPr="00F85EE8" w:rsidRDefault="00F85EE8" w:rsidP="00F85EE8">
      <w:pPr>
        <w:pStyle w:val="EndNoteBibliography"/>
        <w:spacing w:after="0"/>
        <w:ind w:left="720" w:hanging="720"/>
      </w:pPr>
      <w:bookmarkStart w:id="19" w:name="_ENREF_19"/>
      <w:r w:rsidRPr="00F85EE8">
        <w:t>19. Lucas JS, WT W, Kuehni CE, Lazor R. Primary Ciliary Dyskinesia. In: J-F C, editor. Orphan Lung Diseases: European Respiratory Monograph; 2011. p. 201-217.</w:t>
      </w:r>
      <w:bookmarkEnd w:id="19"/>
    </w:p>
    <w:p w14:paraId="4D16945A" w14:textId="77777777" w:rsidR="00F85EE8" w:rsidRPr="00F85EE8" w:rsidRDefault="00F85EE8" w:rsidP="00F85EE8">
      <w:pPr>
        <w:pStyle w:val="EndNoteBibliography"/>
        <w:spacing w:after="0"/>
        <w:ind w:left="720" w:hanging="720"/>
      </w:pPr>
      <w:bookmarkStart w:id="20" w:name="_ENREF_20"/>
      <w:r w:rsidRPr="00F85EE8">
        <w:t xml:space="preserve">20. Strippoli MP, Frischer T, Barbato A, Snijders D, Maurer E, Lucas JS, Eber E, Karadag B, Pohunek P, Zivkovic Z, Escribano A, O'Callaghan C, Bush A, Kuehni CE. Management of primary ciliary dyskinesia in European children: recommendations and clinical practice. </w:t>
      </w:r>
      <w:r w:rsidRPr="00F85EE8">
        <w:rPr>
          <w:i/>
        </w:rPr>
        <w:t xml:space="preserve">EurRespirJ </w:t>
      </w:r>
      <w:r w:rsidRPr="00F85EE8">
        <w:t>2012; 39: 1482-1491.</w:t>
      </w:r>
      <w:bookmarkEnd w:id="20"/>
    </w:p>
    <w:p w14:paraId="05983E3F" w14:textId="77777777" w:rsidR="00F85EE8" w:rsidRPr="00F85EE8" w:rsidRDefault="00F85EE8" w:rsidP="00F85EE8">
      <w:pPr>
        <w:pStyle w:val="EndNoteBibliography"/>
        <w:spacing w:after="0"/>
        <w:ind w:left="720" w:hanging="720"/>
      </w:pPr>
      <w:bookmarkStart w:id="21" w:name="_ENREF_21"/>
      <w:r w:rsidRPr="00F85EE8">
        <w:t xml:space="preserve">21. Knowles MR, Daniels LA, Davis SD, Zariwala MA, Leigh MW. Primary ciliary dyskinesia. Recent advances in diagnostics, genetics, and characterization of clinical disease. </w:t>
      </w:r>
      <w:r w:rsidRPr="00F85EE8">
        <w:rPr>
          <w:i/>
        </w:rPr>
        <w:t xml:space="preserve">AmJRespirCrit Care Med </w:t>
      </w:r>
      <w:r w:rsidRPr="00F85EE8">
        <w:t>2013; 188: 913-922.</w:t>
      </w:r>
      <w:bookmarkEnd w:id="21"/>
    </w:p>
    <w:p w14:paraId="4A05A9DA" w14:textId="77777777" w:rsidR="00F85EE8" w:rsidRPr="00F85EE8" w:rsidRDefault="00F85EE8" w:rsidP="00F85EE8">
      <w:pPr>
        <w:pStyle w:val="EndNoteBibliography"/>
        <w:spacing w:after="0"/>
        <w:ind w:left="720" w:hanging="720"/>
      </w:pPr>
      <w:bookmarkStart w:id="22" w:name="_ENREF_22"/>
      <w:r w:rsidRPr="00F85EE8">
        <w:t xml:space="preserve">22. Hosie PH, Fitzgerald DA, Jaffe A, Birman CS, Rutland J, Morgan LC. Presentation of primary ciliary dyskinesia in children: 30 years' experience. </w:t>
      </w:r>
      <w:r w:rsidRPr="00F85EE8">
        <w:rPr>
          <w:i/>
        </w:rPr>
        <w:t xml:space="preserve">Journal of paediatrics and child health </w:t>
      </w:r>
      <w:r w:rsidRPr="00F85EE8">
        <w:t>2014.</w:t>
      </w:r>
      <w:bookmarkEnd w:id="22"/>
    </w:p>
    <w:p w14:paraId="580962AF" w14:textId="77777777" w:rsidR="00F85EE8" w:rsidRPr="00F85EE8" w:rsidRDefault="00F85EE8" w:rsidP="00F85EE8">
      <w:pPr>
        <w:pStyle w:val="EndNoteBibliography"/>
        <w:spacing w:after="0"/>
        <w:ind w:left="720" w:hanging="720"/>
      </w:pPr>
      <w:bookmarkStart w:id="23" w:name="_ENREF_23"/>
      <w:r w:rsidRPr="00F85EE8">
        <w:t xml:space="preserve">23. Cerveri I, Accordini S, Corsico A, Zoia MC, Carrozzi L, Cazzoletti L, Beccaria M, Marinoni A, Viegi G, de Marco R. Chronic cough and phlegm in young adults. </w:t>
      </w:r>
      <w:r w:rsidRPr="00F85EE8">
        <w:rPr>
          <w:i/>
        </w:rPr>
        <w:t xml:space="preserve">The European respiratory journal </w:t>
      </w:r>
      <w:r w:rsidRPr="00F85EE8">
        <w:t>2003; 22: 413-417.</w:t>
      </w:r>
      <w:bookmarkEnd w:id="23"/>
    </w:p>
    <w:p w14:paraId="10A898E3" w14:textId="77777777" w:rsidR="00F85EE8" w:rsidRPr="00F85EE8" w:rsidRDefault="00F85EE8" w:rsidP="00F85EE8">
      <w:pPr>
        <w:pStyle w:val="EndNoteBibliography"/>
        <w:spacing w:after="0"/>
        <w:ind w:left="720" w:hanging="720"/>
      </w:pPr>
      <w:bookmarkStart w:id="24" w:name="_ENREF_24"/>
      <w:r w:rsidRPr="00F85EE8">
        <w:t xml:space="preserve">24. Carter ER, Debley JS, Redding GR. Chronic productive cough in school children: prevalence and associations with asthma and environmental tobacco smoke exposure. </w:t>
      </w:r>
      <w:r w:rsidRPr="00F85EE8">
        <w:rPr>
          <w:i/>
        </w:rPr>
        <w:t xml:space="preserve">Cough (London, England) </w:t>
      </w:r>
      <w:r w:rsidRPr="00F85EE8">
        <w:t>2006; 2: 11.</w:t>
      </w:r>
      <w:bookmarkEnd w:id="24"/>
    </w:p>
    <w:p w14:paraId="0679034B" w14:textId="4E905FD3" w:rsidR="00F85EE8" w:rsidRPr="00F85EE8" w:rsidRDefault="00F85EE8" w:rsidP="00F85EE8">
      <w:pPr>
        <w:pStyle w:val="EndNoteBibliography"/>
        <w:spacing w:after="0"/>
        <w:ind w:left="720" w:hanging="720"/>
      </w:pPr>
      <w:bookmarkStart w:id="25" w:name="_ENREF_25"/>
      <w:r w:rsidRPr="00F85EE8">
        <w:t xml:space="preserve">25. </w:t>
      </w:r>
      <w:bookmarkEnd w:id="25"/>
      <w:r w:rsidR="00172C0A" w:rsidRPr="00172C0A">
        <w:rPr>
          <w:lang w:val="en-GB"/>
        </w:rPr>
        <w:t xml:space="preserve">Leigh MW, Ferkol TW, Davis SD, Lee HS, Rosenfeld M, Dell SD, Sagel SD, Milla C, Olivier KN, Sullivan KM, Zariwala MA, Pittman J, Shapiro AJ, Carson JL, Krischer J, Hazucha MJ, Knowles MR. Clinical Features and Associated Likelihood of Primary Ciliary Dyskinesia in Children and Adolescents. </w:t>
      </w:r>
      <w:r w:rsidR="00172C0A" w:rsidRPr="00172C0A">
        <w:rPr>
          <w:i/>
          <w:lang w:val="en-GB"/>
        </w:rPr>
        <w:t xml:space="preserve">Annals of the American Thoracic Society </w:t>
      </w:r>
      <w:r w:rsidR="00172C0A" w:rsidRPr="00172C0A">
        <w:rPr>
          <w:lang w:val="en-GB"/>
        </w:rPr>
        <w:t>2016. DETAILS TO BE COMPLETED BY PUBLICATION TEAM</w:t>
      </w:r>
    </w:p>
    <w:p w14:paraId="2BDFDCEC" w14:textId="77777777" w:rsidR="00F85EE8" w:rsidRPr="00F85EE8" w:rsidRDefault="00F85EE8" w:rsidP="00F85EE8">
      <w:pPr>
        <w:pStyle w:val="EndNoteBibliography"/>
        <w:spacing w:after="0"/>
        <w:ind w:left="720" w:hanging="720"/>
      </w:pPr>
      <w:bookmarkStart w:id="26" w:name="_ENREF_26"/>
      <w:r w:rsidRPr="00F85EE8">
        <w:t xml:space="preserve">26. Collins SA, Behan L, Harris A, Gove K, Lucas JS. The dangers of widespread nitric oxide screening for primary ciliary dyskinesia. </w:t>
      </w:r>
      <w:r w:rsidRPr="00F85EE8">
        <w:rPr>
          <w:i/>
        </w:rPr>
        <w:t xml:space="preserve">Thorax </w:t>
      </w:r>
      <w:r w:rsidRPr="00F85EE8">
        <w:t>2016.</w:t>
      </w:r>
      <w:bookmarkEnd w:id="26"/>
    </w:p>
    <w:p w14:paraId="001ED3D8" w14:textId="77777777" w:rsidR="00F85EE8" w:rsidRPr="00F85EE8" w:rsidRDefault="00F85EE8" w:rsidP="00F85EE8">
      <w:pPr>
        <w:pStyle w:val="EndNoteBibliography"/>
        <w:ind w:left="720" w:hanging="720"/>
      </w:pPr>
      <w:bookmarkStart w:id="27" w:name="_ENREF_27"/>
      <w:r w:rsidRPr="00F85EE8">
        <w:t xml:space="preserve">27. Behan L, Dimitrov BD, Kuehni CE, Hogg C, Carroll M, Evans HJ, Goutaki M, Harris A, Packham S, Walker WT, Lucas JS. PICADAR: a diagnostic predictive tool for primary ciliary dyskinesia. </w:t>
      </w:r>
      <w:r w:rsidRPr="00F85EE8">
        <w:rPr>
          <w:i/>
        </w:rPr>
        <w:t xml:space="preserve">The European respiratory journal </w:t>
      </w:r>
      <w:r w:rsidRPr="00F85EE8">
        <w:t>2016; 47: 1103-1112.</w:t>
      </w:r>
      <w:bookmarkEnd w:id="27"/>
    </w:p>
    <w:p w14:paraId="29686F13" w14:textId="45F671AA" w:rsidR="00754C46" w:rsidRDefault="00754C46"/>
    <w:sectPr w:rsidR="00754C46" w:rsidSect="00AA602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45DF" w14:textId="77777777" w:rsidR="001B76F7" w:rsidRDefault="001B76F7" w:rsidP="00AA602C">
      <w:pPr>
        <w:spacing w:after="0" w:line="240" w:lineRule="auto"/>
      </w:pPr>
      <w:r>
        <w:separator/>
      </w:r>
    </w:p>
  </w:endnote>
  <w:endnote w:type="continuationSeparator" w:id="0">
    <w:p w14:paraId="6A8FABC3" w14:textId="77777777" w:rsidR="001B76F7" w:rsidRDefault="001B76F7" w:rsidP="00AA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30683"/>
      <w:docPartObj>
        <w:docPartGallery w:val="Page Numbers (Bottom of Page)"/>
        <w:docPartUnique/>
      </w:docPartObj>
    </w:sdtPr>
    <w:sdtEndPr>
      <w:rPr>
        <w:noProof/>
      </w:rPr>
    </w:sdtEndPr>
    <w:sdtContent>
      <w:p w14:paraId="41FD50BE" w14:textId="77777777" w:rsidR="001B76F7" w:rsidRDefault="001B76F7">
        <w:pPr>
          <w:pStyle w:val="Footer"/>
          <w:jc w:val="right"/>
        </w:pPr>
        <w:r>
          <w:fldChar w:fldCharType="begin"/>
        </w:r>
        <w:r>
          <w:instrText xml:space="preserve"> PAGE   \* MERGEFORMAT </w:instrText>
        </w:r>
        <w:r>
          <w:fldChar w:fldCharType="separate"/>
        </w:r>
        <w:r w:rsidR="00F6614A">
          <w:rPr>
            <w:noProof/>
          </w:rPr>
          <w:t>2</w:t>
        </w:r>
        <w:r>
          <w:rPr>
            <w:noProof/>
          </w:rPr>
          <w:fldChar w:fldCharType="end"/>
        </w:r>
      </w:p>
    </w:sdtContent>
  </w:sdt>
  <w:p w14:paraId="2E0F6EED" w14:textId="77777777" w:rsidR="001B76F7" w:rsidRDefault="001B7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56E78" w14:textId="77777777" w:rsidR="001B76F7" w:rsidRDefault="001B76F7" w:rsidP="00AA602C">
      <w:pPr>
        <w:spacing w:after="0" w:line="240" w:lineRule="auto"/>
      </w:pPr>
      <w:r>
        <w:separator/>
      </w:r>
    </w:p>
  </w:footnote>
  <w:footnote w:type="continuationSeparator" w:id="0">
    <w:p w14:paraId="41267765" w14:textId="77777777" w:rsidR="001B76F7" w:rsidRDefault="001B76F7" w:rsidP="00AA6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75F9"/>
    <w:multiLevelType w:val="hybridMultilevel"/>
    <w:tmpl w:val="D5AA5E62"/>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27AC39F2"/>
    <w:multiLevelType w:val="multilevel"/>
    <w:tmpl w:val="8FC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C053C1"/>
    <w:multiLevelType w:val="hybridMultilevel"/>
    <w:tmpl w:val="3C6C519C"/>
    <w:lvl w:ilvl="0" w:tplc="C088AD4E">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E3924D3"/>
    <w:multiLevelType w:val="hybridMultilevel"/>
    <w:tmpl w:val="F22659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762E68"/>
    <w:multiLevelType w:val="hybridMultilevel"/>
    <w:tmpl w:val="50A8C9B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F403410"/>
    <w:multiLevelType w:val="hybridMultilevel"/>
    <w:tmpl w:val="057A8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6D10EA"/>
    <w:multiLevelType w:val="hybridMultilevel"/>
    <w:tmpl w:val="6A8025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dr0ffzd0d2pxpeefx35vepetvt2xepe9r2e&quot;&gt;PCD endnote Copy&lt;record-ids&gt;&lt;item&gt;29&lt;/item&gt;&lt;item&gt;43&lt;/item&gt;&lt;item&gt;52&lt;/item&gt;&lt;item&gt;70&lt;/item&gt;&lt;item&gt;76&lt;/item&gt;&lt;item&gt;144&lt;/item&gt;&lt;item&gt;184&lt;/item&gt;&lt;item&gt;207&lt;/item&gt;&lt;item&gt;231&lt;/item&gt;&lt;item&gt;242&lt;/item&gt;&lt;item&gt;253&lt;/item&gt;&lt;item&gt;266&lt;/item&gt;&lt;item&gt;271&lt;/item&gt;&lt;item&gt;272&lt;/item&gt;&lt;item&gt;309&lt;/item&gt;&lt;item&gt;326&lt;/item&gt;&lt;item&gt;329&lt;/item&gt;&lt;item&gt;350&lt;/item&gt;&lt;item&gt;376&lt;/item&gt;&lt;item&gt;382&lt;/item&gt;&lt;item&gt;402&lt;/item&gt;&lt;item&gt;403&lt;/item&gt;&lt;item&gt;404&lt;/item&gt;&lt;item&gt;405&lt;/item&gt;&lt;item&gt;409&lt;/item&gt;&lt;item&gt;410&lt;/item&gt;&lt;item&gt;411&lt;/item&gt;&lt;/record-ids&gt;&lt;/item&gt;&lt;/Libraries&gt;"/>
  </w:docVars>
  <w:rsids>
    <w:rsidRoot w:val="00716737"/>
    <w:rsid w:val="00002495"/>
    <w:rsid w:val="000034C3"/>
    <w:rsid w:val="0000667F"/>
    <w:rsid w:val="00013E83"/>
    <w:rsid w:val="000215E4"/>
    <w:rsid w:val="00021A42"/>
    <w:rsid w:val="00023E71"/>
    <w:rsid w:val="00030F3D"/>
    <w:rsid w:val="000513E3"/>
    <w:rsid w:val="00054598"/>
    <w:rsid w:val="000647EF"/>
    <w:rsid w:val="00064AE2"/>
    <w:rsid w:val="00067235"/>
    <w:rsid w:val="00070EC7"/>
    <w:rsid w:val="0007693B"/>
    <w:rsid w:val="00076C7D"/>
    <w:rsid w:val="00082393"/>
    <w:rsid w:val="00093CBC"/>
    <w:rsid w:val="00095485"/>
    <w:rsid w:val="00095CD3"/>
    <w:rsid w:val="000A15FE"/>
    <w:rsid w:val="000A4A74"/>
    <w:rsid w:val="000B38ED"/>
    <w:rsid w:val="000C183E"/>
    <w:rsid w:val="000D10E5"/>
    <w:rsid w:val="000D331B"/>
    <w:rsid w:val="000E627D"/>
    <w:rsid w:val="000F6D6D"/>
    <w:rsid w:val="001244D7"/>
    <w:rsid w:val="00124BB4"/>
    <w:rsid w:val="001466A7"/>
    <w:rsid w:val="001466F0"/>
    <w:rsid w:val="00146A27"/>
    <w:rsid w:val="00150FD4"/>
    <w:rsid w:val="00151051"/>
    <w:rsid w:val="001544A1"/>
    <w:rsid w:val="001546A0"/>
    <w:rsid w:val="00155A09"/>
    <w:rsid w:val="00161745"/>
    <w:rsid w:val="00165691"/>
    <w:rsid w:val="00165A2D"/>
    <w:rsid w:val="00172C0A"/>
    <w:rsid w:val="00180971"/>
    <w:rsid w:val="001870D8"/>
    <w:rsid w:val="001A4FFE"/>
    <w:rsid w:val="001A66E3"/>
    <w:rsid w:val="001B17D6"/>
    <w:rsid w:val="001B24D5"/>
    <w:rsid w:val="001B3D41"/>
    <w:rsid w:val="001B561B"/>
    <w:rsid w:val="001B5EA9"/>
    <w:rsid w:val="001B76F7"/>
    <w:rsid w:val="001C383D"/>
    <w:rsid w:val="001D079C"/>
    <w:rsid w:val="001D274C"/>
    <w:rsid w:val="001D4001"/>
    <w:rsid w:val="00200B4E"/>
    <w:rsid w:val="00202847"/>
    <w:rsid w:val="00210960"/>
    <w:rsid w:val="00212D20"/>
    <w:rsid w:val="0021329B"/>
    <w:rsid w:val="00224306"/>
    <w:rsid w:val="00230C8A"/>
    <w:rsid w:val="00235AD0"/>
    <w:rsid w:val="00235B40"/>
    <w:rsid w:val="00236716"/>
    <w:rsid w:val="00241F6F"/>
    <w:rsid w:val="00247B44"/>
    <w:rsid w:val="002542B8"/>
    <w:rsid w:val="00263710"/>
    <w:rsid w:val="00282215"/>
    <w:rsid w:val="0028473C"/>
    <w:rsid w:val="00287335"/>
    <w:rsid w:val="00287D13"/>
    <w:rsid w:val="00290F2A"/>
    <w:rsid w:val="00292D24"/>
    <w:rsid w:val="002949FF"/>
    <w:rsid w:val="002C324C"/>
    <w:rsid w:val="002C32E8"/>
    <w:rsid w:val="002D4B0A"/>
    <w:rsid w:val="002D7FEB"/>
    <w:rsid w:val="002E2849"/>
    <w:rsid w:val="002F46D6"/>
    <w:rsid w:val="003031CA"/>
    <w:rsid w:val="0031457D"/>
    <w:rsid w:val="003226E4"/>
    <w:rsid w:val="003319AB"/>
    <w:rsid w:val="00355601"/>
    <w:rsid w:val="00363AE7"/>
    <w:rsid w:val="00364CF1"/>
    <w:rsid w:val="00366C99"/>
    <w:rsid w:val="00367E0D"/>
    <w:rsid w:val="003733BA"/>
    <w:rsid w:val="00383FEA"/>
    <w:rsid w:val="00385A5B"/>
    <w:rsid w:val="003A1663"/>
    <w:rsid w:val="003A3AAE"/>
    <w:rsid w:val="003A47CB"/>
    <w:rsid w:val="003A5CAF"/>
    <w:rsid w:val="003A63B9"/>
    <w:rsid w:val="003B2DE7"/>
    <w:rsid w:val="003B4CF1"/>
    <w:rsid w:val="003B6277"/>
    <w:rsid w:val="003C26FD"/>
    <w:rsid w:val="003C64F1"/>
    <w:rsid w:val="003C71C7"/>
    <w:rsid w:val="003D2A12"/>
    <w:rsid w:val="003D4E05"/>
    <w:rsid w:val="003E4B3D"/>
    <w:rsid w:val="003E6765"/>
    <w:rsid w:val="003F53FF"/>
    <w:rsid w:val="003F68FC"/>
    <w:rsid w:val="003F6C2A"/>
    <w:rsid w:val="00407A4A"/>
    <w:rsid w:val="00411A63"/>
    <w:rsid w:val="00414440"/>
    <w:rsid w:val="004150CC"/>
    <w:rsid w:val="0041522C"/>
    <w:rsid w:val="00431C11"/>
    <w:rsid w:val="0043435D"/>
    <w:rsid w:val="00454380"/>
    <w:rsid w:val="004564C8"/>
    <w:rsid w:val="00465634"/>
    <w:rsid w:val="00470A11"/>
    <w:rsid w:val="00472481"/>
    <w:rsid w:val="00477D98"/>
    <w:rsid w:val="00482D9D"/>
    <w:rsid w:val="00483266"/>
    <w:rsid w:val="00485DA6"/>
    <w:rsid w:val="0048682C"/>
    <w:rsid w:val="0049485E"/>
    <w:rsid w:val="00494AF1"/>
    <w:rsid w:val="004A027F"/>
    <w:rsid w:val="004A3273"/>
    <w:rsid w:val="004C3360"/>
    <w:rsid w:val="004C74CF"/>
    <w:rsid w:val="004E2455"/>
    <w:rsid w:val="004F2F4C"/>
    <w:rsid w:val="004F7DCB"/>
    <w:rsid w:val="005344E8"/>
    <w:rsid w:val="00535D09"/>
    <w:rsid w:val="0053746D"/>
    <w:rsid w:val="005411AE"/>
    <w:rsid w:val="00541F82"/>
    <w:rsid w:val="005503EE"/>
    <w:rsid w:val="00551202"/>
    <w:rsid w:val="005522FB"/>
    <w:rsid w:val="00556012"/>
    <w:rsid w:val="0056284D"/>
    <w:rsid w:val="005968DC"/>
    <w:rsid w:val="005A3C43"/>
    <w:rsid w:val="005A6CFF"/>
    <w:rsid w:val="005B2E14"/>
    <w:rsid w:val="005B516B"/>
    <w:rsid w:val="005D0F7A"/>
    <w:rsid w:val="005D7DE6"/>
    <w:rsid w:val="006200E8"/>
    <w:rsid w:val="0064407F"/>
    <w:rsid w:val="006505D7"/>
    <w:rsid w:val="006529D3"/>
    <w:rsid w:val="00654DB3"/>
    <w:rsid w:val="00655297"/>
    <w:rsid w:val="00656665"/>
    <w:rsid w:val="00660365"/>
    <w:rsid w:val="00664856"/>
    <w:rsid w:val="00682CE0"/>
    <w:rsid w:val="00684108"/>
    <w:rsid w:val="0069381F"/>
    <w:rsid w:val="006A2278"/>
    <w:rsid w:val="006A42DB"/>
    <w:rsid w:val="006A73B8"/>
    <w:rsid w:val="006A7ECF"/>
    <w:rsid w:val="006B07F3"/>
    <w:rsid w:val="006B112B"/>
    <w:rsid w:val="006C482A"/>
    <w:rsid w:val="006C7C72"/>
    <w:rsid w:val="006F46A3"/>
    <w:rsid w:val="00711C62"/>
    <w:rsid w:val="00712EF9"/>
    <w:rsid w:val="00714A70"/>
    <w:rsid w:val="00716737"/>
    <w:rsid w:val="00733C6C"/>
    <w:rsid w:val="0073762C"/>
    <w:rsid w:val="00737D30"/>
    <w:rsid w:val="0074555B"/>
    <w:rsid w:val="00754C46"/>
    <w:rsid w:val="007603BB"/>
    <w:rsid w:val="00773FDD"/>
    <w:rsid w:val="007754FC"/>
    <w:rsid w:val="0078246A"/>
    <w:rsid w:val="00782F82"/>
    <w:rsid w:val="00783396"/>
    <w:rsid w:val="00790007"/>
    <w:rsid w:val="00796F26"/>
    <w:rsid w:val="007A24DC"/>
    <w:rsid w:val="007A4F1D"/>
    <w:rsid w:val="007C27A0"/>
    <w:rsid w:val="007C48DE"/>
    <w:rsid w:val="007E3DD5"/>
    <w:rsid w:val="007E4FA0"/>
    <w:rsid w:val="008066F6"/>
    <w:rsid w:val="00807CA4"/>
    <w:rsid w:val="00810E16"/>
    <w:rsid w:val="008114FB"/>
    <w:rsid w:val="0081328C"/>
    <w:rsid w:val="008144FE"/>
    <w:rsid w:val="00824351"/>
    <w:rsid w:val="008276FB"/>
    <w:rsid w:val="0083004E"/>
    <w:rsid w:val="00831562"/>
    <w:rsid w:val="00832A32"/>
    <w:rsid w:val="00832E4A"/>
    <w:rsid w:val="0083322F"/>
    <w:rsid w:val="00850849"/>
    <w:rsid w:val="008522C7"/>
    <w:rsid w:val="00852CDA"/>
    <w:rsid w:val="00860DC9"/>
    <w:rsid w:val="008652AF"/>
    <w:rsid w:val="00880304"/>
    <w:rsid w:val="008806F6"/>
    <w:rsid w:val="0088111C"/>
    <w:rsid w:val="008B2C32"/>
    <w:rsid w:val="008B465D"/>
    <w:rsid w:val="008C3E21"/>
    <w:rsid w:val="008C6EF2"/>
    <w:rsid w:val="008C6F6B"/>
    <w:rsid w:val="008E2D56"/>
    <w:rsid w:val="008E37BD"/>
    <w:rsid w:val="008E4F88"/>
    <w:rsid w:val="00907911"/>
    <w:rsid w:val="009108B7"/>
    <w:rsid w:val="00917E94"/>
    <w:rsid w:val="00926C01"/>
    <w:rsid w:val="0093294F"/>
    <w:rsid w:val="00937DFF"/>
    <w:rsid w:val="009515C2"/>
    <w:rsid w:val="00964387"/>
    <w:rsid w:val="00965A5F"/>
    <w:rsid w:val="009760F4"/>
    <w:rsid w:val="009870D5"/>
    <w:rsid w:val="00990B2B"/>
    <w:rsid w:val="00995D8E"/>
    <w:rsid w:val="00997BEC"/>
    <w:rsid w:val="009A0ADB"/>
    <w:rsid w:val="009A24C6"/>
    <w:rsid w:val="009A79CF"/>
    <w:rsid w:val="009C44EC"/>
    <w:rsid w:val="009C5139"/>
    <w:rsid w:val="009C7116"/>
    <w:rsid w:val="009D07D2"/>
    <w:rsid w:val="009D38F6"/>
    <w:rsid w:val="009D41CF"/>
    <w:rsid w:val="009D45E6"/>
    <w:rsid w:val="009D7DC4"/>
    <w:rsid w:val="009E645A"/>
    <w:rsid w:val="009F147A"/>
    <w:rsid w:val="009F3CEA"/>
    <w:rsid w:val="009F6670"/>
    <w:rsid w:val="009F6D92"/>
    <w:rsid w:val="00A015C5"/>
    <w:rsid w:val="00A03B44"/>
    <w:rsid w:val="00A10B2B"/>
    <w:rsid w:val="00A14EF7"/>
    <w:rsid w:val="00A205E7"/>
    <w:rsid w:val="00A232E9"/>
    <w:rsid w:val="00A27378"/>
    <w:rsid w:val="00A27973"/>
    <w:rsid w:val="00A330A4"/>
    <w:rsid w:val="00A4598F"/>
    <w:rsid w:val="00A55470"/>
    <w:rsid w:val="00A56AD7"/>
    <w:rsid w:val="00A64B80"/>
    <w:rsid w:val="00A817F3"/>
    <w:rsid w:val="00A840F3"/>
    <w:rsid w:val="00A968D6"/>
    <w:rsid w:val="00AA2487"/>
    <w:rsid w:val="00AA602C"/>
    <w:rsid w:val="00AB092B"/>
    <w:rsid w:val="00AC367A"/>
    <w:rsid w:val="00AD41DC"/>
    <w:rsid w:val="00AE3FE0"/>
    <w:rsid w:val="00AF159F"/>
    <w:rsid w:val="00B13323"/>
    <w:rsid w:val="00B170F1"/>
    <w:rsid w:val="00B176BA"/>
    <w:rsid w:val="00B233AB"/>
    <w:rsid w:val="00B23DA4"/>
    <w:rsid w:val="00B278FA"/>
    <w:rsid w:val="00B33F5E"/>
    <w:rsid w:val="00B42BE6"/>
    <w:rsid w:val="00B80444"/>
    <w:rsid w:val="00B841BA"/>
    <w:rsid w:val="00B84C58"/>
    <w:rsid w:val="00B94B03"/>
    <w:rsid w:val="00BA1C1B"/>
    <w:rsid w:val="00BB06D8"/>
    <w:rsid w:val="00BC1711"/>
    <w:rsid w:val="00BC5B61"/>
    <w:rsid w:val="00BC5B81"/>
    <w:rsid w:val="00BE6079"/>
    <w:rsid w:val="00BE64B2"/>
    <w:rsid w:val="00BE7979"/>
    <w:rsid w:val="00BF25DC"/>
    <w:rsid w:val="00BF2D2F"/>
    <w:rsid w:val="00C06C8D"/>
    <w:rsid w:val="00C1446E"/>
    <w:rsid w:val="00C1521D"/>
    <w:rsid w:val="00C21F8E"/>
    <w:rsid w:val="00C32EE8"/>
    <w:rsid w:val="00C3312B"/>
    <w:rsid w:val="00C335A2"/>
    <w:rsid w:val="00C376A7"/>
    <w:rsid w:val="00C56B1E"/>
    <w:rsid w:val="00C74F2E"/>
    <w:rsid w:val="00C91258"/>
    <w:rsid w:val="00C93DB1"/>
    <w:rsid w:val="00CA2CD0"/>
    <w:rsid w:val="00CB4A67"/>
    <w:rsid w:val="00CC7C56"/>
    <w:rsid w:val="00CD66D9"/>
    <w:rsid w:val="00CF7E72"/>
    <w:rsid w:val="00D02113"/>
    <w:rsid w:val="00D0374E"/>
    <w:rsid w:val="00D13DD5"/>
    <w:rsid w:val="00D17DBA"/>
    <w:rsid w:val="00D30881"/>
    <w:rsid w:val="00D42161"/>
    <w:rsid w:val="00D7556F"/>
    <w:rsid w:val="00D84EA8"/>
    <w:rsid w:val="00D90895"/>
    <w:rsid w:val="00DA6C74"/>
    <w:rsid w:val="00DB1318"/>
    <w:rsid w:val="00DB78A4"/>
    <w:rsid w:val="00DC541D"/>
    <w:rsid w:val="00DC5F1F"/>
    <w:rsid w:val="00DD16CC"/>
    <w:rsid w:val="00DD3786"/>
    <w:rsid w:val="00E06F2B"/>
    <w:rsid w:val="00E12D9F"/>
    <w:rsid w:val="00E30CC9"/>
    <w:rsid w:val="00E333FF"/>
    <w:rsid w:val="00E3621D"/>
    <w:rsid w:val="00E40EDF"/>
    <w:rsid w:val="00E43EAC"/>
    <w:rsid w:val="00E462B1"/>
    <w:rsid w:val="00E559EC"/>
    <w:rsid w:val="00E6270A"/>
    <w:rsid w:val="00E64FB5"/>
    <w:rsid w:val="00E84534"/>
    <w:rsid w:val="00E865A1"/>
    <w:rsid w:val="00E87EF4"/>
    <w:rsid w:val="00E90DED"/>
    <w:rsid w:val="00E9600D"/>
    <w:rsid w:val="00E9614F"/>
    <w:rsid w:val="00EA6630"/>
    <w:rsid w:val="00EC0996"/>
    <w:rsid w:val="00EC5D99"/>
    <w:rsid w:val="00EC624B"/>
    <w:rsid w:val="00EC6402"/>
    <w:rsid w:val="00EC6F55"/>
    <w:rsid w:val="00ED5E4B"/>
    <w:rsid w:val="00EE15E9"/>
    <w:rsid w:val="00EF1E88"/>
    <w:rsid w:val="00EF75E7"/>
    <w:rsid w:val="00F0352D"/>
    <w:rsid w:val="00F04840"/>
    <w:rsid w:val="00F156A0"/>
    <w:rsid w:val="00F31DF6"/>
    <w:rsid w:val="00F503F4"/>
    <w:rsid w:val="00F5116B"/>
    <w:rsid w:val="00F53159"/>
    <w:rsid w:val="00F53E9A"/>
    <w:rsid w:val="00F54575"/>
    <w:rsid w:val="00F61E8B"/>
    <w:rsid w:val="00F6614A"/>
    <w:rsid w:val="00F76A78"/>
    <w:rsid w:val="00F84670"/>
    <w:rsid w:val="00F85EE8"/>
    <w:rsid w:val="00F86898"/>
    <w:rsid w:val="00F95502"/>
    <w:rsid w:val="00F967F3"/>
    <w:rsid w:val="00FB58EC"/>
    <w:rsid w:val="00FB7F8A"/>
    <w:rsid w:val="00FC1A7C"/>
    <w:rsid w:val="00FD1C4F"/>
    <w:rsid w:val="00FE70D7"/>
    <w:rsid w:val="00FF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6289"/>
  <w15:docId w15:val="{2E084973-37C2-45E0-BF28-C017AD27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360"/>
    <w:rPr>
      <w:color w:val="808080"/>
    </w:rPr>
  </w:style>
  <w:style w:type="paragraph" w:customStyle="1" w:styleId="EndNoteBibliographyTitle">
    <w:name w:val="EndNote Bibliography Title"/>
    <w:basedOn w:val="Normal"/>
    <w:link w:val="EndNoteBibliographyTitleChar"/>
    <w:rsid w:val="008E4F8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E4F88"/>
    <w:rPr>
      <w:rFonts w:ascii="Calibri" w:hAnsi="Calibri"/>
      <w:noProof/>
      <w:lang w:val="en-US"/>
    </w:rPr>
  </w:style>
  <w:style w:type="paragraph" w:customStyle="1" w:styleId="EndNoteBibliography">
    <w:name w:val="EndNote Bibliography"/>
    <w:basedOn w:val="Normal"/>
    <w:link w:val="EndNoteBibliographyChar"/>
    <w:rsid w:val="008E4F8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E4F88"/>
    <w:rPr>
      <w:rFonts w:ascii="Calibri" w:hAnsi="Calibri"/>
      <w:noProof/>
      <w:lang w:val="en-US"/>
    </w:rPr>
  </w:style>
  <w:style w:type="character" w:styleId="Hyperlink">
    <w:name w:val="Hyperlink"/>
    <w:basedOn w:val="DefaultParagraphFont"/>
    <w:uiPriority w:val="99"/>
    <w:unhideWhenUsed/>
    <w:rsid w:val="008E4F88"/>
    <w:rPr>
      <w:color w:val="0563C1" w:themeColor="hyperlink"/>
      <w:u w:val="single"/>
    </w:rPr>
  </w:style>
  <w:style w:type="paragraph" w:styleId="NormalWeb">
    <w:name w:val="Normal (Web)"/>
    <w:basedOn w:val="Normal"/>
    <w:uiPriority w:val="99"/>
    <w:semiHidden/>
    <w:unhideWhenUsed/>
    <w:rsid w:val="00E3621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fontsize3">
    <w:name w:val="fontsize3"/>
    <w:basedOn w:val="DefaultParagraphFont"/>
    <w:rsid w:val="00E3621D"/>
  </w:style>
  <w:style w:type="character" w:customStyle="1" w:styleId="snippnewpage">
    <w:name w:val="snippnewpage"/>
    <w:basedOn w:val="DefaultParagraphFont"/>
    <w:rsid w:val="009D7DC4"/>
  </w:style>
  <w:style w:type="paragraph" w:styleId="BalloonText">
    <w:name w:val="Balloon Text"/>
    <w:basedOn w:val="Normal"/>
    <w:link w:val="BalloonTextChar"/>
    <w:uiPriority w:val="99"/>
    <w:semiHidden/>
    <w:unhideWhenUsed/>
    <w:rsid w:val="006A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78"/>
    <w:rPr>
      <w:rFonts w:ascii="Segoe UI" w:hAnsi="Segoe UI" w:cs="Segoe UI"/>
      <w:sz w:val="18"/>
      <w:szCs w:val="18"/>
    </w:rPr>
  </w:style>
  <w:style w:type="character" w:styleId="CommentReference">
    <w:name w:val="annotation reference"/>
    <w:basedOn w:val="DefaultParagraphFont"/>
    <w:uiPriority w:val="99"/>
    <w:semiHidden/>
    <w:unhideWhenUsed/>
    <w:rsid w:val="00D13DD5"/>
    <w:rPr>
      <w:sz w:val="16"/>
      <w:szCs w:val="16"/>
    </w:rPr>
  </w:style>
  <w:style w:type="paragraph" w:styleId="CommentText">
    <w:name w:val="annotation text"/>
    <w:basedOn w:val="Normal"/>
    <w:link w:val="CommentTextChar"/>
    <w:uiPriority w:val="99"/>
    <w:semiHidden/>
    <w:unhideWhenUsed/>
    <w:rsid w:val="00D13DD5"/>
    <w:pPr>
      <w:spacing w:line="240" w:lineRule="auto"/>
    </w:pPr>
    <w:rPr>
      <w:sz w:val="20"/>
      <w:szCs w:val="20"/>
    </w:rPr>
  </w:style>
  <w:style w:type="character" w:customStyle="1" w:styleId="CommentTextChar">
    <w:name w:val="Comment Text Char"/>
    <w:basedOn w:val="DefaultParagraphFont"/>
    <w:link w:val="CommentText"/>
    <w:uiPriority w:val="99"/>
    <w:semiHidden/>
    <w:rsid w:val="00D13DD5"/>
    <w:rPr>
      <w:sz w:val="20"/>
      <w:szCs w:val="20"/>
    </w:rPr>
  </w:style>
  <w:style w:type="paragraph" w:styleId="CommentSubject">
    <w:name w:val="annotation subject"/>
    <w:basedOn w:val="CommentText"/>
    <w:next w:val="CommentText"/>
    <w:link w:val="CommentSubjectChar"/>
    <w:uiPriority w:val="99"/>
    <w:semiHidden/>
    <w:unhideWhenUsed/>
    <w:rsid w:val="00D13DD5"/>
    <w:rPr>
      <w:b/>
      <w:bCs/>
    </w:rPr>
  </w:style>
  <w:style w:type="character" w:customStyle="1" w:styleId="CommentSubjectChar">
    <w:name w:val="Comment Subject Char"/>
    <w:basedOn w:val="CommentTextChar"/>
    <w:link w:val="CommentSubject"/>
    <w:uiPriority w:val="99"/>
    <w:semiHidden/>
    <w:rsid w:val="00D13DD5"/>
    <w:rPr>
      <w:b/>
      <w:bCs/>
      <w:sz w:val="20"/>
      <w:szCs w:val="20"/>
    </w:rPr>
  </w:style>
  <w:style w:type="table" w:styleId="TableGrid">
    <w:name w:val="Table Grid"/>
    <w:basedOn w:val="TableNormal"/>
    <w:uiPriority w:val="39"/>
    <w:rsid w:val="0066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2B8"/>
    <w:pPr>
      <w:ind w:left="720"/>
      <w:contextualSpacing/>
    </w:pPr>
  </w:style>
  <w:style w:type="character" w:customStyle="1" w:styleId="corresp-label">
    <w:name w:val="corresp-label"/>
    <w:basedOn w:val="DefaultParagraphFont"/>
    <w:rsid w:val="00CC7C56"/>
  </w:style>
  <w:style w:type="character" w:customStyle="1" w:styleId="apple-converted-space">
    <w:name w:val="apple-converted-space"/>
    <w:basedOn w:val="DefaultParagraphFont"/>
    <w:rsid w:val="00737D30"/>
  </w:style>
  <w:style w:type="paragraph" w:styleId="Header">
    <w:name w:val="header"/>
    <w:basedOn w:val="Normal"/>
    <w:link w:val="HeaderChar"/>
    <w:uiPriority w:val="99"/>
    <w:unhideWhenUsed/>
    <w:rsid w:val="00AA60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02C"/>
  </w:style>
  <w:style w:type="paragraph" w:styleId="Footer">
    <w:name w:val="footer"/>
    <w:basedOn w:val="Normal"/>
    <w:link w:val="FooterChar"/>
    <w:uiPriority w:val="99"/>
    <w:unhideWhenUsed/>
    <w:rsid w:val="00AA60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3216">
      <w:bodyDiv w:val="1"/>
      <w:marLeft w:val="0"/>
      <w:marRight w:val="0"/>
      <w:marTop w:val="0"/>
      <w:marBottom w:val="0"/>
      <w:divBdr>
        <w:top w:val="none" w:sz="0" w:space="0" w:color="auto"/>
        <w:left w:val="none" w:sz="0" w:space="0" w:color="auto"/>
        <w:bottom w:val="none" w:sz="0" w:space="0" w:color="auto"/>
        <w:right w:val="none" w:sz="0" w:space="0" w:color="auto"/>
      </w:divBdr>
    </w:div>
    <w:div w:id="485709177">
      <w:bodyDiv w:val="1"/>
      <w:marLeft w:val="0"/>
      <w:marRight w:val="0"/>
      <w:marTop w:val="0"/>
      <w:marBottom w:val="0"/>
      <w:divBdr>
        <w:top w:val="none" w:sz="0" w:space="0" w:color="auto"/>
        <w:left w:val="none" w:sz="0" w:space="0" w:color="auto"/>
        <w:bottom w:val="none" w:sz="0" w:space="0" w:color="auto"/>
        <w:right w:val="none" w:sz="0" w:space="0" w:color="auto"/>
      </w:divBdr>
    </w:div>
    <w:div w:id="1077897043">
      <w:bodyDiv w:val="1"/>
      <w:marLeft w:val="0"/>
      <w:marRight w:val="0"/>
      <w:marTop w:val="0"/>
      <w:marBottom w:val="0"/>
      <w:divBdr>
        <w:top w:val="none" w:sz="0" w:space="0" w:color="auto"/>
        <w:left w:val="none" w:sz="0" w:space="0" w:color="auto"/>
        <w:bottom w:val="none" w:sz="0" w:space="0" w:color="auto"/>
        <w:right w:val="none" w:sz="0" w:space="0" w:color="auto"/>
      </w:divBdr>
    </w:div>
    <w:div w:id="1310016290">
      <w:bodyDiv w:val="1"/>
      <w:marLeft w:val="0"/>
      <w:marRight w:val="0"/>
      <w:marTop w:val="0"/>
      <w:marBottom w:val="0"/>
      <w:divBdr>
        <w:top w:val="none" w:sz="0" w:space="0" w:color="auto"/>
        <w:left w:val="none" w:sz="0" w:space="0" w:color="auto"/>
        <w:bottom w:val="none" w:sz="0" w:space="0" w:color="auto"/>
        <w:right w:val="none" w:sz="0" w:space="0" w:color="auto"/>
      </w:divBdr>
    </w:div>
    <w:div w:id="1424371913">
      <w:bodyDiv w:val="1"/>
      <w:marLeft w:val="0"/>
      <w:marRight w:val="0"/>
      <w:marTop w:val="0"/>
      <w:marBottom w:val="0"/>
      <w:divBdr>
        <w:top w:val="none" w:sz="0" w:space="0" w:color="auto"/>
        <w:left w:val="none" w:sz="0" w:space="0" w:color="auto"/>
        <w:bottom w:val="none" w:sz="0" w:space="0" w:color="auto"/>
        <w:right w:val="none" w:sz="0" w:space="0" w:color="auto"/>
      </w:divBdr>
    </w:div>
    <w:div w:id="1639802165">
      <w:bodyDiv w:val="1"/>
      <w:marLeft w:val="0"/>
      <w:marRight w:val="0"/>
      <w:marTop w:val="0"/>
      <w:marBottom w:val="0"/>
      <w:divBdr>
        <w:top w:val="none" w:sz="0" w:space="0" w:color="auto"/>
        <w:left w:val="none" w:sz="0" w:space="0" w:color="auto"/>
        <w:bottom w:val="none" w:sz="0" w:space="0" w:color="auto"/>
        <w:right w:val="none" w:sz="0" w:space="0" w:color="auto"/>
      </w:divBdr>
    </w:div>
    <w:div w:id="1752657846">
      <w:bodyDiv w:val="1"/>
      <w:marLeft w:val="0"/>
      <w:marRight w:val="0"/>
      <w:marTop w:val="0"/>
      <w:marBottom w:val="0"/>
      <w:divBdr>
        <w:top w:val="none" w:sz="0" w:space="0" w:color="auto"/>
        <w:left w:val="none" w:sz="0" w:space="0" w:color="auto"/>
        <w:bottom w:val="none" w:sz="0" w:space="0" w:color="auto"/>
        <w:right w:val="none" w:sz="0" w:space="0" w:color="auto"/>
      </w:divBdr>
    </w:div>
    <w:div w:id="17574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25E2-8536-4928-A69C-6D56D67328E7}">
  <ds:schemaRefs>
    <ds:schemaRef ds:uri="http://schemas.openxmlformats.org/officeDocument/2006/bibliography"/>
  </ds:schemaRefs>
</ds:datastoreItem>
</file>

<file path=customXml/itemProps2.xml><?xml version="1.0" encoding="utf-8"?>
<ds:datastoreItem xmlns:ds="http://schemas.openxmlformats.org/officeDocument/2006/customXml" ds:itemID="{DEA3EC6A-215B-449A-937D-6EE5A177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dc:creator>
  <cp:lastModifiedBy>Lucas J.</cp:lastModifiedBy>
  <cp:revision>3</cp:revision>
  <cp:lastPrinted>2016-05-24T10:26:00Z</cp:lastPrinted>
  <dcterms:created xsi:type="dcterms:W3CDTF">2016-05-26T19:47:00Z</dcterms:created>
  <dcterms:modified xsi:type="dcterms:W3CDTF">2016-05-26T19:49:00Z</dcterms:modified>
</cp:coreProperties>
</file>