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152B7" w14:textId="7CA158D5" w:rsidR="00596B01" w:rsidRPr="003B52FA" w:rsidRDefault="00170455" w:rsidP="00C65241">
      <w:pPr>
        <w:spacing w:line="480" w:lineRule="auto"/>
        <w:jc w:val="center"/>
        <w:rPr>
          <w:b/>
          <w:bCs/>
          <w:u w:val="single"/>
        </w:rPr>
      </w:pPr>
      <w:r>
        <w:rPr>
          <w:b/>
          <w:bCs/>
          <w:u w:val="single"/>
        </w:rPr>
        <w:t>Recent Critics of</w:t>
      </w:r>
      <w:r w:rsidR="00425027">
        <w:rPr>
          <w:b/>
          <w:bCs/>
          <w:u w:val="single"/>
        </w:rPr>
        <w:t xml:space="preserve"> </w:t>
      </w:r>
      <w:r w:rsidR="003B52FA" w:rsidRPr="003B52FA">
        <w:rPr>
          <w:b/>
          <w:bCs/>
          <w:u w:val="single"/>
        </w:rPr>
        <w:t xml:space="preserve">Mill’s </w:t>
      </w:r>
      <w:r w:rsidR="00E841C0">
        <w:rPr>
          <w:b/>
          <w:bCs/>
          <w:u w:val="single"/>
        </w:rPr>
        <w:t>Qualitative Hedonism</w:t>
      </w:r>
    </w:p>
    <w:p w14:paraId="09CD7379" w14:textId="7EAF4155" w:rsidR="000E5691" w:rsidRPr="000E5691" w:rsidRDefault="00ED2383" w:rsidP="000E5691">
      <w:pPr>
        <w:spacing w:line="480" w:lineRule="auto"/>
        <w:jc w:val="both"/>
        <w:rPr>
          <w:i/>
          <w:iCs/>
        </w:rPr>
      </w:pPr>
      <w:r>
        <w:rPr>
          <w:i/>
          <w:iCs/>
        </w:rPr>
        <w:t>T</w:t>
      </w:r>
      <w:r w:rsidR="000E5691" w:rsidRPr="000E5691">
        <w:rPr>
          <w:i/>
          <w:iCs/>
        </w:rPr>
        <w:t>wo recent critics of Mill</w:t>
      </w:r>
      <w:r>
        <w:rPr>
          <w:i/>
          <w:iCs/>
        </w:rPr>
        <w:t xml:space="preserve">’s qualitative hedonism, </w:t>
      </w:r>
      <w:r w:rsidR="000E5691" w:rsidRPr="000E5691">
        <w:rPr>
          <w:i/>
          <w:iCs/>
        </w:rPr>
        <w:t xml:space="preserve">Michael </w:t>
      </w:r>
      <w:proofErr w:type="spellStart"/>
      <w:r w:rsidR="000E5691" w:rsidRPr="000E5691">
        <w:rPr>
          <w:i/>
          <w:iCs/>
        </w:rPr>
        <w:t>Haus</w:t>
      </w:r>
      <w:r>
        <w:rPr>
          <w:i/>
          <w:iCs/>
        </w:rPr>
        <w:t>keller</w:t>
      </w:r>
      <w:proofErr w:type="spellEnd"/>
      <w:r>
        <w:rPr>
          <w:i/>
          <w:iCs/>
        </w:rPr>
        <w:t xml:space="preserve"> and Kristin </w:t>
      </w:r>
      <w:proofErr w:type="spellStart"/>
      <w:r>
        <w:rPr>
          <w:i/>
          <w:iCs/>
        </w:rPr>
        <w:t>Schaupp</w:t>
      </w:r>
      <w:proofErr w:type="spellEnd"/>
      <w:r>
        <w:rPr>
          <w:i/>
          <w:iCs/>
        </w:rPr>
        <w:t>, argue that Mill</w:t>
      </w:r>
      <w:r w:rsidR="00466514">
        <w:rPr>
          <w:i/>
          <w:iCs/>
        </w:rPr>
        <w:t>’s distinction between higher and lower pleasures</w:t>
      </w:r>
      <w:r>
        <w:rPr>
          <w:i/>
          <w:iCs/>
        </w:rPr>
        <w:t xml:space="preserve"> wa</w:t>
      </w:r>
      <w:r w:rsidR="000E5691" w:rsidRPr="000E5691">
        <w:rPr>
          <w:i/>
          <w:iCs/>
        </w:rPr>
        <w:t xml:space="preserve">s </w:t>
      </w:r>
      <w:r w:rsidR="00466514">
        <w:rPr>
          <w:i/>
          <w:iCs/>
        </w:rPr>
        <w:t>largely unsuccessful. They allege that Mill</w:t>
      </w:r>
      <w:r w:rsidR="000E5691" w:rsidRPr="000E5691">
        <w:rPr>
          <w:i/>
          <w:iCs/>
        </w:rPr>
        <w:t xml:space="preserve"> fail</w:t>
      </w:r>
      <w:r w:rsidR="00466514">
        <w:rPr>
          <w:i/>
          <w:iCs/>
        </w:rPr>
        <w:t>ed</w:t>
      </w:r>
      <w:r w:rsidR="000E5691" w:rsidRPr="000E5691">
        <w:rPr>
          <w:i/>
          <w:iCs/>
        </w:rPr>
        <w:t xml:space="preserve"> to demonstrate that some pleasures are lexically preferred to others, and </w:t>
      </w:r>
      <w:r w:rsidR="00466514">
        <w:rPr>
          <w:i/>
          <w:iCs/>
        </w:rPr>
        <w:t xml:space="preserve">indeed </w:t>
      </w:r>
      <w:r w:rsidR="000E5691" w:rsidRPr="000E5691">
        <w:rPr>
          <w:i/>
          <w:iCs/>
        </w:rPr>
        <w:t xml:space="preserve">that </w:t>
      </w:r>
      <w:r w:rsidR="00E92225">
        <w:rPr>
          <w:i/>
          <w:iCs/>
        </w:rPr>
        <w:t>this</w:t>
      </w:r>
      <w:r w:rsidR="000E5691" w:rsidRPr="000E5691">
        <w:rPr>
          <w:i/>
          <w:iCs/>
        </w:rPr>
        <w:t xml:space="preserve"> can be </w:t>
      </w:r>
      <w:r>
        <w:rPr>
          <w:i/>
          <w:iCs/>
        </w:rPr>
        <w:t>shown false</w:t>
      </w:r>
      <w:r w:rsidR="00215512">
        <w:rPr>
          <w:i/>
          <w:iCs/>
        </w:rPr>
        <w:t xml:space="preserve"> by the fact that most people would not renounce supposedly lower pleasures, such as chocolate or sex, even for greater amounts of higher pleasures, such as reading or opera</w:t>
      </w:r>
      <w:r w:rsidR="000E5691" w:rsidRPr="000E5691">
        <w:rPr>
          <w:i/>
          <w:iCs/>
        </w:rPr>
        <w:t xml:space="preserve">. </w:t>
      </w:r>
      <w:r w:rsidR="00E841C0">
        <w:rPr>
          <w:i/>
          <w:iCs/>
        </w:rPr>
        <w:t xml:space="preserve">I </w:t>
      </w:r>
      <w:r>
        <w:rPr>
          <w:i/>
          <w:iCs/>
        </w:rPr>
        <w:t>respond</w:t>
      </w:r>
      <w:r w:rsidR="000E5691" w:rsidRPr="000E5691">
        <w:rPr>
          <w:i/>
          <w:iCs/>
        </w:rPr>
        <w:t xml:space="preserve"> that many of these criticisms rest on </w:t>
      </w:r>
      <w:r w:rsidRPr="000E5691">
        <w:rPr>
          <w:i/>
          <w:iCs/>
        </w:rPr>
        <w:t xml:space="preserve">uncharitable </w:t>
      </w:r>
      <w:r w:rsidR="000E5691" w:rsidRPr="000E5691">
        <w:rPr>
          <w:i/>
          <w:iCs/>
        </w:rPr>
        <w:t xml:space="preserve">assumptions or interpretations of Mill’s </w:t>
      </w:r>
      <w:r w:rsidR="00E92225">
        <w:rPr>
          <w:i/>
          <w:iCs/>
        </w:rPr>
        <w:t>position</w:t>
      </w:r>
      <w:r w:rsidR="00466514">
        <w:rPr>
          <w:i/>
          <w:iCs/>
        </w:rPr>
        <w:t>. W</w:t>
      </w:r>
      <w:r w:rsidR="00E841C0">
        <w:rPr>
          <w:i/>
          <w:iCs/>
        </w:rPr>
        <w:t xml:space="preserve">e need not </w:t>
      </w:r>
      <w:r>
        <w:rPr>
          <w:i/>
          <w:iCs/>
        </w:rPr>
        <w:t>suppos</w:t>
      </w:r>
      <w:r w:rsidR="00E841C0">
        <w:rPr>
          <w:i/>
          <w:iCs/>
        </w:rPr>
        <w:t xml:space="preserve">e that Mill was </w:t>
      </w:r>
      <w:r w:rsidR="00466514">
        <w:rPr>
          <w:i/>
          <w:iCs/>
        </w:rPr>
        <w:t xml:space="preserve">even </w:t>
      </w:r>
      <w:r w:rsidR="00E841C0">
        <w:rPr>
          <w:i/>
          <w:iCs/>
        </w:rPr>
        <w:t>trying to do the things</w:t>
      </w:r>
      <w:r w:rsidR="00466514">
        <w:rPr>
          <w:i/>
          <w:iCs/>
        </w:rPr>
        <w:t xml:space="preserve"> he supposedly failed to do</w:t>
      </w:r>
      <w:r w:rsidR="00E841C0">
        <w:rPr>
          <w:i/>
          <w:iCs/>
        </w:rPr>
        <w:t>.</w:t>
      </w:r>
      <w:r w:rsidR="000E5691" w:rsidRPr="000E5691">
        <w:rPr>
          <w:i/>
          <w:iCs/>
        </w:rPr>
        <w:t xml:space="preserve"> </w:t>
      </w:r>
      <w:r w:rsidR="004A79CB">
        <w:rPr>
          <w:i/>
          <w:iCs/>
        </w:rPr>
        <w:t>However, c</w:t>
      </w:r>
      <w:r w:rsidR="000E5691" w:rsidRPr="000E5691">
        <w:rPr>
          <w:i/>
          <w:iCs/>
        </w:rPr>
        <w:t>onsidering these objections</w:t>
      </w:r>
      <w:r w:rsidR="00E841C0">
        <w:rPr>
          <w:i/>
          <w:iCs/>
        </w:rPr>
        <w:t xml:space="preserve"> </w:t>
      </w:r>
      <w:r w:rsidR="000E5691" w:rsidRPr="000E5691">
        <w:rPr>
          <w:i/>
          <w:iCs/>
        </w:rPr>
        <w:t>may le</w:t>
      </w:r>
      <w:r w:rsidR="00E841C0">
        <w:rPr>
          <w:i/>
          <w:iCs/>
        </w:rPr>
        <w:t>a</w:t>
      </w:r>
      <w:r w:rsidR="000E5691" w:rsidRPr="000E5691">
        <w:rPr>
          <w:i/>
          <w:iCs/>
        </w:rPr>
        <w:t>d</w:t>
      </w:r>
      <w:r w:rsidR="00E841C0">
        <w:rPr>
          <w:i/>
          <w:iCs/>
        </w:rPr>
        <w:t xml:space="preserve"> us</w:t>
      </w:r>
      <w:r w:rsidR="000E5691" w:rsidRPr="000E5691">
        <w:rPr>
          <w:i/>
          <w:iCs/>
        </w:rPr>
        <w:t xml:space="preserve"> to a more plausible </w:t>
      </w:r>
      <w:r w:rsidR="00E841C0">
        <w:rPr>
          <w:i/>
          <w:iCs/>
        </w:rPr>
        <w:t>interpretat</w:t>
      </w:r>
      <w:r w:rsidR="000E5691" w:rsidRPr="000E5691">
        <w:rPr>
          <w:i/>
          <w:iCs/>
        </w:rPr>
        <w:t>ion of</w:t>
      </w:r>
      <w:r w:rsidR="00E841C0">
        <w:rPr>
          <w:i/>
          <w:iCs/>
        </w:rPr>
        <w:t xml:space="preserve"> Mill’s</w:t>
      </w:r>
      <w:r w:rsidR="000E5691" w:rsidRPr="000E5691">
        <w:rPr>
          <w:i/>
          <w:iCs/>
        </w:rPr>
        <w:t xml:space="preserve"> </w:t>
      </w:r>
      <w:r w:rsidR="00E92225">
        <w:rPr>
          <w:i/>
          <w:iCs/>
        </w:rPr>
        <w:t>views</w:t>
      </w:r>
      <w:r w:rsidR="00215512">
        <w:rPr>
          <w:i/>
          <w:iCs/>
        </w:rPr>
        <w:t>, according to which the quality of pleasures, along with their quantity, contributes towards happiness</w:t>
      </w:r>
      <w:r w:rsidR="000E5691" w:rsidRPr="000E5691">
        <w:rPr>
          <w:i/>
          <w:iCs/>
        </w:rPr>
        <w:t>.</w:t>
      </w:r>
      <w:r w:rsidR="00215512">
        <w:rPr>
          <w:i/>
          <w:iCs/>
        </w:rPr>
        <w:t xml:space="preserve"> There is no need to suppose that ‘higher pleasures’ must be lexically preferred to lower ones, or even to be dogmatic about which pleasures are higher.</w:t>
      </w:r>
    </w:p>
    <w:p w14:paraId="29D3A4AD" w14:textId="77777777" w:rsidR="000E5691" w:rsidRDefault="000E5691" w:rsidP="00C65241">
      <w:pPr>
        <w:spacing w:line="480" w:lineRule="auto"/>
        <w:jc w:val="both"/>
      </w:pPr>
    </w:p>
    <w:p w14:paraId="1E3A187D" w14:textId="3A0774D9" w:rsidR="00BB7EB6" w:rsidRDefault="00FA7A3A" w:rsidP="00BB7EB6">
      <w:pPr>
        <w:spacing w:line="480" w:lineRule="auto"/>
        <w:jc w:val="both"/>
      </w:pPr>
      <w:r>
        <w:t xml:space="preserve">Mill’s distinction between higher and lower pleasures occupies only a few paragraphs in chapter two of his </w:t>
      </w:r>
      <w:r w:rsidRPr="00FA7A3A">
        <w:rPr>
          <w:i/>
        </w:rPr>
        <w:t>Utilitarianism</w:t>
      </w:r>
      <w:r>
        <w:t xml:space="preserve">, </w:t>
      </w:r>
      <w:r w:rsidR="009B0765">
        <w:t>ye</w:t>
      </w:r>
      <w:r>
        <w:t xml:space="preserve">t </w:t>
      </w:r>
      <w:r w:rsidR="009B0765">
        <w:t xml:space="preserve">it </w:t>
      </w:r>
      <w:r>
        <w:t>ha</w:t>
      </w:r>
      <w:r w:rsidR="00DF54AA">
        <w:t>s generated a</w:t>
      </w:r>
      <w:r>
        <w:t xml:space="preserve"> vast scholarly literature</w:t>
      </w:r>
      <w:r w:rsidR="00170455">
        <w:t>. In the late 19</w:t>
      </w:r>
      <w:r w:rsidR="00170455" w:rsidRPr="00170455">
        <w:rPr>
          <w:vertAlign w:val="superscript"/>
        </w:rPr>
        <w:t>th</w:t>
      </w:r>
      <w:r w:rsidR="00170455">
        <w:t xml:space="preserve"> and early 20</w:t>
      </w:r>
      <w:r w:rsidR="00170455" w:rsidRPr="00170455">
        <w:rPr>
          <w:vertAlign w:val="superscript"/>
        </w:rPr>
        <w:t>th</w:t>
      </w:r>
      <w:r w:rsidR="00170455">
        <w:t xml:space="preserve"> century, reactions – from the likes of T. H. Green, F. H. Bradley, H. Sidgwick, and G. E. Moore – were largely critical. </w:t>
      </w:r>
      <w:r w:rsidR="004A79CB">
        <w:t>But, since the latter half</w:t>
      </w:r>
      <w:r w:rsidR="00DF6870">
        <w:t xml:space="preserve"> of the 20</w:t>
      </w:r>
      <w:r w:rsidR="00DF6870" w:rsidRPr="00DF6870">
        <w:rPr>
          <w:vertAlign w:val="superscript"/>
        </w:rPr>
        <w:t>th</w:t>
      </w:r>
      <w:r w:rsidR="00DF6870">
        <w:t xml:space="preserve"> century, </w:t>
      </w:r>
      <w:r w:rsidR="004A79CB">
        <w:t>other</w:t>
      </w:r>
      <w:r w:rsidR="00170455">
        <w:t xml:space="preserve"> commentators have sought to show that, while Mill’s brief remarks are not entirely perspicuous, a more charitable interpretation – or reconstruction – of his doctrine is possible.</w:t>
      </w:r>
      <w:r w:rsidR="00170455">
        <w:rPr>
          <w:rStyle w:val="FootnoteReference"/>
        </w:rPr>
        <w:footnoteReference w:id="1"/>
      </w:r>
      <w:r w:rsidR="00DF6870">
        <w:t xml:space="preserve"> The debate between critical and sympathetic interpreters continues today.</w:t>
      </w:r>
      <w:r w:rsidR="00BB7EB6">
        <w:t xml:space="preserve"> I place myself on the side of those sympathetic to Mill and I have proposed my own</w:t>
      </w:r>
      <w:r w:rsidR="00DF6870">
        <w:t xml:space="preserve"> </w:t>
      </w:r>
      <w:r w:rsidR="00215512">
        <w:lastRenderedPageBreak/>
        <w:t>reading</w:t>
      </w:r>
      <w:r w:rsidR="00DF6870">
        <w:t xml:space="preserve"> of Mill’s qualitative hedonism elsewhere.</w:t>
      </w:r>
      <w:r w:rsidR="00DF6870">
        <w:rPr>
          <w:rStyle w:val="FootnoteReference"/>
        </w:rPr>
        <w:footnoteReference w:id="2"/>
      </w:r>
      <w:r w:rsidR="00DF6870">
        <w:t xml:space="preserve"> It is not my purpose, here, to offer a novel interpretation of Mill’s views. Rather, my aim is to provide further support for my </w:t>
      </w:r>
      <w:r w:rsidR="00215512">
        <w:t>understanding</w:t>
      </w:r>
      <w:r w:rsidR="00DF6870">
        <w:t xml:space="preserve"> </w:t>
      </w:r>
      <w:r w:rsidR="00215512">
        <w:t xml:space="preserve">of Mill </w:t>
      </w:r>
      <w:r w:rsidR="00DF6870">
        <w:t xml:space="preserve">by considering </w:t>
      </w:r>
      <w:r w:rsidR="001E04E7">
        <w:t>two recent critics</w:t>
      </w:r>
      <w:r w:rsidR="009B0765">
        <w:t xml:space="preserve"> of </w:t>
      </w:r>
      <w:r w:rsidR="00215512">
        <w:t>hi</w:t>
      </w:r>
      <w:r w:rsidR="009B0765">
        <w:t>s qualitative hedonism</w:t>
      </w:r>
      <w:r w:rsidR="001E04E7">
        <w:t xml:space="preserve">, </w:t>
      </w:r>
      <w:r w:rsidR="00B56202">
        <w:t xml:space="preserve">namely </w:t>
      </w:r>
      <w:r w:rsidR="001E04E7">
        <w:t xml:space="preserve">Michael </w:t>
      </w:r>
      <w:proofErr w:type="spellStart"/>
      <w:r w:rsidR="001E04E7">
        <w:t>Hauskeller</w:t>
      </w:r>
      <w:proofErr w:type="spellEnd"/>
      <w:r w:rsidR="001E04E7">
        <w:t xml:space="preserve"> and Kristin </w:t>
      </w:r>
      <w:proofErr w:type="spellStart"/>
      <w:r w:rsidR="001E04E7">
        <w:t>Schaupp</w:t>
      </w:r>
      <w:proofErr w:type="spellEnd"/>
      <w:r w:rsidR="009B0765">
        <w:t>.</w:t>
      </w:r>
    </w:p>
    <w:p w14:paraId="4B1A6B25" w14:textId="739BED0B" w:rsidR="00215512" w:rsidRDefault="00B56202" w:rsidP="00C65241">
      <w:pPr>
        <w:spacing w:line="480" w:lineRule="auto"/>
        <w:jc w:val="both"/>
      </w:pPr>
      <w:r>
        <w:t xml:space="preserve">Though there are important differences between them, both </w:t>
      </w:r>
      <w:proofErr w:type="spellStart"/>
      <w:r>
        <w:t>Hauskeller</w:t>
      </w:r>
      <w:proofErr w:type="spellEnd"/>
      <w:r>
        <w:t xml:space="preserve"> and </w:t>
      </w:r>
      <w:proofErr w:type="spellStart"/>
      <w:r>
        <w:t>Schaupp</w:t>
      </w:r>
      <w:proofErr w:type="spellEnd"/>
      <w:r>
        <w:t xml:space="preserve"> claim </w:t>
      </w:r>
      <w:r w:rsidR="00F9299A">
        <w:t xml:space="preserve">that </w:t>
      </w:r>
      <w:r w:rsidR="00485A62">
        <w:t>‘</w:t>
      </w:r>
      <w:r w:rsidR="001E04E7" w:rsidRPr="001E04E7">
        <w:t>Mill fails to achieve what</w:t>
      </w:r>
      <w:r w:rsidR="001E04E7">
        <w:t xml:space="preserve"> </w:t>
      </w:r>
      <w:r w:rsidR="001E04E7" w:rsidRPr="001E04E7">
        <w:t>he set out to achieve</w:t>
      </w:r>
      <w:r w:rsidR="00485A62">
        <w:t>’</w:t>
      </w:r>
      <w:r w:rsidR="001F0614">
        <w:rPr>
          <w:rStyle w:val="FootnoteReference"/>
        </w:rPr>
        <w:footnoteReference w:id="3"/>
      </w:r>
      <w:r>
        <w:t xml:space="preserve"> for</w:t>
      </w:r>
      <w:r w:rsidR="001E04E7">
        <w:t xml:space="preserve"> </w:t>
      </w:r>
      <w:r w:rsidR="00485A62">
        <w:t>‘</w:t>
      </w:r>
      <w:r w:rsidR="00AF012D">
        <w:t>A</w:t>
      </w:r>
      <w:r w:rsidR="001E04E7" w:rsidRPr="001E04E7">
        <w:t>lthough Mill purports to have shown</w:t>
      </w:r>
      <w:r w:rsidR="001E04E7">
        <w:t xml:space="preserve"> </w:t>
      </w:r>
      <w:r w:rsidR="001E04E7" w:rsidRPr="001E04E7">
        <w:t>decisively that people prefer pleasures resulting from their higher</w:t>
      </w:r>
      <w:r w:rsidR="001E04E7">
        <w:t xml:space="preserve"> </w:t>
      </w:r>
      <w:r w:rsidR="001E04E7" w:rsidRPr="001E04E7">
        <w:t xml:space="preserve">faculties, he is unable to </w:t>
      </w:r>
      <w:r w:rsidR="00F9299A">
        <w:t>do so with the evidence he uses</w:t>
      </w:r>
      <w:r w:rsidR="00485A62">
        <w:t>’</w:t>
      </w:r>
      <w:r w:rsidR="00F9299A">
        <w:t>.</w:t>
      </w:r>
      <w:r w:rsidR="00234B9E">
        <w:rPr>
          <w:rStyle w:val="FootnoteReference"/>
        </w:rPr>
        <w:footnoteReference w:id="4"/>
      </w:r>
      <w:r w:rsidR="00BB7EB6">
        <w:t xml:space="preserve"> </w:t>
      </w:r>
      <w:r w:rsidR="00DF54AA">
        <w:t>T</w:t>
      </w:r>
      <w:r>
        <w:t>here is nothing</w:t>
      </w:r>
      <w:r w:rsidR="001E04E7">
        <w:t xml:space="preserve"> particularly</w:t>
      </w:r>
      <w:r w:rsidR="0025001B">
        <w:t xml:space="preserve"> novel about these conclusions</w:t>
      </w:r>
      <w:r w:rsidR="00BB7EB6">
        <w:t>; t</w:t>
      </w:r>
      <w:r w:rsidR="0025001B">
        <w:t xml:space="preserve">he interest lies in the arguments that </w:t>
      </w:r>
      <w:proofErr w:type="spellStart"/>
      <w:r>
        <w:t>Hauskeller</w:t>
      </w:r>
      <w:proofErr w:type="spellEnd"/>
      <w:r>
        <w:t xml:space="preserve"> and </w:t>
      </w:r>
      <w:proofErr w:type="spellStart"/>
      <w:r>
        <w:t>Schaupp</w:t>
      </w:r>
      <w:proofErr w:type="spellEnd"/>
      <w:r w:rsidR="0025001B">
        <w:t xml:space="preserve"> offer</w:t>
      </w:r>
      <w:r w:rsidR="00BE4344">
        <w:t>,</w:t>
      </w:r>
      <w:r w:rsidR="0025001B">
        <w:t xml:space="preserve"> which are more sophisticated than those of Mill’s earlier critics. Nonetheless, I con</w:t>
      </w:r>
      <w:r w:rsidR="00EE769E">
        <w:t>tend that their criticisms fail</w:t>
      </w:r>
      <w:r w:rsidR="0025001B">
        <w:t>.</w:t>
      </w:r>
      <w:r w:rsidR="00DF54AA">
        <w:t xml:space="preserve"> In several</w:t>
      </w:r>
      <w:r>
        <w:t xml:space="preserve"> cases, I</w:t>
      </w:r>
      <w:r w:rsidR="007F00CE">
        <w:t xml:space="preserve"> believe that they criticiz</w:t>
      </w:r>
      <w:r w:rsidR="00BB7EB6">
        <w:t>e Mill</w:t>
      </w:r>
      <w:r>
        <w:t xml:space="preserve"> for failing to demonstrate things that he never set out to demonstrate and would even have denied.</w:t>
      </w:r>
      <w:r w:rsidR="0025001B">
        <w:t xml:space="preserve"> </w:t>
      </w:r>
      <w:r w:rsidR="008D7023">
        <w:t xml:space="preserve">A more charitable interpretation of Mill’s views emerges largely unscathed from these criticisms. </w:t>
      </w:r>
      <w:r w:rsidR="00BE4344">
        <w:t xml:space="preserve">I do not mean to be dismissive: both </w:t>
      </w:r>
      <w:proofErr w:type="spellStart"/>
      <w:r w:rsidR="00BE4344">
        <w:t>Hauskeller</w:t>
      </w:r>
      <w:proofErr w:type="spellEnd"/>
      <w:r w:rsidR="00BE4344">
        <w:t xml:space="preserve"> and </w:t>
      </w:r>
      <w:proofErr w:type="spellStart"/>
      <w:r w:rsidR="00BE4344">
        <w:t>Schaupp</w:t>
      </w:r>
      <w:proofErr w:type="spellEnd"/>
      <w:r w:rsidR="00BE4344">
        <w:t xml:space="preserve"> are correct on some points and, even where they are wrong, I believe their criticisms are instructive.</w:t>
      </w:r>
      <w:r w:rsidR="00BE4344">
        <w:rPr>
          <w:rStyle w:val="FootnoteReference"/>
        </w:rPr>
        <w:footnoteReference w:id="5"/>
      </w:r>
      <w:r w:rsidR="00BE4344">
        <w:t xml:space="preserve"> </w:t>
      </w:r>
      <w:r w:rsidR="00215512">
        <w:t xml:space="preserve">If I can show that my alternative reading of Mill’s qualitative hedonism rebuts many of these charges, while remaining </w:t>
      </w:r>
      <w:r w:rsidR="00215512">
        <w:lastRenderedPageBreak/>
        <w:t>faithful to Mill’s text, then reasons of charity compel us to prefer this interpretation.</w:t>
      </w:r>
      <w:r w:rsidR="0017392C">
        <w:t xml:space="preserve"> Thus, objections to an alternative reading of this doctrine should lead us to question whether it was really Mill’s position, before concluding that he was confused or mistaken.</w:t>
      </w:r>
    </w:p>
    <w:p w14:paraId="6FD156BB" w14:textId="77777777" w:rsidR="0025001B" w:rsidRDefault="0025001B" w:rsidP="00C65241">
      <w:pPr>
        <w:spacing w:line="480" w:lineRule="auto"/>
        <w:jc w:val="both"/>
      </w:pPr>
    </w:p>
    <w:p w14:paraId="4CF929FC" w14:textId="77777777" w:rsidR="0025001B" w:rsidRPr="00BB41AC" w:rsidRDefault="0025001B" w:rsidP="00C65241">
      <w:pPr>
        <w:spacing w:line="480" w:lineRule="auto"/>
        <w:jc w:val="both"/>
        <w:rPr>
          <w:b/>
        </w:rPr>
      </w:pPr>
      <w:r w:rsidRPr="00BB41AC">
        <w:rPr>
          <w:b/>
        </w:rPr>
        <w:t xml:space="preserve">Mill’s </w:t>
      </w:r>
      <w:r w:rsidR="00661DED" w:rsidRPr="00BB41AC">
        <w:rPr>
          <w:b/>
        </w:rPr>
        <w:t>Aim</w:t>
      </w:r>
      <w:r w:rsidRPr="00BB41AC">
        <w:rPr>
          <w:b/>
        </w:rPr>
        <w:t>s</w:t>
      </w:r>
    </w:p>
    <w:p w14:paraId="0DCC91AD" w14:textId="0321D37E" w:rsidR="00401D84" w:rsidRDefault="00661DED" w:rsidP="00C65241">
      <w:pPr>
        <w:spacing w:line="480" w:lineRule="auto"/>
        <w:jc w:val="both"/>
      </w:pPr>
      <w:r>
        <w:t xml:space="preserve">Before we can judge whether or not Mill succeeded in achieving his aims, we must say something about what he set out to </w:t>
      </w:r>
      <w:r w:rsidR="00BB7EB6">
        <w:t>achieve</w:t>
      </w:r>
      <w:r>
        <w:t xml:space="preserve">. </w:t>
      </w:r>
      <w:r w:rsidR="0025001B">
        <w:t xml:space="preserve">Mill’s </w:t>
      </w:r>
      <w:r w:rsidR="00010BEC">
        <w:t xml:space="preserve">stated </w:t>
      </w:r>
      <w:r w:rsidR="00DF54AA">
        <w:t>purpose</w:t>
      </w:r>
      <w:r w:rsidR="0025001B">
        <w:t>, in</w:t>
      </w:r>
      <w:r w:rsidR="0000188E">
        <w:t xml:space="preserve"> writing </w:t>
      </w:r>
      <w:r w:rsidR="0000188E" w:rsidRPr="00427C66">
        <w:rPr>
          <w:i/>
        </w:rPr>
        <w:t>Utilitarianism</w:t>
      </w:r>
      <w:r w:rsidR="0000188E">
        <w:t xml:space="preserve">, was </w:t>
      </w:r>
      <w:r w:rsidR="00485A62">
        <w:t>‘</w:t>
      </w:r>
      <w:r w:rsidR="0025001B" w:rsidRPr="0025001B">
        <w:t xml:space="preserve">to contribute something towards the </w:t>
      </w:r>
      <w:r w:rsidR="0025001B" w:rsidRPr="0000188E">
        <w:t>understandi</w:t>
      </w:r>
      <w:r w:rsidR="0025001B" w:rsidRPr="0000188E">
        <w:rPr>
          <w:bCs/>
        </w:rPr>
        <w:t>n</w:t>
      </w:r>
      <w:r w:rsidR="0000188E" w:rsidRPr="0000188E">
        <w:t xml:space="preserve">g and </w:t>
      </w:r>
      <w:r w:rsidR="0025001B" w:rsidRPr="0000188E">
        <w:t>a</w:t>
      </w:r>
      <w:r w:rsidR="0025001B" w:rsidRPr="0000188E">
        <w:rPr>
          <w:bCs/>
        </w:rPr>
        <w:t>p</w:t>
      </w:r>
      <w:r w:rsidR="0025001B" w:rsidRPr="0000188E">
        <w:t>prec</w:t>
      </w:r>
      <w:r w:rsidR="0025001B" w:rsidRPr="0000188E">
        <w:rPr>
          <w:bCs/>
        </w:rPr>
        <w:t>i</w:t>
      </w:r>
      <w:r w:rsidR="0025001B" w:rsidRPr="0000188E">
        <w:t>ati</w:t>
      </w:r>
      <w:r w:rsidR="0025001B" w:rsidRPr="0000188E">
        <w:rPr>
          <w:bCs/>
        </w:rPr>
        <w:t xml:space="preserve">on of </w:t>
      </w:r>
      <w:r w:rsidR="0025001B" w:rsidRPr="0000188E">
        <w:t xml:space="preserve">the </w:t>
      </w:r>
      <w:r w:rsidR="0025001B" w:rsidRPr="0000188E">
        <w:rPr>
          <w:bCs/>
        </w:rPr>
        <w:t>U</w:t>
      </w:r>
      <w:r w:rsidR="0025001B" w:rsidRPr="0000188E">
        <w:t xml:space="preserve">tilitarian </w:t>
      </w:r>
      <w:r w:rsidR="0025001B" w:rsidRPr="0000188E">
        <w:rPr>
          <w:bCs/>
        </w:rPr>
        <w:t>o</w:t>
      </w:r>
      <w:r w:rsidR="0025001B" w:rsidRPr="0000188E">
        <w:t>r Happiness theo</w:t>
      </w:r>
      <w:r w:rsidR="0025001B" w:rsidRPr="0000188E">
        <w:rPr>
          <w:bCs/>
        </w:rPr>
        <w:t>r</w:t>
      </w:r>
      <w:r w:rsidR="0025001B" w:rsidRPr="0000188E">
        <w:t>y</w:t>
      </w:r>
      <w:r w:rsidR="0025001B" w:rsidRPr="0000188E">
        <w:rPr>
          <w:bCs/>
        </w:rPr>
        <w:t xml:space="preserve">, </w:t>
      </w:r>
      <w:r w:rsidR="0025001B" w:rsidRPr="0000188E">
        <w:t>an</w:t>
      </w:r>
      <w:r w:rsidR="0025001B" w:rsidRPr="0000188E">
        <w:rPr>
          <w:bCs/>
        </w:rPr>
        <w:t xml:space="preserve">d </w:t>
      </w:r>
      <w:r w:rsidR="0025001B" w:rsidRPr="0000188E">
        <w:t>t</w:t>
      </w:r>
      <w:r w:rsidR="0025001B" w:rsidRPr="0000188E">
        <w:rPr>
          <w:bCs/>
        </w:rPr>
        <w:t>o</w:t>
      </w:r>
      <w:r w:rsidR="0025001B" w:rsidRPr="0000188E">
        <w:t>wa</w:t>
      </w:r>
      <w:r w:rsidR="0025001B" w:rsidRPr="0000188E">
        <w:rPr>
          <w:bCs/>
        </w:rPr>
        <w:t>rd</w:t>
      </w:r>
      <w:r w:rsidR="0025001B" w:rsidRPr="0000188E">
        <w:t>s s</w:t>
      </w:r>
      <w:r w:rsidR="0025001B" w:rsidRPr="0000188E">
        <w:rPr>
          <w:bCs/>
        </w:rPr>
        <w:t>u</w:t>
      </w:r>
      <w:r w:rsidR="0025001B" w:rsidRPr="0000188E">
        <w:t>ch pr</w:t>
      </w:r>
      <w:r w:rsidR="0025001B" w:rsidRPr="0000188E">
        <w:rPr>
          <w:bCs/>
        </w:rPr>
        <w:t>oo</w:t>
      </w:r>
      <w:r w:rsidR="0025001B" w:rsidRPr="0000188E">
        <w:t>f</w:t>
      </w:r>
      <w:r w:rsidR="0000188E" w:rsidRPr="0000188E">
        <w:t xml:space="preserve"> </w:t>
      </w:r>
      <w:r w:rsidR="0025001B" w:rsidRPr="0000188E">
        <w:t xml:space="preserve">as </w:t>
      </w:r>
      <w:r w:rsidR="0025001B" w:rsidRPr="0000188E">
        <w:rPr>
          <w:bCs/>
        </w:rPr>
        <w:t>i</w:t>
      </w:r>
      <w:r w:rsidR="0025001B" w:rsidRPr="0000188E">
        <w:t>t is s</w:t>
      </w:r>
      <w:r w:rsidR="0025001B" w:rsidRPr="0000188E">
        <w:rPr>
          <w:bCs/>
        </w:rPr>
        <w:t>us</w:t>
      </w:r>
      <w:r w:rsidR="0025001B" w:rsidRPr="0000188E">
        <w:t>ceptible o</w:t>
      </w:r>
      <w:r w:rsidR="0000188E" w:rsidRPr="0000188E">
        <w:rPr>
          <w:bCs/>
        </w:rPr>
        <w:t>f</w:t>
      </w:r>
      <w:r w:rsidR="00485A62">
        <w:t>’</w:t>
      </w:r>
      <w:r w:rsidR="0000188E">
        <w:t>.</w:t>
      </w:r>
      <w:r w:rsidR="007D26DD">
        <w:rPr>
          <w:rStyle w:val="FootnoteReference"/>
        </w:rPr>
        <w:footnoteReference w:id="6"/>
      </w:r>
      <w:r w:rsidR="0000188E">
        <w:t xml:space="preserve"> The ‘proof’ offered in chapter four is, of course, notorious in its own right, but Mill did not appear to consider that his main contr</w:t>
      </w:r>
      <w:r w:rsidR="00485A62">
        <w:t>ibution. In Mill’s estimation, ‘</w:t>
      </w:r>
      <w:r w:rsidR="0000188E" w:rsidRPr="0000188E">
        <w:t>the chie</w:t>
      </w:r>
      <w:r w:rsidR="0000188E" w:rsidRPr="0000188E">
        <w:rPr>
          <w:bCs/>
        </w:rPr>
        <w:t>f</w:t>
      </w:r>
      <w:r w:rsidR="0000188E" w:rsidRPr="0000188E">
        <w:rPr>
          <w:b/>
          <w:bCs/>
        </w:rPr>
        <w:t xml:space="preserve"> </w:t>
      </w:r>
      <w:r w:rsidR="0000188E" w:rsidRPr="0000188E">
        <w:t xml:space="preserve">obstacle which impedes </w:t>
      </w:r>
      <w:r w:rsidR="0000188E">
        <w:t xml:space="preserve">[utilitarianism’s] </w:t>
      </w:r>
      <w:r w:rsidR="0000188E" w:rsidRPr="0000188E">
        <w:t>reception</w:t>
      </w:r>
      <w:r w:rsidR="00485A62">
        <w:t>’ was ‘</w:t>
      </w:r>
      <w:r w:rsidR="0000188E" w:rsidRPr="0000188E">
        <w:t>the very imperfect notion</w:t>
      </w:r>
      <w:r w:rsidR="0000188E">
        <w:t xml:space="preserve"> </w:t>
      </w:r>
      <w:r w:rsidR="0000188E" w:rsidRPr="0000188E">
        <w:t>ordinarily formed of its meaning</w:t>
      </w:r>
      <w:r w:rsidR="00485A62">
        <w:t>’</w:t>
      </w:r>
      <w:r w:rsidR="00401D84">
        <w:t>.</w:t>
      </w:r>
      <w:r w:rsidR="007D26DD">
        <w:rPr>
          <w:rStyle w:val="FootnoteReference"/>
        </w:rPr>
        <w:footnoteReference w:id="7"/>
      </w:r>
    </w:p>
    <w:p w14:paraId="7BFD4740" w14:textId="1097D52D" w:rsidR="00427C66" w:rsidRDefault="00427C66" w:rsidP="00C65241">
      <w:pPr>
        <w:spacing w:line="480" w:lineRule="auto"/>
        <w:jc w:val="both"/>
      </w:pPr>
      <w:r>
        <w:t xml:space="preserve">Throughout </w:t>
      </w:r>
      <w:r w:rsidR="00401D84" w:rsidRPr="00401D84">
        <w:rPr>
          <w:i/>
          <w:iCs/>
        </w:rPr>
        <w:t>Utilitarianism</w:t>
      </w:r>
      <w:r>
        <w:t>, Mill is primarily concerned to rebut</w:t>
      </w:r>
      <w:r w:rsidR="00401D84">
        <w:t xml:space="preserve"> misunderstandings that he regarded as</w:t>
      </w:r>
      <w:r>
        <w:t xml:space="preserve"> potential ob</w:t>
      </w:r>
      <w:r w:rsidR="00401D84">
        <w:t>stacle</w:t>
      </w:r>
      <w:r>
        <w:t>s to the acceptance of utilitarianism. For instance, in chapter two he argues against the accusation that utilitarianism is godless,</w:t>
      </w:r>
      <w:r w:rsidR="007D26DD">
        <w:rPr>
          <w:rStyle w:val="FootnoteReference"/>
        </w:rPr>
        <w:footnoteReference w:id="8"/>
      </w:r>
      <w:r>
        <w:t xml:space="preserve"> in chapter four he argues that utilitarianism is compatible with recognizing virtue as desirable in and for itself,</w:t>
      </w:r>
      <w:r w:rsidR="007D26DD">
        <w:rPr>
          <w:rStyle w:val="FootnoteReference"/>
        </w:rPr>
        <w:footnoteReference w:id="9"/>
      </w:r>
      <w:r>
        <w:t xml:space="preserve"> and in chapter five he argues that utilitarianism is not in conflict with justice.</w:t>
      </w:r>
      <w:r w:rsidR="007D26DD">
        <w:rPr>
          <w:rStyle w:val="FootnoteReference"/>
        </w:rPr>
        <w:footnoteReference w:id="10"/>
      </w:r>
      <w:r>
        <w:t xml:space="preserve"> In each case, Mill </w:t>
      </w:r>
      <w:r w:rsidR="00661DED">
        <w:t xml:space="preserve">considers an objection commonly levelled against utilitarianism and then argues that the intuition of the objectors can in fact be </w:t>
      </w:r>
      <w:r w:rsidR="00661DED">
        <w:lastRenderedPageBreak/>
        <w:t xml:space="preserve">accommodated by a sufficiently sophisticated utilitarianism. </w:t>
      </w:r>
      <w:r w:rsidR="00447A0F">
        <w:t>In this, Mill demonstrates his conviction that a synthesis can often be found that incorporates the insights of two ‘partial truths’ while corr</w:t>
      </w:r>
      <w:r w:rsidR="0021033B">
        <w:t>ecting for their one-sidedness</w:t>
      </w:r>
      <w:r w:rsidR="00447A0F">
        <w:t>.</w:t>
      </w:r>
      <w:r w:rsidR="0021033B">
        <w:rPr>
          <w:rStyle w:val="FootnoteReference"/>
        </w:rPr>
        <w:footnoteReference w:id="11"/>
      </w:r>
      <w:r w:rsidR="00447A0F">
        <w:t xml:space="preserve"> </w:t>
      </w:r>
      <w:r w:rsidR="00661DED">
        <w:t>The doctrine of higher pleasures</w:t>
      </w:r>
      <w:r w:rsidR="00401D84">
        <w:t>, I believe,</w:t>
      </w:r>
      <w:r w:rsidR="00661DED">
        <w:t xml:space="preserve"> is developed in the same spirit.</w:t>
      </w:r>
    </w:p>
    <w:p w14:paraId="7081B595" w14:textId="18902B31" w:rsidR="00447A0F" w:rsidRDefault="00661DED" w:rsidP="00C65241">
      <w:pPr>
        <w:spacing w:line="480" w:lineRule="auto"/>
        <w:jc w:val="both"/>
      </w:pPr>
      <w:r>
        <w:t xml:space="preserve">According to Mill, many of his contemporaries regarded the doctrine that life has </w:t>
      </w:r>
      <w:r w:rsidR="00854DD3">
        <w:t>no higher end than pleasure as ‘</w:t>
      </w:r>
      <w:r>
        <w:t>worthy only of swine</w:t>
      </w:r>
      <w:r w:rsidR="00854DD3">
        <w:t>’</w:t>
      </w:r>
      <w:r>
        <w:t>.</w:t>
      </w:r>
      <w:r w:rsidR="007D26DD">
        <w:rPr>
          <w:rStyle w:val="FootnoteReference"/>
        </w:rPr>
        <w:footnoteReference w:id="12"/>
      </w:r>
      <w:r>
        <w:t xml:space="preserve"> Mill does not n</w:t>
      </w:r>
      <w:r w:rsidR="00EE769E">
        <w:t>ame particular objectors here, but i</w:t>
      </w:r>
      <w:r>
        <w:t>t is frequently assume</w:t>
      </w:r>
      <w:r w:rsidR="00EE769E">
        <w:t xml:space="preserve">d that he is responding </w:t>
      </w:r>
      <w:r>
        <w:t xml:space="preserve">to Carlyle, who ridiculed ‘pig philosophy’ in his </w:t>
      </w:r>
      <w:r w:rsidRPr="00A64F20">
        <w:rPr>
          <w:i/>
        </w:rPr>
        <w:t>Latter-Day Pamphlets</w:t>
      </w:r>
      <w:r w:rsidR="00DF54AA">
        <w:t>.</w:t>
      </w:r>
      <w:r w:rsidR="006B63E7">
        <w:rPr>
          <w:rStyle w:val="FootnoteReference"/>
        </w:rPr>
        <w:footnoteReference w:id="13"/>
      </w:r>
      <w:r>
        <w:t xml:space="preserve"> </w:t>
      </w:r>
      <w:r w:rsidR="00DF54AA">
        <w:t>Whether or not Carlyle was the chief target,</w:t>
      </w:r>
      <w:r w:rsidR="00EE769E">
        <w:t xml:space="preserve"> Mill presumably has</w:t>
      </w:r>
      <w:r>
        <w:t xml:space="preserve"> others in</w:t>
      </w:r>
      <w:r w:rsidR="00854DD3">
        <w:t xml:space="preserve"> mind also, since he refers to ‘</w:t>
      </w:r>
      <w:r>
        <w:t>German, French, and English assailants</w:t>
      </w:r>
      <w:r w:rsidR="00854DD3">
        <w:t>’</w:t>
      </w:r>
      <w:r>
        <w:t xml:space="preserve"> of utilitarianism.</w:t>
      </w:r>
      <w:r w:rsidR="007D26DD">
        <w:rPr>
          <w:rStyle w:val="FootnoteReference"/>
        </w:rPr>
        <w:footnoteReference w:id="14"/>
      </w:r>
      <w:r w:rsidR="00A64F20">
        <w:t xml:space="preserve"> In any case, Mill’s aim is to respond to those who think that a truly good life must contain nobler ends than mere pleasure</w:t>
      </w:r>
      <w:r w:rsidR="00447A0F">
        <w:t>.</w:t>
      </w:r>
    </w:p>
    <w:p w14:paraId="61F8C4D4" w14:textId="5117E8CB" w:rsidR="00BB7EB6" w:rsidRDefault="00447A0F" w:rsidP="00C65241">
      <w:pPr>
        <w:spacing w:line="480" w:lineRule="auto"/>
        <w:jc w:val="both"/>
      </w:pPr>
      <w:r>
        <w:t xml:space="preserve">One response to such an objection would be to deny the claim that nobler ends are inherently more valuable than base pleasures, arguing that this is </w:t>
      </w:r>
      <w:r w:rsidR="00EE769E">
        <w:t xml:space="preserve">either </w:t>
      </w:r>
      <w:r>
        <w:t xml:space="preserve">mere prejudice or grounded in their circumstantial advantages. This would be the </w:t>
      </w:r>
      <w:proofErr w:type="spellStart"/>
      <w:r>
        <w:t>Benthamite</w:t>
      </w:r>
      <w:proofErr w:type="spellEnd"/>
      <w:r>
        <w:t xml:space="preserve"> r</w:t>
      </w:r>
      <w:r w:rsidR="007F00CE">
        <w:t>esponse and it is worth emphasiz</w:t>
      </w:r>
      <w:r w:rsidR="0017392C">
        <w:t>ing that Mill considers</w:t>
      </w:r>
      <w:r>
        <w:t xml:space="preserve"> such a response </w:t>
      </w:r>
      <w:r w:rsidR="00955D7B">
        <w:t>entirely successful in justifying the superiority of mental pleasures over bodily ones</w:t>
      </w:r>
      <w:r w:rsidR="004B395E">
        <w:t>.</w:t>
      </w:r>
      <w:r w:rsidR="007D26DD">
        <w:rPr>
          <w:rStyle w:val="FootnoteReference"/>
        </w:rPr>
        <w:footnoteReference w:id="15"/>
      </w:r>
      <w:r w:rsidR="004B395E">
        <w:t xml:space="preserve"> One could </w:t>
      </w:r>
      <w:r w:rsidR="00102884">
        <w:t xml:space="preserve">still </w:t>
      </w:r>
      <w:r w:rsidR="004B395E">
        <w:t xml:space="preserve">argue that poetry is preferable to pushpin </w:t>
      </w:r>
      <w:r w:rsidR="00955D7B">
        <w:t xml:space="preserve">simply </w:t>
      </w:r>
      <w:r w:rsidR="004B395E">
        <w:t xml:space="preserve">on the grounds that it </w:t>
      </w:r>
      <w:r w:rsidR="00EE769E">
        <w:t xml:space="preserve">usually </w:t>
      </w:r>
      <w:r w:rsidR="004B395E">
        <w:t xml:space="preserve">produces </w:t>
      </w:r>
      <w:r w:rsidR="004B395E" w:rsidRPr="0017392C">
        <w:rPr>
          <w:i/>
        </w:rPr>
        <w:t>more</w:t>
      </w:r>
      <w:r w:rsidR="004B395E">
        <w:t xml:space="preserve"> pleasure, especially when we take into account that people are less likely to tire of poetry and do not n</w:t>
      </w:r>
      <w:r w:rsidR="00EE769E">
        <w:t>eed a companion to enjoy it</w:t>
      </w:r>
      <w:r w:rsidR="004B395E">
        <w:t>.</w:t>
      </w:r>
      <w:r>
        <w:t xml:space="preserve"> </w:t>
      </w:r>
      <w:r w:rsidR="004B395E">
        <w:t>However, Mil</w:t>
      </w:r>
      <w:r w:rsidR="00BB7EB6">
        <w:t>l thinks that more can be said than this.</w:t>
      </w:r>
    </w:p>
    <w:p w14:paraId="3EA3654D" w14:textId="186B9ED1" w:rsidR="00427C66" w:rsidRDefault="004B395E" w:rsidP="00C65241">
      <w:pPr>
        <w:spacing w:line="480" w:lineRule="auto"/>
        <w:jc w:val="both"/>
      </w:pPr>
      <w:r>
        <w:lastRenderedPageBreak/>
        <w:t>A</w:t>
      </w:r>
      <w:r w:rsidR="00A64F20">
        <w:t xml:space="preserve">s when considering other objections, </w:t>
      </w:r>
      <w:r w:rsidR="00BB7EB6">
        <w:t>Mill</w:t>
      </w:r>
      <w:r w:rsidR="00A64F20">
        <w:t xml:space="preserve"> concedes that his interlocutors’ in</w:t>
      </w:r>
      <w:r w:rsidR="00854DD3">
        <w:t>tuition carries genuine force: ‘</w:t>
      </w:r>
      <w:r w:rsidR="00A64F20" w:rsidRPr="00A64F20">
        <w:t xml:space="preserve">Human beings </w:t>
      </w:r>
      <w:r w:rsidR="00A64F20" w:rsidRPr="00A64F20">
        <w:rPr>
          <w:bCs/>
        </w:rPr>
        <w:t>h</w:t>
      </w:r>
      <w:r w:rsidR="00A64F20" w:rsidRPr="00A64F20">
        <w:t xml:space="preserve">ave </w:t>
      </w:r>
      <w:r w:rsidR="00A64F20" w:rsidRPr="00A64F20">
        <w:rPr>
          <w:bCs/>
        </w:rPr>
        <w:t>f</w:t>
      </w:r>
      <w:r w:rsidR="00A64F20" w:rsidRPr="00A64F20">
        <w:t>aculties more elevated than the animal appe</w:t>
      </w:r>
      <w:r w:rsidR="00A64F20" w:rsidRPr="00A64F20">
        <w:rPr>
          <w:bCs/>
        </w:rPr>
        <w:t>ti</w:t>
      </w:r>
      <w:r w:rsidR="00A64F20" w:rsidRPr="00A64F20">
        <w:t>tes, and w</w:t>
      </w:r>
      <w:r w:rsidR="00A64F20" w:rsidRPr="00A64F20">
        <w:rPr>
          <w:bCs/>
        </w:rPr>
        <w:t>h</w:t>
      </w:r>
      <w:r w:rsidR="00A64F20" w:rsidRPr="00A64F20">
        <w:t>e</w:t>
      </w:r>
      <w:r w:rsidR="00A64F20" w:rsidRPr="00A64F20">
        <w:rPr>
          <w:bCs/>
        </w:rPr>
        <w:t xml:space="preserve">n </w:t>
      </w:r>
      <w:r w:rsidR="00A64F20" w:rsidRPr="00A64F20">
        <w:t>once made consciou</w:t>
      </w:r>
      <w:r w:rsidR="00A64F20" w:rsidRPr="00A64F20">
        <w:rPr>
          <w:bCs/>
        </w:rPr>
        <w:t xml:space="preserve">s </w:t>
      </w:r>
      <w:r w:rsidR="00A64F20" w:rsidRPr="00A64F20">
        <w:t>o</w:t>
      </w:r>
      <w:r w:rsidR="00A64F20" w:rsidRPr="00A64F20">
        <w:rPr>
          <w:bCs/>
        </w:rPr>
        <w:t xml:space="preserve">f </w:t>
      </w:r>
      <w:r w:rsidR="00A64F20" w:rsidRPr="00A64F20">
        <w:t>them, do not reg</w:t>
      </w:r>
      <w:r w:rsidR="00A64F20" w:rsidRPr="00A64F20">
        <w:rPr>
          <w:bCs/>
        </w:rPr>
        <w:t>ar</w:t>
      </w:r>
      <w:r w:rsidR="00A64F20" w:rsidRPr="00A64F20">
        <w:t xml:space="preserve">d anything as happiness which does </w:t>
      </w:r>
      <w:r w:rsidR="00A64F20" w:rsidRPr="00A64F20">
        <w:rPr>
          <w:bCs/>
        </w:rPr>
        <w:t>n</w:t>
      </w:r>
      <w:r w:rsidR="00A64F20" w:rsidRPr="00A64F20">
        <w:t>ot include their gratifica</w:t>
      </w:r>
      <w:r w:rsidR="00A64F20">
        <w:t>tion</w:t>
      </w:r>
      <w:r w:rsidR="00854DD3">
        <w:t>’</w:t>
      </w:r>
      <w:r w:rsidR="00A64F20">
        <w:t>.</w:t>
      </w:r>
      <w:r w:rsidR="007D26DD">
        <w:rPr>
          <w:rStyle w:val="FootnoteReference"/>
        </w:rPr>
        <w:footnoteReference w:id="16"/>
      </w:r>
      <w:r w:rsidR="00A64F20">
        <w:t xml:space="preserve"> He responds, not by denying this</w:t>
      </w:r>
      <w:r w:rsidR="00401D84">
        <w:t xml:space="preserve"> insight</w:t>
      </w:r>
      <w:r w:rsidR="00A64F20">
        <w:t xml:space="preserve">, but by arguing that a </w:t>
      </w:r>
      <w:r w:rsidR="00401D84">
        <w:t xml:space="preserve">sophisticated </w:t>
      </w:r>
      <w:r w:rsidR="007F00CE">
        <w:t>utilitarian can indeed recogniz</w:t>
      </w:r>
      <w:r w:rsidR="00A64F20">
        <w:t>e</w:t>
      </w:r>
      <w:r w:rsidR="00BB7EB6">
        <w:t xml:space="preserve"> and accommodate</w:t>
      </w:r>
      <w:r w:rsidR="00A64F20">
        <w:t xml:space="preserve"> the </w:t>
      </w:r>
      <w:r>
        <w:t xml:space="preserve">intrinsic – and not merely circumstantial – superiority </w:t>
      </w:r>
      <w:r w:rsidR="00A64F20">
        <w:t>of certain ‘nobler’ pleasures, chiefly those of the intellect, over others.</w:t>
      </w:r>
      <w:r w:rsidR="00854DD3">
        <w:t xml:space="preserve"> Thus, Mill maintains that ‘</w:t>
      </w:r>
      <w:r w:rsidRPr="004B395E">
        <w:t>It is quite compatible with the principle of</w:t>
      </w:r>
      <w:r>
        <w:t xml:space="preserve"> </w:t>
      </w:r>
      <w:r w:rsidR="007F00CE">
        <w:t>utility to recogniz</w:t>
      </w:r>
      <w:r w:rsidRPr="004B395E">
        <w:t xml:space="preserve">e the fact, that some </w:t>
      </w:r>
      <w:r w:rsidRPr="004B395E">
        <w:rPr>
          <w:i/>
          <w:iCs/>
        </w:rPr>
        <w:t xml:space="preserve">kinds </w:t>
      </w:r>
      <w:r w:rsidRPr="004B395E">
        <w:t>of pleasure are more desirable</w:t>
      </w:r>
      <w:r>
        <w:t xml:space="preserve"> </w:t>
      </w:r>
      <w:r w:rsidRPr="004B395E">
        <w:t xml:space="preserve">and more valuable </w:t>
      </w:r>
      <w:r w:rsidRPr="004B395E">
        <w:rPr>
          <w:iCs/>
        </w:rPr>
        <w:t>th</w:t>
      </w:r>
      <w:r w:rsidRPr="004B395E">
        <w:t>an others</w:t>
      </w:r>
      <w:r w:rsidR="00854DD3">
        <w:t>’</w:t>
      </w:r>
      <w:r>
        <w:t>.</w:t>
      </w:r>
      <w:r w:rsidR="007D26DD">
        <w:rPr>
          <w:rStyle w:val="FootnoteReference"/>
        </w:rPr>
        <w:footnoteReference w:id="17"/>
      </w:r>
      <w:r>
        <w:t xml:space="preserve"> He goes on to suggest that the more valuable pleasures are those that involve exercise of our higher faculties.</w:t>
      </w:r>
    </w:p>
    <w:p w14:paraId="10A20547" w14:textId="77777777" w:rsidR="00A2654E" w:rsidRDefault="00A2654E" w:rsidP="00C65241">
      <w:pPr>
        <w:spacing w:line="480" w:lineRule="auto"/>
        <w:jc w:val="both"/>
      </w:pPr>
    </w:p>
    <w:p w14:paraId="32B11F5A" w14:textId="500CA021" w:rsidR="00A2654E" w:rsidRPr="00A2654E" w:rsidRDefault="00A2654E" w:rsidP="00C65241">
      <w:pPr>
        <w:spacing w:line="480" w:lineRule="auto"/>
        <w:jc w:val="both"/>
        <w:rPr>
          <w:b/>
        </w:rPr>
      </w:pPr>
      <w:r>
        <w:rPr>
          <w:b/>
        </w:rPr>
        <w:t>Are Certain Pleasures Superior to Others?</w:t>
      </w:r>
    </w:p>
    <w:p w14:paraId="08B7A87A" w14:textId="3A3AFF39" w:rsidR="001F13EE" w:rsidRDefault="00EE769E" w:rsidP="00C65241">
      <w:pPr>
        <w:spacing w:line="480" w:lineRule="auto"/>
        <w:jc w:val="both"/>
      </w:pPr>
      <w:proofErr w:type="spellStart"/>
      <w:r>
        <w:t>Schaupp</w:t>
      </w:r>
      <w:proofErr w:type="spellEnd"/>
      <w:r>
        <w:t xml:space="preserve"> </w:t>
      </w:r>
      <w:r w:rsidR="004B395E">
        <w:t>submits</w:t>
      </w:r>
      <w:r w:rsidR="00010BEC">
        <w:t xml:space="preserve"> that commentator</w:t>
      </w:r>
      <w:r w:rsidR="00854DD3">
        <w:t>s have overlooked the question ‘</w:t>
      </w:r>
      <w:r w:rsidR="00C532B4" w:rsidRPr="00C532B4">
        <w:t>was Mill</w:t>
      </w:r>
      <w:r w:rsidR="00C532B4">
        <w:t xml:space="preserve"> </w:t>
      </w:r>
      <w:r w:rsidR="00C532B4" w:rsidRPr="00C532B4">
        <w:t>successful in his attempt to prove that most people prefer pleasures</w:t>
      </w:r>
      <w:r w:rsidR="00C532B4">
        <w:t xml:space="preserve"> </w:t>
      </w:r>
      <w:r w:rsidR="00C532B4" w:rsidRPr="00C532B4">
        <w:t>involving the higher faculties to those we share with animals?</w:t>
      </w:r>
      <w:r w:rsidR="00854DD3">
        <w:t>’</w:t>
      </w:r>
      <w:r w:rsidR="00234B9E">
        <w:rPr>
          <w:rStyle w:val="FootnoteReference"/>
        </w:rPr>
        <w:footnoteReference w:id="18"/>
      </w:r>
      <w:r w:rsidR="008A1463">
        <w:t xml:space="preserve"> However, the reason why commentators have not asked this question is that, so far as I can see, Mill never</w:t>
      </w:r>
      <w:r w:rsidR="00C532B4">
        <w:t xml:space="preserve"> actually </w:t>
      </w:r>
      <w:r w:rsidR="00401D84">
        <w:t>attempted</w:t>
      </w:r>
      <w:r w:rsidR="00955D7B">
        <w:t xml:space="preserve"> to </w:t>
      </w:r>
      <w:r w:rsidR="00955D7B" w:rsidRPr="00366322">
        <w:rPr>
          <w:i/>
        </w:rPr>
        <w:t>prove</w:t>
      </w:r>
      <w:r w:rsidR="00955D7B">
        <w:t xml:space="preserve"> this;</w:t>
      </w:r>
      <w:r w:rsidR="00C532B4">
        <w:t xml:space="preserve"> he </w:t>
      </w:r>
      <w:r w:rsidR="001F13EE">
        <w:t xml:space="preserve">simply </w:t>
      </w:r>
      <w:r w:rsidR="00C532B4">
        <w:t>took it for granted, because it was the position of those that he was arguing against</w:t>
      </w:r>
      <w:r w:rsidR="008A1463">
        <w:t xml:space="preserve">, or close enough to it. </w:t>
      </w:r>
      <w:r w:rsidR="001F13EE">
        <w:t>(</w:t>
      </w:r>
      <w:r w:rsidR="00955D7B">
        <w:t>I say ‘close enough’ because some</w:t>
      </w:r>
      <w:r w:rsidR="008A1463">
        <w:t xml:space="preserve"> of Mill’s interlocutors might have rejected this as a </w:t>
      </w:r>
      <w:r w:rsidR="004773BE">
        <w:t xml:space="preserve">characterisation of their views; some presumably held not </w:t>
      </w:r>
      <w:r w:rsidR="00366322">
        <w:t xml:space="preserve">only </w:t>
      </w:r>
      <w:r w:rsidR="008A1463">
        <w:t>that certain pleasures are more valuable than others, but that there are more valuable things than p</w:t>
      </w:r>
      <w:r w:rsidR="00366322">
        <w:t>leasure – for instance, they might</w:t>
      </w:r>
      <w:r w:rsidR="008A1463">
        <w:t xml:space="preserve"> regard achievement as valuable in itself</w:t>
      </w:r>
      <w:r w:rsidR="004773BE">
        <w:t xml:space="preserve">, </w:t>
      </w:r>
      <w:r w:rsidR="008A1463">
        <w:t>independently of any resultant pleasure.</w:t>
      </w:r>
      <w:r w:rsidR="008A1463">
        <w:rPr>
          <w:rStyle w:val="FootnoteReference"/>
        </w:rPr>
        <w:footnoteReference w:id="19"/>
      </w:r>
      <w:r w:rsidR="008A1463">
        <w:t xml:space="preserve"> In so far as Mill responds to these objections, I believe we must look to </w:t>
      </w:r>
      <w:r w:rsidR="008A1463">
        <w:lastRenderedPageBreak/>
        <w:t xml:space="preserve">chapter four of </w:t>
      </w:r>
      <w:r w:rsidR="008A1463" w:rsidRPr="009D21D9">
        <w:rPr>
          <w:i/>
          <w:iCs/>
        </w:rPr>
        <w:t>Utilitarianism</w:t>
      </w:r>
      <w:r w:rsidR="008A1463">
        <w:t>, where he argues that whatever is desired for itself is thereby part of happiness</w:t>
      </w:r>
      <w:r w:rsidR="009D21D9">
        <w:t>.</w:t>
      </w:r>
      <w:r w:rsidR="007D26DD">
        <w:rPr>
          <w:rStyle w:val="FootnoteReference"/>
        </w:rPr>
        <w:footnoteReference w:id="20"/>
      </w:r>
      <w:r w:rsidR="004B395E">
        <w:t xml:space="preserve"> It seems that Mill is prepared to call whatever is valued as an end part of happiness and whatever is part of happiness a pleasure</w:t>
      </w:r>
      <w:r w:rsidR="000666EF">
        <w:t>.</w:t>
      </w:r>
      <w:r w:rsidR="007D26DD">
        <w:rPr>
          <w:rStyle w:val="FootnoteReference"/>
        </w:rPr>
        <w:footnoteReference w:id="21"/>
      </w:r>
      <w:r w:rsidR="001F13EE">
        <w:t>)</w:t>
      </w:r>
    </w:p>
    <w:p w14:paraId="31B7E3B9" w14:textId="2BB869D1" w:rsidR="001F13EE" w:rsidRDefault="001F13EE" w:rsidP="00C65241">
      <w:pPr>
        <w:spacing w:line="480" w:lineRule="auto"/>
        <w:jc w:val="both"/>
      </w:pPr>
      <w:r>
        <w:t>If someone denies that certain pleasures are more valuable than others, then they have no reason to object to Bentham’s purely quantitative hedonism. Mill’s aim, in introducing</w:t>
      </w:r>
      <w:r w:rsidR="00366322">
        <w:t xml:space="preserve"> the qualitative distinction, i</w:t>
      </w:r>
      <w:r>
        <w:t xml:space="preserve">s to respond to those who did think that </w:t>
      </w:r>
      <w:r w:rsidR="009D21D9">
        <w:t xml:space="preserve">certain pleasures, such as </w:t>
      </w:r>
      <w:r w:rsidR="00955D7B">
        <w:t>those of poetry or philosophy, a</w:t>
      </w:r>
      <w:r w:rsidR="009D21D9">
        <w:t>r</w:t>
      </w:r>
      <w:r w:rsidR="00955D7B">
        <w:t>e</w:t>
      </w:r>
      <w:r w:rsidR="009D21D9">
        <w:t xml:space="preserve"> more valuable than other</w:t>
      </w:r>
      <w:r w:rsidR="000666EF">
        <w:t xml:space="preserve">s, such as that of a foot rub. </w:t>
      </w:r>
      <w:r w:rsidR="00366322">
        <w:t xml:space="preserve"> Thus, he does</w:t>
      </w:r>
      <w:r>
        <w:t xml:space="preserve"> not need to argue that this </w:t>
      </w:r>
      <w:r w:rsidRPr="00366322">
        <w:rPr>
          <w:i/>
        </w:rPr>
        <w:t>is</w:t>
      </w:r>
      <w:r>
        <w:t xml:space="preserve"> the case, but only to show that this admitted fact is not fatal to hedonistic utilitarianism, at least in his favoured version.</w:t>
      </w:r>
    </w:p>
    <w:p w14:paraId="3ACF15AB" w14:textId="06C90B67" w:rsidR="00460032" w:rsidRDefault="009D21D9" w:rsidP="00C65241">
      <w:pPr>
        <w:spacing w:line="480" w:lineRule="auto"/>
        <w:jc w:val="both"/>
      </w:pPr>
      <w:r>
        <w:t>It is a common and legitimate dialectical move to grant one’s oppo</w:t>
      </w:r>
      <w:r w:rsidR="001F13EE">
        <w:t>nent</w:t>
      </w:r>
      <w:r w:rsidR="00A2654E">
        <w:t>s their</w:t>
      </w:r>
      <w:r w:rsidR="001F13EE">
        <w:t xml:space="preserve"> premise but then to show</w:t>
      </w:r>
      <w:r>
        <w:t xml:space="preserve"> that their conclusion does not follow anyway.</w:t>
      </w:r>
      <w:r w:rsidR="00C532B4">
        <w:t xml:space="preserve"> Consider, for instance, Thomson’s famous defence of abortion, in which she </w:t>
      </w:r>
      <w:r w:rsidR="001F13EE">
        <w:t>a</w:t>
      </w:r>
      <w:r w:rsidR="00366322">
        <w:t>llow</w:t>
      </w:r>
      <w:r w:rsidR="00C532B4">
        <w:t>s that the foetus is a person, but argues that the mother nonetheless has the right not to provide it with life support.</w:t>
      </w:r>
      <w:r w:rsidR="00401D84">
        <w:rPr>
          <w:rStyle w:val="FootnoteReference"/>
        </w:rPr>
        <w:footnoteReference w:id="22"/>
      </w:r>
      <w:r w:rsidR="00366322">
        <w:t xml:space="preserve"> No one sh</w:t>
      </w:r>
      <w:r w:rsidR="007F00CE">
        <w:t>ould criticiz</w:t>
      </w:r>
      <w:r w:rsidR="00C532B4">
        <w:t xml:space="preserve">e Thomson for failing to </w:t>
      </w:r>
      <w:r w:rsidR="00C532B4" w:rsidRPr="00460032">
        <w:rPr>
          <w:i/>
          <w:iCs/>
        </w:rPr>
        <w:t>show</w:t>
      </w:r>
      <w:r w:rsidR="00C532B4">
        <w:t xml:space="preserve"> that </w:t>
      </w:r>
      <w:r w:rsidR="00955D7B">
        <w:t>the foetus is a person, since</w:t>
      </w:r>
      <w:r w:rsidR="00401D84">
        <w:t xml:space="preserve"> this</w:t>
      </w:r>
      <w:r w:rsidR="00C532B4">
        <w:t xml:space="preserve"> was never her aim. </w:t>
      </w:r>
      <w:r w:rsidR="00460032">
        <w:t xml:space="preserve">Her point is that, </w:t>
      </w:r>
      <w:r w:rsidR="00460032" w:rsidRPr="00460032">
        <w:rPr>
          <w:i/>
          <w:iCs/>
        </w:rPr>
        <w:t>even if the foetus is a person</w:t>
      </w:r>
      <w:r w:rsidR="00460032">
        <w:t xml:space="preserve"> with a corresponding right to life, this does not show that abortion is impermissible</w:t>
      </w:r>
      <w:r w:rsidR="00955D7B">
        <w:t>,</w:t>
      </w:r>
      <w:r w:rsidR="00460032">
        <w:t xml:space="preserve"> given the burdens that pregnancy places on the mother. </w:t>
      </w:r>
      <w:r w:rsidR="00C532B4">
        <w:t>Similarly, i</w:t>
      </w:r>
      <w:r w:rsidR="001F13EE">
        <w:t xml:space="preserve">t is </w:t>
      </w:r>
      <w:r w:rsidR="00C532B4">
        <w:t>mistaken to complain that Mill fails to show that most people prefer higher pleas</w:t>
      </w:r>
      <w:r w:rsidR="00B1192F">
        <w:t>ures</w:t>
      </w:r>
      <w:r w:rsidR="001F13EE">
        <w:t>, since he took this for granted</w:t>
      </w:r>
      <w:r w:rsidR="00B1192F">
        <w:t xml:space="preserve">. </w:t>
      </w:r>
      <w:r w:rsidR="00854DD3">
        <w:t>What he tried</w:t>
      </w:r>
      <w:r w:rsidR="00A2654E">
        <w:t xml:space="preserve"> </w:t>
      </w:r>
      <w:r w:rsidR="00B1192F">
        <w:t>to show</w:t>
      </w:r>
      <w:r w:rsidR="00366322">
        <w:t xml:space="preserve"> was</w:t>
      </w:r>
      <w:r w:rsidR="00B1192F">
        <w:t xml:space="preserve"> that this</w:t>
      </w:r>
      <w:r w:rsidR="00C532B4">
        <w:t xml:space="preserve"> general preference for higher pleasures </w:t>
      </w:r>
      <w:r w:rsidR="00024913">
        <w:t xml:space="preserve">– assuming there is one – </w:t>
      </w:r>
      <w:r w:rsidR="00C532B4">
        <w:t xml:space="preserve">could be reconciled with </w:t>
      </w:r>
      <w:r w:rsidR="00366322">
        <w:t xml:space="preserve">hedonistic </w:t>
      </w:r>
      <w:r w:rsidR="00C532B4">
        <w:t>utilitarianism.</w:t>
      </w:r>
    </w:p>
    <w:p w14:paraId="539FEE68" w14:textId="164CACCC" w:rsidR="00A2654E" w:rsidRDefault="00A2654E" w:rsidP="00C65241">
      <w:pPr>
        <w:spacing w:line="480" w:lineRule="auto"/>
        <w:jc w:val="both"/>
      </w:pPr>
      <w:r>
        <w:t xml:space="preserve">To be sure, </w:t>
      </w:r>
      <w:r w:rsidR="00024913">
        <w:t xml:space="preserve">there is one </w:t>
      </w:r>
      <w:r w:rsidR="00366322">
        <w:t>significant</w:t>
      </w:r>
      <w:r w:rsidR="00024913">
        <w:t xml:space="preserve"> difference between Mill and Thomson</w:t>
      </w:r>
      <w:r w:rsidR="000666EF">
        <w:t>.</w:t>
      </w:r>
      <w:r w:rsidR="00024913">
        <w:t xml:space="preserve"> </w:t>
      </w:r>
      <w:r>
        <w:t xml:space="preserve">Thomson need not sincerely believe that the foetus is a person, </w:t>
      </w:r>
      <w:r w:rsidR="00366322">
        <w:t xml:space="preserve">if she grants this merely for the sake of argument, </w:t>
      </w:r>
      <w:r>
        <w:t xml:space="preserve">whereas </w:t>
      </w:r>
      <w:r w:rsidR="00024913">
        <w:t>Mill</w:t>
      </w:r>
      <w:r>
        <w:t>’s</w:t>
      </w:r>
      <w:r w:rsidR="000666EF">
        <w:t xml:space="preserve"> </w:t>
      </w:r>
      <w:r>
        <w:lastRenderedPageBreak/>
        <w:t>belief</w:t>
      </w:r>
      <w:r w:rsidR="00366322">
        <w:t>,</w:t>
      </w:r>
      <w:r>
        <w:t xml:space="preserve"> </w:t>
      </w:r>
      <w:r w:rsidR="00024913">
        <w:t>that some pleasures are more valuable than others</w:t>
      </w:r>
      <w:r w:rsidR="00366322">
        <w:t>,</w:t>
      </w:r>
      <w:r w:rsidR="00024913">
        <w:t xml:space="preserve"> </w:t>
      </w:r>
      <w:r>
        <w:t>appears genuine</w:t>
      </w:r>
      <w:r w:rsidR="00024913">
        <w:t xml:space="preserve">. </w:t>
      </w:r>
      <w:r w:rsidR="00B1192F">
        <w:t>Certainly</w:t>
      </w:r>
      <w:r w:rsidR="0021033B">
        <w:t>,</w:t>
      </w:r>
      <w:r w:rsidR="00DE28E7">
        <w:t xml:space="preserve"> he placed much higher value on</w:t>
      </w:r>
      <w:r w:rsidR="00460032">
        <w:t xml:space="preserve"> pleasures of the intellect and imagination t</w:t>
      </w:r>
      <w:r w:rsidR="0021033B">
        <w:t>han Bentham</w:t>
      </w:r>
      <w:r w:rsidR="00460032">
        <w:t>.</w:t>
      </w:r>
      <w:r w:rsidR="0021033B">
        <w:rPr>
          <w:rStyle w:val="FootnoteReference"/>
        </w:rPr>
        <w:footnoteReference w:id="23"/>
      </w:r>
      <w:r w:rsidR="00460032">
        <w:t xml:space="preserve"> Thus, Mill himself might be numbered amongst those who rejected </w:t>
      </w:r>
      <w:proofErr w:type="spellStart"/>
      <w:r w:rsidR="00460032">
        <w:t>Benthamite</w:t>
      </w:r>
      <w:proofErr w:type="spellEnd"/>
      <w:r w:rsidR="00460032">
        <w:t xml:space="preserve"> utilitarianism on the grounds that it did not properly value higher ends. However, </w:t>
      </w:r>
      <w:r w:rsidR="00366322">
        <w:t xml:space="preserve">even if this is Mill’s own view, </w:t>
      </w:r>
      <w:r w:rsidR="007F00CE">
        <w:t>it is still unfair to criticiz</w:t>
      </w:r>
      <w:r>
        <w:t xml:space="preserve">e </w:t>
      </w:r>
      <w:r w:rsidR="00366322">
        <w:t>him</w:t>
      </w:r>
      <w:r>
        <w:t xml:space="preserve"> for f</w:t>
      </w:r>
      <w:r w:rsidR="00366322">
        <w:t>ailing to show that this is the case</w:t>
      </w:r>
      <w:r>
        <w:t xml:space="preserve"> if he </w:t>
      </w:r>
      <w:r w:rsidR="00366322">
        <w:t>never intended</w:t>
      </w:r>
      <w:r>
        <w:t xml:space="preserve"> to do so. </w:t>
      </w:r>
      <w:r w:rsidR="009E7D38">
        <w:t>Presumably Mill saw no need to defend a premise that was common ground with his opponents.</w:t>
      </w:r>
    </w:p>
    <w:p w14:paraId="53580E71" w14:textId="77777777" w:rsidR="009E7D38" w:rsidRDefault="009E7D38" w:rsidP="00C65241">
      <w:pPr>
        <w:spacing w:line="480" w:lineRule="auto"/>
        <w:jc w:val="both"/>
      </w:pPr>
    </w:p>
    <w:p w14:paraId="742EF836" w14:textId="48F536CA" w:rsidR="009E7D38" w:rsidRPr="009E7D38" w:rsidRDefault="009E7D38" w:rsidP="00C65241">
      <w:pPr>
        <w:spacing w:line="480" w:lineRule="auto"/>
        <w:jc w:val="both"/>
        <w:rPr>
          <w:b/>
        </w:rPr>
      </w:pPr>
      <w:r>
        <w:rPr>
          <w:b/>
        </w:rPr>
        <w:t>Are Higher Pleasures Lexically Superior?</w:t>
      </w:r>
    </w:p>
    <w:p w14:paraId="79E79A96" w14:textId="00A9C928" w:rsidR="009E7D38" w:rsidRDefault="009E7D38" w:rsidP="00C65241">
      <w:pPr>
        <w:spacing w:line="480" w:lineRule="auto"/>
        <w:jc w:val="both"/>
      </w:pPr>
      <w:r>
        <w:t>E</w:t>
      </w:r>
      <w:r w:rsidR="000666EF">
        <w:t xml:space="preserve">ven if Mill </w:t>
      </w:r>
      <w:r>
        <w:t>is</w:t>
      </w:r>
      <w:r w:rsidR="000666EF">
        <w:t xml:space="preserve"> committed the view that some pleasures are intrinsically more valuable than others, </w:t>
      </w:r>
      <w:r>
        <w:t xml:space="preserve">as I believe he was, </w:t>
      </w:r>
      <w:r w:rsidR="000666EF">
        <w:t xml:space="preserve">he need not be saddled </w:t>
      </w:r>
      <w:r w:rsidR="00516ED9">
        <w:t xml:space="preserve">(as he is by some commentators) </w:t>
      </w:r>
      <w:r w:rsidR="000666EF">
        <w:t xml:space="preserve">with </w:t>
      </w:r>
      <w:r w:rsidR="00171F52">
        <w:t xml:space="preserve">the extreme view that </w:t>
      </w:r>
      <w:r>
        <w:t>so-called ‘higher pleasures’</w:t>
      </w:r>
      <w:r w:rsidR="00171F52">
        <w:t xml:space="preserve"> are </w:t>
      </w:r>
      <w:r w:rsidR="00B1192F" w:rsidRPr="00A2654E">
        <w:rPr>
          <w:i/>
        </w:rPr>
        <w:t>always</w:t>
      </w:r>
      <w:r w:rsidR="00B1192F">
        <w:t xml:space="preserve"> </w:t>
      </w:r>
      <w:r w:rsidR="00171F52">
        <w:t>infinitely more valuable.</w:t>
      </w:r>
      <w:r w:rsidR="00A2654E">
        <w:rPr>
          <w:rStyle w:val="FootnoteReference"/>
        </w:rPr>
        <w:footnoteReference w:id="24"/>
      </w:r>
      <w:r w:rsidR="00171F52">
        <w:t xml:space="preserve"> In an oft-q</w:t>
      </w:r>
      <w:r w:rsidR="00854DD3">
        <w:t>uoted passage, he remarks that ‘</w:t>
      </w:r>
      <w:r w:rsidR="00171F52" w:rsidRPr="0040426F">
        <w:t xml:space="preserve">If one of the two </w:t>
      </w:r>
      <w:r w:rsidR="00171F52">
        <w:t xml:space="preserve">[pleasures] </w:t>
      </w:r>
      <w:r w:rsidR="00171F52" w:rsidRPr="0040426F">
        <w:t>i</w:t>
      </w:r>
      <w:r w:rsidR="00171F52" w:rsidRPr="0040426F">
        <w:rPr>
          <w:bCs/>
        </w:rPr>
        <w:t>s</w:t>
      </w:r>
      <w:r w:rsidR="00171F52" w:rsidRPr="0040426F">
        <w:t>, by</w:t>
      </w:r>
      <w:r w:rsidR="00171F52">
        <w:t xml:space="preserve"> </w:t>
      </w:r>
      <w:r w:rsidR="00171F52" w:rsidRPr="0040426F">
        <w:t>tho</w:t>
      </w:r>
      <w:r w:rsidR="00171F52" w:rsidRPr="0040426F">
        <w:rPr>
          <w:bCs/>
        </w:rPr>
        <w:t>s</w:t>
      </w:r>
      <w:r w:rsidR="00171F52" w:rsidRPr="0040426F">
        <w:t>e who are competently acq</w:t>
      </w:r>
      <w:r w:rsidR="00171F52" w:rsidRPr="0040426F">
        <w:rPr>
          <w:bCs/>
        </w:rPr>
        <w:t>u</w:t>
      </w:r>
      <w:r w:rsidR="00171F52" w:rsidRPr="0040426F">
        <w:t>ai</w:t>
      </w:r>
      <w:r w:rsidR="00171F52" w:rsidRPr="0040426F">
        <w:rPr>
          <w:bCs/>
        </w:rPr>
        <w:t>n</w:t>
      </w:r>
      <w:r w:rsidR="00171F52" w:rsidRPr="0040426F">
        <w:t>ted wit</w:t>
      </w:r>
      <w:r w:rsidR="00171F52" w:rsidRPr="0040426F">
        <w:rPr>
          <w:bCs/>
        </w:rPr>
        <w:t xml:space="preserve">h </w:t>
      </w:r>
      <w:r w:rsidR="00171F52" w:rsidRPr="0040426F">
        <w:t xml:space="preserve">both, placed </w:t>
      </w:r>
      <w:r w:rsidR="00171F52" w:rsidRPr="0040426F">
        <w:rPr>
          <w:bCs/>
        </w:rPr>
        <w:t>s</w:t>
      </w:r>
      <w:r w:rsidR="00171F52" w:rsidRPr="0040426F">
        <w:t>o far above the</w:t>
      </w:r>
      <w:r w:rsidR="00171F52">
        <w:t xml:space="preserve"> </w:t>
      </w:r>
      <w:r w:rsidR="00171F52" w:rsidRPr="0040426F">
        <w:t xml:space="preserve">other that they … would </w:t>
      </w:r>
      <w:r w:rsidR="00171F52" w:rsidRPr="0040426F">
        <w:rPr>
          <w:bCs/>
        </w:rPr>
        <w:t>n</w:t>
      </w:r>
      <w:r w:rsidR="00171F52" w:rsidRPr="0040426F">
        <w:t>ot re</w:t>
      </w:r>
      <w:r w:rsidR="00171F52" w:rsidRPr="0040426F">
        <w:rPr>
          <w:bCs/>
        </w:rPr>
        <w:t>s</w:t>
      </w:r>
      <w:r w:rsidR="00171F52" w:rsidRPr="0040426F">
        <w:t xml:space="preserve">ign it for any quantity of the </w:t>
      </w:r>
      <w:r w:rsidR="00171F52" w:rsidRPr="0040426F">
        <w:rPr>
          <w:bCs/>
        </w:rPr>
        <w:t>o</w:t>
      </w:r>
      <w:r w:rsidR="00171F52" w:rsidRPr="0040426F">
        <w:t>ther</w:t>
      </w:r>
      <w:r w:rsidR="00171F52">
        <w:t xml:space="preserve"> </w:t>
      </w:r>
      <w:r w:rsidR="00171F52" w:rsidRPr="0040426F">
        <w:t>pleasure which t</w:t>
      </w:r>
      <w:r w:rsidR="00171F52" w:rsidRPr="0040426F">
        <w:rPr>
          <w:iCs/>
        </w:rPr>
        <w:t>h</w:t>
      </w:r>
      <w:r w:rsidR="00171F52" w:rsidRPr="0040426F">
        <w:t>eir nature is capable of, we are justified in ascribing to t</w:t>
      </w:r>
      <w:r w:rsidR="00171F52" w:rsidRPr="0040426F">
        <w:rPr>
          <w:bCs/>
        </w:rPr>
        <w:t>h</w:t>
      </w:r>
      <w:r w:rsidR="00171F52">
        <w:t xml:space="preserve">e </w:t>
      </w:r>
      <w:r w:rsidR="00171F52" w:rsidRPr="0040426F">
        <w:t>prefe</w:t>
      </w:r>
      <w:r w:rsidR="00171F52" w:rsidRPr="0040426F">
        <w:rPr>
          <w:bCs/>
        </w:rPr>
        <w:t xml:space="preserve">rred </w:t>
      </w:r>
      <w:r w:rsidR="00171F52" w:rsidRPr="0040426F">
        <w:t>en</w:t>
      </w:r>
      <w:r w:rsidR="00171F52" w:rsidRPr="0040426F">
        <w:rPr>
          <w:bCs/>
        </w:rPr>
        <w:t>j</w:t>
      </w:r>
      <w:r w:rsidR="00171F52" w:rsidRPr="0040426F">
        <w:t>o</w:t>
      </w:r>
      <w:r w:rsidR="00171F52" w:rsidRPr="0040426F">
        <w:rPr>
          <w:bCs/>
        </w:rPr>
        <w:t>ym</w:t>
      </w:r>
      <w:r w:rsidR="00171F52" w:rsidRPr="0040426F">
        <w:t xml:space="preserve">ent </w:t>
      </w:r>
      <w:r w:rsidR="00171F52" w:rsidRPr="0040426F">
        <w:rPr>
          <w:bCs/>
        </w:rPr>
        <w:t xml:space="preserve">a </w:t>
      </w:r>
      <w:r w:rsidR="00171F52" w:rsidRPr="0040426F">
        <w:t>s</w:t>
      </w:r>
      <w:r w:rsidR="00171F52" w:rsidRPr="0040426F">
        <w:rPr>
          <w:bCs/>
        </w:rPr>
        <w:t>u</w:t>
      </w:r>
      <w:r w:rsidR="00171F52" w:rsidRPr="0040426F">
        <w:t>pe</w:t>
      </w:r>
      <w:r w:rsidR="00171F52" w:rsidRPr="0040426F">
        <w:rPr>
          <w:bCs/>
        </w:rPr>
        <w:t>ri</w:t>
      </w:r>
      <w:r w:rsidR="00171F52" w:rsidRPr="0040426F">
        <w:t>o</w:t>
      </w:r>
      <w:r w:rsidR="00171F52" w:rsidRPr="0040426F">
        <w:rPr>
          <w:bCs/>
        </w:rPr>
        <w:t>ri</w:t>
      </w:r>
      <w:r w:rsidR="00171F52" w:rsidRPr="0040426F">
        <w:t xml:space="preserve">ty </w:t>
      </w:r>
      <w:r w:rsidR="00171F52" w:rsidRPr="0040426F">
        <w:rPr>
          <w:bCs/>
        </w:rPr>
        <w:t xml:space="preserve">in </w:t>
      </w:r>
      <w:r w:rsidR="00171F52" w:rsidRPr="0040426F">
        <w:t>qu</w:t>
      </w:r>
      <w:r w:rsidR="00171F52" w:rsidRPr="0040426F">
        <w:rPr>
          <w:bCs/>
        </w:rPr>
        <w:t>ali</w:t>
      </w:r>
      <w:r w:rsidR="00171F52" w:rsidRPr="0040426F">
        <w:t>ty</w:t>
      </w:r>
      <w:r w:rsidR="00171F52" w:rsidRPr="0040426F">
        <w:rPr>
          <w:bCs/>
        </w:rPr>
        <w:t xml:space="preserve">, </w:t>
      </w:r>
      <w:r w:rsidR="00171F52" w:rsidRPr="0040426F">
        <w:t>so far out</w:t>
      </w:r>
      <w:r w:rsidR="00171F52" w:rsidRPr="0040426F">
        <w:rPr>
          <w:bCs/>
        </w:rPr>
        <w:t>w</w:t>
      </w:r>
      <w:r w:rsidR="00171F52" w:rsidRPr="0040426F">
        <w:t>e</w:t>
      </w:r>
      <w:r w:rsidR="00171F52" w:rsidRPr="0040426F">
        <w:rPr>
          <w:bCs/>
        </w:rPr>
        <w:t>ighi</w:t>
      </w:r>
      <w:r w:rsidR="00171F52" w:rsidRPr="0040426F">
        <w:t>ng qu</w:t>
      </w:r>
      <w:r w:rsidR="00171F52" w:rsidRPr="0040426F">
        <w:rPr>
          <w:bCs/>
        </w:rPr>
        <w:t>a</w:t>
      </w:r>
      <w:r w:rsidR="00171F52" w:rsidRPr="0040426F">
        <w:t>n</w:t>
      </w:r>
      <w:r w:rsidR="00171F52" w:rsidRPr="0040426F">
        <w:rPr>
          <w:bCs/>
        </w:rPr>
        <w:t>ti</w:t>
      </w:r>
      <w:r w:rsidR="00171F52" w:rsidRPr="0040426F">
        <w:t>ty as</w:t>
      </w:r>
      <w:r w:rsidR="00171F52">
        <w:t xml:space="preserve"> </w:t>
      </w:r>
      <w:r w:rsidR="00171F52" w:rsidRPr="0040426F">
        <w:rPr>
          <w:bCs/>
        </w:rPr>
        <w:t xml:space="preserve">to </w:t>
      </w:r>
      <w:r w:rsidR="00171F52" w:rsidRPr="0040426F">
        <w:t>re</w:t>
      </w:r>
      <w:r w:rsidR="00171F52" w:rsidRPr="0040426F">
        <w:rPr>
          <w:bCs/>
        </w:rPr>
        <w:t>nd</w:t>
      </w:r>
      <w:r w:rsidR="00171F52" w:rsidRPr="0040426F">
        <w:t>er it</w:t>
      </w:r>
      <w:r w:rsidR="00171F52" w:rsidRPr="0040426F">
        <w:rPr>
          <w:bCs/>
        </w:rPr>
        <w:t>, i</w:t>
      </w:r>
      <w:r w:rsidR="00171F52" w:rsidRPr="0040426F">
        <w:t xml:space="preserve">n </w:t>
      </w:r>
      <w:r w:rsidR="00171F52" w:rsidRPr="0040426F">
        <w:rPr>
          <w:bCs/>
        </w:rPr>
        <w:t>co</w:t>
      </w:r>
      <w:r w:rsidR="00171F52" w:rsidRPr="0040426F">
        <w:t>m</w:t>
      </w:r>
      <w:r w:rsidR="00171F52" w:rsidRPr="0040426F">
        <w:rPr>
          <w:bCs/>
        </w:rPr>
        <w:t>pari</w:t>
      </w:r>
      <w:r w:rsidR="00171F52" w:rsidRPr="0040426F">
        <w:t>s</w:t>
      </w:r>
      <w:r w:rsidR="00171F52" w:rsidRPr="0040426F">
        <w:rPr>
          <w:bCs/>
        </w:rPr>
        <w:t>on,</w:t>
      </w:r>
      <w:r w:rsidR="00171F52">
        <w:rPr>
          <w:bCs/>
        </w:rPr>
        <w:t xml:space="preserve"> </w:t>
      </w:r>
      <w:r w:rsidR="00171F52" w:rsidRPr="0040426F">
        <w:rPr>
          <w:bCs/>
        </w:rPr>
        <w:t>o</w:t>
      </w:r>
      <w:r w:rsidR="00171F52" w:rsidRPr="0040426F">
        <w:t xml:space="preserve">f </w:t>
      </w:r>
      <w:r w:rsidR="00171F52" w:rsidRPr="0040426F">
        <w:rPr>
          <w:bCs/>
        </w:rPr>
        <w:t>s</w:t>
      </w:r>
      <w:r w:rsidR="00171F52" w:rsidRPr="0040426F">
        <w:t>m</w:t>
      </w:r>
      <w:r w:rsidR="00171F52">
        <w:rPr>
          <w:bCs/>
        </w:rPr>
        <w:t>all account</w:t>
      </w:r>
      <w:r w:rsidR="00854DD3">
        <w:t>’</w:t>
      </w:r>
      <w:r w:rsidR="00234B9E">
        <w:t>.</w:t>
      </w:r>
      <w:r w:rsidR="007D26DD">
        <w:rPr>
          <w:rStyle w:val="FootnoteReference"/>
        </w:rPr>
        <w:footnoteReference w:id="25"/>
      </w:r>
    </w:p>
    <w:p w14:paraId="7B130A5B" w14:textId="5B7B78CB" w:rsidR="00425027" w:rsidRDefault="00234B9E" w:rsidP="00C65241">
      <w:pPr>
        <w:spacing w:line="480" w:lineRule="auto"/>
        <w:jc w:val="both"/>
      </w:pPr>
      <w:proofErr w:type="spellStart"/>
      <w:r>
        <w:lastRenderedPageBreak/>
        <w:t>Schaupp</w:t>
      </w:r>
      <w:proofErr w:type="spellEnd"/>
      <w:r>
        <w:t xml:space="preserve"> </w:t>
      </w:r>
      <w:r w:rsidR="007F00CE">
        <w:t>criticiz</w:t>
      </w:r>
      <w:r w:rsidR="00171F52">
        <w:t>es Mill for not justifying the antecedent of this conditional, and thereby leaving the consequent unsupported.</w:t>
      </w:r>
      <w:r>
        <w:rPr>
          <w:rStyle w:val="FootnoteReference"/>
        </w:rPr>
        <w:footnoteReference w:id="26"/>
      </w:r>
      <w:r w:rsidR="00171F52">
        <w:t xml:space="preserve"> This assumes, however, that he sought to justify the consequent, but I see no reason to think Mill committed to </w:t>
      </w:r>
      <w:r w:rsidR="00516ED9">
        <w:t>this</w:t>
      </w:r>
      <w:r w:rsidR="00425027">
        <w:t xml:space="preserve">; </w:t>
      </w:r>
      <w:r w:rsidR="009E7D38">
        <w:t xml:space="preserve">again, </w:t>
      </w:r>
      <w:r w:rsidR="00425027">
        <w:t>he</w:t>
      </w:r>
      <w:r w:rsidR="00171F52">
        <w:t xml:space="preserve"> merely allows for the possibility.</w:t>
      </w:r>
      <w:r w:rsidR="00A2654E">
        <w:t xml:space="preserve"> Thu</w:t>
      </w:r>
      <w:r w:rsidR="009E7D38">
        <w:t>s, if someone such as</w:t>
      </w:r>
      <w:r w:rsidR="00425027">
        <w:t xml:space="preserve"> Carlyle were to claim that no amount of pushpin pleasure can ever equal th</w:t>
      </w:r>
      <w:r w:rsidR="009E7D38">
        <w:t>at of reading poetry, Mill c</w:t>
      </w:r>
      <w:r w:rsidR="00425027">
        <w:t>ould reply that his utilitarianism can accommodate this position, but it is not one that Mill himself must defend.</w:t>
      </w:r>
    </w:p>
    <w:p w14:paraId="37BC022A" w14:textId="6E4E5F5D" w:rsidR="00171F52" w:rsidRDefault="00B62C5A" w:rsidP="00C65241">
      <w:pPr>
        <w:spacing w:line="480" w:lineRule="auto"/>
        <w:jc w:val="both"/>
      </w:pPr>
      <w:r>
        <w:t xml:space="preserve">Furthermore, even if there are </w:t>
      </w:r>
      <w:r w:rsidRPr="000711CE">
        <w:rPr>
          <w:i/>
          <w:iCs/>
        </w:rPr>
        <w:t>some</w:t>
      </w:r>
      <w:r>
        <w:t xml:space="preserve"> cases in which a great difference in quality trumps quantity, there is no reason to think that this is generally true of all qualitative differences. In fact, Mill </w:t>
      </w:r>
      <w:r w:rsidR="007D26DD">
        <w:t>s</w:t>
      </w:r>
      <w:r w:rsidR="007676E7">
        <w:t>uggests that a balance or trade-</w:t>
      </w:r>
      <w:r w:rsidR="007D26DD">
        <w:t xml:space="preserve">off is possible, when he </w:t>
      </w:r>
      <w:r>
        <w:t xml:space="preserve">says that quality can be measured </w:t>
      </w:r>
      <w:r w:rsidR="007D26DD">
        <w:t>against quantity</w:t>
      </w:r>
      <w:r>
        <w:t>.</w:t>
      </w:r>
      <w:r w:rsidR="007D26DD">
        <w:rPr>
          <w:rStyle w:val="FootnoteReference"/>
        </w:rPr>
        <w:footnoteReference w:id="27"/>
      </w:r>
      <w:r>
        <w:t xml:space="preserve"> </w:t>
      </w:r>
      <w:r w:rsidR="00A5036F">
        <w:t>W</w:t>
      </w:r>
      <w:r w:rsidR="00366322">
        <w:t xml:space="preserve">hile </w:t>
      </w:r>
      <w:proofErr w:type="spellStart"/>
      <w:r w:rsidR="00366322">
        <w:t>Schaupp</w:t>
      </w:r>
      <w:proofErr w:type="spellEnd"/>
      <w:r w:rsidR="00366322">
        <w:t xml:space="preserve"> is right </w:t>
      </w:r>
      <w:r w:rsidR="00516ED9">
        <w:t xml:space="preserve">that Mill does not justify this claim, there is no reason to see that as a </w:t>
      </w:r>
      <w:r>
        <w:t>shortcom</w:t>
      </w:r>
      <w:r w:rsidR="00516ED9">
        <w:t>ing on his p</w:t>
      </w:r>
      <w:r w:rsidR="00366322">
        <w:t xml:space="preserve">art. It would be a failing </w:t>
      </w:r>
      <w:r w:rsidR="00516ED9">
        <w:t xml:space="preserve">if he sought to justify it and </w:t>
      </w:r>
      <w:r>
        <w:t>was unsuccessful</w:t>
      </w:r>
      <w:r w:rsidR="00516ED9">
        <w:t xml:space="preserve">, but he never </w:t>
      </w:r>
      <w:r w:rsidR="00A5036F">
        <w:t xml:space="preserve">actually </w:t>
      </w:r>
      <w:r w:rsidR="00516ED9">
        <w:t xml:space="preserve">attempted to justify it. </w:t>
      </w:r>
      <w:r>
        <w:t xml:space="preserve">We should not suppose that Mill was committed to something that he did not argue for, and </w:t>
      </w:r>
      <w:r w:rsidR="00DE28E7">
        <w:t xml:space="preserve">then </w:t>
      </w:r>
      <w:r w:rsidR="007F00CE">
        <w:t>criticiz</w:t>
      </w:r>
      <w:r>
        <w:t xml:space="preserve">e him for this lack of argument, when we can interpret him more charitably as not </w:t>
      </w:r>
      <w:r w:rsidR="00DE28E7">
        <w:t xml:space="preserve">arguing for such a claim because he was not committed to it </w:t>
      </w:r>
      <w:r w:rsidR="00A5036F">
        <w:t>to begin with</w:t>
      </w:r>
      <w:r>
        <w:t>.</w:t>
      </w:r>
    </w:p>
    <w:p w14:paraId="74E92C9C" w14:textId="481C13F5" w:rsidR="000711CE" w:rsidRDefault="00CC09B5" w:rsidP="00C65241">
      <w:pPr>
        <w:spacing w:line="480" w:lineRule="auto"/>
        <w:jc w:val="both"/>
      </w:pPr>
      <w:r>
        <w:t xml:space="preserve">Whatever Mill’s own views on </w:t>
      </w:r>
      <w:r w:rsidR="000711CE">
        <w:t>these matters</w:t>
      </w:r>
      <w:r>
        <w:t xml:space="preserve">, </w:t>
      </w:r>
      <w:r w:rsidR="00460032">
        <w:t xml:space="preserve">where </w:t>
      </w:r>
      <w:r>
        <w:t>he</w:t>
      </w:r>
      <w:r w:rsidR="00460032">
        <w:t xml:space="preserve"> differed from Carlyle was that he saw no need to jettison utilitarianism entirely; </w:t>
      </w:r>
      <w:r w:rsidR="001A43C1">
        <w:t xml:space="preserve">instead </w:t>
      </w:r>
      <w:r w:rsidR="00460032">
        <w:t xml:space="preserve">he believed that utilitarianism </w:t>
      </w:r>
      <w:r w:rsidR="000711CE">
        <w:t>could</w:t>
      </w:r>
      <w:r w:rsidR="00460032">
        <w:t xml:space="preserve"> be modified to incorporate the insight that</w:t>
      </w:r>
      <w:r w:rsidR="001A43C1">
        <w:t xml:space="preserve"> the pleasure of</w:t>
      </w:r>
      <w:r w:rsidR="00460032">
        <w:t xml:space="preserve"> poetry is more valuable than</w:t>
      </w:r>
      <w:r w:rsidR="001A43C1">
        <w:t xml:space="preserve"> the pleasure of</w:t>
      </w:r>
      <w:r w:rsidR="00460032">
        <w:t xml:space="preserve"> pushpin. </w:t>
      </w:r>
      <w:r w:rsidR="000711CE">
        <w:t>As far as Mill is concerned, th</w:t>
      </w:r>
      <w:r w:rsidR="00DE28E7">
        <w:t>e</w:t>
      </w:r>
      <w:r w:rsidR="000711CE">
        <w:t xml:space="preserve"> claim</w:t>
      </w:r>
      <w:r w:rsidR="00DE28E7">
        <w:t xml:space="preserve"> that poetry is more valuable than pushpin</w:t>
      </w:r>
      <w:r w:rsidR="000711CE">
        <w:t xml:space="preserve"> represents data to be explained, rather than a hypothesis to be proven. </w:t>
      </w:r>
      <w:r w:rsidR="00A5036F">
        <w:t>H</w:t>
      </w:r>
      <w:r w:rsidR="000711CE">
        <w:t>is distinction between higher and lower pleasures is not, therefore, intended to prove that the pleasure of poetry is more valuab</w:t>
      </w:r>
      <w:r w:rsidR="00DE28E7">
        <w:t>le than the pleasure of pushpin</w:t>
      </w:r>
      <w:r w:rsidR="00366322">
        <w:t>.</w:t>
      </w:r>
      <w:r w:rsidR="000711CE">
        <w:t xml:space="preserve"> Mill took this </w:t>
      </w:r>
      <w:r w:rsidR="00A5036F">
        <w:t>to be obvious</w:t>
      </w:r>
      <w:r w:rsidR="00366322">
        <w:t xml:space="preserve"> and uncontentious; his aim was</w:t>
      </w:r>
      <w:r w:rsidR="000711CE">
        <w:t xml:space="preserve"> to show that a utili</w:t>
      </w:r>
      <w:r w:rsidR="007F00CE">
        <w:t>tarian can consistently recognize this</w:t>
      </w:r>
      <w:r w:rsidR="000711CE">
        <w:t xml:space="preserve"> </w:t>
      </w:r>
      <w:r w:rsidR="00A5036F">
        <w:t xml:space="preserve">intrinsic </w:t>
      </w:r>
      <w:r w:rsidR="000711CE">
        <w:t>superior</w:t>
      </w:r>
      <w:r w:rsidR="00A5036F">
        <w:t>ity</w:t>
      </w:r>
      <w:r w:rsidR="007F00CE">
        <w:t xml:space="preserve"> without giving up on a form of hedonism</w:t>
      </w:r>
      <w:r w:rsidR="000711CE">
        <w:t>.</w:t>
      </w:r>
    </w:p>
    <w:p w14:paraId="6A4F3350" w14:textId="77777777" w:rsidR="000711CE" w:rsidRDefault="000711CE" w:rsidP="00C65241">
      <w:pPr>
        <w:spacing w:line="480" w:lineRule="auto"/>
        <w:jc w:val="both"/>
      </w:pPr>
    </w:p>
    <w:p w14:paraId="7B707B6C" w14:textId="2A4D6DCB" w:rsidR="000711CE" w:rsidRPr="003B039B" w:rsidRDefault="003B039B" w:rsidP="00C65241">
      <w:pPr>
        <w:spacing w:line="480" w:lineRule="auto"/>
        <w:jc w:val="both"/>
        <w:rPr>
          <w:b/>
          <w:bCs/>
        </w:rPr>
      </w:pPr>
      <w:r>
        <w:rPr>
          <w:b/>
          <w:bCs/>
        </w:rPr>
        <w:t>What Makes Higher Pleasures Better?</w:t>
      </w:r>
    </w:p>
    <w:p w14:paraId="56217827" w14:textId="5A7B63D7" w:rsidR="007912C1" w:rsidRDefault="004C088D" w:rsidP="00C65241">
      <w:pPr>
        <w:spacing w:line="480" w:lineRule="auto"/>
        <w:jc w:val="both"/>
      </w:pPr>
      <w:r>
        <w:t xml:space="preserve">Now that we have a better </w:t>
      </w:r>
      <w:r w:rsidR="00A5036F">
        <w:t>understanding of what Mill sought</w:t>
      </w:r>
      <w:r>
        <w:t xml:space="preserve"> to achieve by distinguishing between higher a</w:t>
      </w:r>
      <w:r w:rsidR="00A5036F">
        <w:t xml:space="preserve">nd lower pleasures, we are </w:t>
      </w:r>
      <w:r>
        <w:t xml:space="preserve">better </w:t>
      </w:r>
      <w:r w:rsidR="00A5036F">
        <w:t xml:space="preserve">able </w:t>
      </w:r>
      <w:r>
        <w:t xml:space="preserve">to judge </w:t>
      </w:r>
      <w:r w:rsidR="00B061D5">
        <w:t>whe</w:t>
      </w:r>
      <w:r>
        <w:t>the</w:t>
      </w:r>
      <w:r w:rsidR="00B061D5">
        <w:t>r he was</w:t>
      </w:r>
      <w:r>
        <w:t xml:space="preserve"> success</w:t>
      </w:r>
      <w:r w:rsidR="00B061D5">
        <w:t>ful</w:t>
      </w:r>
      <w:r>
        <w:t xml:space="preserve">. Both </w:t>
      </w:r>
      <w:proofErr w:type="spellStart"/>
      <w:r>
        <w:t>Schaupp</w:t>
      </w:r>
      <w:proofErr w:type="spellEnd"/>
      <w:r>
        <w:t xml:space="preserve"> and </w:t>
      </w:r>
      <w:proofErr w:type="spellStart"/>
      <w:r w:rsidR="007F00CE">
        <w:t>Hauskeller</w:t>
      </w:r>
      <w:proofErr w:type="spellEnd"/>
      <w:r w:rsidR="007F00CE">
        <w:t xml:space="preserve"> criticiz</w:t>
      </w:r>
      <w:r>
        <w:t>e the distinction on various grounds, arguing that it is unclear and unsupported by the evidence that Mill adduces. To examine these claims</w:t>
      </w:r>
      <w:r w:rsidR="00A5036F">
        <w:t xml:space="preserve"> requires</w:t>
      </w:r>
      <w:r>
        <w:t xml:space="preserve"> </w:t>
      </w:r>
      <w:r w:rsidR="00DE28E7">
        <w:t xml:space="preserve">further </w:t>
      </w:r>
      <w:r>
        <w:t>interpretive work</w:t>
      </w:r>
      <w:r w:rsidR="007912C1">
        <w:t>.</w:t>
      </w:r>
    </w:p>
    <w:p w14:paraId="36C872A7" w14:textId="5996BB8B" w:rsidR="00B061D5" w:rsidRDefault="0084560D" w:rsidP="00C65241">
      <w:pPr>
        <w:spacing w:line="480" w:lineRule="auto"/>
        <w:jc w:val="both"/>
      </w:pPr>
      <w:proofErr w:type="spellStart"/>
      <w:r>
        <w:t>Hauskeller</w:t>
      </w:r>
      <w:proofErr w:type="spellEnd"/>
      <w:r>
        <w:t xml:space="preserve"> </w:t>
      </w:r>
      <w:r w:rsidR="007912C1">
        <w:t>objects that Mill’s talk of higher pleasures is vacuous, for quality is a mere placeholder for being more valuable, and Mill never explains what makes them more valuable.</w:t>
      </w:r>
      <w:r>
        <w:rPr>
          <w:rStyle w:val="FootnoteReference"/>
        </w:rPr>
        <w:footnoteReference w:id="28"/>
      </w:r>
      <w:r w:rsidR="007912C1">
        <w:t xml:space="preserve"> It is</w:t>
      </w:r>
      <w:r w:rsidR="0003743B">
        <w:t xml:space="preserve"> certainly</w:t>
      </w:r>
      <w:r w:rsidR="007912C1">
        <w:t xml:space="preserve"> true that Mill </w:t>
      </w:r>
      <w:r w:rsidR="00B061D5">
        <w:t>could have been clearer</w:t>
      </w:r>
      <w:r w:rsidR="007912C1">
        <w:t xml:space="preserve">. We might expect </w:t>
      </w:r>
      <w:r w:rsidR="00B061D5">
        <w:t>an</w:t>
      </w:r>
      <w:r w:rsidR="007912C1">
        <w:t xml:space="preserve"> acc</w:t>
      </w:r>
      <w:r w:rsidR="00B061D5">
        <w:t>ount of higher pleasures to follow when Mill</w:t>
      </w:r>
      <w:r w:rsidR="00854DD3">
        <w:t xml:space="preserve"> says, ‘</w:t>
      </w:r>
      <w:r w:rsidR="007912C1" w:rsidRPr="007912C1">
        <w:t>If I am asked, what I mean by difference of quality in pleasures, or what makes one pleasure more valuable than another, merely as a pleasure, except its</w:t>
      </w:r>
      <w:r w:rsidR="007912C1" w:rsidRPr="007912C1">
        <w:rPr>
          <w:b/>
          <w:bCs/>
        </w:rPr>
        <w:t xml:space="preserve"> </w:t>
      </w:r>
      <w:r w:rsidR="007912C1" w:rsidRPr="007912C1">
        <w:t>being greater in amount, t</w:t>
      </w:r>
      <w:r w:rsidR="007912C1">
        <w:t>here is but one</w:t>
      </w:r>
      <w:r w:rsidR="00854DD3">
        <w:t xml:space="preserve"> possible answer’.</w:t>
      </w:r>
      <w:r w:rsidR="007D26DD">
        <w:rPr>
          <w:rStyle w:val="FootnoteReference"/>
        </w:rPr>
        <w:footnoteReference w:id="29"/>
      </w:r>
      <w:r w:rsidR="00B061D5">
        <w:t xml:space="preserve"> Instead, what Mill offers</w:t>
      </w:r>
      <w:r w:rsidR="007912C1">
        <w:t xml:space="preserve"> (the decided preference criterion) seems to be a test for how we might know, or justifiably believe, one pleasure to be </w:t>
      </w:r>
      <w:r w:rsidR="00B061D5">
        <w:t>higher in quality than another.</w:t>
      </w:r>
    </w:p>
    <w:p w14:paraId="5D0B589E" w14:textId="1367F02A" w:rsidR="00BE7730" w:rsidRDefault="007912C1" w:rsidP="00C65241">
      <w:pPr>
        <w:spacing w:line="480" w:lineRule="auto"/>
        <w:jc w:val="both"/>
      </w:pPr>
      <w:r>
        <w:t>T</w:t>
      </w:r>
      <w:r w:rsidR="00B061D5">
        <w:t>o be sure</w:t>
      </w:r>
      <w:r>
        <w:t xml:space="preserve">, at least one interpreter takes seriously the idea that the verdict of competent judges plays a constitutive role, </w:t>
      </w:r>
      <w:r w:rsidR="009F00B1">
        <w:t xml:space="preserve">literally being what </w:t>
      </w:r>
      <w:r>
        <w:t>mak</w:t>
      </w:r>
      <w:r w:rsidR="009F00B1">
        <w:t>es</w:t>
      </w:r>
      <w:r>
        <w:t xml:space="preserve"> some pleasures better than others</w:t>
      </w:r>
      <w:r w:rsidR="0084560D">
        <w:t>.</w:t>
      </w:r>
      <w:r w:rsidR="0084560D">
        <w:rPr>
          <w:rStyle w:val="FootnoteReference"/>
        </w:rPr>
        <w:footnoteReference w:id="30"/>
      </w:r>
      <w:r w:rsidR="00027A21">
        <w:t xml:space="preserve"> </w:t>
      </w:r>
      <w:r w:rsidR="0084560D">
        <w:t>However,</w:t>
      </w:r>
      <w:r>
        <w:t xml:space="preserve"> </w:t>
      </w:r>
      <w:proofErr w:type="spellStart"/>
      <w:r>
        <w:t>Hauskeller</w:t>
      </w:r>
      <w:proofErr w:type="spellEnd"/>
      <w:r w:rsidR="0084560D">
        <w:t>, rightly in my opinion,</w:t>
      </w:r>
      <w:r>
        <w:t xml:space="preserve"> </w:t>
      </w:r>
      <w:r w:rsidR="00027A21">
        <w:t>rejects this possibility</w:t>
      </w:r>
      <w:r w:rsidR="009F00B1">
        <w:t>.</w:t>
      </w:r>
      <w:r w:rsidR="0084560D">
        <w:rPr>
          <w:rStyle w:val="FootnoteReference"/>
        </w:rPr>
        <w:footnoteReference w:id="31"/>
      </w:r>
      <w:r w:rsidR="009F00B1">
        <w:t xml:space="preserve"> O</w:t>
      </w:r>
      <w:r w:rsidR="00027A21">
        <w:t>rdinarily</w:t>
      </w:r>
      <w:r w:rsidR="009F00B1">
        <w:t>,</w:t>
      </w:r>
      <w:r w:rsidR="00027A21">
        <w:t xml:space="preserve"> we suppose that competent judges prefer X to Y because they recognize that it is better, </w:t>
      </w:r>
      <w:r w:rsidR="009F00B1">
        <w:t xml:space="preserve">independently of their judgement, </w:t>
      </w:r>
      <w:r w:rsidR="00027A21">
        <w:t>rather than their preference being what makes it so</w:t>
      </w:r>
      <w:r w:rsidR="00BE7730">
        <w:t>.</w:t>
      </w:r>
      <w:r w:rsidR="00DE28E7">
        <w:t xml:space="preserve"> While Mill’s remarks about judges ‘determining’ or ‘deciding’ which of two pleasures are more valuable can indeed be read in a constitutive fashion (the </w:t>
      </w:r>
      <w:r w:rsidR="00DE28E7">
        <w:lastRenderedPageBreak/>
        <w:t>verdict of the judges makes it the case that one pleasure is better than another), they can also be read as evidential (the judges are pronouncing on some prior matter of fact).</w:t>
      </w:r>
      <w:r w:rsidR="007F00CE">
        <w:rPr>
          <w:rStyle w:val="FootnoteReference"/>
        </w:rPr>
        <w:footnoteReference w:id="32"/>
      </w:r>
    </w:p>
    <w:p w14:paraId="1753872F" w14:textId="034D897E" w:rsidR="00314204" w:rsidRDefault="00314204" w:rsidP="00C65241">
      <w:pPr>
        <w:spacing w:line="480" w:lineRule="auto"/>
        <w:jc w:val="both"/>
      </w:pPr>
      <w:r>
        <w:t xml:space="preserve">Simply to say that judges prefer one pleasure to another, because they think </w:t>
      </w:r>
      <w:r w:rsidR="00D717FB">
        <w:t>it better, is hardly informative</w:t>
      </w:r>
      <w:r>
        <w:t xml:space="preserve">. </w:t>
      </w:r>
      <w:r w:rsidR="007F00CE">
        <w:t xml:space="preserve">This </w:t>
      </w:r>
      <w:r w:rsidR="00027A21">
        <w:t xml:space="preserve">leaves unexplained what </w:t>
      </w:r>
      <w:r w:rsidR="00DE28E7">
        <w:t xml:space="preserve">exactly </w:t>
      </w:r>
      <w:r w:rsidR="009F00B1">
        <w:t>judges are responding to</w:t>
      </w:r>
      <w:r>
        <w:t>. However</w:t>
      </w:r>
      <w:r w:rsidR="009F00B1">
        <w:t>,</w:t>
      </w:r>
      <w:r>
        <w:t xml:space="preserve"> Mill addresses the </w:t>
      </w:r>
      <w:r w:rsidRPr="00BE7730">
        <w:rPr>
          <w:i/>
          <w:iCs/>
        </w:rPr>
        <w:t>reasons</w:t>
      </w:r>
      <w:r>
        <w:t xml:space="preserve"> why one may refuse to surrender higher pleasures in the next paragraph, suggestin</w:t>
      </w:r>
      <w:r w:rsidR="00854DD3">
        <w:t>g that it is due to pride or a ‘</w:t>
      </w:r>
      <w:r>
        <w:t>sense of dignity… [</w:t>
      </w:r>
      <w:proofErr w:type="gramStart"/>
      <w:r>
        <w:t>so</w:t>
      </w:r>
      <w:proofErr w:type="gramEnd"/>
      <w:r>
        <w:t xml:space="preserve">] </w:t>
      </w:r>
      <w:r w:rsidRPr="00197140">
        <w:t>strong, that nothing which conflicts with it could be,</w:t>
      </w:r>
      <w:r>
        <w:t xml:space="preserve"> </w:t>
      </w:r>
      <w:r w:rsidRPr="00197140">
        <w:t xml:space="preserve">otherwise than momentarily, an object of </w:t>
      </w:r>
      <w:r w:rsidR="00854DD3">
        <w:t>desire to’</w:t>
      </w:r>
      <w:r w:rsidR="007D26DD">
        <w:t xml:space="preserve"> us</w:t>
      </w:r>
      <w:r>
        <w:t>.</w:t>
      </w:r>
      <w:r w:rsidR="007D26DD">
        <w:rPr>
          <w:rStyle w:val="FootnoteReference"/>
        </w:rPr>
        <w:footnoteReference w:id="33"/>
      </w:r>
      <w:r>
        <w:t xml:space="preserve"> We might, momentarily, succumb to the temptation of a base pleasure but, on reflection, we consider it beneath us. Thus, our decided preference may </w:t>
      </w:r>
      <w:r w:rsidR="003D6DC9">
        <w:t>be for</w:t>
      </w:r>
      <w:r>
        <w:t xml:space="preserve"> reading poetry over playing child</w:t>
      </w:r>
      <w:r w:rsidR="0084560D">
        <w:t>ish games</w:t>
      </w:r>
      <w:r>
        <w:t xml:space="preserve"> because we consider it a nobler, and thus more valuable, form of pleasure</w:t>
      </w:r>
      <w:r w:rsidR="0084560D">
        <w:t>, not because we consider it to produce a greater amount of pleasure</w:t>
      </w:r>
      <w:r>
        <w:t>.</w:t>
      </w:r>
      <w:r w:rsidR="0084560D">
        <w:rPr>
          <w:rStyle w:val="FootnoteReference"/>
        </w:rPr>
        <w:footnoteReference w:id="34"/>
      </w:r>
    </w:p>
    <w:p w14:paraId="4ECAAE57" w14:textId="30788F55" w:rsidR="00B061D5" w:rsidRDefault="00314204" w:rsidP="00C65241">
      <w:pPr>
        <w:spacing w:line="480" w:lineRule="auto"/>
        <w:jc w:val="both"/>
      </w:pPr>
      <w:r>
        <w:t xml:space="preserve">How, though, are we to understand the claim that nobler pleasures are better </w:t>
      </w:r>
      <w:r w:rsidRPr="00314204">
        <w:rPr>
          <w:i/>
          <w:iCs/>
        </w:rPr>
        <w:t>as pleasures</w:t>
      </w:r>
      <w:r>
        <w:t xml:space="preserve">? </w:t>
      </w:r>
      <w:proofErr w:type="spellStart"/>
      <w:r w:rsidR="00854DD3">
        <w:t>Hauskeller</w:t>
      </w:r>
      <w:proofErr w:type="spellEnd"/>
      <w:r w:rsidR="00854DD3">
        <w:t xml:space="preserve"> observes that ‘</w:t>
      </w:r>
      <w:r w:rsidR="00BE7730" w:rsidRPr="00BE7730">
        <w:t>Normally, when we talk about the quality</w:t>
      </w:r>
      <w:r w:rsidR="00BE7730">
        <w:t xml:space="preserve"> </w:t>
      </w:r>
      <w:r w:rsidR="00BE7730" w:rsidRPr="00BE7730">
        <w:t>of things in an evaluative sense, we can account for alleged differences</w:t>
      </w:r>
      <w:r w:rsidR="00BE7730">
        <w:t xml:space="preserve"> </w:t>
      </w:r>
      <w:r w:rsidR="00BE7730" w:rsidRPr="00BE7730">
        <w:t>in quality by referring to differences in quantity (in a wide sense). For</w:t>
      </w:r>
      <w:r w:rsidR="00BE7730">
        <w:t xml:space="preserve"> </w:t>
      </w:r>
      <w:r w:rsidR="00BE7730" w:rsidRPr="00BE7730">
        <w:t>instance, a car can be said to be of a higher quality than another if it</w:t>
      </w:r>
      <w:r w:rsidR="00BE7730">
        <w:t xml:space="preserve"> </w:t>
      </w:r>
      <w:r w:rsidR="00BE7730" w:rsidRPr="00BE7730">
        <w:t>lasts longer, is</w:t>
      </w:r>
      <w:r w:rsidR="00BE7730">
        <w:t xml:space="preserve"> </w:t>
      </w:r>
      <w:r w:rsidR="00BE7730" w:rsidRPr="00BE7730">
        <w:t>more robust or elegant, faster, easier to handle, safer, etc.</w:t>
      </w:r>
      <w:r w:rsidR="00BE7730">
        <w:t xml:space="preserve"> </w:t>
      </w:r>
      <w:r w:rsidR="00BE7730" w:rsidRPr="00BE7730">
        <w:t>This means that we can spell out what makes it a better car</w:t>
      </w:r>
      <w:r w:rsidR="00854DD3">
        <w:t>’</w:t>
      </w:r>
      <w:r w:rsidR="00BE7730">
        <w:t>.</w:t>
      </w:r>
      <w:r w:rsidR="0084560D">
        <w:rPr>
          <w:rStyle w:val="FootnoteReference"/>
        </w:rPr>
        <w:footnoteReference w:id="35"/>
      </w:r>
    </w:p>
    <w:p w14:paraId="7A75CB1F" w14:textId="508F25A8" w:rsidR="00DF170F" w:rsidRDefault="00BE7730" w:rsidP="00C65241">
      <w:pPr>
        <w:spacing w:line="480" w:lineRule="auto"/>
        <w:jc w:val="both"/>
      </w:pPr>
      <w:r>
        <w:t xml:space="preserve">I am not convinced that we can always quantify what makes one object better than another of the same kind. Can we say how </w:t>
      </w:r>
      <w:r w:rsidRPr="00BE7730">
        <w:rPr>
          <w:i/>
          <w:iCs/>
        </w:rPr>
        <w:t>much more</w:t>
      </w:r>
      <w:r>
        <w:t xml:space="preserve"> elegant one car is than another, or put a number on how easy to drive each car is? </w:t>
      </w:r>
      <w:r w:rsidR="00314204">
        <w:t>But</w:t>
      </w:r>
      <w:r>
        <w:t xml:space="preserve">, even if we can, these numbers relate to something else than the quantity of </w:t>
      </w:r>
      <w:r>
        <w:lastRenderedPageBreak/>
        <w:t>car. If you prefer a Toyota to a Hyund</w:t>
      </w:r>
      <w:r w:rsidR="00314204">
        <w:t>a</w:t>
      </w:r>
      <w:r>
        <w:t xml:space="preserve">i, it is not because the former is </w:t>
      </w:r>
      <w:r w:rsidRPr="0074435F">
        <w:rPr>
          <w:i/>
          <w:iCs/>
        </w:rPr>
        <w:t>more</w:t>
      </w:r>
      <w:r>
        <w:t xml:space="preserve"> car, </w:t>
      </w:r>
      <w:r w:rsidR="00314204">
        <w:t xml:space="preserve">whatever that means, </w:t>
      </w:r>
      <w:r>
        <w:t xml:space="preserve">but </w:t>
      </w:r>
      <w:r w:rsidR="0074435F">
        <w:t xml:space="preserve">because it is </w:t>
      </w:r>
      <w:r>
        <w:t xml:space="preserve">a </w:t>
      </w:r>
      <w:r w:rsidRPr="0074435F">
        <w:rPr>
          <w:i/>
          <w:iCs/>
        </w:rPr>
        <w:t>better</w:t>
      </w:r>
      <w:r>
        <w:t xml:space="preserve"> car.</w:t>
      </w:r>
      <w:r w:rsidR="00395526">
        <w:rPr>
          <w:rStyle w:val="FootnoteReference"/>
        </w:rPr>
        <w:footnoteReference w:id="36"/>
      </w:r>
      <w:r w:rsidR="0074435F">
        <w:t xml:space="preserve"> Perhaps this evaluative judgement can be explained</w:t>
      </w:r>
      <w:r w:rsidR="00FB4C5A">
        <w:t xml:space="preserve"> or cashed out</w:t>
      </w:r>
      <w:r w:rsidR="0074435F">
        <w:t xml:space="preserve"> by appeal to </w:t>
      </w:r>
      <w:r w:rsidR="0074435F" w:rsidRPr="003D6DC9">
        <w:rPr>
          <w:i/>
        </w:rPr>
        <w:t>something else</w:t>
      </w:r>
      <w:r w:rsidR="0074435F">
        <w:t xml:space="preserve"> that can itself be quantified, but the quantity here is not the quantity </w:t>
      </w:r>
      <w:r w:rsidR="0074435F" w:rsidRPr="0074435F">
        <w:rPr>
          <w:i/>
          <w:iCs/>
        </w:rPr>
        <w:t>of cars</w:t>
      </w:r>
      <w:r w:rsidR="0074435F">
        <w:t>.</w:t>
      </w:r>
      <w:r w:rsidR="00DE28E7">
        <w:t xml:space="preserve"> That </w:t>
      </w:r>
      <w:r w:rsidR="00CE59F1">
        <w:t xml:space="preserve">the </w:t>
      </w:r>
      <w:r w:rsidR="00DE28E7">
        <w:t>quality</w:t>
      </w:r>
      <w:r w:rsidR="00CE59F1">
        <w:t xml:space="preserve"> of some X</w:t>
      </w:r>
      <w:r w:rsidR="00DE28E7">
        <w:t xml:space="preserve"> can be measured in quantitative terms does not show that it ceases to be distinct from </w:t>
      </w:r>
      <w:r w:rsidR="00CE59F1">
        <w:t>a quantitative judgement about the amount of X.</w:t>
      </w:r>
    </w:p>
    <w:p w14:paraId="42D09EE0" w14:textId="77777777" w:rsidR="00F0252B" w:rsidRDefault="00F0252B" w:rsidP="00C65241">
      <w:pPr>
        <w:spacing w:line="480" w:lineRule="auto"/>
        <w:jc w:val="both"/>
      </w:pPr>
    </w:p>
    <w:p w14:paraId="586BD2F0" w14:textId="0A8B2E19" w:rsidR="00F0252B" w:rsidRPr="00F0252B" w:rsidRDefault="00FF719C" w:rsidP="00C65241">
      <w:pPr>
        <w:spacing w:line="480" w:lineRule="auto"/>
        <w:jc w:val="both"/>
        <w:rPr>
          <w:b/>
        </w:rPr>
      </w:pPr>
      <w:r>
        <w:rPr>
          <w:b/>
        </w:rPr>
        <w:t xml:space="preserve">Distinguishing </w:t>
      </w:r>
      <w:r w:rsidR="00F0252B">
        <w:rPr>
          <w:b/>
        </w:rPr>
        <w:t>Quality and Quantity as Two Dimensions of Value</w:t>
      </w:r>
    </w:p>
    <w:p w14:paraId="08E4A185" w14:textId="0AA1643C" w:rsidR="00F0252B" w:rsidRDefault="00F0252B" w:rsidP="00C65241">
      <w:pPr>
        <w:spacing w:line="480" w:lineRule="auto"/>
        <w:jc w:val="both"/>
      </w:pPr>
      <w:r>
        <w:t>The distinction between q</w:t>
      </w:r>
      <w:r w:rsidR="00DF170F">
        <w:t>ual</w:t>
      </w:r>
      <w:r w:rsidR="00902D89">
        <w:t>ity and quantity</w:t>
      </w:r>
      <w:r>
        <w:t xml:space="preserve"> may be clarified by an analogy. Consider the example of</w:t>
      </w:r>
      <w:r w:rsidR="00902D89">
        <w:t xml:space="preserve"> wine</w:t>
      </w:r>
      <w:r w:rsidR="00DF170F">
        <w:t>.</w:t>
      </w:r>
      <w:r w:rsidR="00395526">
        <w:rPr>
          <w:rStyle w:val="FootnoteReference"/>
        </w:rPr>
        <w:footnoteReference w:id="37"/>
      </w:r>
      <w:r w:rsidR="00DF170F">
        <w:t xml:space="preserve"> Assume that I like wine so, other things being equal, prefer more wine to less.</w:t>
      </w:r>
      <w:r w:rsidR="00575FD3">
        <w:t xml:space="preserve"> </w:t>
      </w:r>
      <w:r w:rsidR="00CE59F1">
        <w:t xml:space="preserve">Obviously, in real life, people do not always prefer more wine to less, but this shows only that wine is not </w:t>
      </w:r>
      <w:r w:rsidR="003D6DC9">
        <w:t xml:space="preserve">actually </w:t>
      </w:r>
      <w:r w:rsidR="00CE59F1">
        <w:t>the o</w:t>
      </w:r>
      <w:r w:rsidR="003D6DC9">
        <w:t>nly thing that we care about. T</w:t>
      </w:r>
      <w:r w:rsidR="00CE59F1">
        <w:t>he prese</w:t>
      </w:r>
      <w:r w:rsidR="00575FD3">
        <w:t>nt example abstracts from this.</w:t>
      </w:r>
      <w:r w:rsidR="00DF170F">
        <w:t xml:space="preserve"> Given </w:t>
      </w:r>
      <w:r w:rsidR="00CE59F1">
        <w:t>this stipulation, when faced with a</w:t>
      </w:r>
      <w:r w:rsidR="00DF170F">
        <w:t xml:space="preserve"> choice between </w:t>
      </w:r>
      <w:r w:rsidR="00CE59F1">
        <w:t xml:space="preserve">two quantities </w:t>
      </w:r>
      <w:r w:rsidR="00DF170F" w:rsidRPr="00DF170F">
        <w:rPr>
          <w:i/>
          <w:iCs/>
        </w:rPr>
        <w:t>of the same wine</w:t>
      </w:r>
      <w:r w:rsidR="00DF170F">
        <w:t xml:space="preserve">, </w:t>
      </w:r>
      <w:r w:rsidR="00CE59F1">
        <w:t xml:space="preserve">such as 250ml or 125ml, </w:t>
      </w:r>
      <w:r w:rsidR="00DF170F">
        <w:t xml:space="preserve">I will </w:t>
      </w:r>
      <w:r w:rsidR="00DF170F" w:rsidRPr="00DF170F">
        <w:rPr>
          <w:i/>
          <w:iCs/>
        </w:rPr>
        <w:t>always</w:t>
      </w:r>
      <w:r w:rsidR="00DF170F">
        <w:t xml:space="preserve"> opt for the larger </w:t>
      </w:r>
      <w:r w:rsidR="00CE59F1">
        <w:t>amount</w:t>
      </w:r>
      <w:r w:rsidR="00DF170F">
        <w:t>.</w:t>
      </w:r>
      <w:r w:rsidR="00CE59F1">
        <w:t xml:space="preserve"> This holds true so long as the wine is the same, </w:t>
      </w:r>
      <w:r>
        <w:t>but not all wines are the same.</w:t>
      </w:r>
    </w:p>
    <w:p w14:paraId="13FE552F" w14:textId="48FD91D6" w:rsidR="005335F1" w:rsidRDefault="00CE59F1" w:rsidP="00C65241">
      <w:pPr>
        <w:spacing w:line="480" w:lineRule="auto"/>
        <w:jc w:val="both"/>
      </w:pPr>
      <w:r>
        <w:t>S</w:t>
      </w:r>
      <w:r w:rsidR="00DF170F">
        <w:t>uppose</w:t>
      </w:r>
      <w:r>
        <w:t xml:space="preserve"> that</w:t>
      </w:r>
      <w:r w:rsidR="00DF170F">
        <w:t xml:space="preserve"> you see me given the choice between 125ml of wine X and 250ml of wine Y and, in this case, I choose wine X. Why is this?</w:t>
      </w:r>
      <w:r>
        <w:t xml:space="preserve"> Since, other things equal, I always prefer more wine to less, it must be that others things are not equal here.</w:t>
      </w:r>
      <w:r w:rsidR="00DF170F">
        <w:t xml:space="preserve"> The explanation</w:t>
      </w:r>
      <w:r w:rsidR="004141DA">
        <w:t>,</w:t>
      </w:r>
      <w:r w:rsidR="00DF170F">
        <w:t xml:space="preserve"> presumably</w:t>
      </w:r>
      <w:r w:rsidR="004141DA">
        <w:t>,</w:t>
      </w:r>
      <w:r w:rsidR="00DF170F">
        <w:t xml:space="preserve"> is that I prefer wine X to wine Y, for reasons other than its quantity. </w:t>
      </w:r>
      <w:r w:rsidR="004141DA">
        <w:t>That is, I judge wine X to be of a sufficiently higher quality to compensate for its lesser quantity.</w:t>
      </w:r>
    </w:p>
    <w:p w14:paraId="2EC5DBFE" w14:textId="46F232C8" w:rsidR="00F0252B" w:rsidRDefault="004141DA" w:rsidP="00C65241">
      <w:pPr>
        <w:spacing w:line="480" w:lineRule="auto"/>
        <w:jc w:val="both"/>
      </w:pPr>
      <w:r>
        <w:lastRenderedPageBreak/>
        <w:t>Let me pre-empt one misunderstanding here</w:t>
      </w:r>
      <w:r w:rsidR="009F00B1">
        <w:t>.</w:t>
      </w:r>
      <w:r>
        <w:t xml:space="preserve"> </w:t>
      </w:r>
      <w:proofErr w:type="spellStart"/>
      <w:r>
        <w:t>Schaupp</w:t>
      </w:r>
      <w:proofErr w:type="spellEnd"/>
      <w:r>
        <w:t xml:space="preserve"> is critical of Schmidt-Petri f</w:t>
      </w:r>
      <w:r w:rsidR="00854DD3">
        <w:t>or using just such an example: ‘</w:t>
      </w:r>
      <w:r w:rsidRPr="004141DA">
        <w:t>Schmidt-Petri uses examples which</w:t>
      </w:r>
      <w:r>
        <w:t xml:space="preserve"> </w:t>
      </w:r>
      <w:r w:rsidRPr="004141DA">
        <w:t xml:space="preserve">involve the </w:t>
      </w:r>
      <w:r w:rsidRPr="004141DA">
        <w:rPr>
          <w:i/>
          <w:iCs/>
        </w:rPr>
        <w:t xml:space="preserve">same </w:t>
      </w:r>
      <w:r w:rsidRPr="004141DA">
        <w:t>kind of pleasure, e.g. two bottles of wine or two</w:t>
      </w:r>
      <w:r>
        <w:t xml:space="preserve"> </w:t>
      </w:r>
      <w:r w:rsidRPr="004141DA">
        <w:t>cars. This is misleading since both examples, while involving a clear</w:t>
      </w:r>
      <w:r>
        <w:t xml:space="preserve"> </w:t>
      </w:r>
      <w:r w:rsidRPr="004141DA">
        <w:t xml:space="preserve">difference in quality, still involve the same </w:t>
      </w:r>
      <w:r w:rsidRPr="004141DA">
        <w:rPr>
          <w:i/>
          <w:iCs/>
        </w:rPr>
        <w:t xml:space="preserve">type </w:t>
      </w:r>
      <w:r w:rsidRPr="004141DA">
        <w:t>of pleasure</w:t>
      </w:r>
      <w:r w:rsidR="00854DD3">
        <w:t>.’</w:t>
      </w:r>
      <w:r w:rsidR="00234B9E">
        <w:rPr>
          <w:rStyle w:val="FootnoteReference"/>
        </w:rPr>
        <w:footnoteReference w:id="38"/>
      </w:r>
      <w:r>
        <w:t xml:space="preserve"> What we are comparing here, however, is not </w:t>
      </w:r>
      <w:r w:rsidRPr="004141DA">
        <w:rPr>
          <w:i/>
          <w:iCs/>
        </w:rPr>
        <w:t>the pleasure of drinking</w:t>
      </w:r>
      <w:r>
        <w:t xml:space="preserve"> wine X with </w:t>
      </w:r>
      <w:r w:rsidRPr="004141DA">
        <w:rPr>
          <w:i/>
          <w:iCs/>
        </w:rPr>
        <w:t xml:space="preserve">the pleasure of drinking </w:t>
      </w:r>
      <w:r>
        <w:t xml:space="preserve">wine Y. Rather, we are comparing the wines themselves. When choosing between two wines, we consider both the quantity and the quality (where quality might, but need not, relate to how much pleasure we get from drinking a unit of that wine). The example is meant to be an illustrative analogy, with the wine standing in place of pleasure. </w:t>
      </w:r>
      <w:r w:rsidR="005335F1">
        <w:t xml:space="preserve">If, in the case of wine, </w:t>
      </w:r>
      <w:r w:rsidR="003D6DC9">
        <w:t>our choice depends on</w:t>
      </w:r>
      <w:r w:rsidR="005335F1">
        <w:t xml:space="preserve"> both quality and quantity, then why not also in the case of pleasure?</w:t>
      </w:r>
      <w:r w:rsidR="007D26DD">
        <w:rPr>
          <w:rStyle w:val="FootnoteReference"/>
        </w:rPr>
        <w:footnoteReference w:id="39"/>
      </w:r>
    </w:p>
    <w:p w14:paraId="32A4B4CE" w14:textId="5492F9A6" w:rsidR="00DF6EC1" w:rsidRDefault="00F0252B" w:rsidP="00C65241">
      <w:pPr>
        <w:spacing w:line="480" w:lineRule="auto"/>
        <w:jc w:val="both"/>
      </w:pPr>
      <w:r>
        <w:t>P</w:t>
      </w:r>
      <w:r w:rsidR="004141DA">
        <w:t xml:space="preserve">erhaps </w:t>
      </w:r>
      <w:r>
        <w:t>wine</w:t>
      </w:r>
      <w:r w:rsidR="004141DA">
        <w:t xml:space="preserve"> is not the best example</w:t>
      </w:r>
      <w:r w:rsidR="003D6DC9">
        <w:t xml:space="preserve"> though</w:t>
      </w:r>
      <w:r w:rsidR="004141DA">
        <w:t xml:space="preserve">, </w:t>
      </w:r>
      <w:r w:rsidR="00CE59F1">
        <w:t>since it invites this sort of misunderstanding, and the objection that one may reasonably prefer less wine, for instance to avoid a hangover</w:t>
      </w:r>
      <w:r w:rsidR="004141DA">
        <w:t>.</w:t>
      </w:r>
      <w:r w:rsidR="00CE59F1">
        <w:t xml:space="preserve"> </w:t>
      </w:r>
      <w:r>
        <w:t>Therefore, let me</w:t>
      </w:r>
      <w:r w:rsidR="00DF6EC1">
        <w:t xml:space="preserve"> offer another example.</w:t>
      </w:r>
    </w:p>
    <w:p w14:paraId="20150472" w14:textId="77777777" w:rsidR="00DF6EC1" w:rsidRDefault="00DF6EC1" w:rsidP="00C65241">
      <w:pPr>
        <w:spacing w:line="480" w:lineRule="auto"/>
        <w:jc w:val="both"/>
      </w:pPr>
    </w:p>
    <w:p w14:paraId="61583AA4" w14:textId="10CE8C62" w:rsidR="00DF6EC1" w:rsidRPr="00DF6EC1" w:rsidRDefault="00DF6EC1" w:rsidP="00C65241">
      <w:pPr>
        <w:spacing w:line="480" w:lineRule="auto"/>
        <w:jc w:val="both"/>
        <w:rPr>
          <w:b/>
        </w:rPr>
      </w:pPr>
      <w:r w:rsidRPr="00DF6EC1">
        <w:rPr>
          <w:b/>
        </w:rPr>
        <w:t>Philosophical Quality</w:t>
      </w:r>
    </w:p>
    <w:p w14:paraId="7AF0E5C6" w14:textId="0DA6E2B4" w:rsidR="00824AA5" w:rsidRDefault="00065C63" w:rsidP="00C65241">
      <w:pPr>
        <w:spacing w:line="480" w:lineRule="auto"/>
        <w:jc w:val="both"/>
      </w:pPr>
      <w:r>
        <w:t>Imag</w:t>
      </w:r>
      <w:r w:rsidR="00DF6EC1">
        <w:t>ine that you are on a committee</w:t>
      </w:r>
      <w:r>
        <w:t xml:space="preserve"> tasked with evaluating </w:t>
      </w:r>
      <w:r w:rsidR="00CA1E2A">
        <w:t xml:space="preserve">two </w:t>
      </w:r>
      <w:r>
        <w:t>philosophers’ pub</w:t>
      </w:r>
      <w:r w:rsidR="00DF6EC1">
        <w:t xml:space="preserve">lications. Of course, decisions on hiring, tenure, </w:t>
      </w:r>
      <w:r w:rsidR="00CE59F1">
        <w:t>award</w:t>
      </w:r>
      <w:r w:rsidR="00DF6EC1">
        <w:t>s</w:t>
      </w:r>
      <w:r w:rsidR="00CE59F1">
        <w:t xml:space="preserve">, or whatever </w:t>
      </w:r>
      <w:r>
        <w:t>may depend on factors besides research</w:t>
      </w:r>
      <w:r w:rsidR="00CE59F1">
        <w:t>, such as</w:t>
      </w:r>
      <w:r>
        <w:t xml:space="preserve"> teaching and administrative service</w:t>
      </w:r>
      <w:r w:rsidR="00CE59F1">
        <w:t>,</w:t>
      </w:r>
      <w:r>
        <w:t xml:space="preserve"> and even your assessment of research may depend on fa</w:t>
      </w:r>
      <w:r w:rsidR="00CE59F1">
        <w:t>ctors besides publications, such as</w:t>
      </w:r>
      <w:r>
        <w:t xml:space="preserve"> grants won or research impact</w:t>
      </w:r>
      <w:r w:rsidR="00CE59F1">
        <w:t xml:space="preserve">. </w:t>
      </w:r>
      <w:r w:rsidR="00010354">
        <w:t>Set aside these other considerations, however, and</w:t>
      </w:r>
      <w:r>
        <w:t xml:space="preserve"> </w:t>
      </w:r>
      <w:r w:rsidR="00010354">
        <w:t>assum</w:t>
      </w:r>
      <w:r>
        <w:t>e</w:t>
      </w:r>
      <w:r w:rsidR="00010354">
        <w:t xml:space="preserve"> that,</w:t>
      </w:r>
      <w:r>
        <w:t xml:space="preserve"> for the time being</w:t>
      </w:r>
      <w:r w:rsidR="00010354">
        <w:t xml:space="preserve"> at least,</w:t>
      </w:r>
      <w:r>
        <w:t xml:space="preserve"> you are concerned only with ranking the public</w:t>
      </w:r>
      <w:r w:rsidR="00824AA5">
        <w:t>ation</w:t>
      </w:r>
      <w:r w:rsidR="00010354">
        <w:t xml:space="preserve"> record</w:t>
      </w:r>
      <w:r w:rsidR="00824AA5">
        <w:t>s</w:t>
      </w:r>
      <w:r w:rsidR="004A0657">
        <w:t xml:space="preserve"> of these two philosophers</w:t>
      </w:r>
      <w:r w:rsidR="00824AA5">
        <w:t>. How should you proceed?</w:t>
      </w:r>
    </w:p>
    <w:p w14:paraId="06ABE1A2" w14:textId="6928EB7D" w:rsidR="00065C63" w:rsidRDefault="00065C63" w:rsidP="00C65241">
      <w:pPr>
        <w:spacing w:line="480" w:lineRule="auto"/>
        <w:jc w:val="both"/>
      </w:pPr>
      <w:r>
        <w:lastRenderedPageBreak/>
        <w:t xml:space="preserve">An obvious starting point would be to look at how many articles each candidate had published. </w:t>
      </w:r>
      <w:r w:rsidR="004A0657">
        <w:t xml:space="preserve">However, this is surely not all that we care about. </w:t>
      </w:r>
      <w:r w:rsidR="00EC0364">
        <w:t>Suppos</w:t>
      </w:r>
      <w:r>
        <w:t xml:space="preserve">e </w:t>
      </w:r>
      <w:r w:rsidR="00010354">
        <w:t xml:space="preserve">that </w:t>
      </w:r>
      <w:r>
        <w:t>the Dean (a non-philosopher) sees that Alpha has twelve publications on her CV, while Beta has only eight on his. The Dean may conclude tha</w:t>
      </w:r>
      <w:r w:rsidR="00D717FB">
        <w:t xml:space="preserve">t Alpha </w:t>
      </w:r>
      <w:r w:rsidR="00DF6EC1">
        <w:t>has the better publication record</w:t>
      </w:r>
      <w:r w:rsidR="00D717FB">
        <w:t xml:space="preserve">. </w:t>
      </w:r>
      <w:r w:rsidR="004A0657">
        <w:t xml:space="preserve">But </w:t>
      </w:r>
      <w:r w:rsidR="00824AA5">
        <w:t>n</w:t>
      </w:r>
      <w:r>
        <w:t>ot all publications are of equal value.</w:t>
      </w:r>
      <w:r w:rsidR="00EC0364">
        <w:t xml:space="preserve"> </w:t>
      </w:r>
      <w:r w:rsidR="008123A2">
        <w:t>Imagine yourself in this conversation</w:t>
      </w:r>
      <w:r w:rsidR="00EC0364">
        <w:t>:</w:t>
      </w:r>
    </w:p>
    <w:p w14:paraId="6DDE59A3" w14:textId="50590E73" w:rsidR="00010354" w:rsidRDefault="00010354" w:rsidP="00C65241">
      <w:pPr>
        <w:spacing w:line="480" w:lineRule="auto"/>
        <w:ind w:left="720" w:right="720"/>
        <w:jc w:val="both"/>
        <w:rPr>
          <w:i/>
          <w:iCs/>
        </w:rPr>
      </w:pPr>
      <w:r>
        <w:rPr>
          <w:i/>
          <w:iCs/>
        </w:rPr>
        <w:t>Dea</w:t>
      </w:r>
      <w:r w:rsidR="004A0657">
        <w:rPr>
          <w:i/>
          <w:iCs/>
        </w:rPr>
        <w:t xml:space="preserve">n: It seems to me that Alpha </w:t>
      </w:r>
      <w:r>
        <w:rPr>
          <w:i/>
          <w:iCs/>
        </w:rPr>
        <w:t xml:space="preserve">clearly </w:t>
      </w:r>
      <w:r w:rsidR="004A0657">
        <w:rPr>
          <w:i/>
          <w:iCs/>
        </w:rPr>
        <w:t xml:space="preserve">has </w:t>
      </w:r>
      <w:r>
        <w:rPr>
          <w:i/>
          <w:iCs/>
        </w:rPr>
        <w:t xml:space="preserve">the better </w:t>
      </w:r>
      <w:r w:rsidR="004A0657">
        <w:rPr>
          <w:i/>
          <w:iCs/>
        </w:rPr>
        <w:t>publication record</w:t>
      </w:r>
      <w:r>
        <w:rPr>
          <w:i/>
          <w:iCs/>
        </w:rPr>
        <w:t>, since she’s published 50% more than Beta in a comparable period of time. Are we all agreed?</w:t>
      </w:r>
    </w:p>
    <w:p w14:paraId="0AFBAB58" w14:textId="2F83DD73" w:rsidR="00EC0364" w:rsidRPr="00EC0364" w:rsidRDefault="00EC0364" w:rsidP="00C65241">
      <w:pPr>
        <w:spacing w:line="480" w:lineRule="auto"/>
        <w:ind w:right="720" w:firstLine="720"/>
        <w:jc w:val="both"/>
        <w:rPr>
          <w:i/>
          <w:iCs/>
        </w:rPr>
      </w:pPr>
      <w:r w:rsidRPr="00EC0364">
        <w:rPr>
          <w:i/>
          <w:iCs/>
        </w:rPr>
        <w:t xml:space="preserve">You: You can’t simply assume that these publications are </w:t>
      </w:r>
      <w:r w:rsidR="008123A2">
        <w:rPr>
          <w:i/>
          <w:iCs/>
        </w:rPr>
        <w:t>equivalent</w:t>
      </w:r>
      <w:r w:rsidRPr="00EC0364">
        <w:rPr>
          <w:i/>
          <w:iCs/>
        </w:rPr>
        <w:t>.</w:t>
      </w:r>
    </w:p>
    <w:p w14:paraId="73E8F7E0" w14:textId="1D0D370A" w:rsidR="00EC0364" w:rsidRPr="00EC0364" w:rsidRDefault="00EC0364" w:rsidP="00C65241">
      <w:pPr>
        <w:spacing w:line="480" w:lineRule="auto"/>
        <w:ind w:left="720" w:right="720"/>
        <w:jc w:val="both"/>
        <w:rPr>
          <w:i/>
          <w:iCs/>
        </w:rPr>
      </w:pPr>
      <w:r w:rsidRPr="00EC0364">
        <w:rPr>
          <w:i/>
          <w:iCs/>
        </w:rPr>
        <w:t xml:space="preserve">Dean: Hmm, </w:t>
      </w:r>
      <w:r w:rsidR="00010354">
        <w:rPr>
          <w:i/>
          <w:iCs/>
        </w:rPr>
        <w:t>look</w:t>
      </w:r>
      <w:r w:rsidR="00D717FB">
        <w:rPr>
          <w:i/>
          <w:iCs/>
        </w:rPr>
        <w:t>ing</w:t>
      </w:r>
      <w:r w:rsidR="00010354">
        <w:rPr>
          <w:i/>
          <w:iCs/>
        </w:rPr>
        <w:t xml:space="preserve"> more closely, </w:t>
      </w:r>
      <w:r w:rsidR="00F0252B">
        <w:rPr>
          <w:i/>
          <w:iCs/>
        </w:rPr>
        <w:t>you’</w:t>
      </w:r>
      <w:r w:rsidR="00FF719C">
        <w:rPr>
          <w:i/>
          <w:iCs/>
        </w:rPr>
        <w:t>re</w:t>
      </w:r>
      <w:r w:rsidRPr="00EC0364">
        <w:rPr>
          <w:i/>
          <w:iCs/>
        </w:rPr>
        <w:t xml:space="preserve"> right. Alpha has twelve publications, but </w:t>
      </w:r>
      <w:r w:rsidR="00010354">
        <w:rPr>
          <w:i/>
          <w:iCs/>
        </w:rPr>
        <w:t xml:space="preserve">some of </w:t>
      </w:r>
      <w:r w:rsidR="008123A2">
        <w:rPr>
          <w:i/>
          <w:iCs/>
        </w:rPr>
        <w:t>her</w:t>
      </w:r>
      <w:r w:rsidRPr="00EC0364">
        <w:rPr>
          <w:i/>
          <w:iCs/>
        </w:rPr>
        <w:t xml:space="preserve"> papers are very short. Beta’s papers are much longer. Perhaps we’d better consider not only the </w:t>
      </w:r>
      <w:r w:rsidRPr="003D6DC9">
        <w:rPr>
          <w:iCs/>
        </w:rPr>
        <w:t>number</w:t>
      </w:r>
      <w:r w:rsidRPr="00EC0364">
        <w:rPr>
          <w:i/>
          <w:iCs/>
        </w:rPr>
        <w:t xml:space="preserve"> of papers, but also the </w:t>
      </w:r>
      <w:r w:rsidRPr="003D6DC9">
        <w:rPr>
          <w:iCs/>
        </w:rPr>
        <w:t>length</w:t>
      </w:r>
      <w:r w:rsidRPr="00EC0364">
        <w:rPr>
          <w:i/>
          <w:iCs/>
        </w:rPr>
        <w:t xml:space="preserve"> of each paper. Counting the number of pages, or </w:t>
      </w:r>
      <w:r w:rsidR="00010354">
        <w:rPr>
          <w:i/>
          <w:iCs/>
        </w:rPr>
        <w:t xml:space="preserve">better yet the number of </w:t>
      </w:r>
      <w:r w:rsidRPr="00EC0364">
        <w:rPr>
          <w:i/>
          <w:iCs/>
        </w:rPr>
        <w:t xml:space="preserve">words, will give us a </w:t>
      </w:r>
      <w:r w:rsidR="00010354">
        <w:rPr>
          <w:i/>
          <w:iCs/>
        </w:rPr>
        <w:t>more accurate</w:t>
      </w:r>
      <w:r w:rsidRPr="00EC0364">
        <w:rPr>
          <w:i/>
          <w:iCs/>
        </w:rPr>
        <w:t xml:space="preserve"> idea </w:t>
      </w:r>
      <w:r w:rsidR="00B708DB">
        <w:rPr>
          <w:i/>
          <w:iCs/>
        </w:rPr>
        <w:t>of each candidate</w:t>
      </w:r>
      <w:r w:rsidR="008123A2">
        <w:rPr>
          <w:i/>
          <w:iCs/>
        </w:rPr>
        <w:t>’s publication record</w:t>
      </w:r>
      <w:r w:rsidR="00B708DB">
        <w:rPr>
          <w:i/>
          <w:iCs/>
        </w:rPr>
        <w:t xml:space="preserve"> </w:t>
      </w:r>
      <w:r w:rsidRPr="00EC0364">
        <w:rPr>
          <w:i/>
          <w:iCs/>
        </w:rPr>
        <w:t>tha</w:t>
      </w:r>
      <w:r w:rsidR="00B708DB">
        <w:rPr>
          <w:i/>
          <w:iCs/>
        </w:rPr>
        <w:t>n</w:t>
      </w:r>
      <w:r w:rsidRPr="00EC0364">
        <w:rPr>
          <w:i/>
          <w:iCs/>
        </w:rPr>
        <w:t xml:space="preserve"> simply looking at the number </w:t>
      </w:r>
      <w:r w:rsidR="00010354">
        <w:rPr>
          <w:i/>
          <w:iCs/>
        </w:rPr>
        <w:t>published papers</w:t>
      </w:r>
      <w:r w:rsidRPr="00EC0364">
        <w:rPr>
          <w:i/>
          <w:iCs/>
        </w:rPr>
        <w:t>.</w:t>
      </w:r>
    </w:p>
    <w:p w14:paraId="34B2DFF5" w14:textId="25543082" w:rsidR="005576FF" w:rsidRDefault="008123A2" w:rsidP="00C65241">
      <w:pPr>
        <w:spacing w:line="480" w:lineRule="auto"/>
        <w:jc w:val="both"/>
      </w:pPr>
      <w:r>
        <w:t>There is indeed a difficult</w:t>
      </w:r>
      <w:r w:rsidR="00EC0364">
        <w:t xml:space="preserve"> issue here. Should a 3,000</w:t>
      </w:r>
      <w:r w:rsidR="00010354">
        <w:t>-word paper count equally to a 12</w:t>
      </w:r>
      <w:r w:rsidR="00EC0364">
        <w:t>,000-word paper of similar quality?</w:t>
      </w:r>
      <w:r w:rsidR="00DF6EC1">
        <w:t xml:space="preserve"> Probably not. But how should we compare</w:t>
      </w:r>
      <w:r w:rsidR="00010354">
        <w:t xml:space="preserve"> four 3,000-word papers </w:t>
      </w:r>
      <w:r w:rsidR="00DF6EC1">
        <w:t>and</w:t>
      </w:r>
      <w:r w:rsidR="00F0252B">
        <w:t xml:space="preserve"> a single</w:t>
      </w:r>
      <w:r w:rsidR="00DF6EC1">
        <w:t xml:space="preserve"> 12,000-word paper? I am not sure.</w:t>
      </w:r>
      <w:r>
        <w:t xml:space="preserve"> This</w:t>
      </w:r>
      <w:r w:rsidR="00F0252B">
        <w:t xml:space="preserve"> shows that even quantitative comparisons </w:t>
      </w:r>
      <w:r w:rsidR="00010354">
        <w:t>can be di</w:t>
      </w:r>
      <w:r w:rsidR="00D55181">
        <w:t>fficult</w:t>
      </w:r>
      <w:r w:rsidR="00F0252B">
        <w:t>, mirroring</w:t>
      </w:r>
      <w:r w:rsidR="00010354">
        <w:t xml:space="preserve"> the difficulty</w:t>
      </w:r>
      <w:r w:rsidR="00A10568">
        <w:t>, present even in quantitative hedonism, of</w:t>
      </w:r>
      <w:r w:rsidR="00010354">
        <w:t xml:space="preserve"> comparing a short but intense pleasure with a longer but less intense pleasure.</w:t>
      </w:r>
    </w:p>
    <w:p w14:paraId="4B7A5352" w14:textId="55FE1366" w:rsidR="00EC0364" w:rsidRDefault="00EC0364" w:rsidP="00C65241">
      <w:pPr>
        <w:spacing w:line="480" w:lineRule="auto"/>
        <w:jc w:val="both"/>
      </w:pPr>
      <w:r>
        <w:t>Nonetheless,</w:t>
      </w:r>
      <w:r w:rsidR="005576FF">
        <w:t xml:space="preserve"> </w:t>
      </w:r>
      <w:r w:rsidR="00F0252B">
        <w:t>by</w:t>
      </w:r>
      <w:r w:rsidR="005576FF">
        <w:t xml:space="preserve"> focusing only on the length of the papers in question,</w:t>
      </w:r>
      <w:r>
        <w:t xml:space="preserve"> the Dean has missed the point here. Looking at word, or page, counts is still only to compare the </w:t>
      </w:r>
      <w:r w:rsidRPr="0028241F">
        <w:rPr>
          <w:iCs/>
        </w:rPr>
        <w:t>quantity</w:t>
      </w:r>
      <w:r w:rsidRPr="0028241F">
        <w:t xml:space="preserve"> </w:t>
      </w:r>
      <w:r>
        <w:t>of output.</w:t>
      </w:r>
      <w:r w:rsidR="00824AA5">
        <w:t xml:space="preserve"> </w:t>
      </w:r>
      <w:r w:rsidR="00F0252B">
        <w:t>Words, pages, or number of papers all</w:t>
      </w:r>
      <w:r w:rsidR="00824AA5">
        <w:t xml:space="preserve"> measure volume.</w:t>
      </w:r>
      <w:r>
        <w:t xml:space="preserve"> </w:t>
      </w:r>
      <w:r w:rsidR="008123A2">
        <w:t>But, w</w:t>
      </w:r>
      <w:r>
        <w:t xml:space="preserve">hen we seek to compare philosophers, </w:t>
      </w:r>
      <w:r w:rsidR="008123A2">
        <w:t>or their publication records</w:t>
      </w:r>
      <w:r>
        <w:t>, we are not usually interested in who is more prolific. We are normally interested not</w:t>
      </w:r>
      <w:r w:rsidR="0028241F">
        <w:t xml:space="preserve"> only</w:t>
      </w:r>
      <w:r>
        <w:t xml:space="preserve"> in the quantity of their output, but in its </w:t>
      </w:r>
      <w:r w:rsidRPr="00EC0364">
        <w:rPr>
          <w:i/>
          <w:iCs/>
        </w:rPr>
        <w:t>quality</w:t>
      </w:r>
      <w:r>
        <w:t>.</w:t>
      </w:r>
      <w:r w:rsidR="001F4EE1">
        <w:t xml:space="preserve"> Two papers, each of similar length, may differ </w:t>
      </w:r>
      <w:r w:rsidR="001F4EE1">
        <w:lastRenderedPageBreak/>
        <w:t>markedly in the philosophical virtues that they exhibit. We ordina</w:t>
      </w:r>
      <w:r w:rsidR="00CA1E2A">
        <w:t>rily judge one philosopher</w:t>
      </w:r>
      <w:r w:rsidR="001F4EE1">
        <w:t xml:space="preserve"> better than another, not because she has written more, but because what she has written is better (more original, interesting, rigorous, </w:t>
      </w:r>
      <w:proofErr w:type="spellStart"/>
      <w:r w:rsidR="001F4EE1">
        <w:t>etc</w:t>
      </w:r>
      <w:proofErr w:type="spellEnd"/>
      <w:r w:rsidR="001F4EE1">
        <w:t>).</w:t>
      </w:r>
      <w:r w:rsidR="00FF719C">
        <w:t xml:space="preserve"> Even if we can assign numerical scores to these properties, these numbers are measures of quality, not quantity.</w:t>
      </w:r>
    </w:p>
    <w:p w14:paraId="68FB0F52" w14:textId="421C3D06" w:rsidR="00A10568" w:rsidRDefault="00FF719C" w:rsidP="00C65241">
      <w:pPr>
        <w:spacing w:line="480" w:lineRule="auto"/>
        <w:jc w:val="both"/>
      </w:pPr>
      <w:r>
        <w:t>Once quality and quantity are distinguished, it becomes an important issue how we are to make trade-offs between them</w:t>
      </w:r>
      <w:r w:rsidR="00FB4C5A">
        <w:t>. Suppose one of the philosopher</w:t>
      </w:r>
      <w:r w:rsidR="001F4EE1">
        <w:t>s</w:t>
      </w:r>
      <w:r w:rsidR="00FB4C5A">
        <w:t xml:space="preserve"> we are comparing</w:t>
      </w:r>
      <w:r w:rsidR="001F4EE1">
        <w:t xml:space="preserve"> is Edmund </w:t>
      </w:r>
      <w:proofErr w:type="spellStart"/>
      <w:r w:rsidR="001F4EE1">
        <w:t>Gettier</w:t>
      </w:r>
      <w:proofErr w:type="spellEnd"/>
      <w:r w:rsidR="001F4EE1">
        <w:t xml:space="preserve">. </w:t>
      </w:r>
      <w:proofErr w:type="spellStart"/>
      <w:r w:rsidR="001F4EE1">
        <w:t>Gettier’s</w:t>
      </w:r>
      <w:proofErr w:type="spellEnd"/>
      <w:r w:rsidR="001F4EE1">
        <w:t xml:space="preserve"> 1963 </w:t>
      </w:r>
      <w:r w:rsidR="001F4EE1" w:rsidRPr="001F4EE1">
        <w:rPr>
          <w:i/>
          <w:iCs/>
        </w:rPr>
        <w:t>Analysis</w:t>
      </w:r>
      <w:r w:rsidR="001F4EE1">
        <w:t xml:space="preserve"> paper</w:t>
      </w:r>
      <w:r w:rsidR="0028241F">
        <w:t xml:space="preserve"> on justified true belief</w:t>
      </w:r>
      <w:r w:rsidR="001F4EE1">
        <w:t xml:space="preserve"> is clearly an important and influential contribution to epistemology</w:t>
      </w:r>
      <w:r w:rsidR="00AD5C70">
        <w:t>.</w:t>
      </w:r>
      <w:r w:rsidR="00AD5C70">
        <w:rPr>
          <w:rStyle w:val="FootnoteReference"/>
        </w:rPr>
        <w:footnoteReference w:id="40"/>
      </w:r>
      <w:r w:rsidR="00AD5C70">
        <w:t xml:space="preserve"> However</w:t>
      </w:r>
      <w:r w:rsidR="001F4EE1">
        <w:t>, he published nothing else of note in his career.</w:t>
      </w:r>
      <w:r w:rsidR="00B708DB">
        <w:t xml:space="preserve"> </w:t>
      </w:r>
      <w:r>
        <w:t>T</w:t>
      </w:r>
      <w:r w:rsidR="00D85413">
        <w:t xml:space="preserve">he </w:t>
      </w:r>
      <w:r w:rsidR="00B708DB">
        <w:t xml:space="preserve">committee </w:t>
      </w:r>
      <w:r>
        <w:t>might</w:t>
      </w:r>
      <w:r w:rsidR="00B708DB">
        <w:t xml:space="preserve"> prefer a more productive philosopher</w:t>
      </w:r>
      <w:r>
        <w:t xml:space="preserve"> to </w:t>
      </w:r>
      <w:proofErr w:type="spellStart"/>
      <w:r>
        <w:t>Gettier</w:t>
      </w:r>
      <w:proofErr w:type="spellEnd"/>
      <w:r w:rsidR="00B708DB">
        <w:t xml:space="preserve">, even if the </w:t>
      </w:r>
      <w:r>
        <w:t>former</w:t>
      </w:r>
      <w:r w:rsidR="00B708DB">
        <w:t xml:space="preserve">’s publications (taken individually) were never quite of the quality of </w:t>
      </w:r>
      <w:proofErr w:type="spellStart"/>
      <w:r w:rsidR="00B708DB">
        <w:t>Gettier</w:t>
      </w:r>
      <w:r w:rsidR="00234B9E">
        <w:t>’s</w:t>
      </w:r>
      <w:proofErr w:type="spellEnd"/>
      <w:r w:rsidR="00B708DB">
        <w:t xml:space="preserve"> 1963</w:t>
      </w:r>
      <w:r w:rsidR="00234B9E">
        <w:t xml:space="preserve"> paper</w:t>
      </w:r>
      <w:r w:rsidR="00B708DB">
        <w:t>.</w:t>
      </w:r>
      <w:r w:rsidR="00D85413">
        <w:rPr>
          <w:rStyle w:val="FootnoteReference"/>
        </w:rPr>
        <w:footnoteReference w:id="41"/>
      </w:r>
      <w:r>
        <w:t xml:space="preserve"> </w:t>
      </w:r>
      <w:r w:rsidR="00AD5C70">
        <w:t>If so, this shows</w:t>
      </w:r>
      <w:r w:rsidR="00B708DB">
        <w:t xml:space="preserve"> that quality does not lexically dominate quantity</w:t>
      </w:r>
      <w:r w:rsidR="00A10568">
        <w:t xml:space="preserve"> here</w:t>
      </w:r>
      <w:r w:rsidR="00B708DB">
        <w:t xml:space="preserve">. When comparing </w:t>
      </w:r>
      <w:proofErr w:type="spellStart"/>
      <w:r w:rsidR="00B708DB">
        <w:t>Gettier</w:t>
      </w:r>
      <w:proofErr w:type="spellEnd"/>
      <w:r w:rsidR="00B708DB">
        <w:t xml:space="preserve"> to a candidate whose publications are only slightly worse in quality, but much greater in number, it is r</w:t>
      </w:r>
      <w:r w:rsidR="00A10568">
        <w:t>easonable to prefer the latter.</w:t>
      </w:r>
    </w:p>
    <w:p w14:paraId="2EDB4FE0" w14:textId="505DF994" w:rsidR="001F4EE1" w:rsidRDefault="00B708DB" w:rsidP="00C65241">
      <w:pPr>
        <w:spacing w:line="480" w:lineRule="auto"/>
        <w:jc w:val="both"/>
      </w:pPr>
      <w:r>
        <w:t xml:space="preserve">However, if one compares </w:t>
      </w:r>
      <w:proofErr w:type="spellStart"/>
      <w:r>
        <w:t>Gettier</w:t>
      </w:r>
      <w:proofErr w:type="spellEnd"/>
      <w:r>
        <w:t xml:space="preserve"> to someone whose papers are </w:t>
      </w:r>
      <w:r w:rsidRPr="00B708DB">
        <w:rPr>
          <w:i/>
          <w:iCs/>
        </w:rPr>
        <w:t>much</w:t>
      </w:r>
      <w:r>
        <w:t xml:space="preserve"> worse – the level, say, of an average sophomore undergraduate – then it would surely be reasonable to prefer </w:t>
      </w:r>
      <w:proofErr w:type="spellStart"/>
      <w:r>
        <w:t>Gettier</w:t>
      </w:r>
      <w:proofErr w:type="spellEnd"/>
      <w:r w:rsidR="00D85413">
        <w:t>,</w:t>
      </w:r>
      <w:r>
        <w:t xml:space="preserve"> no matter how many papers </w:t>
      </w:r>
      <w:r w:rsidR="00AD5C70">
        <w:t xml:space="preserve">of similar quality </w:t>
      </w:r>
      <w:r>
        <w:t>the latter wrote.</w:t>
      </w:r>
      <w:r w:rsidR="00FF719C">
        <w:t xml:space="preserve"> We would rank </w:t>
      </w:r>
      <w:proofErr w:type="spellStart"/>
      <w:r w:rsidR="00FF719C">
        <w:t>Gettier’s</w:t>
      </w:r>
      <w:proofErr w:type="spellEnd"/>
      <w:r w:rsidR="00FF719C">
        <w:t xml:space="preserve"> research output more highly overall because, though much less in volume, it is far superior in quality. </w:t>
      </w:r>
      <w:r>
        <w:t xml:space="preserve">If one agrees with this, </w:t>
      </w:r>
      <w:r>
        <w:lastRenderedPageBreak/>
        <w:t>then one judges that</w:t>
      </w:r>
      <w:r w:rsidR="00FF719C">
        <w:t>, when it comes to philosophical writing,</w:t>
      </w:r>
      <w:r w:rsidR="00A10568">
        <w:t xml:space="preserve"> there is ‘</w:t>
      </w:r>
      <w:r>
        <w:t>a superiority in quality, so far outweighing quantity as to render it, in comparison,</w:t>
      </w:r>
      <w:r w:rsidR="002153F8">
        <w:t xml:space="preserve"> of small ac</w:t>
      </w:r>
      <w:r w:rsidR="00A10568">
        <w:t>count’</w:t>
      </w:r>
      <w:r>
        <w:t>.</w:t>
      </w:r>
      <w:r w:rsidR="002153F8">
        <w:rPr>
          <w:rStyle w:val="FootnoteReference"/>
        </w:rPr>
        <w:footnoteReference w:id="42"/>
      </w:r>
    </w:p>
    <w:p w14:paraId="2E940B1C" w14:textId="77777777" w:rsidR="005335F1" w:rsidRDefault="005335F1" w:rsidP="00C65241">
      <w:pPr>
        <w:spacing w:line="480" w:lineRule="auto"/>
        <w:jc w:val="both"/>
      </w:pPr>
    </w:p>
    <w:p w14:paraId="007AF6A2" w14:textId="77777777" w:rsidR="005335F1" w:rsidRPr="005335F1" w:rsidRDefault="005335F1" w:rsidP="00C65241">
      <w:pPr>
        <w:spacing w:line="480" w:lineRule="auto"/>
        <w:jc w:val="both"/>
        <w:rPr>
          <w:b/>
          <w:bCs/>
        </w:rPr>
      </w:pPr>
      <w:r>
        <w:rPr>
          <w:b/>
          <w:bCs/>
        </w:rPr>
        <w:t>Pleasure Again</w:t>
      </w:r>
    </w:p>
    <w:p w14:paraId="7A7FF17D" w14:textId="4EC78422" w:rsidR="0028241F" w:rsidRDefault="00292FBE" w:rsidP="00C65241">
      <w:pPr>
        <w:spacing w:line="480" w:lineRule="auto"/>
        <w:jc w:val="both"/>
      </w:pPr>
      <w:r>
        <w:t>In the previous section, I suggested that judgements of philosophical merit are responsive both to the quantity and quality of a philosopher’s publications, with neither consideration strictly dom</w:t>
      </w:r>
      <w:r w:rsidR="00CF3F83">
        <w:t xml:space="preserve">inating the other. Similarly, </w:t>
      </w:r>
      <w:r>
        <w:t xml:space="preserve">we may prefer a vast quantity of lower pleasure to a smaller amount of an only slightly superior one, because the difference in quantity </w:t>
      </w:r>
      <w:r w:rsidR="0028241F">
        <w:t xml:space="preserve">here </w:t>
      </w:r>
      <w:r>
        <w:t>outweighs t</w:t>
      </w:r>
      <w:r w:rsidR="0028241F">
        <w:t>he small difference in quality.</w:t>
      </w:r>
    </w:p>
    <w:p w14:paraId="28FDE6F9" w14:textId="52E6A225" w:rsidR="00921316" w:rsidRDefault="00292FBE" w:rsidP="00C65241">
      <w:pPr>
        <w:spacing w:line="480" w:lineRule="auto"/>
        <w:jc w:val="both"/>
      </w:pPr>
      <w:r>
        <w:t xml:space="preserve">It may be objected that this is not Mill’s view, because Mill </w:t>
      </w:r>
      <w:r w:rsidR="00D55181">
        <w:t xml:space="preserve">supposedly </w:t>
      </w:r>
      <w:r>
        <w:t xml:space="preserve">holds that we should always prefer higher pleasures, whatever the respective quantities involved. </w:t>
      </w:r>
      <w:r w:rsidR="00A10568">
        <w:t>But this is not so. Mill says, ‘</w:t>
      </w:r>
      <w:r w:rsidRPr="0040426F">
        <w:t xml:space="preserve">If one of the two </w:t>
      </w:r>
      <w:r>
        <w:t xml:space="preserve">[pleasures] </w:t>
      </w:r>
      <w:r w:rsidRPr="0040426F">
        <w:t>i</w:t>
      </w:r>
      <w:r w:rsidRPr="0040426F">
        <w:rPr>
          <w:bCs/>
        </w:rPr>
        <w:t>s</w:t>
      </w:r>
      <w:r w:rsidRPr="0040426F">
        <w:t>, by</w:t>
      </w:r>
      <w:r>
        <w:t xml:space="preserve"> </w:t>
      </w:r>
      <w:r w:rsidRPr="0040426F">
        <w:t>tho</w:t>
      </w:r>
      <w:r w:rsidRPr="0040426F">
        <w:rPr>
          <w:bCs/>
        </w:rPr>
        <w:t>s</w:t>
      </w:r>
      <w:r w:rsidRPr="0040426F">
        <w:t>e who are competently acq</w:t>
      </w:r>
      <w:r w:rsidRPr="0040426F">
        <w:rPr>
          <w:bCs/>
        </w:rPr>
        <w:t>u</w:t>
      </w:r>
      <w:r w:rsidRPr="0040426F">
        <w:t>ai</w:t>
      </w:r>
      <w:r w:rsidRPr="0040426F">
        <w:rPr>
          <w:bCs/>
        </w:rPr>
        <w:t>n</w:t>
      </w:r>
      <w:r w:rsidRPr="0040426F">
        <w:t>ted wit</w:t>
      </w:r>
      <w:r w:rsidRPr="0040426F">
        <w:rPr>
          <w:bCs/>
        </w:rPr>
        <w:t xml:space="preserve">h </w:t>
      </w:r>
      <w:r w:rsidRPr="0040426F">
        <w:t xml:space="preserve">both, placed </w:t>
      </w:r>
      <w:r w:rsidRPr="0040426F">
        <w:rPr>
          <w:bCs/>
        </w:rPr>
        <w:t>s</w:t>
      </w:r>
      <w:r w:rsidRPr="0040426F">
        <w:t>o far above the</w:t>
      </w:r>
      <w:r>
        <w:t xml:space="preserve"> </w:t>
      </w:r>
      <w:r w:rsidRPr="0040426F">
        <w:t xml:space="preserve">other that they … would </w:t>
      </w:r>
      <w:r w:rsidRPr="0040426F">
        <w:rPr>
          <w:bCs/>
        </w:rPr>
        <w:t>n</w:t>
      </w:r>
      <w:r w:rsidRPr="0040426F">
        <w:t>ot re</w:t>
      </w:r>
      <w:r w:rsidRPr="0040426F">
        <w:rPr>
          <w:bCs/>
        </w:rPr>
        <w:t>s</w:t>
      </w:r>
      <w:r w:rsidRPr="0040426F">
        <w:t xml:space="preserve">ign it for any quantity of the </w:t>
      </w:r>
      <w:r w:rsidRPr="0040426F">
        <w:rPr>
          <w:bCs/>
        </w:rPr>
        <w:t>o</w:t>
      </w:r>
      <w:r w:rsidRPr="0040426F">
        <w:t>ther</w:t>
      </w:r>
      <w:r>
        <w:t xml:space="preserve"> </w:t>
      </w:r>
      <w:r w:rsidRPr="0040426F">
        <w:t>pleasure which t</w:t>
      </w:r>
      <w:r w:rsidRPr="0040426F">
        <w:rPr>
          <w:iCs/>
        </w:rPr>
        <w:t>h</w:t>
      </w:r>
      <w:r w:rsidRPr="0040426F">
        <w:t>eir nature is capable of, we are justified in ascribing to t</w:t>
      </w:r>
      <w:r w:rsidRPr="0040426F">
        <w:rPr>
          <w:bCs/>
        </w:rPr>
        <w:t>h</w:t>
      </w:r>
      <w:r>
        <w:t xml:space="preserve">e </w:t>
      </w:r>
      <w:r w:rsidRPr="0040426F">
        <w:t>prefe</w:t>
      </w:r>
      <w:r w:rsidRPr="0040426F">
        <w:rPr>
          <w:bCs/>
        </w:rPr>
        <w:t xml:space="preserve">rred </w:t>
      </w:r>
      <w:r w:rsidRPr="0040426F">
        <w:t>en</w:t>
      </w:r>
      <w:r w:rsidRPr="0040426F">
        <w:rPr>
          <w:bCs/>
        </w:rPr>
        <w:t>j</w:t>
      </w:r>
      <w:r w:rsidRPr="0040426F">
        <w:t>o</w:t>
      </w:r>
      <w:r w:rsidRPr="0040426F">
        <w:rPr>
          <w:bCs/>
        </w:rPr>
        <w:t>ym</w:t>
      </w:r>
      <w:r w:rsidRPr="0040426F">
        <w:t xml:space="preserve">ent </w:t>
      </w:r>
      <w:r w:rsidRPr="0040426F">
        <w:rPr>
          <w:bCs/>
        </w:rPr>
        <w:t xml:space="preserve">a </w:t>
      </w:r>
      <w:r w:rsidRPr="0040426F">
        <w:t>s</w:t>
      </w:r>
      <w:r w:rsidRPr="0040426F">
        <w:rPr>
          <w:bCs/>
        </w:rPr>
        <w:t>u</w:t>
      </w:r>
      <w:r w:rsidRPr="0040426F">
        <w:t>pe</w:t>
      </w:r>
      <w:r w:rsidRPr="0040426F">
        <w:rPr>
          <w:bCs/>
        </w:rPr>
        <w:t>ri</w:t>
      </w:r>
      <w:r w:rsidRPr="0040426F">
        <w:t>o</w:t>
      </w:r>
      <w:r w:rsidRPr="0040426F">
        <w:rPr>
          <w:bCs/>
        </w:rPr>
        <w:t>ri</w:t>
      </w:r>
      <w:r w:rsidRPr="0040426F">
        <w:t xml:space="preserve">ty </w:t>
      </w:r>
      <w:r w:rsidRPr="0040426F">
        <w:rPr>
          <w:bCs/>
        </w:rPr>
        <w:t xml:space="preserve">in </w:t>
      </w:r>
      <w:r w:rsidRPr="0040426F">
        <w:t>qu</w:t>
      </w:r>
      <w:r w:rsidRPr="0040426F">
        <w:rPr>
          <w:bCs/>
        </w:rPr>
        <w:t>ali</w:t>
      </w:r>
      <w:r w:rsidRPr="0040426F">
        <w:t>ty</w:t>
      </w:r>
      <w:r w:rsidRPr="0040426F">
        <w:rPr>
          <w:bCs/>
        </w:rPr>
        <w:t xml:space="preserve">, </w:t>
      </w:r>
      <w:r w:rsidRPr="0040426F">
        <w:t>so far out</w:t>
      </w:r>
      <w:r w:rsidRPr="0040426F">
        <w:rPr>
          <w:bCs/>
        </w:rPr>
        <w:t>w</w:t>
      </w:r>
      <w:r w:rsidRPr="0040426F">
        <w:t>e</w:t>
      </w:r>
      <w:r w:rsidRPr="0040426F">
        <w:rPr>
          <w:bCs/>
        </w:rPr>
        <w:t>ighi</w:t>
      </w:r>
      <w:r w:rsidRPr="0040426F">
        <w:t>ng qu</w:t>
      </w:r>
      <w:r w:rsidRPr="0040426F">
        <w:rPr>
          <w:bCs/>
        </w:rPr>
        <w:t>a</w:t>
      </w:r>
      <w:r w:rsidRPr="0040426F">
        <w:t>n</w:t>
      </w:r>
      <w:r w:rsidRPr="0040426F">
        <w:rPr>
          <w:bCs/>
        </w:rPr>
        <w:t>ti</w:t>
      </w:r>
      <w:r w:rsidRPr="0040426F">
        <w:t>ty as</w:t>
      </w:r>
      <w:r>
        <w:t xml:space="preserve"> </w:t>
      </w:r>
      <w:r w:rsidRPr="0040426F">
        <w:rPr>
          <w:bCs/>
        </w:rPr>
        <w:t xml:space="preserve">to </w:t>
      </w:r>
      <w:r w:rsidRPr="0040426F">
        <w:t>re</w:t>
      </w:r>
      <w:r w:rsidRPr="0040426F">
        <w:rPr>
          <w:bCs/>
        </w:rPr>
        <w:t>nd</w:t>
      </w:r>
      <w:r w:rsidRPr="0040426F">
        <w:t>er it</w:t>
      </w:r>
      <w:r w:rsidRPr="0040426F">
        <w:rPr>
          <w:bCs/>
        </w:rPr>
        <w:t>, i</w:t>
      </w:r>
      <w:r w:rsidRPr="0040426F">
        <w:t xml:space="preserve">n </w:t>
      </w:r>
      <w:r w:rsidRPr="0040426F">
        <w:rPr>
          <w:bCs/>
        </w:rPr>
        <w:t>co</w:t>
      </w:r>
      <w:r w:rsidRPr="0040426F">
        <w:t>m</w:t>
      </w:r>
      <w:r w:rsidRPr="0040426F">
        <w:rPr>
          <w:bCs/>
        </w:rPr>
        <w:t>pari</w:t>
      </w:r>
      <w:r w:rsidRPr="0040426F">
        <w:t>s</w:t>
      </w:r>
      <w:r w:rsidRPr="0040426F">
        <w:rPr>
          <w:bCs/>
        </w:rPr>
        <w:t>on,</w:t>
      </w:r>
      <w:r>
        <w:rPr>
          <w:bCs/>
        </w:rPr>
        <w:t xml:space="preserve"> </w:t>
      </w:r>
      <w:r w:rsidRPr="0040426F">
        <w:rPr>
          <w:bCs/>
        </w:rPr>
        <w:t>o</w:t>
      </w:r>
      <w:r w:rsidRPr="0040426F">
        <w:t xml:space="preserve">f </w:t>
      </w:r>
      <w:r w:rsidRPr="0040426F">
        <w:rPr>
          <w:bCs/>
        </w:rPr>
        <w:t>s</w:t>
      </w:r>
      <w:r w:rsidRPr="0040426F">
        <w:t>m</w:t>
      </w:r>
      <w:r>
        <w:rPr>
          <w:bCs/>
        </w:rPr>
        <w:t>all account</w:t>
      </w:r>
      <w:r w:rsidR="00A10568">
        <w:t>’</w:t>
      </w:r>
      <w:r>
        <w:t>.</w:t>
      </w:r>
      <w:r w:rsidR="00EE769E">
        <w:rPr>
          <w:rStyle w:val="FootnoteReference"/>
        </w:rPr>
        <w:footnoteReference w:id="43"/>
      </w:r>
      <w:r>
        <w:t xml:space="preserve"> This is a conditional: </w:t>
      </w:r>
      <w:r w:rsidRPr="00292FBE">
        <w:rPr>
          <w:i/>
          <w:iCs/>
        </w:rPr>
        <w:t>if</w:t>
      </w:r>
      <w:r>
        <w:t xml:space="preserve"> competent judges prefer X to any amount of Y, then we are justified in concluding that X is va</w:t>
      </w:r>
      <w:r w:rsidR="003B039B">
        <w:t>stly superior to Y</w:t>
      </w:r>
      <w:r w:rsidR="00FB4C5A">
        <w:t xml:space="preserve"> in quality. As Schmidt-Petri</w:t>
      </w:r>
      <w:r w:rsidR="003B039B">
        <w:t xml:space="preserve"> observes, </w:t>
      </w:r>
      <w:r w:rsidR="00395526">
        <w:t xml:space="preserve">the </w:t>
      </w:r>
      <w:r>
        <w:t>conditional does not tell us that higher pleasures are always preferred, irrespective of quantity</w:t>
      </w:r>
      <w:r w:rsidR="00395526">
        <w:t>, but only that what is preferred, regardless of quantity, must be preferred on account of its quality</w:t>
      </w:r>
      <w:r>
        <w:t>.</w:t>
      </w:r>
      <w:r w:rsidR="00FB4C5A">
        <w:rPr>
          <w:rStyle w:val="FootnoteReference"/>
        </w:rPr>
        <w:footnoteReference w:id="44"/>
      </w:r>
      <w:r w:rsidR="00CF3F83">
        <w:t xml:space="preserve"> </w:t>
      </w:r>
      <w:r w:rsidR="00921316">
        <w:t xml:space="preserve">The illustrations above show that, in other cases, we consider </w:t>
      </w:r>
      <w:r w:rsidR="0028241F">
        <w:t xml:space="preserve">both </w:t>
      </w:r>
      <w:r w:rsidR="00921316">
        <w:t>quality and quantity. Since Mill motivates concern for quality by appeal to other cases,</w:t>
      </w:r>
      <w:r w:rsidR="002153F8">
        <w:rPr>
          <w:rStyle w:val="FootnoteReference"/>
        </w:rPr>
        <w:footnoteReference w:id="45"/>
      </w:r>
      <w:r w:rsidR="0028241F">
        <w:t xml:space="preserve"> </w:t>
      </w:r>
      <w:r w:rsidR="00126101">
        <w:t xml:space="preserve">it seems we should consider both relevant in this case also, and this is further supported </w:t>
      </w:r>
      <w:r w:rsidR="00126101">
        <w:lastRenderedPageBreak/>
        <w:t>by Mill’s reference to</w:t>
      </w:r>
      <w:r w:rsidR="0028241F">
        <w:t xml:space="preserve"> measuring </w:t>
      </w:r>
      <w:r w:rsidR="00126101">
        <w:t>quality</w:t>
      </w:r>
      <w:r w:rsidR="0028241F">
        <w:t xml:space="preserve"> against </w:t>
      </w:r>
      <w:r w:rsidR="00126101">
        <w:t>quantity</w:t>
      </w:r>
      <w:r w:rsidR="00921316">
        <w:t>.</w:t>
      </w:r>
      <w:r w:rsidR="002153F8">
        <w:rPr>
          <w:rStyle w:val="FootnoteReference"/>
        </w:rPr>
        <w:footnoteReference w:id="46"/>
      </w:r>
      <w:r w:rsidR="00921316">
        <w:t xml:space="preserve"> To think only quality important would, in most cases, be as absurd as to think only quantity matters.</w:t>
      </w:r>
    </w:p>
    <w:p w14:paraId="3038496D" w14:textId="08490973" w:rsidR="00124D65" w:rsidRDefault="00466570" w:rsidP="00C65241">
      <w:pPr>
        <w:spacing w:line="480" w:lineRule="auto"/>
        <w:jc w:val="both"/>
      </w:pPr>
      <w:r>
        <w:t xml:space="preserve">Once we recognize this, Mill need not be embarrassed by the fact, </w:t>
      </w:r>
      <w:r w:rsidR="00126101">
        <w:t>assuming</w:t>
      </w:r>
      <w:r>
        <w:t xml:space="preserve"> it is a fact, that few people would resign the pleasure of reading for any amount of the pleasure of eating chocolate cake.</w:t>
      </w:r>
      <w:r w:rsidR="007D26DD">
        <w:rPr>
          <w:rStyle w:val="FootnoteReference"/>
        </w:rPr>
        <w:footnoteReference w:id="47"/>
      </w:r>
      <w:r>
        <w:t xml:space="preserve"> </w:t>
      </w:r>
      <w:r w:rsidR="00126101">
        <w:t xml:space="preserve">When deciding whether to read or eat chocolate cake, it is perfectly consistent with Mill’s qualitative hedonism for us to consider the amount of pleasure that we will get, as well as its quality. We may rationally prefer the lower quality pleasure of eating chocolate cake, if we think that we will get much more pleasure that way. </w:t>
      </w:r>
      <w:r w:rsidR="00124D65">
        <w:t>The amount of pleasure we derive from any particular activity is, in general, likely to decline over a sustained period of time. Even if the first few hours of reading poetry produce great amounts of higher pleasure, eventually one will tire of reading and, at that point, the greater pleasure that can be easily derived from eating chocolate cake may become the rational option, even if it is a pleasure of a lower quality.</w:t>
      </w:r>
    </w:p>
    <w:p w14:paraId="7F6AA392" w14:textId="108292B0" w:rsidR="00D55181" w:rsidRDefault="0028241F" w:rsidP="00C65241">
      <w:pPr>
        <w:spacing w:line="480" w:lineRule="auto"/>
        <w:jc w:val="both"/>
      </w:pPr>
      <w:r>
        <w:t xml:space="preserve">Of course, </w:t>
      </w:r>
      <w:proofErr w:type="spellStart"/>
      <w:r w:rsidR="00466570">
        <w:t>Schaupp</w:t>
      </w:r>
      <w:proofErr w:type="spellEnd"/>
      <w:r w:rsidR="001B19C9">
        <w:t xml:space="preserve"> </w:t>
      </w:r>
      <w:r w:rsidR="00466570">
        <w:t xml:space="preserve">is surely right to </w:t>
      </w:r>
      <w:r w:rsidR="00126101">
        <w:t>add</w:t>
      </w:r>
      <w:r w:rsidR="00062387">
        <w:t xml:space="preserve"> that most of us</w:t>
      </w:r>
      <w:r w:rsidR="00466570">
        <w:t xml:space="preserve"> value a variety of pleasures.</w:t>
      </w:r>
      <w:r w:rsidR="007D26DD">
        <w:rPr>
          <w:rStyle w:val="FootnoteReference"/>
        </w:rPr>
        <w:footnoteReference w:id="48"/>
      </w:r>
      <w:r w:rsidR="00466570">
        <w:t xml:space="preserve"> </w:t>
      </w:r>
      <w:r w:rsidR="00CF3F83">
        <w:t>Again though</w:t>
      </w:r>
      <w:r w:rsidR="00AD5C70">
        <w:t>,</w:t>
      </w:r>
      <w:r w:rsidR="001B19C9">
        <w:t xml:space="preserve"> </w:t>
      </w:r>
      <w:r w:rsidR="00466570">
        <w:t>Mill recognized this, when he w</w:t>
      </w:r>
      <w:r w:rsidR="00A10568">
        <w:t>rote that happiness consist</w:t>
      </w:r>
      <w:r w:rsidR="00AD5C70">
        <w:t>s</w:t>
      </w:r>
      <w:r w:rsidR="00A10568">
        <w:t xml:space="preserve"> in ‘</w:t>
      </w:r>
      <w:r w:rsidR="00466570" w:rsidRPr="00466570">
        <w:t xml:space="preserve">an existence made up of few and transitory pains, </w:t>
      </w:r>
      <w:r w:rsidR="00466570" w:rsidRPr="00466570">
        <w:rPr>
          <w:i/>
          <w:iCs/>
        </w:rPr>
        <w:t>many and various pleasures</w:t>
      </w:r>
      <w:r w:rsidR="00466570" w:rsidRPr="00466570">
        <w:t>, with a decided predominance of th</w:t>
      </w:r>
      <w:r w:rsidR="00A10568">
        <w:t>e active over the passive’</w:t>
      </w:r>
      <w:r w:rsidR="001B19C9">
        <w:t>.</w:t>
      </w:r>
      <w:r w:rsidR="002153F8">
        <w:rPr>
          <w:rStyle w:val="FootnoteReference"/>
        </w:rPr>
        <w:footnoteReference w:id="49"/>
      </w:r>
      <w:r w:rsidR="00124D65">
        <w:t xml:space="preserve"> It is certainly not Mill’s view that the happiest life consists in identifying the single highest form of pleasure that one is capable of and devoting oneself to securing as much of that as possible, to the exclusion of all others.</w:t>
      </w:r>
      <w:r w:rsidR="00F63BF6">
        <w:rPr>
          <w:rStyle w:val="FootnoteReference"/>
        </w:rPr>
        <w:footnoteReference w:id="50"/>
      </w:r>
      <w:r w:rsidR="00D717FB">
        <w:t xml:space="preserve"> Variety is valuable, at least in part, because both individuals and </w:t>
      </w:r>
      <w:proofErr w:type="gramStart"/>
      <w:r w:rsidR="00D717FB">
        <w:lastRenderedPageBreak/>
        <w:t>societies</w:t>
      </w:r>
      <w:proofErr w:type="gramEnd"/>
      <w:r w:rsidR="00D717FB">
        <w:t xml:space="preserve"> are only able to find what is truly valuable through experimentation.</w:t>
      </w:r>
      <w:r w:rsidR="00D717FB">
        <w:rPr>
          <w:rStyle w:val="FootnoteReference"/>
        </w:rPr>
        <w:footnoteReference w:id="51"/>
      </w:r>
      <w:r w:rsidR="007676E7">
        <w:t xml:space="preserve"> </w:t>
      </w:r>
      <w:r w:rsidR="009A62F2">
        <w:t xml:space="preserve">Without experience of different pleasures, one will not be qualified to judge their comparative worth. </w:t>
      </w:r>
      <w:r w:rsidR="00D717FB">
        <w:t>Further</w:t>
      </w:r>
      <w:r w:rsidR="007676E7">
        <w:t>, if we assume that different higher faculties are exercised and developed by different activities, it seems to follow that we will need to engage in a variety of pursuits in order to grow and develop on all sides.</w:t>
      </w:r>
      <w:r w:rsidR="007676E7">
        <w:rPr>
          <w:rStyle w:val="FootnoteReference"/>
        </w:rPr>
        <w:footnoteReference w:id="52"/>
      </w:r>
      <w:r w:rsidR="0027118E">
        <w:t xml:space="preserve"> (I leave aside, for now, the question whether variety is a further good-making property of pleasures, alongside quantity and quality.)</w:t>
      </w:r>
    </w:p>
    <w:p w14:paraId="2F929F02" w14:textId="27C07F3E" w:rsidR="00691A8C" w:rsidRDefault="00124D65" w:rsidP="00C65241">
      <w:pPr>
        <w:spacing w:line="480" w:lineRule="auto"/>
        <w:jc w:val="both"/>
      </w:pPr>
      <w:r>
        <w:t>To be sure</w:t>
      </w:r>
      <w:r w:rsidR="001B19C9">
        <w:t>,</w:t>
      </w:r>
      <w:r>
        <w:t xml:space="preserve"> </w:t>
      </w:r>
      <w:proofErr w:type="spellStart"/>
      <w:r>
        <w:t>Schaupp</w:t>
      </w:r>
      <w:proofErr w:type="spellEnd"/>
      <w:r>
        <w:t xml:space="preserve"> is </w:t>
      </w:r>
      <w:r w:rsidR="00AD5C70">
        <w:t xml:space="preserve">also </w:t>
      </w:r>
      <w:r>
        <w:t>right that</w:t>
      </w:r>
      <w:r w:rsidR="001B19C9">
        <w:t xml:space="preserve"> one reason why those of normal intellect may be unwilling to resign their higher faculties</w:t>
      </w:r>
      <w:r w:rsidR="00C3142A">
        <w:t>,</w:t>
      </w:r>
      <w:r w:rsidR="001B19C9">
        <w:t xml:space="preserve"> for the life of a contented fool</w:t>
      </w:r>
      <w:r w:rsidR="00C3142A">
        <w:t>,</w:t>
      </w:r>
      <w:r w:rsidR="001B19C9">
        <w:t xml:space="preserve"> is that they are able to experience a wider variety of pleasures, both intellectual and bodily. Certainly we cannot conclude, from the mere fact that someone who derives pleasure from both reading and eating would not give up the former for any amount of the latter, </w:t>
      </w:r>
      <w:r w:rsidR="00C3142A">
        <w:t xml:space="preserve">is </w:t>
      </w:r>
      <w:r w:rsidR="001B19C9">
        <w:t>that they regard the fo</w:t>
      </w:r>
      <w:r w:rsidR="0028241F">
        <w:t xml:space="preserve">rmer </w:t>
      </w:r>
      <w:r>
        <w:t xml:space="preserve">pleasure </w:t>
      </w:r>
      <w:r w:rsidR="0028241F">
        <w:t>as qualitatively superior.</w:t>
      </w:r>
      <w:r w:rsidR="00D55181">
        <w:t xml:space="preserve"> </w:t>
      </w:r>
      <w:r w:rsidR="00C3142A">
        <w:t xml:space="preserve">It may simply be that they prefer some of each pleasure to any amount of either one. </w:t>
      </w:r>
      <w:r w:rsidR="001B19C9">
        <w:t xml:space="preserve">However, this </w:t>
      </w:r>
      <w:r w:rsidR="0028241F">
        <w:t xml:space="preserve">criticism implicitly </w:t>
      </w:r>
      <w:r w:rsidR="001B19C9">
        <w:t>supposes that Mill’s judges are asked to choose between some amount of X and Y, or a larger amo</w:t>
      </w:r>
      <w:r w:rsidR="0028241F">
        <w:t>unt of Y alone. This</w:t>
      </w:r>
      <w:r w:rsidR="001B19C9">
        <w:t xml:space="preserve">, </w:t>
      </w:r>
      <w:r w:rsidR="00AD5C70">
        <w:t xml:space="preserve">as </w:t>
      </w:r>
      <w:proofErr w:type="spellStart"/>
      <w:r w:rsidR="001B19C9">
        <w:t>Schaupp</w:t>
      </w:r>
      <w:proofErr w:type="spellEnd"/>
      <w:r w:rsidR="001B19C9">
        <w:t xml:space="preserve"> right</w:t>
      </w:r>
      <w:r w:rsidR="00AD5C70">
        <w:t>ly observes</w:t>
      </w:r>
      <w:r w:rsidR="001B19C9">
        <w:t>, would not be a good way to test the value that they place on X</w:t>
      </w:r>
      <w:r w:rsidR="0028241F">
        <w:t>, because we could not be sure whether they were responding to the value of X itself or to the value they placed on variety</w:t>
      </w:r>
      <w:r w:rsidR="001B19C9">
        <w:t xml:space="preserve">. And, indeed, this comparison may be suggested by </w:t>
      </w:r>
      <w:r w:rsidR="0028241F">
        <w:t xml:space="preserve">some of </w:t>
      </w:r>
      <w:r w:rsidR="001B19C9">
        <w:t>Mill’s remarks</w:t>
      </w:r>
      <w:r w:rsidR="0028241F">
        <w:t>,</w:t>
      </w:r>
      <w:r w:rsidR="001B19C9">
        <w:t xml:space="preserve"> such as</w:t>
      </w:r>
      <w:r w:rsidR="0028241F">
        <w:t xml:space="preserve"> his claim</w:t>
      </w:r>
      <w:r w:rsidR="00A10568">
        <w:t xml:space="preserve"> that ‘</w:t>
      </w:r>
      <w:r w:rsidR="001B19C9" w:rsidRPr="00691A8C">
        <w:t>no intelligent human being would consent to be a fool, [and] no instructed person would be an ignoramus</w:t>
      </w:r>
      <w:r w:rsidR="00A10568">
        <w:t>’</w:t>
      </w:r>
      <w:r w:rsidR="001B19C9">
        <w:t>,</w:t>
      </w:r>
      <w:r w:rsidR="002153F8">
        <w:rPr>
          <w:rStyle w:val="FootnoteReference"/>
        </w:rPr>
        <w:footnoteReference w:id="53"/>
      </w:r>
      <w:r w:rsidR="001B19C9">
        <w:t xml:space="preserve"> since these comparisons would involve</w:t>
      </w:r>
      <w:r w:rsidR="00691A8C">
        <w:t xml:space="preserve"> a l</w:t>
      </w:r>
      <w:r w:rsidR="00C3142A">
        <w:t>oss of variety. However, the true</w:t>
      </w:r>
      <w:r w:rsidR="00691A8C">
        <w:t xml:space="preserve"> test involves judges comparing </w:t>
      </w:r>
      <w:r w:rsidR="0028241F">
        <w:t xml:space="preserve">some amount of </w:t>
      </w:r>
      <w:r w:rsidR="00691A8C">
        <w:t>pleasure X against</w:t>
      </w:r>
      <w:r w:rsidR="0028241F">
        <w:t xml:space="preserve"> some amount </w:t>
      </w:r>
      <w:r w:rsidR="0028241F">
        <w:lastRenderedPageBreak/>
        <w:t>of</w:t>
      </w:r>
      <w:r w:rsidR="00691A8C">
        <w:t xml:space="preserve"> pleasure Y, not against the possi</w:t>
      </w:r>
      <w:r w:rsidR="00A10568">
        <w:t>bility of having both X and Y. ‘</w:t>
      </w:r>
      <w:r w:rsidR="00691A8C" w:rsidRPr="00691A8C">
        <w:t>Of two</w:t>
      </w:r>
      <w:r w:rsidR="00691A8C">
        <w:t xml:space="preserve"> </w:t>
      </w:r>
      <w:r w:rsidR="00691A8C" w:rsidRPr="00691A8C">
        <w:t>pleasures, if there be one to which all or almost all who have experience of</w:t>
      </w:r>
      <w:r w:rsidR="00691A8C">
        <w:t xml:space="preserve"> </w:t>
      </w:r>
      <w:r w:rsidR="00691A8C" w:rsidRPr="00691A8C">
        <w:t>both give a decided preference, irrespective of any feeling of moral obligation</w:t>
      </w:r>
      <w:r w:rsidR="00691A8C">
        <w:t xml:space="preserve"> </w:t>
      </w:r>
      <w:r w:rsidR="00691A8C" w:rsidRPr="00691A8C">
        <w:t>to prefer it, that is the more desirable pleasure</w:t>
      </w:r>
      <w:r w:rsidR="00A10568">
        <w:t>’</w:t>
      </w:r>
      <w:r w:rsidR="00691A8C">
        <w:t>.</w:t>
      </w:r>
      <w:r w:rsidR="002153F8">
        <w:rPr>
          <w:rStyle w:val="FootnoteReference"/>
        </w:rPr>
        <w:footnoteReference w:id="54"/>
      </w:r>
      <w:r w:rsidR="00691A8C">
        <w:t xml:space="preserve"> Thus, despite his somewhat careless later remarks, Mill’s test does not mistake a preference for variety with a preference for higher pleasures.</w:t>
      </w:r>
    </w:p>
    <w:p w14:paraId="585FD7F9" w14:textId="77777777" w:rsidR="009A118C" w:rsidRDefault="009A118C" w:rsidP="00C65241">
      <w:pPr>
        <w:spacing w:line="480" w:lineRule="auto"/>
        <w:jc w:val="both"/>
      </w:pPr>
    </w:p>
    <w:p w14:paraId="6FED49DD" w14:textId="2B2A925A" w:rsidR="009A118C" w:rsidRPr="00124D65" w:rsidRDefault="00124D65" w:rsidP="00C65241">
      <w:pPr>
        <w:spacing w:line="480" w:lineRule="auto"/>
        <w:jc w:val="both"/>
        <w:rPr>
          <w:b/>
          <w:bCs/>
        </w:rPr>
      </w:pPr>
      <w:r>
        <w:rPr>
          <w:b/>
          <w:bCs/>
        </w:rPr>
        <w:t>Intellectual and Bodily Pleasures</w:t>
      </w:r>
    </w:p>
    <w:p w14:paraId="1EEC2E99" w14:textId="0CC21457" w:rsidR="00C670EF" w:rsidRDefault="00691A8C" w:rsidP="00C65241">
      <w:pPr>
        <w:spacing w:line="480" w:lineRule="auto"/>
        <w:jc w:val="both"/>
      </w:pPr>
      <w:r>
        <w:t xml:space="preserve">These same considerations also provide a response, </w:t>
      </w:r>
      <w:r w:rsidRPr="00691A8C">
        <w:rPr>
          <w:i/>
          <w:iCs/>
        </w:rPr>
        <w:t>mutatis mutandis</w:t>
      </w:r>
      <w:r>
        <w:t>,</w:t>
      </w:r>
      <w:r w:rsidR="00596B01">
        <w:t xml:space="preserve"> to </w:t>
      </w:r>
      <w:proofErr w:type="spellStart"/>
      <w:r w:rsidR="00596B01">
        <w:t>Hauskeller’s</w:t>
      </w:r>
      <w:proofErr w:type="spellEnd"/>
      <w:r w:rsidR="00BD77B4">
        <w:t xml:space="preserve"> objection that most people would not give up the pleasure of sex for any amount of the pleasure of opera</w:t>
      </w:r>
      <w:r w:rsidR="0084560D">
        <w:t>.</w:t>
      </w:r>
      <w:r w:rsidR="0084560D">
        <w:rPr>
          <w:rStyle w:val="FootnoteReference"/>
        </w:rPr>
        <w:footnoteReference w:id="55"/>
      </w:r>
      <w:r w:rsidR="00BD77B4">
        <w:t xml:space="preserve"> </w:t>
      </w:r>
      <w:r w:rsidR="0084560D">
        <w:t>However,</w:t>
      </w:r>
      <w:r w:rsidR="00BD77B4">
        <w:t xml:space="preserve"> there is </w:t>
      </w:r>
      <w:r w:rsidR="0084560D">
        <w:t>more to say on this point</w:t>
      </w:r>
      <w:r w:rsidR="00BD77B4">
        <w:t xml:space="preserve">. </w:t>
      </w:r>
      <w:proofErr w:type="spellStart"/>
      <w:r w:rsidR="00BD77B4">
        <w:t>Hauskeller</w:t>
      </w:r>
      <w:proofErr w:type="spellEnd"/>
      <w:r w:rsidR="00BD77B4">
        <w:t xml:space="preserve"> assumes, firstly, that the distinction between higher pleasures and lower pleasures is the same as that between intellectual and bodily pleasures</w:t>
      </w:r>
      <w:r w:rsidR="0084560D">
        <w:rPr>
          <w:rStyle w:val="FootnoteReference"/>
        </w:rPr>
        <w:footnoteReference w:id="56"/>
      </w:r>
      <w:r w:rsidR="00BD77B4">
        <w:t xml:space="preserve"> and, secondly, that sexual pleasure is clearly a lower pleasure.</w:t>
      </w:r>
      <w:r w:rsidR="0084560D">
        <w:rPr>
          <w:rStyle w:val="FootnoteReference"/>
        </w:rPr>
        <w:footnoteReference w:id="57"/>
      </w:r>
      <w:r w:rsidR="00BD77B4">
        <w:t xml:space="preserve"> Neither assumpti</w:t>
      </w:r>
      <w:r w:rsidR="00C670EF">
        <w:t xml:space="preserve">on is </w:t>
      </w:r>
      <w:r w:rsidR="000B5FD5">
        <w:t>requir</w:t>
      </w:r>
      <w:r w:rsidR="00C670EF">
        <w:t>ed by Mill’s text.</w:t>
      </w:r>
    </w:p>
    <w:p w14:paraId="55503334" w14:textId="233BB755" w:rsidR="00CF3F83" w:rsidRDefault="003242F5" w:rsidP="00C65241">
      <w:pPr>
        <w:spacing w:line="480" w:lineRule="auto"/>
        <w:jc w:val="both"/>
      </w:pPr>
      <w:r>
        <w:t xml:space="preserve">There may be some legitimate basis for questioning how much Mill himself valued sexual pleasures. The one true love of his life, Harriet, was for a long time married to another man. </w:t>
      </w:r>
      <w:r w:rsidR="001F0614">
        <w:t>T</w:t>
      </w:r>
      <w:r>
        <w:t>hough Mill and Harriet were later to marry, by this time they were both older and in ill-health. It has been s</w:t>
      </w:r>
      <w:r w:rsidR="008A01B4">
        <w:t>uggested that their marriage may</w:t>
      </w:r>
      <w:r>
        <w:t xml:space="preserve"> never</w:t>
      </w:r>
      <w:r w:rsidR="008A01B4">
        <w:t xml:space="preserve"> have been</w:t>
      </w:r>
      <w:r>
        <w:t xml:space="preserve"> consummated.</w:t>
      </w:r>
      <w:r>
        <w:rPr>
          <w:rStyle w:val="FootnoteReference"/>
        </w:rPr>
        <w:footnoteReference w:id="58"/>
      </w:r>
      <w:r w:rsidR="008A01B4">
        <w:t xml:space="preserve"> </w:t>
      </w:r>
      <w:r w:rsidR="007B7EA9">
        <w:t>H</w:t>
      </w:r>
      <w:r w:rsidR="008A01B4">
        <w:t xml:space="preserve">owever, </w:t>
      </w:r>
      <w:r w:rsidR="00C3142A">
        <w:t>there is little evidence to support</w:t>
      </w:r>
      <w:r w:rsidR="008A01B4">
        <w:t xml:space="preserve"> </w:t>
      </w:r>
      <w:r w:rsidR="008A01B4">
        <w:lastRenderedPageBreak/>
        <w:t xml:space="preserve">this speculation. Whatever the truth on this matter, it is plausible to suggest that Mill did not attach great </w:t>
      </w:r>
      <w:r w:rsidR="00C3142A">
        <w:t>valu</w:t>
      </w:r>
      <w:r w:rsidR="008A01B4">
        <w:t>e to sexual pleasure in his own life. However, this does not mean that its importance is necessaril</w:t>
      </w:r>
      <w:r w:rsidR="00CF3F83">
        <w:t>y diminished within his theory.</w:t>
      </w:r>
    </w:p>
    <w:p w14:paraId="2996C882" w14:textId="00C933E7" w:rsidR="003242F5" w:rsidRDefault="008A01B4" w:rsidP="00C65241">
      <w:pPr>
        <w:spacing w:line="480" w:lineRule="auto"/>
        <w:jc w:val="both"/>
      </w:pPr>
      <w:r>
        <w:t>The proper test, when comparing two pleasures, is not Mill’s personal predilections, but the verdict of all competent judges</w:t>
      </w:r>
      <w:r w:rsidR="00A65C22">
        <w:t>, or a majority among them</w:t>
      </w:r>
      <w:r>
        <w:t>.</w:t>
      </w:r>
      <w:r w:rsidR="00A65C22">
        <w:rPr>
          <w:rStyle w:val="FootnoteReference"/>
        </w:rPr>
        <w:footnoteReference w:id="59"/>
      </w:r>
      <w:r>
        <w:t xml:space="preserve"> </w:t>
      </w:r>
      <w:r w:rsidR="00A65C22">
        <w:t>If Mill was indeed inexperienced, then his judgement would count for little and</w:t>
      </w:r>
      <w:r>
        <w:t>,</w:t>
      </w:r>
      <w:r w:rsidR="00A65C22">
        <w:t xml:space="preserve"> even if he was, his opinion may be</w:t>
      </w:r>
      <w:r>
        <w:t xml:space="preserve"> </w:t>
      </w:r>
      <w:r w:rsidR="00A65C22">
        <w:t>a minority one.</w:t>
      </w:r>
      <w:r w:rsidR="005A4066">
        <w:t xml:space="preserve"> Thus, even if Mill attached less value than most people to sexual pleasure, this is not an implication of his theory, but a matter of personal prejudice. Let us set aside speculation about Mill’s own attitudes and focus on the account of higher pleasures that he offers in chapter two of </w:t>
      </w:r>
      <w:r w:rsidR="005A4066" w:rsidRPr="005A4066">
        <w:rPr>
          <w:i/>
        </w:rPr>
        <w:t>Utilitarianism</w:t>
      </w:r>
      <w:r w:rsidR="005A4066">
        <w:t>.</w:t>
      </w:r>
    </w:p>
    <w:p w14:paraId="5FE78CFB" w14:textId="51A8A09B" w:rsidR="002F13DE" w:rsidRDefault="00BD77B4" w:rsidP="00C65241">
      <w:pPr>
        <w:spacing w:line="480" w:lineRule="auto"/>
        <w:jc w:val="both"/>
      </w:pPr>
      <w:r>
        <w:t xml:space="preserve">Mill introduces </w:t>
      </w:r>
      <w:r w:rsidR="00DF7289">
        <w:t>qualitative hedonism</w:t>
      </w:r>
      <w:r w:rsidR="00A10568">
        <w:t xml:space="preserve"> in order to explain ‘</w:t>
      </w:r>
      <w:r w:rsidRPr="00BD77B4">
        <w:t>the superiority of mental over</w:t>
      </w:r>
      <w:r>
        <w:t xml:space="preserve"> </w:t>
      </w:r>
      <w:r w:rsidRPr="00BD77B4">
        <w:t>bodily pleasures</w:t>
      </w:r>
      <w:r w:rsidR="00A10568">
        <w:t>’</w:t>
      </w:r>
      <w:r>
        <w:t>,</w:t>
      </w:r>
      <w:r w:rsidR="002153F8">
        <w:rPr>
          <w:rStyle w:val="FootnoteReference"/>
        </w:rPr>
        <w:footnoteReference w:id="60"/>
      </w:r>
      <w:r>
        <w:t xml:space="preserve"> but </w:t>
      </w:r>
      <w:r w:rsidR="00B55083">
        <w:t>it is no part of the definition of higher pleasures that they are mental. W</w:t>
      </w:r>
      <w:r w:rsidR="00EA5CA6">
        <w:t xml:space="preserve">e need not assume that every mental pleasure is superior to every bodily pleasure. Indeed, though we might intuitively categorize many pleasures as either mental or bodily, it is not easy to separate them into two distinct categories. Pleasure is usually </w:t>
      </w:r>
      <w:r w:rsidR="00FB4C5A">
        <w:t>taken to be a mental state, so</w:t>
      </w:r>
      <w:r w:rsidR="00EA5CA6">
        <w:t xml:space="preserve"> all pleasures are in some sense mental. The intended difference, presumably, is between those that are the result of some bodily stimulation, such as a pleasure that results from a massage, and those that are ‘purely’ mental. However, few if any pleasures are purely mental. Reading or hearing poetry, for instance, relies on the bodily sense organs. Perhaps one can experience new pleasure by recollecti</w:t>
      </w:r>
      <w:r w:rsidR="00CF3F83">
        <w:t xml:space="preserve">on of past experiences, or </w:t>
      </w:r>
      <w:r w:rsidR="00EA5CA6">
        <w:t xml:space="preserve">imagination of possible experiences, but even here it seems that </w:t>
      </w:r>
      <w:r w:rsidR="00DF7289">
        <w:t xml:space="preserve">some </w:t>
      </w:r>
      <w:r w:rsidR="00EA5CA6">
        <w:t xml:space="preserve">initial sense experience is </w:t>
      </w:r>
      <w:r w:rsidR="00EA5CA6">
        <w:lastRenderedPageBreak/>
        <w:t>necessary, at least for a</w:t>
      </w:r>
      <w:r w:rsidR="00CF3F83">
        <w:t>n</w:t>
      </w:r>
      <w:r w:rsidR="00EA5CA6">
        <w:t xml:space="preserve"> empiricist like Mill. Thus, most, if not all, pleasures involve some mixture of bodily and mental elements.</w:t>
      </w:r>
    </w:p>
    <w:p w14:paraId="2304594A" w14:textId="50AAE4F2" w:rsidR="00EA5CA6" w:rsidRDefault="002F13DE" w:rsidP="00C65241">
      <w:pPr>
        <w:spacing w:line="480" w:lineRule="auto"/>
        <w:jc w:val="both"/>
      </w:pPr>
      <w:r>
        <w:t xml:space="preserve">Furthermore, any particular </w:t>
      </w:r>
      <w:r w:rsidR="00EA5CA6">
        <w:t xml:space="preserve">pleasure might be enjoyed in different ways. For instance, one person might enjoy a sparkling wine </w:t>
      </w:r>
      <w:r w:rsidR="00295AEB">
        <w:t xml:space="preserve">simply </w:t>
      </w:r>
      <w:r w:rsidR="00EA5CA6">
        <w:t xml:space="preserve">because they like the sensation of the bubbles in their mouth and the light-headed feeling that they get after a couple of glasses, while another might </w:t>
      </w:r>
      <w:r w:rsidR="00295AEB">
        <w:t>drink the wine slowly, savouring its bouquet and delicate blend of flavours, while contemplating the ideal menu for it to accompany.</w:t>
      </w:r>
      <w:r w:rsidR="00FB4C5A">
        <w:t xml:space="preserve"> B</w:t>
      </w:r>
      <w:r w:rsidR="00C34F48">
        <w:t xml:space="preserve">oth derive pleasure from drinking wine, </w:t>
      </w:r>
      <w:r w:rsidR="00FB4C5A">
        <w:t xml:space="preserve">but </w:t>
      </w:r>
      <w:r w:rsidR="00C34F48">
        <w:t>the latter seems to involve much greater exercise of higher faculties and therefore might be a qualitatively different pleasure.</w:t>
      </w:r>
      <w:r w:rsidR="00DF7289">
        <w:t xml:space="preserve"> Thus, any </w:t>
      </w:r>
      <w:r w:rsidR="00F72587">
        <w:t>attempt to draw a sharp distinction between mental and bodily pleasures faces difficulties</w:t>
      </w:r>
      <w:r w:rsidR="00DF7289">
        <w:t>.</w:t>
      </w:r>
    </w:p>
    <w:p w14:paraId="42B18D91" w14:textId="4800EB5B" w:rsidR="00F72587" w:rsidRDefault="00F72587" w:rsidP="00F72587">
      <w:pPr>
        <w:spacing w:line="480" w:lineRule="auto"/>
        <w:jc w:val="both"/>
      </w:pPr>
      <w:r>
        <w:t>It might be replied that sex is clearly a bodily pleasure</w:t>
      </w:r>
      <w:r>
        <w:t>,</w:t>
      </w:r>
      <w:r>
        <w:t xml:space="preserve"> but</w:t>
      </w:r>
      <w:r>
        <w:t xml:space="preserve"> it is almost certainly a mistake to assume that all sexual pleasure is of the same kind.</w:t>
      </w:r>
      <w:r>
        <w:t xml:space="preserve"> T</w:t>
      </w:r>
      <w:r>
        <w:t>here may be a world of difference between a one-night stand and sex as an expression of intimacy within a committed, long-term relationship. The former is arguably no more than a physical, or animalistic, pleasure, whereas the latter plausibly does involve and develop higher faculties.</w:t>
      </w:r>
      <w:r>
        <w:t xml:space="preserve"> Thus, it may make little sense to ask, in the abstract, how valuable sexual pleasure is. To do so may be like asking how valuable the pleasure of reading is, without distinguishing between reading great literature and children’s stories. Perhaps there simply is no answer to such a vague question.</w:t>
      </w:r>
    </w:p>
    <w:p w14:paraId="0E49B85E" w14:textId="500E44F5" w:rsidR="00F72587" w:rsidRDefault="00F04BE8" w:rsidP="00C65241">
      <w:pPr>
        <w:spacing w:line="480" w:lineRule="auto"/>
        <w:jc w:val="both"/>
      </w:pPr>
      <w:r>
        <w:t>These considerations may suggest the impossibility of categorizing all pleasures as either ‘lower’ or ‘higher’. This need not embarrass Mill either</w:t>
      </w:r>
      <w:r w:rsidR="0050721D">
        <w:t>. Some commentators attribute to Mill the view that there are two kinds of pleasures: higher pleasures, which involve our intellectual faculties, and lower pleasures, which do not</w:t>
      </w:r>
      <w:r w:rsidR="00F72587">
        <w:t xml:space="preserve"> (or not very much)</w:t>
      </w:r>
      <w:r w:rsidR="0050721D">
        <w:t xml:space="preserve">. </w:t>
      </w:r>
      <w:r w:rsidR="005372E9">
        <w:t xml:space="preserve">There is, so far as I am aware, no textural warrant for this. When we make qualitative judgements about anything else, we do not usually suppose </w:t>
      </w:r>
      <w:r w:rsidR="00D87EF0">
        <w:t xml:space="preserve">that there are only two qualities (good and bad, or good and better, </w:t>
      </w:r>
      <w:r w:rsidR="00F72587">
        <w:t>as is allegedly the case here).</w:t>
      </w:r>
    </w:p>
    <w:p w14:paraId="0FE64E00" w14:textId="5B9A3B58" w:rsidR="00D87EF0" w:rsidRDefault="00D87EF0" w:rsidP="00C65241">
      <w:pPr>
        <w:spacing w:line="480" w:lineRule="auto"/>
        <w:jc w:val="both"/>
      </w:pPr>
      <w:r>
        <w:t xml:space="preserve">Quality, like quantity, is a continuous variable. We can compare any two pleasures and, often, judge that one is superior to the other (setting aside cases of exact equality or incommensurability), but it </w:t>
      </w:r>
      <w:r>
        <w:lastRenderedPageBreak/>
        <w:t>does not follow that it makes any sense to speak of one as ‘higher’ or ‘superior’ without at least an implicit comparison. Thus, we ought not to say, for instance, that ‘poetry is a higher pleasure’. It may be superior to pushpin, but it is possibly inferior to some other pleasure that involves greater exercise of one’s higher faculties, such as philosophy perhaps.</w:t>
      </w:r>
      <w:r w:rsidR="003242F5">
        <w:t xml:space="preserve"> </w:t>
      </w:r>
      <w:r>
        <w:t xml:space="preserve">These considerations suggest that </w:t>
      </w:r>
      <w:r w:rsidR="003242F5">
        <w:t>no pleasure is simply ‘higher’ or ‘lower’; such judgements make sense only when we compare two pleasures</w:t>
      </w:r>
      <w:r>
        <w:t>.</w:t>
      </w:r>
      <w:r w:rsidR="003242F5">
        <w:t xml:space="preserve"> Sexual pleasure</w:t>
      </w:r>
      <w:r w:rsidR="00F72587">
        <w:t>, like any other,</w:t>
      </w:r>
      <w:r w:rsidR="003242F5">
        <w:t xml:space="preserve"> may be superior to some pleasures and inferior to others.</w:t>
      </w:r>
    </w:p>
    <w:p w14:paraId="6D4ADDA6" w14:textId="1DADE17D" w:rsidR="00B55083" w:rsidRDefault="00F04BE8" w:rsidP="00F04BE8">
      <w:pPr>
        <w:spacing w:line="480" w:lineRule="auto"/>
        <w:jc w:val="both"/>
      </w:pPr>
      <w:r>
        <w:t>I</w:t>
      </w:r>
      <w:r>
        <w:t xml:space="preserve">t is certainly possible that competent judges would attach more value to </w:t>
      </w:r>
      <w:r>
        <w:t xml:space="preserve">certain </w:t>
      </w:r>
      <w:r>
        <w:t xml:space="preserve">sexual pleasures </w:t>
      </w:r>
      <w:r>
        <w:t>than to many other pleasures</w:t>
      </w:r>
      <w:r>
        <w:t>.</w:t>
      </w:r>
      <w:r>
        <w:rPr>
          <w:rStyle w:val="FootnoteReference"/>
        </w:rPr>
        <w:footnoteReference w:id="61"/>
      </w:r>
      <w:r>
        <w:t xml:space="preserve"> </w:t>
      </w:r>
      <w:r>
        <w:t>Thus</w:t>
      </w:r>
      <w:r w:rsidR="0044664C">
        <w:t>, t</w:t>
      </w:r>
      <w:r w:rsidR="00B55083">
        <w:t>here is nothing in Mill’s account that commi</w:t>
      </w:r>
      <w:r w:rsidR="007A243F">
        <w:t>ts him to saying that we would be well-advised to resign sexual pleasure for the pleasures of opera. To be sure, he does not rule this out, but the final opinion on which is the more valuable of two pleasures must be given by a panel of those experienced in both.</w:t>
      </w:r>
      <w:r w:rsidR="007676E7">
        <w:t xml:space="preserve"> If we are competent judges, and we are confident that we would not resign sexual pleasure for opera, then there is no reason to believe that this would be the outcome of Mill’s theory.</w:t>
      </w:r>
    </w:p>
    <w:p w14:paraId="6A6EBA69" w14:textId="77777777" w:rsidR="007676E7" w:rsidRDefault="007676E7" w:rsidP="00C65241">
      <w:pPr>
        <w:spacing w:line="480" w:lineRule="auto"/>
        <w:jc w:val="both"/>
      </w:pPr>
    </w:p>
    <w:p w14:paraId="4B47C573" w14:textId="1B6E9D1A" w:rsidR="007676E7" w:rsidRPr="007676E7" w:rsidRDefault="007676E7" w:rsidP="00C65241">
      <w:pPr>
        <w:spacing w:line="480" w:lineRule="auto"/>
        <w:jc w:val="both"/>
        <w:rPr>
          <w:b/>
        </w:rPr>
      </w:pPr>
      <w:r>
        <w:rPr>
          <w:b/>
        </w:rPr>
        <w:t>Conclusion</w:t>
      </w:r>
    </w:p>
    <w:p w14:paraId="4DCB3752" w14:textId="77E2AA36" w:rsidR="00595A7A" w:rsidRDefault="007C5EC2" w:rsidP="00C65241">
      <w:pPr>
        <w:spacing w:line="480" w:lineRule="auto"/>
        <w:jc w:val="both"/>
      </w:pPr>
      <w:r>
        <w:t xml:space="preserve">It would </w:t>
      </w:r>
      <w:r w:rsidR="0044664C">
        <w:t xml:space="preserve">surely </w:t>
      </w:r>
      <w:r>
        <w:t xml:space="preserve">be absurd to </w:t>
      </w:r>
      <w:r w:rsidR="0044664C">
        <w:t xml:space="preserve">think that we should give up </w:t>
      </w:r>
      <w:r>
        <w:t>chocolate for t</w:t>
      </w:r>
      <w:r w:rsidR="0044664C">
        <w:t xml:space="preserve">he sake of reading books, or </w:t>
      </w:r>
      <w:r>
        <w:t xml:space="preserve">sexual pleasure for the sake of listening to opera. However, this should give us reason to question whether Mill’s theory is </w:t>
      </w:r>
      <w:r w:rsidR="00FD370D">
        <w:t xml:space="preserve">really </w:t>
      </w:r>
      <w:r w:rsidR="0044664C">
        <w:t>committed to such claims</w:t>
      </w:r>
      <w:r>
        <w:t>.</w:t>
      </w:r>
      <w:r w:rsidR="00FD370D">
        <w:t xml:space="preserve"> My charge, in effect, is that many of the criticisms that </w:t>
      </w:r>
      <w:proofErr w:type="spellStart"/>
      <w:r w:rsidR="00FD370D">
        <w:t>Schaupp</w:t>
      </w:r>
      <w:proofErr w:type="spellEnd"/>
      <w:r w:rsidR="00FD370D">
        <w:t xml:space="preserve"> and </w:t>
      </w:r>
      <w:proofErr w:type="spellStart"/>
      <w:r w:rsidR="00FD370D">
        <w:t>Hauskeller</w:t>
      </w:r>
      <w:proofErr w:type="spellEnd"/>
      <w:r w:rsidR="00FD370D">
        <w:t xml:space="preserve"> level against Mill miss the target, for the positions that they attack are not ones that Mil</w:t>
      </w:r>
      <w:r w:rsidR="00182A47">
        <w:t>l actually held, or at least were</w:t>
      </w:r>
      <w:r w:rsidR="00FD370D">
        <w:t xml:space="preserve"> not </w:t>
      </w:r>
      <w:r w:rsidR="00364364">
        <w:t xml:space="preserve">ones he was </w:t>
      </w:r>
      <w:r w:rsidR="00FD370D">
        <w:t xml:space="preserve">committed to. A more </w:t>
      </w:r>
      <w:r w:rsidR="00FD370D">
        <w:lastRenderedPageBreak/>
        <w:t>charitable reading of his discussion of higher pleasures renders the doctrine much more plausible. Let me recap some of the main points of this interpretation.</w:t>
      </w:r>
    </w:p>
    <w:p w14:paraId="389DA096" w14:textId="2E5F14CE" w:rsidR="0044664C" w:rsidRDefault="00FD370D" w:rsidP="00C65241">
      <w:pPr>
        <w:spacing w:line="480" w:lineRule="auto"/>
        <w:jc w:val="both"/>
      </w:pPr>
      <w:r>
        <w:t xml:space="preserve">Different pleasures vary not only in quantity (amount) but also quality (value per unit of quantity). </w:t>
      </w:r>
      <w:r w:rsidR="0044664C">
        <w:t xml:space="preserve">While Bentham invoked intensity in order to explain that we may get more pleasure per unit of time from one activity than another, Mill’s distinction allows us to say that Socrates is </w:t>
      </w:r>
      <w:r w:rsidR="0044664C" w:rsidRPr="00F04BE8">
        <w:rPr>
          <w:i/>
        </w:rPr>
        <w:t>happier</w:t>
      </w:r>
      <w:r w:rsidR="0044664C">
        <w:t xml:space="preserve"> in virtue of participating in higher pleasures, though it would seem wrong to say that he experiences more pleasure than the fool. Mill’s solution is that the fool has more pleasure, of a lesser kind, whereas Socrates has less pleasure, of a better sort. A follower of Bentham </w:t>
      </w:r>
      <w:r w:rsidR="00F04BE8">
        <w:t>would</w:t>
      </w:r>
      <w:r w:rsidR="0044664C">
        <w:t xml:space="preserve"> reject this preference for intellectual pursuits as mere prejudice, but Mill held that intellectual pleasures really are (in general) better than bodily or animal ones, and sought to show that this insight could be reconciled with utilitarianism</w:t>
      </w:r>
      <w:r w:rsidR="00F7631B">
        <w:t>, by adopting a more sophisticated understanding of its end.</w:t>
      </w:r>
    </w:p>
    <w:p w14:paraId="3F2B0D00" w14:textId="6B1173C3" w:rsidR="00587258" w:rsidRDefault="00F7631B" w:rsidP="00C65241">
      <w:pPr>
        <w:spacing w:line="480" w:lineRule="auto"/>
        <w:jc w:val="both"/>
      </w:pPr>
      <w:r>
        <w:t>It wa</w:t>
      </w:r>
      <w:r w:rsidR="00587258">
        <w:t xml:space="preserve">s not Mill’s aim to </w:t>
      </w:r>
      <w:r w:rsidR="00587258" w:rsidRPr="00F04BE8">
        <w:rPr>
          <w:i/>
        </w:rPr>
        <w:t>prove</w:t>
      </w:r>
      <w:r w:rsidR="00587258">
        <w:t xml:space="preserve"> that certain pleasures are more valuable than others. This, he would have insisted, could only be shown </w:t>
      </w:r>
      <w:r>
        <w:t>by experience. Nonetheless, he</w:t>
      </w:r>
      <w:r w:rsidR="00A10568">
        <w:t xml:space="preserve"> considered it ‘</w:t>
      </w:r>
      <w:r w:rsidR="00587258" w:rsidRPr="00587258">
        <w:rPr>
          <w:bCs/>
        </w:rPr>
        <w:t>an unqu</w:t>
      </w:r>
      <w:r w:rsidR="00587258" w:rsidRPr="00587258">
        <w:t>es</w:t>
      </w:r>
      <w:r w:rsidR="00587258" w:rsidRPr="00587258">
        <w:rPr>
          <w:bCs/>
        </w:rPr>
        <w:t>ti</w:t>
      </w:r>
      <w:r w:rsidR="00587258" w:rsidRPr="00587258">
        <w:t>on</w:t>
      </w:r>
      <w:r w:rsidR="00587258" w:rsidRPr="00587258">
        <w:rPr>
          <w:bCs/>
        </w:rPr>
        <w:t>a</w:t>
      </w:r>
      <w:r w:rsidR="00587258" w:rsidRPr="00587258">
        <w:t>b</w:t>
      </w:r>
      <w:r w:rsidR="00587258" w:rsidRPr="00587258">
        <w:rPr>
          <w:bCs/>
        </w:rPr>
        <w:t>l</w:t>
      </w:r>
      <w:r w:rsidR="00587258" w:rsidRPr="00587258">
        <w:t xml:space="preserve">e </w:t>
      </w:r>
      <w:r w:rsidR="00587258" w:rsidRPr="00587258">
        <w:rPr>
          <w:bCs/>
        </w:rPr>
        <w:t xml:space="preserve">fact </w:t>
      </w:r>
      <w:r w:rsidR="00587258" w:rsidRPr="00587258">
        <w:t>th</w:t>
      </w:r>
      <w:r w:rsidR="00587258" w:rsidRPr="00587258">
        <w:rPr>
          <w:bCs/>
        </w:rPr>
        <w:t xml:space="preserve">at </w:t>
      </w:r>
      <w:r w:rsidR="00587258" w:rsidRPr="00587258">
        <w:t>th</w:t>
      </w:r>
      <w:r w:rsidR="00587258" w:rsidRPr="00587258">
        <w:rPr>
          <w:bCs/>
        </w:rPr>
        <w:t>os</w:t>
      </w:r>
      <w:r w:rsidR="00587258" w:rsidRPr="00587258">
        <w:t xml:space="preserve">e </w:t>
      </w:r>
      <w:r w:rsidR="00587258" w:rsidRPr="00587258">
        <w:rPr>
          <w:bCs/>
        </w:rPr>
        <w:t xml:space="preserve">who </w:t>
      </w:r>
      <w:r w:rsidR="00587258" w:rsidRPr="00587258">
        <w:t>ar</w:t>
      </w:r>
      <w:r w:rsidR="00587258" w:rsidRPr="00587258">
        <w:rPr>
          <w:bCs/>
        </w:rPr>
        <w:t>e equally a</w:t>
      </w:r>
      <w:r w:rsidR="00587258" w:rsidRPr="00587258">
        <w:t>c</w:t>
      </w:r>
      <w:r w:rsidR="00587258" w:rsidRPr="00587258">
        <w:rPr>
          <w:bCs/>
        </w:rPr>
        <w:t>quainted wi</w:t>
      </w:r>
      <w:r w:rsidR="00587258" w:rsidRPr="00587258">
        <w:t>th</w:t>
      </w:r>
      <w:r w:rsidR="00587258" w:rsidRPr="00587258">
        <w:rPr>
          <w:bCs/>
        </w:rPr>
        <w:t xml:space="preserve">, </w:t>
      </w:r>
      <w:r w:rsidR="00587258" w:rsidRPr="00587258">
        <w:t>an</w:t>
      </w:r>
      <w:r w:rsidR="00587258" w:rsidRPr="00587258">
        <w:rPr>
          <w:bCs/>
        </w:rPr>
        <w:t xml:space="preserve">d </w:t>
      </w:r>
      <w:r w:rsidR="00587258" w:rsidRPr="00587258">
        <w:t>eq</w:t>
      </w:r>
      <w:r w:rsidR="00587258" w:rsidRPr="00587258">
        <w:rPr>
          <w:bCs/>
        </w:rPr>
        <w:t>ua</w:t>
      </w:r>
      <w:r w:rsidR="00587258" w:rsidRPr="00587258">
        <w:t>ll</w:t>
      </w:r>
      <w:r w:rsidR="00587258" w:rsidRPr="00587258">
        <w:rPr>
          <w:bCs/>
        </w:rPr>
        <w:t xml:space="preserve">y </w:t>
      </w:r>
      <w:r w:rsidR="00587258" w:rsidRPr="00587258">
        <w:t>c</w:t>
      </w:r>
      <w:r w:rsidR="00587258" w:rsidRPr="00587258">
        <w:rPr>
          <w:bCs/>
        </w:rPr>
        <w:t>a</w:t>
      </w:r>
      <w:r w:rsidR="00587258" w:rsidRPr="00587258">
        <w:t>p</w:t>
      </w:r>
      <w:r w:rsidR="00587258" w:rsidRPr="00587258">
        <w:rPr>
          <w:bCs/>
        </w:rPr>
        <w:t>a</w:t>
      </w:r>
      <w:r w:rsidR="00587258" w:rsidRPr="00587258">
        <w:t>b</w:t>
      </w:r>
      <w:r w:rsidR="00587258" w:rsidRPr="00587258">
        <w:rPr>
          <w:bCs/>
        </w:rPr>
        <w:t>le o</w:t>
      </w:r>
      <w:r w:rsidR="00587258" w:rsidRPr="00587258">
        <w:t xml:space="preserve">f </w:t>
      </w:r>
      <w:r w:rsidR="00587258" w:rsidRPr="00587258">
        <w:rPr>
          <w:bCs/>
        </w:rPr>
        <w:t>app</w:t>
      </w:r>
      <w:r w:rsidR="00587258" w:rsidRPr="00587258">
        <w:t>rec</w:t>
      </w:r>
      <w:r w:rsidR="00587258" w:rsidRPr="00587258">
        <w:rPr>
          <w:bCs/>
        </w:rPr>
        <w:t>iat</w:t>
      </w:r>
      <w:r w:rsidR="00587258" w:rsidRPr="00587258">
        <w:t>in</w:t>
      </w:r>
      <w:r w:rsidR="00587258" w:rsidRPr="00587258">
        <w:rPr>
          <w:bCs/>
        </w:rPr>
        <w:t>g and en</w:t>
      </w:r>
      <w:r w:rsidR="00587258" w:rsidRPr="00587258">
        <w:t>j</w:t>
      </w:r>
      <w:r w:rsidR="00587258" w:rsidRPr="00587258">
        <w:rPr>
          <w:bCs/>
        </w:rPr>
        <w:t>oying, bo</w:t>
      </w:r>
      <w:r w:rsidR="00587258" w:rsidRPr="00587258">
        <w:t>th</w:t>
      </w:r>
      <w:r w:rsidR="00587258">
        <w:t xml:space="preserve"> [‘intellectual’ and ‘bodily’ pleasures]</w:t>
      </w:r>
      <w:r w:rsidR="00587258" w:rsidRPr="00587258">
        <w:rPr>
          <w:bCs/>
        </w:rPr>
        <w:t xml:space="preserve">, do </w:t>
      </w:r>
      <w:r w:rsidR="00587258" w:rsidRPr="00587258">
        <w:t>g</w:t>
      </w:r>
      <w:r w:rsidR="00587258" w:rsidRPr="00587258">
        <w:rPr>
          <w:bCs/>
        </w:rPr>
        <w:t>iv</w:t>
      </w:r>
      <w:r w:rsidR="00587258" w:rsidRPr="00587258">
        <w:t xml:space="preserve">e </w:t>
      </w:r>
      <w:r w:rsidR="00587258" w:rsidRPr="00587258">
        <w:rPr>
          <w:bCs/>
        </w:rPr>
        <w:t xml:space="preserve">a most </w:t>
      </w:r>
      <w:r w:rsidR="00587258" w:rsidRPr="00587258">
        <w:t>m</w:t>
      </w:r>
      <w:r w:rsidR="00587258" w:rsidRPr="00587258">
        <w:rPr>
          <w:bCs/>
        </w:rPr>
        <w:t>ar</w:t>
      </w:r>
      <w:r w:rsidR="00587258" w:rsidRPr="00587258">
        <w:t xml:space="preserve">ked </w:t>
      </w:r>
      <w:r w:rsidR="00587258" w:rsidRPr="00587258">
        <w:rPr>
          <w:bCs/>
        </w:rPr>
        <w:t>pref</w:t>
      </w:r>
      <w:r w:rsidR="00587258" w:rsidRPr="00587258">
        <w:t>e</w:t>
      </w:r>
      <w:r w:rsidR="00587258" w:rsidRPr="00587258">
        <w:rPr>
          <w:bCs/>
        </w:rPr>
        <w:t>r</w:t>
      </w:r>
      <w:r w:rsidR="00587258" w:rsidRPr="00587258">
        <w:t>en</w:t>
      </w:r>
      <w:r w:rsidR="00587258" w:rsidRPr="00587258">
        <w:rPr>
          <w:bCs/>
        </w:rPr>
        <w:t>c</w:t>
      </w:r>
      <w:r w:rsidR="00587258" w:rsidRPr="00587258">
        <w:t xml:space="preserve">e to </w:t>
      </w:r>
      <w:r w:rsidR="00587258" w:rsidRPr="00587258">
        <w:rPr>
          <w:bCs/>
        </w:rPr>
        <w:t>t</w:t>
      </w:r>
      <w:r w:rsidR="00587258" w:rsidRPr="00587258">
        <w:t>h</w:t>
      </w:r>
      <w:r w:rsidR="00587258" w:rsidRPr="00587258">
        <w:rPr>
          <w:bCs/>
        </w:rPr>
        <w:t xml:space="preserve">e </w:t>
      </w:r>
      <w:r w:rsidR="00587258" w:rsidRPr="00587258">
        <w:t>m</w:t>
      </w:r>
      <w:r w:rsidR="00587258" w:rsidRPr="00587258">
        <w:rPr>
          <w:bCs/>
        </w:rPr>
        <w:t>anner o</w:t>
      </w:r>
      <w:r w:rsidR="00587258" w:rsidRPr="00587258">
        <w:t xml:space="preserve">f </w:t>
      </w:r>
      <w:r w:rsidR="00587258" w:rsidRPr="00587258">
        <w:rPr>
          <w:bCs/>
        </w:rPr>
        <w:t>exist</w:t>
      </w:r>
      <w:r w:rsidR="00587258" w:rsidRPr="00587258">
        <w:t>e</w:t>
      </w:r>
      <w:r w:rsidR="00587258" w:rsidRPr="00587258">
        <w:rPr>
          <w:bCs/>
        </w:rPr>
        <w:t>nc</w:t>
      </w:r>
      <w:r w:rsidR="00587258" w:rsidRPr="00587258">
        <w:t xml:space="preserve">e </w:t>
      </w:r>
      <w:r w:rsidR="00587258" w:rsidRPr="00587258">
        <w:rPr>
          <w:bCs/>
        </w:rPr>
        <w:t>w</w:t>
      </w:r>
      <w:r w:rsidR="00587258" w:rsidRPr="00587258">
        <w:t>hi</w:t>
      </w:r>
      <w:r w:rsidR="00587258" w:rsidRPr="00587258">
        <w:rPr>
          <w:bCs/>
        </w:rPr>
        <w:t>c</w:t>
      </w:r>
      <w:r w:rsidR="00587258" w:rsidRPr="00587258">
        <w:t xml:space="preserve">h </w:t>
      </w:r>
      <w:r w:rsidR="00587258" w:rsidRPr="00587258">
        <w:rPr>
          <w:bCs/>
        </w:rPr>
        <w:t xml:space="preserve">employs </w:t>
      </w:r>
      <w:r w:rsidR="00587258" w:rsidRPr="00587258">
        <w:t>th</w:t>
      </w:r>
      <w:r w:rsidR="00587258" w:rsidRPr="00587258">
        <w:rPr>
          <w:bCs/>
        </w:rPr>
        <w:t>eir hi</w:t>
      </w:r>
      <w:r w:rsidR="00587258" w:rsidRPr="00587258">
        <w:t>ghe</w:t>
      </w:r>
      <w:r w:rsidR="00587258" w:rsidRPr="00587258">
        <w:rPr>
          <w:bCs/>
        </w:rPr>
        <w:t>r facultie</w:t>
      </w:r>
      <w:r w:rsidR="00587258" w:rsidRPr="00587258">
        <w:t>s</w:t>
      </w:r>
      <w:r w:rsidR="00A10568">
        <w:t>’</w:t>
      </w:r>
      <w:r w:rsidR="00587258">
        <w:t>.</w:t>
      </w:r>
      <w:r w:rsidR="00587258">
        <w:rPr>
          <w:rStyle w:val="FootnoteReference"/>
        </w:rPr>
        <w:footnoteReference w:id="62"/>
      </w:r>
      <w:r w:rsidR="00587258">
        <w:t xml:space="preserve"> That is, he considered this to be an established datum that his theory needed to accommodate, rather than a conclusion to be derived from the theory itself. </w:t>
      </w:r>
      <w:r w:rsidR="004968DA">
        <w:t xml:space="preserve">It is, </w:t>
      </w:r>
      <w:r w:rsidR="007F00CE">
        <w:t>therefore, a mistake to criticiz</w:t>
      </w:r>
      <w:r w:rsidR="004968DA">
        <w:t>e Mill for not proving that some pleasures are preferred to others.</w:t>
      </w:r>
      <w:r w:rsidR="00E95F9A">
        <w:t xml:space="preserve"> Nor is Mill committed to the view that higher pleasures ought always to be lexically preferred to lower ones. A smaller amount of higher quality pleasure </w:t>
      </w:r>
      <w:r w:rsidR="00E95F9A" w:rsidRPr="00E95F9A">
        <w:rPr>
          <w:i/>
        </w:rPr>
        <w:t>might</w:t>
      </w:r>
      <w:r w:rsidR="00E95F9A">
        <w:t xml:space="preserve"> contribute more to our happiness, but sometimes it will be rational to prefer</w:t>
      </w:r>
      <w:r>
        <w:t xml:space="preserve"> greater amounts of lower pleasures</w:t>
      </w:r>
      <w:r w:rsidR="00E95F9A">
        <w:t>.</w:t>
      </w:r>
      <w:r w:rsidR="004430D6">
        <w:t xml:space="preserve"> Whatever we judge, when confronted with two pleasures, such as reading and chocolate, our choice can always be </w:t>
      </w:r>
      <w:r w:rsidR="00062387">
        <w:t>accommodated by Mill’s theory</w:t>
      </w:r>
      <w:r w:rsidR="004430D6">
        <w:t>.</w:t>
      </w:r>
    </w:p>
    <w:p w14:paraId="75003551" w14:textId="12BBC48D" w:rsidR="00364364" w:rsidRDefault="00062387" w:rsidP="00C65241">
      <w:pPr>
        <w:spacing w:line="480" w:lineRule="auto"/>
        <w:jc w:val="both"/>
      </w:pPr>
      <w:r>
        <w:lastRenderedPageBreak/>
        <w:t>T</w:t>
      </w:r>
      <w:r w:rsidR="004968DA">
        <w:t>his does not show that Mill’s remarks are entirely unproblematic. The two situations to be compared in his decided preference test are not carefully specified, but one must indeed construct the example so as to ensure a ‘fair test’, or else the resulting preference might indeed be due not to a qualitative difference in the pleasures but to some other factor such as a preference for variety.</w:t>
      </w:r>
      <w:r w:rsidR="004968DA">
        <w:rPr>
          <w:rStyle w:val="FootnoteReference"/>
        </w:rPr>
        <w:footnoteReference w:id="63"/>
      </w:r>
      <w:r w:rsidR="00FC278A">
        <w:t xml:space="preserve"> It was perhaps a mistake for Mill to slide from comparing two pleasures to comparing two modes of existence.</w:t>
      </w:r>
      <w:r w:rsidR="00FC278A">
        <w:rPr>
          <w:rStyle w:val="FootnoteReference"/>
        </w:rPr>
        <w:footnoteReference w:id="64"/>
      </w:r>
    </w:p>
    <w:p w14:paraId="6B5387E2" w14:textId="77777777" w:rsidR="00062387" w:rsidRDefault="00E95F9A" w:rsidP="00C65241">
      <w:pPr>
        <w:spacing w:line="480" w:lineRule="auto"/>
        <w:jc w:val="both"/>
      </w:pPr>
      <w:r>
        <w:t xml:space="preserve">Further, </w:t>
      </w:r>
      <w:r w:rsidR="00F7631B">
        <w:t>we might</w:t>
      </w:r>
      <w:r>
        <w:t xml:space="preserve"> question whether Mill’s views</w:t>
      </w:r>
      <w:r w:rsidR="00F7631B">
        <w:t>, so interpreted,</w:t>
      </w:r>
      <w:r>
        <w:t xml:space="preserve"> are consistently hedonistic. </w:t>
      </w:r>
      <w:proofErr w:type="spellStart"/>
      <w:r>
        <w:t>Hauskeller</w:t>
      </w:r>
      <w:proofErr w:type="spellEnd"/>
      <w:r>
        <w:t xml:space="preserve"> apparently accepts that many people would rather be Socrates than a fool, and attributes this to something like nobility or dignity, but insists that this cannot be incorporated into hedonism, construed as the view that only the quantity of pleasures matters.</w:t>
      </w:r>
      <w:r>
        <w:rPr>
          <w:rStyle w:val="FootnoteReference"/>
        </w:rPr>
        <w:footnoteReference w:id="65"/>
      </w:r>
      <w:r w:rsidR="00104B0C">
        <w:t xml:space="preserve"> If we accept this characteriz</w:t>
      </w:r>
      <w:r>
        <w:t xml:space="preserve">ation of hedonism, then Mill </w:t>
      </w:r>
      <w:r w:rsidR="003D0B24">
        <w:t>abandoned hedonism the moment he declared that, for p</w:t>
      </w:r>
      <w:r w:rsidR="00A10568">
        <w:t>leasures as with other things, ‘</w:t>
      </w:r>
      <w:r w:rsidR="003D0B24">
        <w:t>quality is [to be] considered as well as quantity</w:t>
      </w:r>
      <w:r w:rsidR="00A10568">
        <w:t>’</w:t>
      </w:r>
      <w:r w:rsidR="003D0B24">
        <w:t>.</w:t>
      </w:r>
      <w:r w:rsidR="003D0B24">
        <w:rPr>
          <w:rStyle w:val="FootnoteReference"/>
        </w:rPr>
        <w:footnoteReference w:id="66"/>
      </w:r>
      <w:r w:rsidR="003D0B24">
        <w:t xml:space="preserve"> However, it is evident that Mill’s view was not B</w:t>
      </w:r>
      <w:r w:rsidR="00C761D3">
        <w:t>e</w:t>
      </w:r>
      <w:r w:rsidR="003D0B24">
        <w:t xml:space="preserve">ntham’s purely quantitative hedonism. </w:t>
      </w:r>
      <w:r w:rsidR="00F7631B">
        <w:t>Nonetheless</w:t>
      </w:r>
      <w:r w:rsidR="00C761D3">
        <w:t xml:space="preserve">, </w:t>
      </w:r>
      <w:r w:rsidR="00F7631B">
        <w:t>he</w:t>
      </w:r>
      <w:r w:rsidR="003D0B24">
        <w:t xml:space="preserve"> </w:t>
      </w:r>
      <w:r w:rsidR="00062387">
        <w:t xml:space="preserve">still </w:t>
      </w:r>
      <w:r w:rsidR="003D0B24">
        <w:t xml:space="preserve">committed himself to the view that happiness consists </w:t>
      </w:r>
      <w:r w:rsidR="00C761D3">
        <w:t>in pleasure and absence of pain.</w:t>
      </w:r>
      <w:r w:rsidR="003D0B24">
        <w:rPr>
          <w:rStyle w:val="FootnoteReference"/>
        </w:rPr>
        <w:footnoteReference w:id="67"/>
      </w:r>
    </w:p>
    <w:p w14:paraId="2099BD6F" w14:textId="62E3ABB9" w:rsidR="00B55083" w:rsidRDefault="00F7631B" w:rsidP="00C65241">
      <w:pPr>
        <w:spacing w:line="480" w:lineRule="auto"/>
        <w:jc w:val="both"/>
      </w:pPr>
      <w:r>
        <w:t xml:space="preserve">Mill did not see any contradiction in holding that the contribution a given pleasure makes to one’s happiness may depend upon </w:t>
      </w:r>
      <w:r w:rsidR="00364364">
        <w:t>properties such as</w:t>
      </w:r>
      <w:r w:rsidR="00062387">
        <w:t xml:space="preserve"> its</w:t>
      </w:r>
      <w:r w:rsidR="00364364">
        <w:t xml:space="preserve"> nobility, as well as its quantity. </w:t>
      </w:r>
      <w:r w:rsidR="00910FD3">
        <w:t xml:space="preserve">Still, </w:t>
      </w:r>
      <w:r w:rsidR="00062387">
        <w:t xml:space="preserve">nobility is only a good-making feature of pleasures, not (on its own) of lives. Consequently, </w:t>
      </w:r>
      <w:r w:rsidR="00C761D3">
        <w:t xml:space="preserve">the only things that make </w:t>
      </w:r>
      <w:r w:rsidR="00C761D3">
        <w:lastRenderedPageBreak/>
        <w:t>someone’s life better are pleasures.</w:t>
      </w:r>
      <w:r w:rsidR="00C761D3">
        <w:rPr>
          <w:rStyle w:val="FootnoteReference"/>
        </w:rPr>
        <w:footnoteReference w:id="68"/>
      </w:r>
      <w:r w:rsidR="00910FD3">
        <w:t xml:space="preserve"> </w:t>
      </w:r>
      <w:r w:rsidR="00910FD3">
        <w:t>Whether we call the resulting theory hedonistic or not seems little more than semant</w:t>
      </w:r>
      <w:r w:rsidR="00910FD3">
        <w:t>ics.</w:t>
      </w:r>
      <w:r w:rsidR="00910FD3">
        <w:rPr>
          <w:rStyle w:val="FootnoteReference"/>
        </w:rPr>
        <w:footnoteReference w:id="69"/>
      </w:r>
    </w:p>
    <w:p w14:paraId="4DF79732" w14:textId="77777777" w:rsidR="00485A62" w:rsidRDefault="00485A62" w:rsidP="00C65241">
      <w:pPr>
        <w:spacing w:line="480" w:lineRule="auto"/>
        <w:jc w:val="both"/>
      </w:pPr>
    </w:p>
    <w:p w14:paraId="66B4D624" w14:textId="6D4E8B00" w:rsidR="00485A62" w:rsidRPr="006F2EE1" w:rsidRDefault="00485A62" w:rsidP="00C65241">
      <w:pPr>
        <w:spacing w:line="480" w:lineRule="auto"/>
        <w:jc w:val="both"/>
        <w:rPr>
          <w:i/>
        </w:rPr>
      </w:pPr>
      <w:r w:rsidRPr="006F2EE1">
        <w:rPr>
          <w:i/>
        </w:rPr>
        <w:t>BEN SAUNDERS (</w:t>
      </w:r>
      <w:hyperlink r:id="rId7" w:history="1">
        <w:r w:rsidRPr="006F2EE1">
          <w:rPr>
            <w:rStyle w:val="Hyperlink"/>
            <w:i/>
          </w:rPr>
          <w:t>b.m.saunders@soton.ac.uk</w:t>
        </w:r>
      </w:hyperlink>
      <w:r w:rsidRPr="006F2EE1">
        <w:rPr>
          <w:i/>
        </w:rPr>
        <w:t>) is Associate Professor of Political Philosophy in the Department of Politics and International Relations, University of Southampton.</w:t>
      </w:r>
      <w:r w:rsidR="00F63BF6" w:rsidRPr="006F2EE1">
        <w:rPr>
          <w:i/>
        </w:rPr>
        <w:t xml:space="preserve"> His most recent publications are ‘Fairness and Aggregation’ (with A. C. </w:t>
      </w:r>
      <w:proofErr w:type="spellStart"/>
      <w:r w:rsidR="00F63BF6" w:rsidRPr="006F2EE1">
        <w:rPr>
          <w:i/>
        </w:rPr>
        <w:t>Paseau</w:t>
      </w:r>
      <w:proofErr w:type="spellEnd"/>
      <w:r w:rsidR="00F63BF6" w:rsidRPr="006F2EE1">
        <w:rPr>
          <w:i/>
        </w:rPr>
        <w:t xml:space="preserve">) in </w:t>
      </w:r>
      <w:proofErr w:type="spellStart"/>
      <w:r w:rsidR="00F63BF6" w:rsidRPr="006F2EE1">
        <w:t>Utilitas</w:t>
      </w:r>
      <w:proofErr w:type="spellEnd"/>
      <w:r w:rsidR="00F63BF6" w:rsidRPr="006F2EE1">
        <w:rPr>
          <w:i/>
        </w:rPr>
        <w:t xml:space="preserve"> (2015) and ‘Reformulating Mill’s Harm Principle’ in </w:t>
      </w:r>
      <w:r w:rsidR="00F63BF6" w:rsidRPr="006F2EE1">
        <w:t>Mind</w:t>
      </w:r>
      <w:r w:rsidR="00F63BF6" w:rsidRPr="006F2EE1">
        <w:rPr>
          <w:i/>
        </w:rPr>
        <w:t xml:space="preserve"> (forthcoming).</w:t>
      </w:r>
      <w:bookmarkStart w:id="0" w:name="_GoBack"/>
      <w:bookmarkEnd w:id="0"/>
    </w:p>
    <w:sectPr w:rsidR="00485A62" w:rsidRPr="006F2E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9914" w14:textId="77777777" w:rsidR="00596B01" w:rsidRDefault="00596B01" w:rsidP="00BE4344">
      <w:pPr>
        <w:spacing w:after="0" w:line="240" w:lineRule="auto"/>
      </w:pPr>
      <w:r>
        <w:separator/>
      </w:r>
    </w:p>
  </w:endnote>
  <w:endnote w:type="continuationSeparator" w:id="0">
    <w:p w14:paraId="40A04575" w14:textId="77777777" w:rsidR="00596B01" w:rsidRDefault="00596B01" w:rsidP="00BE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D48EC" w14:textId="77777777" w:rsidR="00596B01" w:rsidRDefault="00596B01" w:rsidP="00BE4344">
      <w:pPr>
        <w:spacing w:after="0" w:line="240" w:lineRule="auto"/>
      </w:pPr>
      <w:r>
        <w:separator/>
      </w:r>
    </w:p>
  </w:footnote>
  <w:footnote w:type="continuationSeparator" w:id="0">
    <w:p w14:paraId="662C8BF7" w14:textId="77777777" w:rsidR="00596B01" w:rsidRDefault="00596B01" w:rsidP="00BE4344">
      <w:pPr>
        <w:spacing w:after="0" w:line="240" w:lineRule="auto"/>
      </w:pPr>
      <w:r>
        <w:continuationSeparator/>
      </w:r>
    </w:p>
  </w:footnote>
  <w:footnote w:id="1">
    <w:p w14:paraId="25C2ADA3" w14:textId="508A1E4C" w:rsidR="00596B01" w:rsidRPr="00170455" w:rsidRDefault="00596B01" w:rsidP="00F63BF6">
      <w:pPr>
        <w:pStyle w:val="FootnoteText"/>
        <w:spacing w:line="480" w:lineRule="auto"/>
        <w:jc w:val="both"/>
      </w:pPr>
      <w:r>
        <w:rPr>
          <w:rStyle w:val="FootnoteReference"/>
        </w:rPr>
        <w:footnoteRef/>
      </w:r>
      <w:r>
        <w:t xml:space="preserve"> For example, Rex Martin, ‘A Defence of Mill’s Qualitative Hedonism’, </w:t>
      </w:r>
      <w:r>
        <w:rPr>
          <w:i/>
        </w:rPr>
        <w:t>Philosophy</w:t>
      </w:r>
      <w:r>
        <w:t xml:space="preserve"> 47 (1972), 140–51, and Henry R. West, ‘Mill’s Qualitative Hedonism’, </w:t>
      </w:r>
      <w:r>
        <w:rPr>
          <w:i/>
        </w:rPr>
        <w:t>Philosophy</w:t>
      </w:r>
      <w:r>
        <w:t xml:space="preserve"> 51 (1976), 97–101.</w:t>
      </w:r>
    </w:p>
  </w:footnote>
  <w:footnote w:id="2">
    <w:p w14:paraId="28F17B08" w14:textId="6ABB1F6D" w:rsidR="00596B01" w:rsidRPr="004A79CB" w:rsidRDefault="00596B01" w:rsidP="00F63BF6">
      <w:pPr>
        <w:pStyle w:val="FootnoteText"/>
        <w:spacing w:line="480" w:lineRule="auto"/>
        <w:jc w:val="both"/>
      </w:pPr>
      <w:r>
        <w:rPr>
          <w:rStyle w:val="FootnoteReference"/>
        </w:rPr>
        <w:footnoteRef/>
      </w:r>
      <w:r>
        <w:t xml:space="preserve"> Ben Saunders, ‘J. S. Mill’s Conception of Utility’, </w:t>
      </w:r>
      <w:proofErr w:type="spellStart"/>
      <w:r>
        <w:rPr>
          <w:i/>
        </w:rPr>
        <w:t>Utilitas</w:t>
      </w:r>
      <w:proofErr w:type="spellEnd"/>
      <w:r>
        <w:t xml:space="preserve"> 22 (2010), 52–69. See also Ben Saunders, ‘Reinterpreting the Qualitative Hedonism Advanced by J.S. Mill’, </w:t>
      </w:r>
      <w:r>
        <w:rPr>
          <w:i/>
        </w:rPr>
        <w:t>Journal of Value Inquiry</w:t>
      </w:r>
      <w:r>
        <w:t xml:space="preserve"> 45 (2011), 187–201</w:t>
      </w:r>
      <w:r w:rsidR="00F2054C">
        <w:t xml:space="preserve"> and ‘Mill’s Conception of Happiness’, in C. Macleod and D. E. Miller (eds.) </w:t>
      </w:r>
      <w:r w:rsidR="00F2054C">
        <w:rPr>
          <w:i/>
        </w:rPr>
        <w:t>A Companion to Mill</w:t>
      </w:r>
      <w:r w:rsidR="00067626">
        <w:t xml:space="preserve"> (</w:t>
      </w:r>
      <w:r w:rsidR="00F2054C">
        <w:t>W</w:t>
      </w:r>
      <w:r w:rsidR="00590463">
        <w:t>iley-Blackwell, 2017</w:t>
      </w:r>
      <w:r w:rsidR="00F2054C">
        <w:t>)</w:t>
      </w:r>
      <w:r w:rsidR="007B7EA9">
        <w:t xml:space="preserve">, </w:t>
      </w:r>
      <w:r w:rsidR="00590463">
        <w:t>313—327.</w:t>
      </w:r>
    </w:p>
  </w:footnote>
  <w:footnote w:id="3">
    <w:p w14:paraId="4EA14D45" w14:textId="050EEE0F" w:rsidR="00596B01" w:rsidRPr="001F0614" w:rsidRDefault="00596B01" w:rsidP="00F63BF6">
      <w:pPr>
        <w:pStyle w:val="FootnoteText"/>
        <w:spacing w:line="480" w:lineRule="auto"/>
        <w:jc w:val="both"/>
      </w:pPr>
      <w:r>
        <w:rPr>
          <w:rStyle w:val="FootnoteReference"/>
        </w:rPr>
        <w:footnoteRef/>
      </w:r>
      <w:r>
        <w:t xml:space="preserve"> Michael </w:t>
      </w:r>
      <w:proofErr w:type="spellStart"/>
      <w:r>
        <w:t>Hauskeller</w:t>
      </w:r>
      <w:proofErr w:type="spellEnd"/>
      <w:r>
        <w:t xml:space="preserve">, ‘No Philosophy for Swine: John Stuart Mill on the Quality of Pleasures’, </w:t>
      </w:r>
      <w:proofErr w:type="spellStart"/>
      <w:r>
        <w:rPr>
          <w:i/>
          <w:iCs/>
        </w:rPr>
        <w:t>Utilitas</w:t>
      </w:r>
      <w:proofErr w:type="spellEnd"/>
      <w:r>
        <w:t xml:space="preserve"> 23 (2011), 428–46, at 428.</w:t>
      </w:r>
    </w:p>
  </w:footnote>
  <w:footnote w:id="4">
    <w:p w14:paraId="34A077FC" w14:textId="64E5E471" w:rsidR="00596B01" w:rsidRPr="00234B9E" w:rsidRDefault="00596B01" w:rsidP="00F63BF6">
      <w:pPr>
        <w:pStyle w:val="FootnoteText"/>
        <w:spacing w:line="480" w:lineRule="auto"/>
        <w:jc w:val="both"/>
      </w:pPr>
      <w:r>
        <w:rPr>
          <w:rStyle w:val="FootnoteReference"/>
        </w:rPr>
        <w:footnoteRef/>
      </w:r>
      <w:r>
        <w:t xml:space="preserve"> Kristin </w:t>
      </w:r>
      <w:proofErr w:type="spellStart"/>
      <w:r>
        <w:t>Schaupp</w:t>
      </w:r>
      <w:proofErr w:type="spellEnd"/>
      <w:r>
        <w:t xml:space="preserve">, ‘Books before Chocolate? The Insufficiency of Mill’s Evidence for Higher Pleasures’, </w:t>
      </w:r>
      <w:proofErr w:type="spellStart"/>
      <w:r>
        <w:rPr>
          <w:i/>
          <w:iCs/>
        </w:rPr>
        <w:t>Utilitas</w:t>
      </w:r>
      <w:proofErr w:type="spellEnd"/>
      <w:r>
        <w:t xml:space="preserve"> 25 (2013), 266–76, at 268.</w:t>
      </w:r>
    </w:p>
  </w:footnote>
  <w:footnote w:id="5">
    <w:p w14:paraId="20846403" w14:textId="13B4A3F2" w:rsidR="00596B01" w:rsidRDefault="00596B01" w:rsidP="00F63BF6">
      <w:pPr>
        <w:pStyle w:val="FootnoteText"/>
        <w:spacing w:line="480" w:lineRule="auto"/>
        <w:jc w:val="both"/>
      </w:pPr>
      <w:r>
        <w:rPr>
          <w:rStyle w:val="FootnoteReference"/>
        </w:rPr>
        <w:footnoteRef/>
      </w:r>
      <w:r>
        <w:t xml:space="preserve"> That falsehoods can lead to a better appreciation of the truth is, of course, part of Mill’s case for free discussion. See </w:t>
      </w:r>
      <w:proofErr w:type="gramStart"/>
      <w:r>
        <w:rPr>
          <w:i/>
          <w:iCs/>
        </w:rPr>
        <w:t>On</w:t>
      </w:r>
      <w:proofErr w:type="gramEnd"/>
      <w:r>
        <w:rPr>
          <w:i/>
          <w:iCs/>
        </w:rPr>
        <w:t xml:space="preserve"> Liberty</w:t>
      </w:r>
      <w:r>
        <w:t xml:space="preserve">, reprinted in J. M. Robson (ed.) </w:t>
      </w:r>
      <w:r>
        <w:rPr>
          <w:i/>
        </w:rPr>
        <w:t>The Collected Works of John Stuart Mill</w:t>
      </w:r>
      <w:r>
        <w:t>, vol. XVIII (Toronto: Toronto University Press, 1977), 243ff.</w:t>
      </w:r>
    </w:p>
  </w:footnote>
  <w:footnote w:id="6">
    <w:p w14:paraId="55874881" w14:textId="75570C45"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102884">
        <w:rPr>
          <w:i/>
          <w:iCs/>
          <w:lang w:val="it-IT"/>
        </w:rPr>
        <w:t>Utilitarianism</w:t>
      </w:r>
      <w:r w:rsidRPr="00102884">
        <w:rPr>
          <w:lang w:val="it-IT"/>
        </w:rPr>
        <w:t xml:space="preserve">, </w:t>
      </w:r>
      <w:r>
        <w:rPr>
          <w:lang w:val="it-IT"/>
        </w:rPr>
        <w:t xml:space="preserve">reprinted in </w:t>
      </w:r>
      <w:r>
        <w:t xml:space="preserve">J. M. Robson (ed.) </w:t>
      </w:r>
      <w:r>
        <w:rPr>
          <w:i/>
        </w:rPr>
        <w:t>The Collected Works of John Stuart Mill</w:t>
      </w:r>
      <w:r>
        <w:t>, vol. X (Toronto: Toronto University Press, 1969)</w:t>
      </w:r>
      <w:r w:rsidRPr="00102884">
        <w:rPr>
          <w:lang w:val="it-IT"/>
        </w:rPr>
        <w:t>, 207.</w:t>
      </w:r>
    </w:p>
  </w:footnote>
  <w:footnote w:id="7">
    <w:p w14:paraId="0842BF64" w14:textId="4B4CEF31"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208.</w:t>
      </w:r>
    </w:p>
  </w:footnote>
  <w:footnote w:id="8">
    <w:p w14:paraId="21B503A4" w14:textId="658AE847"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222.</w:t>
      </w:r>
    </w:p>
  </w:footnote>
  <w:footnote w:id="9">
    <w:p w14:paraId="1D225F68" w14:textId="4F799F2D"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235.</w:t>
      </w:r>
    </w:p>
  </w:footnote>
  <w:footnote w:id="10">
    <w:p w14:paraId="01C3DC5E" w14:textId="2DE7B7FD" w:rsidR="00596B01" w:rsidRPr="00102884" w:rsidRDefault="00596B01" w:rsidP="00F63BF6">
      <w:pPr>
        <w:pStyle w:val="FootnoteText"/>
        <w:spacing w:line="480" w:lineRule="auto"/>
        <w:jc w:val="both"/>
      </w:pPr>
      <w:r>
        <w:rPr>
          <w:rStyle w:val="FootnoteReference"/>
        </w:rPr>
        <w:footnoteRef/>
      </w:r>
      <w:r w:rsidRPr="00102884">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t>, 259.</w:t>
      </w:r>
    </w:p>
  </w:footnote>
  <w:footnote w:id="11">
    <w:p w14:paraId="41F35DAF" w14:textId="1A0136A7" w:rsidR="00596B01" w:rsidRPr="0021033B" w:rsidRDefault="00596B01" w:rsidP="00F63BF6">
      <w:pPr>
        <w:pStyle w:val="FootnoteText"/>
        <w:spacing w:line="480" w:lineRule="auto"/>
        <w:jc w:val="both"/>
      </w:pPr>
      <w:r>
        <w:rPr>
          <w:rStyle w:val="FootnoteReference"/>
        </w:rPr>
        <w:footnoteRef/>
      </w:r>
      <w:r>
        <w:t xml:space="preserve"> Op. cit. note 5, 252ff.</w:t>
      </w:r>
    </w:p>
  </w:footnote>
  <w:footnote w:id="12">
    <w:p w14:paraId="0B3C6BBB" w14:textId="277FCC80" w:rsidR="00596B01" w:rsidRPr="00102884" w:rsidRDefault="00596B01" w:rsidP="00F63BF6">
      <w:pPr>
        <w:pStyle w:val="FootnoteText"/>
        <w:spacing w:line="480" w:lineRule="auto"/>
        <w:jc w:val="both"/>
      </w:pPr>
      <w:r>
        <w:rPr>
          <w:rStyle w:val="FootnoteReference"/>
        </w:rPr>
        <w:footnoteRef/>
      </w:r>
      <w:r w:rsidRPr="00102884">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t>, 210.</w:t>
      </w:r>
    </w:p>
  </w:footnote>
  <w:footnote w:id="13">
    <w:p w14:paraId="31CCA580" w14:textId="2B98ACD3" w:rsidR="00596B01" w:rsidRPr="006B63E7" w:rsidRDefault="00596B01" w:rsidP="00F63BF6">
      <w:pPr>
        <w:pStyle w:val="FootnoteText"/>
        <w:spacing w:line="480" w:lineRule="auto"/>
        <w:jc w:val="both"/>
      </w:pPr>
      <w:r>
        <w:rPr>
          <w:rStyle w:val="FootnoteReference"/>
        </w:rPr>
        <w:footnoteRef/>
      </w:r>
      <w:r w:rsidRPr="006B63E7">
        <w:t xml:space="preserve"> E.g. Alan Ryan,</w:t>
      </w:r>
      <w:r>
        <w:t xml:space="preserve"> </w:t>
      </w:r>
      <w:r>
        <w:rPr>
          <w:i/>
          <w:iCs/>
        </w:rPr>
        <w:t>J.S. Mill</w:t>
      </w:r>
      <w:r w:rsidRPr="006B63E7">
        <w:t xml:space="preserve"> </w:t>
      </w:r>
      <w:r>
        <w:t>(London: Routledge, 1974)</w:t>
      </w:r>
      <w:r w:rsidRPr="006B63E7">
        <w:t>,</w:t>
      </w:r>
      <w:r>
        <w:t xml:space="preserve"> 97,</w:t>
      </w:r>
      <w:r w:rsidRPr="006B63E7">
        <w:t xml:space="preserve"> and Roger Crisp, </w:t>
      </w:r>
      <w:r>
        <w:rPr>
          <w:i/>
          <w:iCs/>
        </w:rPr>
        <w:t>Mill on Utilitarianism</w:t>
      </w:r>
      <w:r>
        <w:t xml:space="preserve"> (London: Routledge, 1997), 23.</w:t>
      </w:r>
    </w:p>
  </w:footnote>
  <w:footnote w:id="14">
    <w:p w14:paraId="1A197B43" w14:textId="5A0F2030" w:rsidR="00596B01" w:rsidRPr="00102884" w:rsidRDefault="00596B01" w:rsidP="00F63BF6">
      <w:pPr>
        <w:pStyle w:val="FootnoteText"/>
        <w:spacing w:line="480" w:lineRule="auto"/>
        <w:jc w:val="both"/>
      </w:pPr>
      <w:r>
        <w:rPr>
          <w:rStyle w:val="FootnoteReference"/>
        </w:rPr>
        <w:footnoteRef/>
      </w:r>
      <w:r w:rsidRPr="00102884">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t>, 210</w:t>
      </w:r>
      <w:r>
        <w:t>.</w:t>
      </w:r>
    </w:p>
  </w:footnote>
  <w:footnote w:id="15">
    <w:p w14:paraId="1506B3F8" w14:textId="301EFF50" w:rsidR="00596B01" w:rsidRPr="000E5691" w:rsidRDefault="00596B01" w:rsidP="00F63BF6">
      <w:pPr>
        <w:pStyle w:val="FootnoteText"/>
        <w:spacing w:line="480" w:lineRule="auto"/>
        <w:jc w:val="both"/>
        <w:rPr>
          <w:lang w:val="it-IT"/>
        </w:rPr>
      </w:pPr>
      <w:r>
        <w:rPr>
          <w:rStyle w:val="FootnoteReference"/>
        </w:rPr>
        <w:footnoteRef/>
      </w:r>
      <w:r w:rsidRPr="000E5691">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0E5691">
        <w:rPr>
          <w:lang w:val="it-IT"/>
        </w:rPr>
        <w:t>, 211.</w:t>
      </w:r>
    </w:p>
  </w:footnote>
  <w:footnote w:id="16">
    <w:p w14:paraId="4FE0153C" w14:textId="0DA3CF54" w:rsidR="00596B01" w:rsidRPr="000E5691" w:rsidRDefault="00596B01" w:rsidP="00F63BF6">
      <w:pPr>
        <w:pStyle w:val="FootnoteText"/>
        <w:spacing w:line="480" w:lineRule="auto"/>
        <w:jc w:val="both"/>
        <w:rPr>
          <w:lang w:val="it-IT"/>
        </w:rPr>
      </w:pPr>
      <w:r>
        <w:rPr>
          <w:rStyle w:val="FootnoteReference"/>
        </w:rPr>
        <w:footnoteRef/>
      </w:r>
      <w:r w:rsidRPr="000E5691">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Pr>
          <w:lang w:val="it-IT"/>
        </w:rPr>
        <w:t>, 210</w:t>
      </w:r>
      <w:r>
        <w:t>–</w:t>
      </w:r>
      <w:r w:rsidRPr="000E5691">
        <w:rPr>
          <w:lang w:val="it-IT"/>
        </w:rPr>
        <w:t>11.</w:t>
      </w:r>
    </w:p>
  </w:footnote>
  <w:footnote w:id="17">
    <w:p w14:paraId="02AD34C8" w14:textId="4A1C1448" w:rsidR="00596B01" w:rsidRPr="00102884" w:rsidRDefault="00596B01" w:rsidP="00F63BF6">
      <w:pPr>
        <w:pStyle w:val="FootnoteText"/>
        <w:spacing w:line="480" w:lineRule="auto"/>
        <w:jc w:val="both"/>
        <w:rPr>
          <w:lang w:val="it-IT"/>
        </w:rPr>
      </w:pPr>
      <w:r>
        <w:rPr>
          <w:rStyle w:val="FootnoteReference"/>
        </w:rPr>
        <w:footnoteRef/>
      </w:r>
      <w:r w:rsidRPr="00102884">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211.</w:t>
      </w:r>
    </w:p>
  </w:footnote>
  <w:footnote w:id="18">
    <w:p w14:paraId="2D8CC6D4" w14:textId="466FC411" w:rsidR="00596B01" w:rsidRDefault="00596B01" w:rsidP="00F63BF6">
      <w:pPr>
        <w:pStyle w:val="FootnoteText"/>
        <w:spacing w:line="480" w:lineRule="auto"/>
        <w:jc w:val="both"/>
      </w:pPr>
      <w:r>
        <w:rPr>
          <w:rStyle w:val="FootnoteReference"/>
        </w:rPr>
        <w:footnoteRef/>
      </w:r>
      <w:r>
        <w:t xml:space="preserve"> Op. cit. note 4, 267.</w:t>
      </w:r>
    </w:p>
  </w:footnote>
  <w:footnote w:id="19">
    <w:p w14:paraId="11FD7A6B" w14:textId="761E0823" w:rsidR="00596B01" w:rsidRDefault="00596B01" w:rsidP="00F63BF6">
      <w:pPr>
        <w:pStyle w:val="FootnoteText"/>
        <w:spacing w:line="480" w:lineRule="auto"/>
        <w:jc w:val="both"/>
      </w:pPr>
      <w:r>
        <w:rPr>
          <w:rStyle w:val="FootnoteReference"/>
        </w:rPr>
        <w:footnoteRef/>
      </w:r>
      <w:r>
        <w:t xml:space="preserve"> Cf. Robert </w:t>
      </w:r>
      <w:proofErr w:type="spellStart"/>
      <w:r>
        <w:t>Nozick</w:t>
      </w:r>
      <w:proofErr w:type="spellEnd"/>
      <w:r>
        <w:t xml:space="preserve">, </w:t>
      </w:r>
      <w:r>
        <w:rPr>
          <w:i/>
        </w:rPr>
        <w:t>Anarchy, State, and Utopia</w:t>
      </w:r>
      <w:r>
        <w:t xml:space="preserve"> </w:t>
      </w:r>
      <w:r w:rsidRPr="00902D89">
        <w:t>(</w:t>
      </w:r>
      <w:r>
        <w:t>Oxford: Basil Blackwell, 1974</w:t>
      </w:r>
      <w:r w:rsidRPr="00902D89">
        <w:t>)</w:t>
      </w:r>
      <w:r>
        <w:t>, 42–5.</w:t>
      </w:r>
    </w:p>
  </w:footnote>
  <w:footnote w:id="20">
    <w:p w14:paraId="4C948921" w14:textId="4D3DC2A0" w:rsidR="00596B01" w:rsidRPr="007D26DD" w:rsidRDefault="00596B01" w:rsidP="00F63BF6">
      <w:pPr>
        <w:pStyle w:val="FootnoteText"/>
        <w:spacing w:line="480" w:lineRule="auto"/>
        <w:jc w:val="both"/>
        <w:rPr>
          <w:lang w:val="it-IT"/>
        </w:rPr>
      </w:pPr>
      <w:r>
        <w:rPr>
          <w:rStyle w:val="FootnoteReference"/>
        </w:rPr>
        <w:footnoteRef/>
      </w:r>
      <w:r w:rsidRPr="007D26DD">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7D26DD">
        <w:rPr>
          <w:lang w:val="it-IT"/>
        </w:rPr>
        <w:t>, 235ff.</w:t>
      </w:r>
    </w:p>
  </w:footnote>
  <w:footnote w:id="21">
    <w:p w14:paraId="0CA635A4" w14:textId="6B5C65BC"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210.</w:t>
      </w:r>
    </w:p>
  </w:footnote>
  <w:footnote w:id="22">
    <w:p w14:paraId="53E8E5F1" w14:textId="73E9214A" w:rsidR="00596B01" w:rsidRDefault="00596B01" w:rsidP="00F63BF6">
      <w:pPr>
        <w:pStyle w:val="FootnoteText"/>
        <w:spacing w:line="480" w:lineRule="auto"/>
        <w:jc w:val="both"/>
      </w:pPr>
      <w:r>
        <w:rPr>
          <w:rStyle w:val="FootnoteReference"/>
        </w:rPr>
        <w:footnoteRef/>
      </w:r>
      <w:r>
        <w:t xml:space="preserve"> Judith Jarvis Thomson, ‘A </w:t>
      </w:r>
      <w:proofErr w:type="spellStart"/>
      <w:r>
        <w:t>Defense</w:t>
      </w:r>
      <w:proofErr w:type="spellEnd"/>
      <w:r>
        <w:t xml:space="preserve"> of Abortion’, </w:t>
      </w:r>
      <w:r>
        <w:rPr>
          <w:i/>
        </w:rPr>
        <w:t>Philosophy &amp; Public Affairs</w:t>
      </w:r>
      <w:r>
        <w:t xml:space="preserve"> 1 (1971), 47–66.</w:t>
      </w:r>
    </w:p>
  </w:footnote>
  <w:footnote w:id="23">
    <w:p w14:paraId="41DF5862" w14:textId="067E477C" w:rsidR="00596B01" w:rsidRDefault="00596B01" w:rsidP="00F63BF6">
      <w:pPr>
        <w:pStyle w:val="FootnoteText"/>
        <w:spacing w:line="480" w:lineRule="auto"/>
        <w:jc w:val="both"/>
      </w:pPr>
      <w:r>
        <w:rPr>
          <w:rStyle w:val="FootnoteReference"/>
        </w:rPr>
        <w:footnoteRef/>
      </w:r>
      <w:r>
        <w:t xml:space="preserve"> See ‘Bentham’, </w:t>
      </w:r>
      <w:r>
        <w:rPr>
          <w:lang w:val="it-IT"/>
        </w:rPr>
        <w:t xml:space="preserve">reprinted in </w:t>
      </w:r>
      <w:r>
        <w:t xml:space="preserve">J. M. Robson (ed.) </w:t>
      </w:r>
      <w:r>
        <w:rPr>
          <w:i/>
        </w:rPr>
        <w:t>The Collected Works of John Stuart Mill</w:t>
      </w:r>
      <w:r>
        <w:t>, vol. X (Toronto: Toronto University Press, 1969)</w:t>
      </w:r>
      <w:r>
        <w:rPr>
          <w:lang w:val="it-IT"/>
        </w:rPr>
        <w:t xml:space="preserve">. </w:t>
      </w:r>
      <w:r>
        <w:t>Mill criticizes Bentham’</w:t>
      </w:r>
      <w:r w:rsidR="00590463">
        <w:t>s narrow view of human nature</w:t>
      </w:r>
      <w:r>
        <w:t>, 92–</w:t>
      </w:r>
      <w:r w:rsidRPr="00C164E0">
        <w:t>6</w:t>
      </w:r>
      <w:r>
        <w:t>, and remarks on Bentham’s distrust of poetry, CW X, 113-14</w:t>
      </w:r>
      <w:r w:rsidRPr="00C164E0">
        <w:t>.</w:t>
      </w:r>
    </w:p>
    <w:p w14:paraId="3BAF1BDB" w14:textId="0ECF0A6B" w:rsidR="00596B01" w:rsidRPr="009A62F2" w:rsidRDefault="00596B01" w:rsidP="00F63BF6">
      <w:pPr>
        <w:pStyle w:val="FootnoteText"/>
        <w:spacing w:line="480" w:lineRule="auto"/>
        <w:jc w:val="both"/>
      </w:pPr>
      <w:r>
        <w:t xml:space="preserve">For Mill’s own appreciation of poetry, see </w:t>
      </w:r>
      <w:r>
        <w:rPr>
          <w:i/>
          <w:iCs/>
        </w:rPr>
        <w:t>Autobiography</w:t>
      </w:r>
      <w:r>
        <w:t xml:space="preserve">, </w:t>
      </w:r>
      <w:r>
        <w:rPr>
          <w:lang w:val="it-IT"/>
        </w:rPr>
        <w:t xml:space="preserve">reprinted in </w:t>
      </w:r>
      <w:r>
        <w:t xml:space="preserve">J. M. Robson and J. </w:t>
      </w:r>
      <w:proofErr w:type="spellStart"/>
      <w:r>
        <w:t>Stillinger</w:t>
      </w:r>
      <w:proofErr w:type="spellEnd"/>
      <w:r>
        <w:t xml:space="preserve"> (eds.) </w:t>
      </w:r>
      <w:r>
        <w:rPr>
          <w:i/>
        </w:rPr>
        <w:t>The Collected Works of John Stuart Mill</w:t>
      </w:r>
      <w:r>
        <w:t>, vol. I (Toronto: Toronto University Press, 1981), 148–53</w:t>
      </w:r>
      <w:r w:rsidR="00575FD3">
        <w:t>. See also</w:t>
      </w:r>
      <w:r>
        <w:t xml:space="preserve"> Elizabeth Anderson, ‘John Stuart Mill and Experiments in Living’, </w:t>
      </w:r>
      <w:r>
        <w:rPr>
          <w:i/>
        </w:rPr>
        <w:t>Ethics</w:t>
      </w:r>
      <w:r w:rsidR="00575FD3">
        <w:t xml:space="preserve"> 102 (1991), 4–26, at 17-18,</w:t>
      </w:r>
      <w:r>
        <w:t xml:space="preserve"> and Liz </w:t>
      </w:r>
      <w:proofErr w:type="spellStart"/>
      <w:r>
        <w:t>McKinnell</w:t>
      </w:r>
      <w:proofErr w:type="spellEnd"/>
      <w:r>
        <w:t xml:space="preserve">, ‘‘A Medicine for my State of Mind’: The Role of Wordsworth in John Stuart Mill’s Moral and Psychological Development’, </w:t>
      </w:r>
      <w:proofErr w:type="spellStart"/>
      <w:r>
        <w:rPr>
          <w:i/>
        </w:rPr>
        <w:t>Utilitas</w:t>
      </w:r>
      <w:proofErr w:type="spellEnd"/>
      <w:r>
        <w:t xml:space="preserve"> 27 (2015), 43–60.</w:t>
      </w:r>
    </w:p>
  </w:footnote>
  <w:footnote w:id="24">
    <w:p w14:paraId="17D15246" w14:textId="06CD5356" w:rsidR="00596B01" w:rsidRPr="00A2654E" w:rsidRDefault="00596B01" w:rsidP="00F63BF6">
      <w:pPr>
        <w:pStyle w:val="FootnoteText"/>
        <w:spacing w:line="480" w:lineRule="auto"/>
        <w:jc w:val="both"/>
      </w:pPr>
      <w:r>
        <w:rPr>
          <w:rStyle w:val="FootnoteReference"/>
        </w:rPr>
        <w:footnoteRef/>
      </w:r>
      <w:r>
        <w:t xml:space="preserve"> Richard </w:t>
      </w:r>
      <w:proofErr w:type="spellStart"/>
      <w:r>
        <w:t>Bronaugh</w:t>
      </w:r>
      <w:proofErr w:type="spellEnd"/>
      <w:r>
        <w:t xml:space="preserve">, ‘The Quality in Pleasures’, </w:t>
      </w:r>
      <w:r>
        <w:rPr>
          <w:i/>
        </w:rPr>
        <w:t>Philosophy</w:t>
      </w:r>
      <w:r>
        <w:t xml:space="preserve"> 49 (1974), 320–22, at 321.</w:t>
      </w:r>
    </w:p>
  </w:footnote>
  <w:footnote w:id="25">
    <w:p w14:paraId="770E7D09" w14:textId="7185B702"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211.</w:t>
      </w:r>
    </w:p>
  </w:footnote>
  <w:footnote w:id="26">
    <w:p w14:paraId="41DC5BF2" w14:textId="5C45E908" w:rsidR="00596B01" w:rsidRDefault="00596B01" w:rsidP="00F63BF6">
      <w:pPr>
        <w:pStyle w:val="FootnoteText"/>
        <w:spacing w:line="480" w:lineRule="auto"/>
        <w:jc w:val="both"/>
      </w:pPr>
      <w:r>
        <w:rPr>
          <w:rStyle w:val="FootnoteReference"/>
        </w:rPr>
        <w:footnoteRef/>
      </w:r>
      <w:r>
        <w:t xml:space="preserve"> Op. cit. note 4, 276.</w:t>
      </w:r>
    </w:p>
  </w:footnote>
  <w:footnote w:id="27">
    <w:p w14:paraId="71EDA302" w14:textId="486B098E"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214.</w:t>
      </w:r>
    </w:p>
  </w:footnote>
  <w:footnote w:id="28">
    <w:p w14:paraId="733FD6EB" w14:textId="1DE17CFA" w:rsidR="00596B01" w:rsidRDefault="00596B01" w:rsidP="00F63BF6">
      <w:pPr>
        <w:pStyle w:val="FootnoteText"/>
        <w:spacing w:line="480" w:lineRule="auto"/>
        <w:jc w:val="both"/>
      </w:pPr>
      <w:r>
        <w:rPr>
          <w:rStyle w:val="FootnoteReference"/>
        </w:rPr>
        <w:footnoteRef/>
      </w:r>
      <w:r>
        <w:t xml:space="preserve"> Op. cit. note 3, 431ff.</w:t>
      </w:r>
    </w:p>
  </w:footnote>
  <w:footnote w:id="29">
    <w:p w14:paraId="317C3B81" w14:textId="1F0CE14D"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211.</w:t>
      </w:r>
    </w:p>
  </w:footnote>
  <w:footnote w:id="30">
    <w:p w14:paraId="28EC24C0" w14:textId="3AA4D0AA" w:rsidR="00596B01" w:rsidRPr="003F1225" w:rsidRDefault="00596B01" w:rsidP="00F63BF6">
      <w:pPr>
        <w:pStyle w:val="FootnoteText"/>
        <w:spacing w:line="480" w:lineRule="auto"/>
        <w:jc w:val="both"/>
      </w:pPr>
      <w:r>
        <w:rPr>
          <w:rStyle w:val="FootnoteReference"/>
        </w:rPr>
        <w:footnoteRef/>
      </w:r>
      <w:r>
        <w:t xml:space="preserve"> Elijah </w:t>
      </w:r>
      <w:proofErr w:type="spellStart"/>
      <w:r>
        <w:t>Millgram</w:t>
      </w:r>
      <w:proofErr w:type="spellEnd"/>
      <w:r>
        <w:t xml:space="preserve">, ‘Mill’s Proof of the Principle of Utility’, </w:t>
      </w:r>
      <w:r>
        <w:rPr>
          <w:i/>
          <w:iCs/>
        </w:rPr>
        <w:t>Ethics</w:t>
      </w:r>
      <w:r>
        <w:t xml:space="preserve"> 110 (2000), 282–310, at 297. For a critical response, see Dale E. Miller, ‘On </w:t>
      </w:r>
      <w:proofErr w:type="spellStart"/>
      <w:r>
        <w:t>Millgram</w:t>
      </w:r>
      <w:proofErr w:type="spellEnd"/>
      <w:r>
        <w:t xml:space="preserve"> on Mill’, </w:t>
      </w:r>
      <w:proofErr w:type="spellStart"/>
      <w:r>
        <w:rPr>
          <w:i/>
          <w:iCs/>
        </w:rPr>
        <w:t>Utilitas</w:t>
      </w:r>
      <w:proofErr w:type="spellEnd"/>
      <w:r>
        <w:t xml:space="preserve"> 16 (2004), 96–108, especially 107.</w:t>
      </w:r>
    </w:p>
  </w:footnote>
  <w:footnote w:id="31">
    <w:p w14:paraId="49E24130" w14:textId="2AA69AEB" w:rsidR="00596B01" w:rsidRDefault="00596B01" w:rsidP="00F63BF6">
      <w:pPr>
        <w:pStyle w:val="FootnoteText"/>
        <w:spacing w:line="480" w:lineRule="auto"/>
        <w:jc w:val="both"/>
      </w:pPr>
      <w:r>
        <w:rPr>
          <w:rStyle w:val="FootnoteReference"/>
        </w:rPr>
        <w:footnoteRef/>
      </w:r>
      <w:r>
        <w:t xml:space="preserve"> Op. cit. note 3, 433.</w:t>
      </w:r>
    </w:p>
  </w:footnote>
  <w:footnote w:id="32">
    <w:p w14:paraId="0DA8A8E6" w14:textId="77777777" w:rsidR="007F00CE" w:rsidRPr="0021033B" w:rsidRDefault="007F00CE"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213.</w:t>
      </w:r>
    </w:p>
  </w:footnote>
  <w:footnote w:id="33">
    <w:p w14:paraId="2EAB2926" w14:textId="5B34859D" w:rsidR="00596B01" w:rsidRPr="00102884" w:rsidRDefault="00596B01" w:rsidP="00F63BF6">
      <w:pPr>
        <w:pStyle w:val="FootnoteText"/>
        <w:spacing w:line="480" w:lineRule="auto"/>
        <w:jc w:val="both"/>
      </w:pPr>
      <w:r>
        <w:rPr>
          <w:rStyle w:val="FootnoteReference"/>
        </w:rPr>
        <w:footnoteRef/>
      </w:r>
      <w:r w:rsidRPr="000E5691">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0E5691">
        <w:rPr>
          <w:lang w:val="it-IT"/>
        </w:rPr>
        <w:t xml:space="preserve">, </w:t>
      </w:r>
      <w:r>
        <w:rPr>
          <w:lang w:val="it-IT"/>
        </w:rPr>
        <w:t>212</w:t>
      </w:r>
      <w:r>
        <w:t>.</w:t>
      </w:r>
    </w:p>
  </w:footnote>
  <w:footnote w:id="34">
    <w:p w14:paraId="1CE1B533" w14:textId="7EB1F5E2" w:rsidR="00596B01" w:rsidRDefault="00596B01" w:rsidP="00F63BF6">
      <w:pPr>
        <w:pStyle w:val="FootnoteText"/>
        <w:spacing w:line="480" w:lineRule="auto"/>
        <w:jc w:val="both"/>
      </w:pPr>
      <w:r>
        <w:rPr>
          <w:rStyle w:val="FootnoteReference"/>
        </w:rPr>
        <w:footnoteRef/>
      </w:r>
      <w:r>
        <w:t xml:space="preserve"> Op. cit. note 3, 441.</w:t>
      </w:r>
    </w:p>
  </w:footnote>
  <w:footnote w:id="35">
    <w:p w14:paraId="76E2E003" w14:textId="164329F2" w:rsidR="00596B01" w:rsidRDefault="00596B01" w:rsidP="00F63BF6">
      <w:pPr>
        <w:pStyle w:val="FootnoteText"/>
        <w:spacing w:line="480" w:lineRule="auto"/>
        <w:jc w:val="both"/>
      </w:pPr>
      <w:r>
        <w:rPr>
          <w:rStyle w:val="FootnoteReference"/>
        </w:rPr>
        <w:footnoteRef/>
      </w:r>
      <w:r>
        <w:t xml:space="preserve"> Op. cit. note 3, 431.</w:t>
      </w:r>
    </w:p>
  </w:footnote>
  <w:footnote w:id="36">
    <w:p w14:paraId="3678D2AC" w14:textId="167248BF" w:rsidR="00596B01" w:rsidRPr="00395526" w:rsidRDefault="00596B01" w:rsidP="00F63BF6">
      <w:pPr>
        <w:pStyle w:val="FootnoteText"/>
        <w:spacing w:line="480" w:lineRule="auto"/>
        <w:jc w:val="both"/>
      </w:pPr>
      <w:r>
        <w:rPr>
          <w:rStyle w:val="FootnoteReference"/>
        </w:rPr>
        <w:footnoteRef/>
      </w:r>
      <w:r>
        <w:t xml:space="preserve"> This example comes from Christoph Schmidt-Petri, ‘On an Interpretation of Mill’s Qualitative Utilitarianism’, </w:t>
      </w:r>
      <w:r>
        <w:rPr>
          <w:i/>
          <w:iCs/>
        </w:rPr>
        <w:t>Prolegomena</w:t>
      </w:r>
      <w:r>
        <w:t xml:space="preserve"> 5 (2006), 165–77, at 166.</w:t>
      </w:r>
    </w:p>
  </w:footnote>
  <w:footnote w:id="37">
    <w:p w14:paraId="3064AEAD" w14:textId="1493B921" w:rsidR="00596B01" w:rsidRPr="00395526" w:rsidRDefault="00596B01" w:rsidP="00F63BF6">
      <w:pPr>
        <w:pStyle w:val="FootnoteText"/>
        <w:spacing w:line="480" w:lineRule="auto"/>
        <w:jc w:val="both"/>
      </w:pPr>
      <w:r>
        <w:rPr>
          <w:rStyle w:val="FootnoteReference"/>
        </w:rPr>
        <w:footnoteRef/>
      </w:r>
      <w:r>
        <w:t xml:space="preserve"> This example is used in Christoph Schmidt-Petri, ‘Mill on Quality and Quantity’, </w:t>
      </w:r>
      <w:r>
        <w:rPr>
          <w:i/>
          <w:iCs/>
        </w:rPr>
        <w:t>The Philosophical Quarterly</w:t>
      </w:r>
      <w:r>
        <w:t xml:space="preserve"> 53 (2003), 102–4, and Ben Saunders, ‘J. S. Mill’s Conception of Utility’, op. cit. note 2.</w:t>
      </w:r>
    </w:p>
  </w:footnote>
  <w:footnote w:id="38">
    <w:p w14:paraId="76C8C436" w14:textId="5136BD98" w:rsidR="00596B01" w:rsidRDefault="00596B01" w:rsidP="00F63BF6">
      <w:pPr>
        <w:pStyle w:val="FootnoteText"/>
        <w:spacing w:line="480" w:lineRule="auto"/>
        <w:jc w:val="both"/>
      </w:pPr>
      <w:r>
        <w:rPr>
          <w:rStyle w:val="FootnoteReference"/>
        </w:rPr>
        <w:footnoteRef/>
      </w:r>
      <w:r>
        <w:t xml:space="preserve"> Op. cit. note 4, 274.</w:t>
      </w:r>
    </w:p>
  </w:footnote>
  <w:footnote w:id="39">
    <w:p w14:paraId="6C673FD3" w14:textId="7EC7455E"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211.</w:t>
      </w:r>
    </w:p>
  </w:footnote>
  <w:footnote w:id="40">
    <w:p w14:paraId="6B738244" w14:textId="77777777" w:rsidR="00AD5C70" w:rsidRPr="005576FF" w:rsidRDefault="00AD5C70" w:rsidP="00F63BF6">
      <w:pPr>
        <w:pStyle w:val="FootnoteText"/>
        <w:spacing w:line="480" w:lineRule="auto"/>
        <w:jc w:val="both"/>
      </w:pPr>
      <w:r>
        <w:rPr>
          <w:rStyle w:val="FootnoteReference"/>
        </w:rPr>
        <w:footnoteRef/>
      </w:r>
      <w:r>
        <w:t xml:space="preserve"> Edmund L. </w:t>
      </w:r>
      <w:proofErr w:type="spellStart"/>
      <w:r>
        <w:t>Gettier</w:t>
      </w:r>
      <w:proofErr w:type="spellEnd"/>
      <w:r>
        <w:t>, ‘Is Justified True Belief Knowledge?</w:t>
      </w:r>
      <w:proofErr w:type="gramStart"/>
      <w:r>
        <w:t>’,</w:t>
      </w:r>
      <w:proofErr w:type="gramEnd"/>
      <w:r>
        <w:t xml:space="preserve"> </w:t>
      </w:r>
      <w:r>
        <w:rPr>
          <w:i/>
        </w:rPr>
        <w:t>Analysis</w:t>
      </w:r>
      <w:r>
        <w:t xml:space="preserve"> 23 (1963), 121–3.</w:t>
      </w:r>
    </w:p>
  </w:footnote>
  <w:footnote w:id="41">
    <w:p w14:paraId="5D89E897" w14:textId="2C3018E3" w:rsidR="00596B01" w:rsidRDefault="00596B01" w:rsidP="00F63BF6">
      <w:pPr>
        <w:pStyle w:val="FootnoteText"/>
        <w:spacing w:line="480" w:lineRule="auto"/>
        <w:jc w:val="both"/>
      </w:pPr>
      <w:r>
        <w:rPr>
          <w:rStyle w:val="FootnoteReference"/>
        </w:rPr>
        <w:footnoteRef/>
      </w:r>
      <w:r>
        <w:t xml:space="preserve"> Of course, the committee’s preferences may be affected by institutional incentives. For instance, </w:t>
      </w:r>
      <w:r w:rsidR="00575FD3">
        <w:t xml:space="preserve">as of 2014, </w:t>
      </w:r>
      <w:r>
        <w:t>the UK’s periodic ‘Research Excellence Framework’ (REF), which both allocates gov</w:t>
      </w:r>
      <w:r w:rsidR="00067626">
        <w:t>ernment research funding and feat</w:t>
      </w:r>
      <w:r>
        <w:t>ures in numerous league tables, considers only four outputs from each researcher in each assessment period. For this purpose, someone with four 3* articles and nothing else is preferable to someone with three 3* articles and any number of 2* articles. However, given that 2* work is still ‘</w:t>
      </w:r>
      <w:r w:rsidRPr="00D85413">
        <w:t>recognised internationally in terms of originality, significance and rigour</w:t>
      </w:r>
      <w:r>
        <w:t>’ (</w:t>
      </w:r>
      <w:hyperlink r:id="rId1" w:history="1">
        <w:r w:rsidRPr="00D94184">
          <w:rPr>
            <w:rStyle w:val="Hyperlink"/>
          </w:rPr>
          <w:t>http://www.ref.ac.uk/panels/assessmentcriteriaandleveldefinitions/</w:t>
        </w:r>
      </w:hyperlink>
      <w:r>
        <w:t>), it is not obvious that the former is a better philosopher, even though they score more highly in the REF.</w:t>
      </w:r>
    </w:p>
  </w:footnote>
  <w:footnote w:id="42">
    <w:p w14:paraId="7CFEFFF0" w14:textId="19F517F7"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211.</w:t>
      </w:r>
    </w:p>
  </w:footnote>
  <w:footnote w:id="43">
    <w:p w14:paraId="2AE95694" w14:textId="5CB7CA65"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53F8">
        <w:rPr>
          <w:lang w:val="it-IT"/>
        </w:rPr>
        <w:t xml:space="preserve">, </w:t>
      </w:r>
      <w:r>
        <w:rPr>
          <w:lang w:val="it-IT"/>
        </w:rPr>
        <w:t>211.</w:t>
      </w:r>
    </w:p>
  </w:footnote>
  <w:footnote w:id="44">
    <w:p w14:paraId="19BE2109" w14:textId="4B1858A1" w:rsidR="00596B01" w:rsidRPr="00FB4C5A" w:rsidRDefault="00596B01" w:rsidP="00F63BF6">
      <w:pPr>
        <w:pStyle w:val="FootnoteText"/>
        <w:spacing w:line="480" w:lineRule="auto"/>
        <w:jc w:val="both"/>
      </w:pPr>
      <w:r>
        <w:rPr>
          <w:rStyle w:val="FootnoteReference"/>
        </w:rPr>
        <w:footnoteRef/>
      </w:r>
      <w:r>
        <w:t xml:space="preserve"> Op. cit. note 37, 103.</w:t>
      </w:r>
    </w:p>
  </w:footnote>
  <w:footnote w:id="45">
    <w:p w14:paraId="49F22ABD" w14:textId="4FE6A4C6" w:rsidR="00596B01" w:rsidRPr="002153F8" w:rsidRDefault="00596B01" w:rsidP="00F63BF6">
      <w:pPr>
        <w:pStyle w:val="FootnoteText"/>
        <w:spacing w:line="480" w:lineRule="auto"/>
        <w:jc w:val="both"/>
        <w:rPr>
          <w:lang w:val="it-IT"/>
        </w:rPr>
      </w:pPr>
      <w:r>
        <w:rPr>
          <w:rStyle w:val="FootnoteReference"/>
        </w:rPr>
        <w:footnoteRef/>
      </w:r>
      <w:r w:rsidRPr="002153F8">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53F8">
        <w:rPr>
          <w:lang w:val="it-IT"/>
        </w:rPr>
        <w:t xml:space="preserve">, </w:t>
      </w:r>
      <w:r>
        <w:rPr>
          <w:lang w:val="it-IT"/>
        </w:rPr>
        <w:t>211.</w:t>
      </w:r>
    </w:p>
  </w:footnote>
  <w:footnote w:id="46">
    <w:p w14:paraId="5891BA93" w14:textId="293A8418"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214.</w:t>
      </w:r>
    </w:p>
  </w:footnote>
  <w:footnote w:id="47">
    <w:p w14:paraId="748539E1" w14:textId="6AF4D085" w:rsidR="00596B01" w:rsidRDefault="00596B01" w:rsidP="00F63BF6">
      <w:pPr>
        <w:pStyle w:val="FootnoteText"/>
        <w:spacing w:line="480" w:lineRule="auto"/>
        <w:jc w:val="both"/>
      </w:pPr>
      <w:r>
        <w:rPr>
          <w:rStyle w:val="FootnoteReference"/>
        </w:rPr>
        <w:footnoteRef/>
      </w:r>
      <w:r>
        <w:t xml:space="preserve"> Op. cit. note 4, 270. The example is originally from Anderson, op. cit. note 23, 9.</w:t>
      </w:r>
    </w:p>
  </w:footnote>
  <w:footnote w:id="48">
    <w:p w14:paraId="0C0880CC" w14:textId="7720343C" w:rsidR="00596B01" w:rsidRDefault="00596B01" w:rsidP="00F63BF6">
      <w:pPr>
        <w:pStyle w:val="FootnoteText"/>
        <w:spacing w:line="480" w:lineRule="auto"/>
        <w:jc w:val="both"/>
      </w:pPr>
      <w:r>
        <w:rPr>
          <w:rStyle w:val="FootnoteReference"/>
        </w:rPr>
        <w:footnoteRef/>
      </w:r>
      <w:r>
        <w:t xml:space="preserve"> Op. cit. note 4, 272–3.</w:t>
      </w:r>
    </w:p>
  </w:footnote>
  <w:footnote w:id="49">
    <w:p w14:paraId="227A440F" w14:textId="6AF26138"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215, emphasis added.</w:t>
      </w:r>
    </w:p>
  </w:footnote>
  <w:footnote w:id="50">
    <w:p w14:paraId="7C422115" w14:textId="7F500C8E" w:rsidR="00F63BF6" w:rsidRPr="00F63BF6" w:rsidRDefault="00F63BF6" w:rsidP="00F63BF6">
      <w:pPr>
        <w:pStyle w:val="FootnoteText"/>
        <w:spacing w:line="480" w:lineRule="auto"/>
        <w:jc w:val="both"/>
      </w:pPr>
      <w:r>
        <w:rPr>
          <w:rStyle w:val="FootnoteReference"/>
        </w:rPr>
        <w:footnoteRef/>
      </w:r>
      <w:r>
        <w:t xml:space="preserve"> Although his defence of individual freedom also allows for this; no one should be forced to experience a variety of pleasures, if they choose to devote themselves as wholly as possible to one. Although, for an account of Mill’s harm principle that permits some interference with self-regarding choices, see Ben Saunders, ‘Reformulating Mill’s Harm Principle’, </w:t>
      </w:r>
      <w:proofErr w:type="gramStart"/>
      <w:r>
        <w:rPr>
          <w:i/>
        </w:rPr>
        <w:t>Mind</w:t>
      </w:r>
      <w:proofErr w:type="gramEnd"/>
      <w:r>
        <w:t xml:space="preserve"> (forthcoming).</w:t>
      </w:r>
    </w:p>
  </w:footnote>
  <w:footnote w:id="51">
    <w:p w14:paraId="57783618" w14:textId="7D453CCD" w:rsidR="00596B01" w:rsidRPr="00D717FB" w:rsidRDefault="00596B01" w:rsidP="00F63BF6">
      <w:pPr>
        <w:pStyle w:val="FootnoteText"/>
        <w:spacing w:line="480" w:lineRule="auto"/>
        <w:jc w:val="both"/>
      </w:pPr>
      <w:r>
        <w:rPr>
          <w:rStyle w:val="FootnoteReference"/>
        </w:rPr>
        <w:footnoteRef/>
      </w:r>
      <w:r>
        <w:t xml:space="preserve"> See Anderson, op. cit. note 23, and Ryan Muldoon, ‘Expanding the Justificatory Framework of Mill’s Experiments in Living’, </w:t>
      </w:r>
      <w:proofErr w:type="spellStart"/>
      <w:r>
        <w:rPr>
          <w:i/>
        </w:rPr>
        <w:t>Utilitas</w:t>
      </w:r>
      <w:proofErr w:type="spellEnd"/>
      <w:r>
        <w:t xml:space="preserve"> 27 (2015), 179–94.</w:t>
      </w:r>
    </w:p>
  </w:footnote>
  <w:footnote w:id="52">
    <w:p w14:paraId="45A2F0FF" w14:textId="7CFB135F" w:rsidR="00596B01" w:rsidRPr="007676E7" w:rsidRDefault="00596B01" w:rsidP="00F63BF6">
      <w:pPr>
        <w:pStyle w:val="FootnoteText"/>
        <w:spacing w:line="480" w:lineRule="auto"/>
        <w:jc w:val="both"/>
      </w:pPr>
      <w:r>
        <w:rPr>
          <w:rStyle w:val="FootnoteReference"/>
        </w:rPr>
        <w:footnoteRef/>
      </w:r>
      <w:r>
        <w:t xml:space="preserve"> Cf. op. cit. note 5, 263.</w:t>
      </w:r>
    </w:p>
  </w:footnote>
  <w:footnote w:id="53">
    <w:p w14:paraId="7E208125" w14:textId="66CCF3A3"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211.</w:t>
      </w:r>
    </w:p>
  </w:footnote>
  <w:footnote w:id="54">
    <w:p w14:paraId="40ED5944" w14:textId="570D575F" w:rsidR="00596B01" w:rsidRPr="0021033B" w:rsidRDefault="00596B01" w:rsidP="00F63BF6">
      <w:pPr>
        <w:pStyle w:val="FootnoteText"/>
        <w:spacing w:line="480" w:lineRule="auto"/>
        <w:jc w:val="both"/>
        <w:rPr>
          <w:lang w:val="it-IT"/>
        </w:rPr>
      </w:pPr>
      <w:r>
        <w:rPr>
          <w:rStyle w:val="FootnoteReference"/>
        </w:rPr>
        <w:footnoteRef/>
      </w:r>
      <w:r w:rsidRPr="0021033B">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21033B">
        <w:rPr>
          <w:lang w:val="it-IT"/>
        </w:rPr>
        <w:t>, 211.</w:t>
      </w:r>
    </w:p>
  </w:footnote>
  <w:footnote w:id="55">
    <w:p w14:paraId="1C215C49" w14:textId="696FC466" w:rsidR="00596B01" w:rsidRDefault="00596B01" w:rsidP="00F63BF6">
      <w:pPr>
        <w:pStyle w:val="FootnoteText"/>
        <w:spacing w:line="480" w:lineRule="auto"/>
        <w:jc w:val="both"/>
      </w:pPr>
      <w:r>
        <w:rPr>
          <w:rStyle w:val="FootnoteReference"/>
        </w:rPr>
        <w:footnoteRef/>
      </w:r>
      <w:r>
        <w:t xml:space="preserve"> Op. cit. note 3, 434.</w:t>
      </w:r>
    </w:p>
  </w:footnote>
  <w:footnote w:id="56">
    <w:p w14:paraId="47ECFE6A" w14:textId="2FEFFB6B" w:rsidR="00596B01" w:rsidRDefault="00596B01" w:rsidP="00F63BF6">
      <w:pPr>
        <w:pStyle w:val="FootnoteText"/>
        <w:spacing w:line="480" w:lineRule="auto"/>
        <w:jc w:val="both"/>
      </w:pPr>
      <w:r>
        <w:rPr>
          <w:rStyle w:val="FootnoteReference"/>
        </w:rPr>
        <w:footnoteRef/>
      </w:r>
      <w:r>
        <w:t xml:space="preserve"> Op. cit. note 3, 438.</w:t>
      </w:r>
    </w:p>
  </w:footnote>
  <w:footnote w:id="57">
    <w:p w14:paraId="7DB59F4F" w14:textId="4EEDF2D4" w:rsidR="00596B01" w:rsidRDefault="00596B01" w:rsidP="00F63BF6">
      <w:pPr>
        <w:pStyle w:val="FootnoteText"/>
        <w:spacing w:line="480" w:lineRule="auto"/>
        <w:jc w:val="both"/>
      </w:pPr>
      <w:r>
        <w:rPr>
          <w:rStyle w:val="FootnoteReference"/>
        </w:rPr>
        <w:footnoteRef/>
      </w:r>
      <w:r>
        <w:t xml:space="preserve"> Op. cit. note 3, 442.</w:t>
      </w:r>
    </w:p>
  </w:footnote>
  <w:footnote w:id="58">
    <w:p w14:paraId="0B949F9D" w14:textId="3A1C3E21" w:rsidR="00596B01" w:rsidRPr="00EA5061" w:rsidRDefault="00596B01" w:rsidP="00F63BF6">
      <w:pPr>
        <w:pStyle w:val="FootnoteText"/>
        <w:spacing w:line="480" w:lineRule="auto"/>
        <w:jc w:val="both"/>
      </w:pPr>
      <w:r>
        <w:rPr>
          <w:rStyle w:val="FootnoteReference"/>
        </w:rPr>
        <w:footnoteRef/>
      </w:r>
      <w:r>
        <w:t xml:space="preserve"> E.g. Josephine </w:t>
      </w:r>
      <w:proofErr w:type="spellStart"/>
      <w:r>
        <w:t>Kamm</w:t>
      </w:r>
      <w:proofErr w:type="spellEnd"/>
      <w:r>
        <w:t xml:space="preserve">, </w:t>
      </w:r>
      <w:r>
        <w:rPr>
          <w:i/>
          <w:iCs/>
        </w:rPr>
        <w:t>John Stuart Mill in Love</w:t>
      </w:r>
      <w:r>
        <w:t xml:space="preserve"> (London: Gordon &amp; </w:t>
      </w:r>
      <w:proofErr w:type="spellStart"/>
      <w:r>
        <w:t>Cremonesi</w:t>
      </w:r>
      <w:proofErr w:type="spellEnd"/>
      <w:r>
        <w:t xml:space="preserve">, 1977), pp. 39–43. </w:t>
      </w:r>
      <w:proofErr w:type="spellStart"/>
      <w:r>
        <w:t>Kamm</w:t>
      </w:r>
      <w:proofErr w:type="spellEnd"/>
      <w:r>
        <w:t xml:space="preserve"> claims it is the ‘accepted conclusion’ that Mill and Harriet were ‘not lovers in the full sense of the word’ (39) and that ‘it seems almost certain that they were not’ ‘man and wife in the full sense of the term’ (42). She also suggests that Mill may have been impotent (41). I thank Helen McCabe</w:t>
      </w:r>
      <w:r w:rsidR="00577821">
        <w:t xml:space="preserve">, who disagrees with </w:t>
      </w:r>
      <w:proofErr w:type="spellStart"/>
      <w:r w:rsidR="00577821">
        <w:t>Kamm’s</w:t>
      </w:r>
      <w:proofErr w:type="spellEnd"/>
      <w:r w:rsidR="00577821">
        <w:t xml:space="preserve"> conclusions,</w:t>
      </w:r>
      <w:r>
        <w:t xml:space="preserve"> for comments and suggestions on this point.</w:t>
      </w:r>
    </w:p>
  </w:footnote>
  <w:footnote w:id="59">
    <w:p w14:paraId="4B83AF9E" w14:textId="187032C3"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213.</w:t>
      </w:r>
    </w:p>
  </w:footnote>
  <w:footnote w:id="60">
    <w:p w14:paraId="71FB36F0" w14:textId="06D86208"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211.</w:t>
      </w:r>
    </w:p>
  </w:footnote>
  <w:footnote w:id="61">
    <w:p w14:paraId="34FEA10A" w14:textId="77777777" w:rsidR="00F04BE8" w:rsidRDefault="00F04BE8" w:rsidP="00F63BF6">
      <w:pPr>
        <w:pStyle w:val="FootnoteText"/>
        <w:spacing w:line="480" w:lineRule="auto"/>
        <w:jc w:val="both"/>
      </w:pPr>
      <w:r>
        <w:rPr>
          <w:rStyle w:val="FootnoteReference"/>
        </w:rPr>
        <w:footnoteRef/>
      </w:r>
      <w:r>
        <w:t xml:space="preserve"> It is worth noting that Harriet Taylor regarded sex as manifesting what is highest and best in human nature; see Helen </w:t>
      </w:r>
      <w:r w:rsidRPr="007676E7">
        <w:t>McCabe</w:t>
      </w:r>
      <w:r>
        <w:t xml:space="preserve"> ‘Harriet Taylor Mill’ in C. Macleod and D. E. Miller (eds.) </w:t>
      </w:r>
      <w:r>
        <w:rPr>
          <w:i/>
        </w:rPr>
        <w:t>A Companion to Mill</w:t>
      </w:r>
      <w:r>
        <w:t xml:space="preserve"> (Wiley-Blackwell, 2017), 112-125, at 119.</w:t>
      </w:r>
    </w:p>
  </w:footnote>
  <w:footnote w:id="62">
    <w:p w14:paraId="23DC7AC9" w14:textId="3C714DF3"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211.</w:t>
      </w:r>
    </w:p>
  </w:footnote>
  <w:footnote w:id="63">
    <w:p w14:paraId="02F18183" w14:textId="4D552743" w:rsidR="00596B01" w:rsidRDefault="00596B01" w:rsidP="00F63BF6">
      <w:pPr>
        <w:pStyle w:val="FootnoteText"/>
        <w:spacing w:line="480" w:lineRule="auto"/>
        <w:jc w:val="both"/>
      </w:pPr>
      <w:r>
        <w:rPr>
          <w:rStyle w:val="FootnoteReference"/>
        </w:rPr>
        <w:footnoteRef/>
      </w:r>
      <w:r>
        <w:t xml:space="preserve"> Op. cit. note 4, 272.</w:t>
      </w:r>
    </w:p>
  </w:footnote>
  <w:footnote w:id="64">
    <w:p w14:paraId="2F705EA6" w14:textId="571499A4" w:rsidR="00596B01" w:rsidRDefault="00596B01" w:rsidP="00F63BF6">
      <w:pPr>
        <w:pStyle w:val="FootnoteText"/>
        <w:spacing w:line="480" w:lineRule="auto"/>
        <w:jc w:val="both"/>
      </w:pPr>
      <w:r>
        <w:rPr>
          <w:rStyle w:val="FootnoteReference"/>
        </w:rPr>
        <w:footnoteRef/>
      </w:r>
      <w: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t>, 211–2.</w:t>
      </w:r>
    </w:p>
  </w:footnote>
  <w:footnote w:id="65">
    <w:p w14:paraId="21970810" w14:textId="27505051" w:rsidR="00596B01" w:rsidRDefault="00596B01" w:rsidP="00F63BF6">
      <w:pPr>
        <w:pStyle w:val="FootnoteText"/>
        <w:spacing w:line="480" w:lineRule="auto"/>
        <w:jc w:val="both"/>
      </w:pPr>
      <w:r>
        <w:rPr>
          <w:rStyle w:val="FootnoteReference"/>
        </w:rPr>
        <w:footnoteRef/>
      </w:r>
      <w:r>
        <w:t xml:space="preserve"> Op. cit. note 3, 445–6. </w:t>
      </w:r>
      <w:proofErr w:type="spellStart"/>
      <w:r>
        <w:t>Hauskeller</w:t>
      </w:r>
      <w:proofErr w:type="spellEnd"/>
      <w:r>
        <w:t xml:space="preserve"> appears to treat ‘pleasure’ and ‘happiness’ as interchangeable, but Mill would insist that the fool’s life–even if more pleasant–is not actually happier, only more content (</w:t>
      </w:r>
      <w:r>
        <w:rPr>
          <w:iCs/>
          <w:lang w:val="it-IT"/>
        </w:rPr>
        <w:t>o</w:t>
      </w:r>
      <w:r w:rsidRPr="009D554C">
        <w:rPr>
          <w:iCs/>
          <w:lang w:val="it-IT"/>
        </w:rPr>
        <w:t xml:space="preserve">p. </w:t>
      </w:r>
      <w:r>
        <w:rPr>
          <w:iCs/>
          <w:lang w:val="it-IT"/>
        </w:rPr>
        <w:t>c</w:t>
      </w:r>
      <w:r w:rsidRPr="009D554C">
        <w:rPr>
          <w:iCs/>
          <w:lang w:val="it-IT"/>
        </w:rPr>
        <w:t xml:space="preserve">it. </w:t>
      </w:r>
      <w:r>
        <w:rPr>
          <w:iCs/>
          <w:lang w:val="it-IT"/>
        </w:rPr>
        <w:t>n</w:t>
      </w:r>
      <w:r w:rsidRPr="009D554C">
        <w:rPr>
          <w:iCs/>
          <w:lang w:val="it-IT"/>
        </w:rPr>
        <w:t>ote 6</w:t>
      </w:r>
      <w:r>
        <w:t xml:space="preserve">, 212). The truly happy life is the one we should want for ourselves, which may be the more dignified or nobler one. Cf. John </w:t>
      </w:r>
      <w:proofErr w:type="spellStart"/>
      <w:r>
        <w:t>Finnis’s</w:t>
      </w:r>
      <w:proofErr w:type="spellEnd"/>
      <w:r>
        <w:t xml:space="preserve"> characterization of happiness as signifying a fullness of life, in </w:t>
      </w:r>
      <w:r>
        <w:rPr>
          <w:i/>
        </w:rPr>
        <w:t>Natural Law &amp; Natural Rights</w:t>
      </w:r>
      <w:r>
        <w:t>, 2</w:t>
      </w:r>
      <w:r w:rsidRPr="004430D6">
        <w:rPr>
          <w:vertAlign w:val="superscript"/>
        </w:rPr>
        <w:t>nd</w:t>
      </w:r>
      <w:r>
        <w:t xml:space="preserve"> edition (Oxford: Oxford University Press, 2011), 96.</w:t>
      </w:r>
    </w:p>
  </w:footnote>
  <w:footnote w:id="66">
    <w:p w14:paraId="481040A1" w14:textId="44A22AE6"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211.</w:t>
      </w:r>
    </w:p>
  </w:footnote>
  <w:footnote w:id="67">
    <w:p w14:paraId="4151AF0E" w14:textId="75F1C0FA" w:rsidR="00596B01" w:rsidRPr="00102884" w:rsidRDefault="00596B01" w:rsidP="00F63BF6">
      <w:pPr>
        <w:pStyle w:val="FootnoteText"/>
        <w:spacing w:line="480" w:lineRule="auto"/>
        <w:jc w:val="both"/>
        <w:rPr>
          <w:lang w:val="it-IT"/>
        </w:rPr>
      </w:pPr>
      <w:r>
        <w:rPr>
          <w:rStyle w:val="FootnoteReference"/>
        </w:rPr>
        <w:footnoteRef/>
      </w:r>
      <w:r w:rsidRPr="00102884">
        <w:rPr>
          <w:lang w:val="it-IT"/>
        </w:rPr>
        <w:t xml:space="preserve"> </w:t>
      </w:r>
      <w:r w:rsidRPr="009D554C">
        <w:rPr>
          <w:iCs/>
          <w:lang w:val="it-IT"/>
        </w:rPr>
        <w:t xml:space="preserve">Op. </w:t>
      </w:r>
      <w:r>
        <w:rPr>
          <w:iCs/>
          <w:lang w:val="it-IT"/>
        </w:rPr>
        <w:t>c</w:t>
      </w:r>
      <w:r w:rsidRPr="009D554C">
        <w:rPr>
          <w:iCs/>
          <w:lang w:val="it-IT"/>
        </w:rPr>
        <w:t xml:space="preserve">it. </w:t>
      </w:r>
      <w:r>
        <w:rPr>
          <w:iCs/>
          <w:lang w:val="it-IT"/>
        </w:rPr>
        <w:t>n</w:t>
      </w:r>
      <w:r w:rsidRPr="009D554C">
        <w:rPr>
          <w:iCs/>
          <w:lang w:val="it-IT"/>
        </w:rPr>
        <w:t>ote 6</w:t>
      </w:r>
      <w:r w:rsidRPr="00102884">
        <w:rPr>
          <w:lang w:val="it-IT"/>
        </w:rPr>
        <w:t>, 210.</w:t>
      </w:r>
    </w:p>
  </w:footnote>
  <w:footnote w:id="68">
    <w:p w14:paraId="2E8E395E" w14:textId="522AC5EB" w:rsidR="00596B01" w:rsidRDefault="00596B01" w:rsidP="00F63BF6">
      <w:pPr>
        <w:pStyle w:val="FootnoteText"/>
        <w:spacing w:line="480" w:lineRule="auto"/>
        <w:jc w:val="both"/>
      </w:pPr>
      <w:r>
        <w:rPr>
          <w:rStyle w:val="FootnoteReference"/>
        </w:rPr>
        <w:footnoteRef/>
      </w:r>
      <w:r>
        <w:t xml:space="preserve"> Cf. Roger Crisp, ‘Hedonism Reconsidered’, </w:t>
      </w:r>
      <w:r>
        <w:rPr>
          <w:i/>
        </w:rPr>
        <w:t>Philosophy and Phenomenological Research</w:t>
      </w:r>
      <w:r>
        <w:t xml:space="preserve"> 73 (2006), 619–45, at 622–3.</w:t>
      </w:r>
    </w:p>
  </w:footnote>
  <w:footnote w:id="69">
    <w:p w14:paraId="72DC2D5D" w14:textId="79376FB0" w:rsidR="00910FD3" w:rsidRDefault="00910FD3" w:rsidP="00F63BF6">
      <w:pPr>
        <w:pStyle w:val="FootnoteText"/>
        <w:spacing w:line="480" w:lineRule="auto"/>
        <w:jc w:val="both"/>
      </w:pPr>
      <w:r>
        <w:rPr>
          <w:rStyle w:val="FootnoteReference"/>
        </w:rPr>
        <w:footnoteRef/>
      </w:r>
      <w:r>
        <w:t xml:space="preserve"> I thank Dale Miller and Chris Macleod for stimulating me to revisit these issues, </w:t>
      </w:r>
      <w:r w:rsidR="00407659">
        <w:t>and for</w:t>
      </w:r>
      <w:r w:rsidR="00F63BF6">
        <w:t xml:space="preserve"> their</w:t>
      </w:r>
      <w:r w:rsidR="00407659">
        <w:t xml:space="preserve"> comments on related earlier work, </w:t>
      </w:r>
      <w:r>
        <w:t>Helen McCabe for discussions of Mill’s relationship with Harriet, and Chris Armstrong for helpful prompting.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343447"/>
      <w:docPartObj>
        <w:docPartGallery w:val="Page Numbers (Top of Page)"/>
        <w:docPartUnique/>
      </w:docPartObj>
    </w:sdtPr>
    <w:sdtEndPr>
      <w:rPr>
        <w:noProof/>
      </w:rPr>
    </w:sdtEndPr>
    <w:sdtContent>
      <w:p w14:paraId="4E3BBD46" w14:textId="76D4A73D" w:rsidR="00596B01" w:rsidRDefault="00596B01">
        <w:pPr>
          <w:pStyle w:val="Header"/>
          <w:jc w:val="right"/>
        </w:pPr>
        <w:r>
          <w:fldChar w:fldCharType="begin"/>
        </w:r>
        <w:r>
          <w:instrText xml:space="preserve"> PAGE   \* MERGEFORMAT </w:instrText>
        </w:r>
        <w:r>
          <w:fldChar w:fldCharType="separate"/>
        </w:r>
        <w:r w:rsidR="006F2EE1">
          <w:rPr>
            <w:noProof/>
          </w:rPr>
          <w:t>22</w:t>
        </w:r>
        <w:r>
          <w:rPr>
            <w:noProof/>
          </w:rPr>
          <w:fldChar w:fldCharType="end"/>
        </w:r>
      </w:p>
    </w:sdtContent>
  </w:sdt>
  <w:p w14:paraId="25BAE3C2" w14:textId="77777777" w:rsidR="00596B01" w:rsidRDefault="00596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63"/>
    <w:rsid w:val="0000188E"/>
    <w:rsid w:val="0000750F"/>
    <w:rsid w:val="00010354"/>
    <w:rsid w:val="00010BEC"/>
    <w:rsid w:val="00024913"/>
    <w:rsid w:val="00027A21"/>
    <w:rsid w:val="0003743B"/>
    <w:rsid w:val="00062387"/>
    <w:rsid w:val="00065C63"/>
    <w:rsid w:val="000666EF"/>
    <w:rsid w:val="00067626"/>
    <w:rsid w:val="000711CE"/>
    <w:rsid w:val="000B5FD5"/>
    <w:rsid w:val="000D2DC8"/>
    <w:rsid w:val="000E5691"/>
    <w:rsid w:val="000F2EA5"/>
    <w:rsid w:val="00102884"/>
    <w:rsid w:val="00104B0C"/>
    <w:rsid w:val="00107901"/>
    <w:rsid w:val="001118B2"/>
    <w:rsid w:val="00124D65"/>
    <w:rsid w:val="00126101"/>
    <w:rsid w:val="0012690A"/>
    <w:rsid w:val="00170455"/>
    <w:rsid w:val="00171F52"/>
    <w:rsid w:val="0017392C"/>
    <w:rsid w:val="00182A47"/>
    <w:rsid w:val="00197140"/>
    <w:rsid w:val="001A43C1"/>
    <w:rsid w:val="001B19C9"/>
    <w:rsid w:val="001E04E7"/>
    <w:rsid w:val="001F0614"/>
    <w:rsid w:val="001F13EE"/>
    <w:rsid w:val="001F4EE1"/>
    <w:rsid w:val="00200C29"/>
    <w:rsid w:val="0021033B"/>
    <w:rsid w:val="002153F8"/>
    <w:rsid w:val="00215512"/>
    <w:rsid w:val="00234B9E"/>
    <w:rsid w:val="0025001B"/>
    <w:rsid w:val="0027118E"/>
    <w:rsid w:val="0028241F"/>
    <w:rsid w:val="00292C62"/>
    <w:rsid w:val="00292FBE"/>
    <w:rsid w:val="00295AEB"/>
    <w:rsid w:val="002F13DE"/>
    <w:rsid w:val="002F1AFF"/>
    <w:rsid w:val="00314204"/>
    <w:rsid w:val="003242F5"/>
    <w:rsid w:val="003278C2"/>
    <w:rsid w:val="00364364"/>
    <w:rsid w:val="00366322"/>
    <w:rsid w:val="00395526"/>
    <w:rsid w:val="003B039B"/>
    <w:rsid w:val="003B52FA"/>
    <w:rsid w:val="003D0B24"/>
    <w:rsid w:val="003D6DC9"/>
    <w:rsid w:val="003F1225"/>
    <w:rsid w:val="00401D84"/>
    <w:rsid w:val="0040426F"/>
    <w:rsid w:val="00407659"/>
    <w:rsid w:val="004141DA"/>
    <w:rsid w:val="00425027"/>
    <w:rsid w:val="00427C66"/>
    <w:rsid w:val="004430D6"/>
    <w:rsid w:val="0044664C"/>
    <w:rsid w:val="00447A0F"/>
    <w:rsid w:val="00460032"/>
    <w:rsid w:val="00466514"/>
    <w:rsid w:val="00466570"/>
    <w:rsid w:val="00475AFA"/>
    <w:rsid w:val="004773BE"/>
    <w:rsid w:val="00485A62"/>
    <w:rsid w:val="004968DA"/>
    <w:rsid w:val="004A0657"/>
    <w:rsid w:val="004A79CB"/>
    <w:rsid w:val="004B395E"/>
    <w:rsid w:val="004C088D"/>
    <w:rsid w:val="0050721D"/>
    <w:rsid w:val="00516ED9"/>
    <w:rsid w:val="005335F1"/>
    <w:rsid w:val="005372E9"/>
    <w:rsid w:val="005576FF"/>
    <w:rsid w:val="00575FD3"/>
    <w:rsid w:val="00577821"/>
    <w:rsid w:val="00587258"/>
    <w:rsid w:val="00590463"/>
    <w:rsid w:val="00595A7A"/>
    <w:rsid w:val="00596B01"/>
    <w:rsid w:val="005A4066"/>
    <w:rsid w:val="00607ABB"/>
    <w:rsid w:val="00645229"/>
    <w:rsid w:val="00661DED"/>
    <w:rsid w:val="00662CD5"/>
    <w:rsid w:val="00673E9A"/>
    <w:rsid w:val="00691A8C"/>
    <w:rsid w:val="006B2C44"/>
    <w:rsid w:val="006B63E7"/>
    <w:rsid w:val="006F2EE1"/>
    <w:rsid w:val="0074435F"/>
    <w:rsid w:val="007676E7"/>
    <w:rsid w:val="0077112E"/>
    <w:rsid w:val="007912C1"/>
    <w:rsid w:val="007A243F"/>
    <w:rsid w:val="007B7EA9"/>
    <w:rsid w:val="007C5EC2"/>
    <w:rsid w:val="007D26DD"/>
    <w:rsid w:val="007F00CE"/>
    <w:rsid w:val="008123A2"/>
    <w:rsid w:val="00824AA5"/>
    <w:rsid w:val="0084560D"/>
    <w:rsid w:val="00854DD3"/>
    <w:rsid w:val="00865F5E"/>
    <w:rsid w:val="00882591"/>
    <w:rsid w:val="0089118F"/>
    <w:rsid w:val="008A01B4"/>
    <w:rsid w:val="008A1463"/>
    <w:rsid w:val="008B0280"/>
    <w:rsid w:val="008D7023"/>
    <w:rsid w:val="008E5EFD"/>
    <w:rsid w:val="00902D89"/>
    <w:rsid w:val="00910FD3"/>
    <w:rsid w:val="00921316"/>
    <w:rsid w:val="00921D77"/>
    <w:rsid w:val="00927EDB"/>
    <w:rsid w:val="00955D7B"/>
    <w:rsid w:val="009A118C"/>
    <w:rsid w:val="009A62F2"/>
    <w:rsid w:val="009B0765"/>
    <w:rsid w:val="009D21D9"/>
    <w:rsid w:val="009D554C"/>
    <w:rsid w:val="009E7D38"/>
    <w:rsid w:val="009F00B1"/>
    <w:rsid w:val="009F73EA"/>
    <w:rsid w:val="00A10568"/>
    <w:rsid w:val="00A2654E"/>
    <w:rsid w:val="00A5036F"/>
    <w:rsid w:val="00A64F20"/>
    <w:rsid w:val="00A65C22"/>
    <w:rsid w:val="00A6607D"/>
    <w:rsid w:val="00AD5C70"/>
    <w:rsid w:val="00AF012D"/>
    <w:rsid w:val="00B061D5"/>
    <w:rsid w:val="00B1192F"/>
    <w:rsid w:val="00B377EB"/>
    <w:rsid w:val="00B504A6"/>
    <w:rsid w:val="00B55083"/>
    <w:rsid w:val="00B56202"/>
    <w:rsid w:val="00B62C5A"/>
    <w:rsid w:val="00B708DB"/>
    <w:rsid w:val="00B75050"/>
    <w:rsid w:val="00B906CF"/>
    <w:rsid w:val="00BB41AC"/>
    <w:rsid w:val="00BB79CF"/>
    <w:rsid w:val="00BB7EB6"/>
    <w:rsid w:val="00BD77B4"/>
    <w:rsid w:val="00BE4344"/>
    <w:rsid w:val="00BE7730"/>
    <w:rsid w:val="00C124BB"/>
    <w:rsid w:val="00C164E0"/>
    <w:rsid w:val="00C3142A"/>
    <w:rsid w:val="00C34F48"/>
    <w:rsid w:val="00C46892"/>
    <w:rsid w:val="00C532B4"/>
    <w:rsid w:val="00C65241"/>
    <w:rsid w:val="00C670EF"/>
    <w:rsid w:val="00C761D3"/>
    <w:rsid w:val="00CA1E2A"/>
    <w:rsid w:val="00CC09B5"/>
    <w:rsid w:val="00CD7083"/>
    <w:rsid w:val="00CE59F1"/>
    <w:rsid w:val="00CF3F83"/>
    <w:rsid w:val="00D35973"/>
    <w:rsid w:val="00D55181"/>
    <w:rsid w:val="00D717FB"/>
    <w:rsid w:val="00D85413"/>
    <w:rsid w:val="00D87EF0"/>
    <w:rsid w:val="00DC53DE"/>
    <w:rsid w:val="00DE28E7"/>
    <w:rsid w:val="00DF170F"/>
    <w:rsid w:val="00DF54AA"/>
    <w:rsid w:val="00DF6870"/>
    <w:rsid w:val="00DF6EC1"/>
    <w:rsid w:val="00DF7289"/>
    <w:rsid w:val="00E841C0"/>
    <w:rsid w:val="00E92225"/>
    <w:rsid w:val="00E95F9A"/>
    <w:rsid w:val="00EA5061"/>
    <w:rsid w:val="00EA5CA6"/>
    <w:rsid w:val="00EC0364"/>
    <w:rsid w:val="00ED2383"/>
    <w:rsid w:val="00EE769E"/>
    <w:rsid w:val="00F0252B"/>
    <w:rsid w:val="00F04BE8"/>
    <w:rsid w:val="00F2054C"/>
    <w:rsid w:val="00F41148"/>
    <w:rsid w:val="00F63BF6"/>
    <w:rsid w:val="00F72587"/>
    <w:rsid w:val="00F7631B"/>
    <w:rsid w:val="00F9299A"/>
    <w:rsid w:val="00FA0CED"/>
    <w:rsid w:val="00FA7A3A"/>
    <w:rsid w:val="00FB4C5A"/>
    <w:rsid w:val="00FC278A"/>
    <w:rsid w:val="00FD370D"/>
    <w:rsid w:val="00FF71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CF56"/>
  <w15:chartTrackingRefBased/>
  <w15:docId w15:val="{276AE57F-741C-4A52-85CE-32D1E675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E2A"/>
    <w:rPr>
      <w:color w:val="0000FF"/>
      <w:u w:val="single"/>
    </w:rPr>
  </w:style>
  <w:style w:type="paragraph" w:styleId="FootnoteText">
    <w:name w:val="footnote text"/>
    <w:basedOn w:val="Normal"/>
    <w:link w:val="FootnoteTextChar"/>
    <w:uiPriority w:val="99"/>
    <w:unhideWhenUsed/>
    <w:rsid w:val="00BE4344"/>
    <w:pPr>
      <w:spacing w:after="0" w:line="240" w:lineRule="auto"/>
    </w:pPr>
    <w:rPr>
      <w:sz w:val="20"/>
      <w:szCs w:val="20"/>
    </w:rPr>
  </w:style>
  <w:style w:type="character" w:customStyle="1" w:styleId="FootnoteTextChar">
    <w:name w:val="Footnote Text Char"/>
    <w:basedOn w:val="DefaultParagraphFont"/>
    <w:link w:val="FootnoteText"/>
    <w:uiPriority w:val="99"/>
    <w:rsid w:val="00BE4344"/>
    <w:rPr>
      <w:sz w:val="20"/>
      <w:szCs w:val="20"/>
    </w:rPr>
  </w:style>
  <w:style w:type="character" w:styleId="FootnoteReference">
    <w:name w:val="footnote reference"/>
    <w:basedOn w:val="DefaultParagraphFont"/>
    <w:uiPriority w:val="99"/>
    <w:semiHidden/>
    <w:unhideWhenUsed/>
    <w:rsid w:val="00BE4344"/>
    <w:rPr>
      <w:vertAlign w:val="superscript"/>
    </w:rPr>
  </w:style>
  <w:style w:type="character" w:styleId="CommentReference">
    <w:name w:val="annotation reference"/>
    <w:basedOn w:val="DefaultParagraphFont"/>
    <w:uiPriority w:val="99"/>
    <w:semiHidden/>
    <w:unhideWhenUsed/>
    <w:rsid w:val="002F1AFF"/>
    <w:rPr>
      <w:sz w:val="16"/>
      <w:szCs w:val="16"/>
    </w:rPr>
  </w:style>
  <w:style w:type="paragraph" w:styleId="CommentText">
    <w:name w:val="annotation text"/>
    <w:basedOn w:val="Normal"/>
    <w:link w:val="CommentTextChar"/>
    <w:uiPriority w:val="99"/>
    <w:semiHidden/>
    <w:unhideWhenUsed/>
    <w:rsid w:val="002F1AFF"/>
    <w:pPr>
      <w:spacing w:line="240" w:lineRule="auto"/>
    </w:pPr>
    <w:rPr>
      <w:sz w:val="20"/>
      <w:szCs w:val="20"/>
    </w:rPr>
  </w:style>
  <w:style w:type="character" w:customStyle="1" w:styleId="CommentTextChar">
    <w:name w:val="Comment Text Char"/>
    <w:basedOn w:val="DefaultParagraphFont"/>
    <w:link w:val="CommentText"/>
    <w:uiPriority w:val="99"/>
    <w:semiHidden/>
    <w:rsid w:val="002F1AFF"/>
    <w:rPr>
      <w:sz w:val="20"/>
      <w:szCs w:val="20"/>
    </w:rPr>
  </w:style>
  <w:style w:type="paragraph" w:styleId="CommentSubject">
    <w:name w:val="annotation subject"/>
    <w:basedOn w:val="CommentText"/>
    <w:next w:val="CommentText"/>
    <w:link w:val="CommentSubjectChar"/>
    <w:uiPriority w:val="99"/>
    <w:semiHidden/>
    <w:unhideWhenUsed/>
    <w:rsid w:val="002F1AFF"/>
    <w:rPr>
      <w:b/>
      <w:bCs/>
    </w:rPr>
  </w:style>
  <w:style w:type="character" w:customStyle="1" w:styleId="CommentSubjectChar">
    <w:name w:val="Comment Subject Char"/>
    <w:basedOn w:val="CommentTextChar"/>
    <w:link w:val="CommentSubject"/>
    <w:uiPriority w:val="99"/>
    <w:semiHidden/>
    <w:rsid w:val="002F1AFF"/>
    <w:rPr>
      <w:b/>
      <w:bCs/>
      <w:sz w:val="20"/>
      <w:szCs w:val="20"/>
    </w:rPr>
  </w:style>
  <w:style w:type="paragraph" w:styleId="BalloonText">
    <w:name w:val="Balloon Text"/>
    <w:basedOn w:val="Normal"/>
    <w:link w:val="BalloonTextChar"/>
    <w:uiPriority w:val="99"/>
    <w:semiHidden/>
    <w:unhideWhenUsed/>
    <w:rsid w:val="002F1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FF"/>
    <w:rPr>
      <w:rFonts w:ascii="Segoe UI" w:hAnsi="Segoe UI" w:cs="Segoe UI"/>
      <w:sz w:val="18"/>
      <w:szCs w:val="18"/>
    </w:rPr>
  </w:style>
  <w:style w:type="paragraph" w:styleId="Header">
    <w:name w:val="header"/>
    <w:basedOn w:val="Normal"/>
    <w:link w:val="HeaderChar"/>
    <w:uiPriority w:val="99"/>
    <w:unhideWhenUsed/>
    <w:rsid w:val="00A66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7D"/>
  </w:style>
  <w:style w:type="paragraph" w:styleId="Footer">
    <w:name w:val="footer"/>
    <w:basedOn w:val="Normal"/>
    <w:link w:val="FooterChar"/>
    <w:uiPriority w:val="99"/>
    <w:unhideWhenUsed/>
    <w:rsid w:val="00A66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saunders@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f.ac.uk/panels/assessmentcriteriaandlevel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196B-8FCF-4957-9804-D7E7A5BA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24</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B.M.</dc:creator>
  <cp:keywords/>
  <dc:description/>
  <cp:lastModifiedBy>Anon</cp:lastModifiedBy>
  <cp:revision>9</cp:revision>
  <dcterms:created xsi:type="dcterms:W3CDTF">2016-06-15T13:19:00Z</dcterms:created>
  <dcterms:modified xsi:type="dcterms:W3CDTF">2016-08-10T21:17:00Z</dcterms:modified>
</cp:coreProperties>
</file>