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517" w:rsidRPr="00B2709B" w:rsidRDefault="00AD6373" w:rsidP="005035B3">
      <w:pPr>
        <w:spacing w:line="480" w:lineRule="auto"/>
        <w:jc w:val="center"/>
        <w:rPr>
          <w:sz w:val="22"/>
          <w:szCs w:val="22"/>
          <w:lang w:val="en-GB"/>
        </w:rPr>
      </w:pPr>
      <w:bookmarkStart w:id="0" w:name="_GoBack"/>
      <w:bookmarkEnd w:id="0"/>
      <w:r>
        <w:rPr>
          <w:sz w:val="22"/>
          <w:szCs w:val="22"/>
          <w:lang w:val="en-GB"/>
        </w:rPr>
        <w:t xml:space="preserve">The neighbourhood environment and use of </w:t>
      </w:r>
      <w:r w:rsidR="001E2B94">
        <w:rPr>
          <w:sz w:val="22"/>
          <w:szCs w:val="22"/>
          <w:lang w:val="en-GB"/>
        </w:rPr>
        <w:t xml:space="preserve">neighbourhood </w:t>
      </w:r>
      <w:r>
        <w:rPr>
          <w:sz w:val="22"/>
          <w:szCs w:val="22"/>
          <w:lang w:val="en-GB"/>
        </w:rPr>
        <w:t xml:space="preserve">resources </w:t>
      </w:r>
      <w:r w:rsidR="00F7455E">
        <w:rPr>
          <w:sz w:val="22"/>
          <w:szCs w:val="22"/>
          <w:lang w:val="en-GB"/>
        </w:rPr>
        <w:t>in older adults</w:t>
      </w:r>
      <w:r w:rsidR="00D059EC" w:rsidRPr="00B2709B">
        <w:rPr>
          <w:sz w:val="22"/>
          <w:szCs w:val="22"/>
          <w:lang w:val="en-GB"/>
        </w:rPr>
        <w:t xml:space="preserve"> with and without </w:t>
      </w:r>
      <w:r w:rsidR="007C769D">
        <w:rPr>
          <w:sz w:val="22"/>
          <w:szCs w:val="22"/>
          <w:lang w:val="en-GB"/>
        </w:rPr>
        <w:t xml:space="preserve">lower limb </w:t>
      </w:r>
      <w:r w:rsidR="00D059EC" w:rsidRPr="00B2709B">
        <w:rPr>
          <w:sz w:val="22"/>
          <w:szCs w:val="22"/>
          <w:lang w:val="en-GB"/>
        </w:rPr>
        <w:t>osteoarthritis</w:t>
      </w:r>
      <w:r w:rsidR="003242A5">
        <w:rPr>
          <w:sz w:val="22"/>
          <w:szCs w:val="22"/>
          <w:lang w:val="en-GB"/>
        </w:rPr>
        <w:t>: results from</w:t>
      </w:r>
      <w:r w:rsidR="00D81B53" w:rsidRPr="00B2709B">
        <w:rPr>
          <w:sz w:val="22"/>
          <w:szCs w:val="22"/>
          <w:lang w:val="en-GB"/>
        </w:rPr>
        <w:t xml:space="preserve"> the Hertfordshire Cohort Study</w:t>
      </w:r>
    </w:p>
    <w:p w:rsidR="005C57C3" w:rsidRDefault="005C57C3" w:rsidP="005035B3">
      <w:pPr>
        <w:spacing w:line="480" w:lineRule="auto"/>
        <w:jc w:val="center"/>
        <w:rPr>
          <w:sz w:val="22"/>
          <w:szCs w:val="22"/>
          <w:lang w:val="en-GB"/>
        </w:rPr>
      </w:pPr>
    </w:p>
    <w:p w:rsidR="00901F94" w:rsidRPr="00B2709B" w:rsidRDefault="00901F94" w:rsidP="005035B3">
      <w:pPr>
        <w:spacing w:line="480" w:lineRule="auto"/>
        <w:jc w:val="center"/>
        <w:rPr>
          <w:sz w:val="22"/>
          <w:szCs w:val="22"/>
          <w:vertAlign w:val="superscript"/>
          <w:lang w:val="en-GB"/>
        </w:rPr>
      </w:pPr>
      <w:r w:rsidRPr="00C17334">
        <w:rPr>
          <w:sz w:val="22"/>
          <w:szCs w:val="22"/>
          <w:lang w:val="en-GB"/>
        </w:rPr>
        <w:t>Erik J Timmermans</w:t>
      </w:r>
      <w:r w:rsidRPr="00C17334">
        <w:rPr>
          <w:sz w:val="22"/>
          <w:szCs w:val="22"/>
          <w:vertAlign w:val="superscript"/>
          <w:lang w:val="en-GB"/>
        </w:rPr>
        <w:t>1§</w:t>
      </w:r>
      <w:r w:rsidR="00C17334" w:rsidRPr="00C17334">
        <w:rPr>
          <w:sz w:val="22"/>
          <w:szCs w:val="22"/>
          <w:lang w:val="en-GB"/>
        </w:rPr>
        <w:t xml:space="preserve">, </w:t>
      </w:r>
      <w:r w:rsidRPr="00C17334">
        <w:rPr>
          <w:sz w:val="22"/>
          <w:szCs w:val="22"/>
          <w:lang w:val="en-GB"/>
        </w:rPr>
        <w:t>Suzan van der Pas</w:t>
      </w:r>
      <w:r w:rsidRPr="00C17334">
        <w:rPr>
          <w:sz w:val="22"/>
          <w:szCs w:val="22"/>
          <w:vertAlign w:val="superscript"/>
          <w:lang w:val="en-GB"/>
        </w:rPr>
        <w:t>1</w:t>
      </w:r>
      <w:r w:rsidR="00C17334" w:rsidRPr="00C17334">
        <w:rPr>
          <w:sz w:val="22"/>
          <w:szCs w:val="22"/>
          <w:lang w:val="en-GB"/>
        </w:rPr>
        <w:t xml:space="preserve">, </w:t>
      </w:r>
      <w:r w:rsidRPr="00C17334">
        <w:rPr>
          <w:sz w:val="22"/>
          <w:szCs w:val="22"/>
          <w:lang w:val="en-GB"/>
        </w:rPr>
        <w:t>Cyrus Cooper</w:t>
      </w:r>
      <w:r w:rsidRPr="00C17334">
        <w:rPr>
          <w:sz w:val="22"/>
          <w:szCs w:val="22"/>
          <w:vertAlign w:val="superscript"/>
          <w:lang w:val="en-GB"/>
        </w:rPr>
        <w:t>2,3</w:t>
      </w:r>
      <w:r w:rsidR="00C17334" w:rsidRPr="00C17334">
        <w:rPr>
          <w:sz w:val="22"/>
          <w:szCs w:val="22"/>
          <w:lang w:val="en-GB"/>
        </w:rPr>
        <w:t xml:space="preserve">, </w:t>
      </w:r>
      <w:r w:rsidRPr="00C17334">
        <w:rPr>
          <w:sz w:val="22"/>
          <w:szCs w:val="22"/>
          <w:lang w:val="en-GB"/>
        </w:rPr>
        <w:t>Laura A Schaap</w:t>
      </w:r>
      <w:r w:rsidRPr="00C17334">
        <w:rPr>
          <w:sz w:val="22"/>
          <w:szCs w:val="22"/>
          <w:vertAlign w:val="superscript"/>
          <w:lang w:val="en-GB"/>
        </w:rPr>
        <w:t>4</w:t>
      </w:r>
      <w:r w:rsidR="00C17334" w:rsidRPr="00C17334">
        <w:rPr>
          <w:sz w:val="22"/>
          <w:szCs w:val="22"/>
          <w:lang w:val="en-GB"/>
        </w:rPr>
        <w:t xml:space="preserve">, </w:t>
      </w:r>
      <w:r w:rsidRPr="00007019">
        <w:rPr>
          <w:sz w:val="22"/>
          <w:szCs w:val="22"/>
          <w:lang w:val="en-US"/>
        </w:rPr>
        <w:t xml:space="preserve">Mark </w:t>
      </w:r>
      <w:r>
        <w:rPr>
          <w:sz w:val="22"/>
          <w:szCs w:val="22"/>
          <w:lang w:val="en-US"/>
        </w:rPr>
        <w:t xml:space="preserve">H </w:t>
      </w:r>
      <w:r w:rsidRPr="00007019">
        <w:rPr>
          <w:sz w:val="22"/>
          <w:szCs w:val="22"/>
          <w:lang w:val="en-US"/>
        </w:rPr>
        <w:t>Edwards</w:t>
      </w:r>
      <w:r w:rsidRPr="00007019">
        <w:rPr>
          <w:sz w:val="22"/>
          <w:szCs w:val="22"/>
          <w:vertAlign w:val="superscript"/>
          <w:lang w:val="en-US"/>
        </w:rPr>
        <w:t>2</w:t>
      </w:r>
      <w:r w:rsidR="00C17334" w:rsidRPr="00C17334">
        <w:rPr>
          <w:sz w:val="22"/>
          <w:szCs w:val="22"/>
          <w:lang w:val="en-GB"/>
        </w:rPr>
        <w:t xml:space="preserve">, </w:t>
      </w:r>
      <w:proofErr w:type="spellStart"/>
      <w:r w:rsidRPr="00B2709B">
        <w:rPr>
          <w:sz w:val="22"/>
          <w:szCs w:val="22"/>
          <w:lang w:val="en-GB"/>
        </w:rPr>
        <w:t>Dorly</w:t>
      </w:r>
      <w:proofErr w:type="spellEnd"/>
      <w:r w:rsidRPr="00B2709B">
        <w:rPr>
          <w:sz w:val="22"/>
          <w:szCs w:val="22"/>
          <w:lang w:val="en-GB"/>
        </w:rPr>
        <w:t xml:space="preserve"> JH Deeg</w:t>
      </w:r>
      <w:r w:rsidRPr="00B2709B">
        <w:rPr>
          <w:sz w:val="22"/>
          <w:szCs w:val="22"/>
          <w:vertAlign w:val="superscript"/>
          <w:lang w:val="en-GB"/>
        </w:rPr>
        <w:t>1</w:t>
      </w:r>
      <w:r w:rsidR="00C17334" w:rsidRPr="00C17334">
        <w:rPr>
          <w:sz w:val="22"/>
          <w:szCs w:val="22"/>
          <w:lang w:val="en-GB"/>
        </w:rPr>
        <w:t xml:space="preserve">, </w:t>
      </w:r>
      <w:r>
        <w:rPr>
          <w:sz w:val="22"/>
          <w:szCs w:val="22"/>
          <w:lang w:val="en-GB"/>
        </w:rPr>
        <w:t>Catharine R Gale</w:t>
      </w:r>
      <w:r>
        <w:rPr>
          <w:sz w:val="22"/>
          <w:szCs w:val="22"/>
          <w:vertAlign w:val="superscript"/>
          <w:lang w:val="en-GB"/>
        </w:rPr>
        <w:t>2,5</w:t>
      </w:r>
      <w:r w:rsidR="00C17334">
        <w:rPr>
          <w:sz w:val="22"/>
          <w:szCs w:val="22"/>
          <w:lang w:val="en-GB"/>
        </w:rPr>
        <w:t xml:space="preserve"> and </w:t>
      </w:r>
      <w:r w:rsidRPr="00B2709B">
        <w:rPr>
          <w:sz w:val="22"/>
          <w:szCs w:val="22"/>
          <w:lang w:val="en-GB"/>
        </w:rPr>
        <w:t>Elaine M Dennison</w:t>
      </w:r>
      <w:r w:rsidRPr="00B2709B">
        <w:rPr>
          <w:sz w:val="22"/>
          <w:szCs w:val="22"/>
          <w:vertAlign w:val="superscript"/>
          <w:lang w:val="en-GB"/>
        </w:rPr>
        <w:t>2</w:t>
      </w:r>
      <w:r w:rsidR="007C769D">
        <w:rPr>
          <w:sz w:val="22"/>
          <w:szCs w:val="22"/>
          <w:vertAlign w:val="superscript"/>
          <w:lang w:val="en-GB"/>
        </w:rPr>
        <w:t>,6</w:t>
      </w:r>
    </w:p>
    <w:p w:rsidR="00C17334" w:rsidRDefault="00C17334" w:rsidP="003321A5">
      <w:pPr>
        <w:spacing w:line="480" w:lineRule="auto"/>
        <w:jc w:val="both"/>
        <w:rPr>
          <w:sz w:val="22"/>
          <w:szCs w:val="22"/>
          <w:vertAlign w:val="superscript"/>
          <w:lang w:val="en-GB"/>
        </w:rPr>
      </w:pPr>
    </w:p>
    <w:p w:rsidR="00901F94" w:rsidRPr="00B2709B" w:rsidRDefault="00901F94" w:rsidP="003321A5">
      <w:pPr>
        <w:spacing w:line="480" w:lineRule="auto"/>
        <w:jc w:val="both"/>
        <w:rPr>
          <w:sz w:val="22"/>
          <w:szCs w:val="22"/>
          <w:lang w:val="en-GB"/>
        </w:rPr>
      </w:pPr>
      <w:r w:rsidRPr="00B2709B">
        <w:rPr>
          <w:sz w:val="22"/>
          <w:szCs w:val="22"/>
          <w:vertAlign w:val="superscript"/>
          <w:lang w:val="en-GB"/>
        </w:rPr>
        <w:t>1</w:t>
      </w:r>
      <w:r w:rsidRPr="00B2709B">
        <w:rPr>
          <w:sz w:val="22"/>
          <w:szCs w:val="22"/>
          <w:lang w:val="en-GB"/>
        </w:rPr>
        <w:t xml:space="preserve"> Department of Epidemiology and Biostatistics, EMGO Institute for Health and Care Research, VU </w:t>
      </w:r>
    </w:p>
    <w:p w:rsidR="00901F94" w:rsidRPr="00B2709B" w:rsidRDefault="00883CBB" w:rsidP="003321A5">
      <w:pPr>
        <w:spacing w:line="480" w:lineRule="auto"/>
        <w:jc w:val="both"/>
        <w:rPr>
          <w:sz w:val="22"/>
          <w:szCs w:val="22"/>
          <w:lang w:val="en-GB"/>
        </w:rPr>
      </w:pPr>
      <w:r>
        <w:rPr>
          <w:sz w:val="22"/>
          <w:szCs w:val="22"/>
          <w:lang w:val="en-GB"/>
        </w:rPr>
        <w:t xml:space="preserve">  University Medical Centre</w:t>
      </w:r>
      <w:r w:rsidR="00901F94" w:rsidRPr="00B2709B">
        <w:rPr>
          <w:sz w:val="22"/>
          <w:szCs w:val="22"/>
          <w:lang w:val="en-GB"/>
        </w:rPr>
        <w:t>, Amsterdam, The Netherlands.</w:t>
      </w:r>
    </w:p>
    <w:p w:rsidR="00901F94" w:rsidRPr="00B2709B" w:rsidRDefault="00901F94" w:rsidP="003321A5">
      <w:pPr>
        <w:pStyle w:val="Default"/>
        <w:spacing w:line="480" w:lineRule="auto"/>
        <w:jc w:val="both"/>
        <w:rPr>
          <w:sz w:val="22"/>
          <w:szCs w:val="22"/>
          <w:lang w:val="en-GB"/>
        </w:rPr>
      </w:pPr>
      <w:r w:rsidRPr="00B2709B">
        <w:rPr>
          <w:sz w:val="22"/>
          <w:szCs w:val="22"/>
          <w:vertAlign w:val="superscript"/>
          <w:lang w:val="en-GB"/>
        </w:rPr>
        <w:t xml:space="preserve">2 </w:t>
      </w:r>
      <w:r w:rsidRPr="00B2709B">
        <w:rPr>
          <w:sz w:val="22"/>
          <w:szCs w:val="22"/>
          <w:lang w:val="en-GB"/>
        </w:rPr>
        <w:t xml:space="preserve">MRC Lifecourse Epidemiology Unit, University of Southampton, Southampton General Hospital, </w:t>
      </w:r>
    </w:p>
    <w:p w:rsidR="00901F94" w:rsidRDefault="00901F94" w:rsidP="003321A5">
      <w:pPr>
        <w:pStyle w:val="Default"/>
        <w:spacing w:line="480" w:lineRule="auto"/>
        <w:jc w:val="both"/>
        <w:rPr>
          <w:sz w:val="22"/>
          <w:szCs w:val="22"/>
          <w:lang w:val="en-GB"/>
        </w:rPr>
      </w:pPr>
      <w:r w:rsidRPr="00B2709B">
        <w:rPr>
          <w:sz w:val="22"/>
          <w:szCs w:val="22"/>
          <w:lang w:val="en-GB"/>
        </w:rPr>
        <w:t xml:space="preserve">  Southampton, United Kingdom.</w:t>
      </w:r>
    </w:p>
    <w:p w:rsidR="00901F94" w:rsidRDefault="00901F94" w:rsidP="003321A5">
      <w:pPr>
        <w:pStyle w:val="Default"/>
        <w:spacing w:line="480" w:lineRule="auto"/>
        <w:jc w:val="both"/>
        <w:rPr>
          <w:sz w:val="22"/>
          <w:szCs w:val="22"/>
          <w:lang w:val="en-GB"/>
        </w:rPr>
      </w:pPr>
      <w:r>
        <w:rPr>
          <w:sz w:val="22"/>
          <w:szCs w:val="22"/>
          <w:vertAlign w:val="superscript"/>
          <w:lang w:val="en-GB"/>
        </w:rPr>
        <w:t>3</w:t>
      </w:r>
      <w:r>
        <w:rPr>
          <w:sz w:val="22"/>
          <w:szCs w:val="22"/>
          <w:lang w:val="en-GB"/>
        </w:rPr>
        <w:t xml:space="preserve"> NIHR Musculoskeletal Biomedical Research Unit, Nuffield Department of Orthopaedics, </w:t>
      </w:r>
    </w:p>
    <w:p w:rsidR="00901F94" w:rsidRPr="00B2709B" w:rsidRDefault="00883CBB" w:rsidP="003321A5">
      <w:pPr>
        <w:pStyle w:val="Default"/>
        <w:spacing w:line="480" w:lineRule="auto"/>
        <w:jc w:val="both"/>
        <w:rPr>
          <w:sz w:val="22"/>
          <w:szCs w:val="22"/>
          <w:lang w:val="en-GB"/>
        </w:rPr>
      </w:pPr>
      <w:r>
        <w:rPr>
          <w:sz w:val="22"/>
          <w:szCs w:val="22"/>
          <w:lang w:val="en-GB"/>
        </w:rPr>
        <w:t xml:space="preserve">  Rheumat</w:t>
      </w:r>
      <w:r w:rsidR="00901F94">
        <w:rPr>
          <w:sz w:val="22"/>
          <w:szCs w:val="22"/>
          <w:lang w:val="en-GB"/>
        </w:rPr>
        <w:t xml:space="preserve">ology and Musculoskeletal Sciences, University of Oxford, </w:t>
      </w:r>
      <w:r w:rsidR="00C72C56">
        <w:rPr>
          <w:sz w:val="22"/>
          <w:szCs w:val="22"/>
          <w:lang w:val="en-GB"/>
        </w:rPr>
        <w:t xml:space="preserve">Oxford, </w:t>
      </w:r>
      <w:r w:rsidR="00901F94">
        <w:rPr>
          <w:sz w:val="22"/>
          <w:szCs w:val="22"/>
          <w:lang w:val="en-GB"/>
        </w:rPr>
        <w:t>United Kingdom.</w:t>
      </w:r>
      <w:r w:rsidR="00901F94" w:rsidRPr="00B2709B">
        <w:rPr>
          <w:sz w:val="22"/>
          <w:szCs w:val="22"/>
          <w:lang w:val="en-GB"/>
        </w:rPr>
        <w:t xml:space="preserve"> </w:t>
      </w:r>
    </w:p>
    <w:p w:rsidR="00901F94" w:rsidRPr="007C769D" w:rsidRDefault="00901F94" w:rsidP="003321A5">
      <w:pPr>
        <w:pStyle w:val="Default"/>
        <w:spacing w:line="480" w:lineRule="auto"/>
        <w:jc w:val="both"/>
        <w:rPr>
          <w:sz w:val="22"/>
          <w:szCs w:val="22"/>
          <w:lang w:val="en-GB"/>
        </w:rPr>
      </w:pPr>
      <w:r w:rsidRPr="007C769D">
        <w:rPr>
          <w:sz w:val="22"/>
          <w:szCs w:val="22"/>
          <w:vertAlign w:val="superscript"/>
          <w:lang w:val="en-GB"/>
        </w:rPr>
        <w:t xml:space="preserve">4 </w:t>
      </w:r>
      <w:r w:rsidRPr="007C769D">
        <w:rPr>
          <w:sz w:val="22"/>
          <w:szCs w:val="22"/>
          <w:lang w:val="en-GB"/>
        </w:rPr>
        <w:t xml:space="preserve">Department of Health Sciences, Faculty of Earth and Life Sciences, VU University Amsterdam, </w:t>
      </w:r>
    </w:p>
    <w:p w:rsidR="00901F94" w:rsidRPr="007C769D" w:rsidRDefault="00901F94" w:rsidP="003321A5">
      <w:pPr>
        <w:pStyle w:val="Default"/>
        <w:spacing w:line="480" w:lineRule="auto"/>
        <w:jc w:val="both"/>
        <w:rPr>
          <w:sz w:val="22"/>
          <w:szCs w:val="22"/>
          <w:lang w:val="en-GB"/>
        </w:rPr>
      </w:pPr>
      <w:r w:rsidRPr="007C769D">
        <w:rPr>
          <w:sz w:val="22"/>
          <w:szCs w:val="22"/>
          <w:lang w:val="en-GB"/>
        </w:rPr>
        <w:t xml:space="preserve">  Amsterdam, the Netherlands.</w:t>
      </w:r>
    </w:p>
    <w:p w:rsidR="00901F94" w:rsidRPr="007C769D" w:rsidRDefault="00901F94" w:rsidP="003321A5">
      <w:pPr>
        <w:pStyle w:val="Default"/>
        <w:spacing w:line="480" w:lineRule="auto"/>
        <w:jc w:val="both"/>
        <w:rPr>
          <w:sz w:val="22"/>
          <w:szCs w:val="22"/>
          <w:lang w:val="en-GB"/>
        </w:rPr>
      </w:pPr>
      <w:r w:rsidRPr="007C769D">
        <w:rPr>
          <w:sz w:val="22"/>
          <w:szCs w:val="22"/>
          <w:vertAlign w:val="superscript"/>
          <w:lang w:val="en-GB"/>
        </w:rPr>
        <w:t xml:space="preserve">5 </w:t>
      </w:r>
      <w:r w:rsidR="00883CBB" w:rsidRPr="007C769D">
        <w:rPr>
          <w:sz w:val="22"/>
          <w:szCs w:val="22"/>
          <w:lang w:val="en-GB"/>
        </w:rPr>
        <w:t>Centre</w:t>
      </w:r>
      <w:r w:rsidRPr="007C769D">
        <w:rPr>
          <w:sz w:val="22"/>
          <w:szCs w:val="22"/>
          <w:lang w:val="en-GB"/>
        </w:rPr>
        <w:t xml:space="preserve"> for Cognitive Ageing &amp; Cognitive Epidemiology, Department of Psychology, University of  </w:t>
      </w:r>
    </w:p>
    <w:p w:rsidR="00901F94" w:rsidRPr="007C769D" w:rsidRDefault="00901F94" w:rsidP="003321A5">
      <w:pPr>
        <w:pStyle w:val="Default"/>
        <w:spacing w:line="480" w:lineRule="auto"/>
        <w:jc w:val="both"/>
        <w:rPr>
          <w:sz w:val="22"/>
          <w:szCs w:val="22"/>
          <w:lang w:val="en-GB"/>
        </w:rPr>
      </w:pPr>
      <w:r w:rsidRPr="007C769D">
        <w:rPr>
          <w:sz w:val="22"/>
          <w:szCs w:val="22"/>
          <w:lang w:val="en-GB"/>
        </w:rPr>
        <w:t xml:space="preserve">  Edinburgh, </w:t>
      </w:r>
      <w:r w:rsidR="00C72C56" w:rsidRPr="007C769D">
        <w:rPr>
          <w:sz w:val="22"/>
          <w:szCs w:val="22"/>
          <w:lang w:val="en-GB"/>
        </w:rPr>
        <w:t xml:space="preserve">Edinburgh, </w:t>
      </w:r>
      <w:r w:rsidRPr="007C769D">
        <w:rPr>
          <w:sz w:val="22"/>
          <w:szCs w:val="22"/>
          <w:lang w:val="en-GB"/>
        </w:rPr>
        <w:t>United Kingdom.</w:t>
      </w:r>
    </w:p>
    <w:p w:rsidR="007C769D" w:rsidRPr="007C769D" w:rsidRDefault="007C769D" w:rsidP="007C769D">
      <w:pPr>
        <w:spacing w:line="480" w:lineRule="auto"/>
        <w:jc w:val="both"/>
        <w:rPr>
          <w:sz w:val="22"/>
          <w:szCs w:val="22"/>
          <w:lang w:val="en-GB"/>
        </w:rPr>
      </w:pPr>
      <w:r w:rsidRPr="007C769D">
        <w:rPr>
          <w:sz w:val="22"/>
          <w:szCs w:val="22"/>
          <w:vertAlign w:val="superscript"/>
          <w:lang w:val="en-GB"/>
        </w:rPr>
        <w:t xml:space="preserve">6 </w:t>
      </w:r>
      <w:r w:rsidRPr="007C769D">
        <w:rPr>
          <w:sz w:val="22"/>
          <w:szCs w:val="22"/>
          <w:lang w:val="en-GB"/>
        </w:rPr>
        <w:t>School of Biological Sciences, Victoria University of Wellington, New Zealand.</w:t>
      </w:r>
    </w:p>
    <w:p w:rsidR="007C769D" w:rsidRPr="007C769D" w:rsidRDefault="007C769D" w:rsidP="003321A5">
      <w:pPr>
        <w:pStyle w:val="Default"/>
        <w:spacing w:line="480" w:lineRule="auto"/>
        <w:jc w:val="both"/>
        <w:rPr>
          <w:sz w:val="22"/>
          <w:szCs w:val="22"/>
          <w:lang w:val="en-GB"/>
        </w:rPr>
      </w:pPr>
    </w:p>
    <w:p w:rsidR="00B60762" w:rsidRDefault="00B60762" w:rsidP="00B60762">
      <w:pPr>
        <w:spacing w:line="480" w:lineRule="auto"/>
        <w:rPr>
          <w:sz w:val="22"/>
          <w:szCs w:val="22"/>
          <w:lang w:val="en-GB"/>
        </w:rPr>
      </w:pPr>
      <w:r>
        <w:rPr>
          <w:sz w:val="22"/>
          <w:szCs w:val="22"/>
          <w:vertAlign w:val="superscript"/>
          <w:lang w:val="en-GB"/>
        </w:rPr>
        <w:t>§</w:t>
      </w:r>
      <w:r>
        <w:rPr>
          <w:sz w:val="22"/>
          <w:szCs w:val="22"/>
          <w:lang w:val="en-GB"/>
        </w:rPr>
        <w:t xml:space="preserve"> Corresponding author: Erik J Timmermans, MSc </w:t>
      </w:r>
    </w:p>
    <w:p w:rsidR="00B60762" w:rsidRDefault="00B60762" w:rsidP="00B60762">
      <w:pPr>
        <w:spacing w:line="480" w:lineRule="auto"/>
        <w:rPr>
          <w:sz w:val="22"/>
          <w:szCs w:val="22"/>
          <w:lang w:val="en-GB"/>
        </w:rPr>
      </w:pPr>
      <w:r>
        <w:rPr>
          <w:sz w:val="22"/>
          <w:szCs w:val="22"/>
          <w:lang w:val="en-GB"/>
        </w:rPr>
        <w:t xml:space="preserve">  Department of Epidemiology and Biostatistics, EMGO Institute for Health and Care Research, </w:t>
      </w:r>
    </w:p>
    <w:p w:rsidR="00B60762" w:rsidRPr="009532C3" w:rsidRDefault="00B60762" w:rsidP="00B60762">
      <w:pPr>
        <w:spacing w:line="480" w:lineRule="auto"/>
        <w:rPr>
          <w:sz w:val="22"/>
          <w:szCs w:val="22"/>
          <w:lang w:val="en-GB"/>
        </w:rPr>
      </w:pPr>
      <w:r>
        <w:rPr>
          <w:sz w:val="22"/>
          <w:szCs w:val="22"/>
          <w:lang w:val="en-GB"/>
        </w:rPr>
        <w:t xml:space="preserve">  </w:t>
      </w:r>
      <w:r w:rsidRPr="009532C3">
        <w:rPr>
          <w:sz w:val="22"/>
          <w:szCs w:val="22"/>
          <w:lang w:val="en-GB"/>
        </w:rPr>
        <w:t xml:space="preserve">VU University Medical </w:t>
      </w:r>
      <w:proofErr w:type="spellStart"/>
      <w:r w:rsidRPr="009532C3">
        <w:rPr>
          <w:sz w:val="22"/>
          <w:szCs w:val="22"/>
          <w:lang w:val="en-GB"/>
        </w:rPr>
        <w:t>Center</w:t>
      </w:r>
      <w:proofErr w:type="spellEnd"/>
      <w:r w:rsidRPr="009532C3">
        <w:rPr>
          <w:sz w:val="22"/>
          <w:szCs w:val="22"/>
          <w:lang w:val="en-GB"/>
        </w:rPr>
        <w:t xml:space="preserve">, </w:t>
      </w:r>
      <w:r w:rsidR="007C769D">
        <w:rPr>
          <w:sz w:val="22"/>
          <w:szCs w:val="22"/>
          <w:lang w:val="en-GB"/>
        </w:rPr>
        <w:t xml:space="preserve">De </w:t>
      </w:r>
      <w:proofErr w:type="spellStart"/>
      <w:r w:rsidRPr="009532C3">
        <w:rPr>
          <w:sz w:val="22"/>
          <w:szCs w:val="22"/>
          <w:lang w:val="en-GB"/>
        </w:rPr>
        <w:t>Boelelaan</w:t>
      </w:r>
      <w:proofErr w:type="spellEnd"/>
      <w:r w:rsidRPr="009532C3">
        <w:rPr>
          <w:sz w:val="22"/>
          <w:szCs w:val="22"/>
          <w:lang w:val="en-GB"/>
        </w:rPr>
        <w:t xml:space="preserve"> 1089A, 1081 HV Amsterdam, the Netherlands,   </w:t>
      </w:r>
    </w:p>
    <w:p w:rsidR="00B60762" w:rsidRDefault="00B60762" w:rsidP="00B60762">
      <w:pPr>
        <w:spacing w:line="480" w:lineRule="auto"/>
        <w:rPr>
          <w:sz w:val="22"/>
          <w:szCs w:val="22"/>
          <w:lang w:val="en-GB"/>
        </w:rPr>
      </w:pPr>
      <w:r w:rsidRPr="009532C3">
        <w:rPr>
          <w:sz w:val="22"/>
          <w:szCs w:val="22"/>
          <w:lang w:val="en-GB"/>
        </w:rPr>
        <w:t xml:space="preserve">  </w:t>
      </w:r>
      <w:r w:rsidR="00A15A2B">
        <w:rPr>
          <w:sz w:val="22"/>
          <w:szCs w:val="22"/>
          <w:lang w:val="en-GB"/>
        </w:rPr>
        <w:t xml:space="preserve">Tel. +31 20 </w:t>
      </w:r>
      <w:r w:rsidR="00A15A2B" w:rsidRPr="00C27B56">
        <w:rPr>
          <w:sz w:val="22"/>
          <w:szCs w:val="22"/>
          <w:lang w:val="en-US"/>
        </w:rPr>
        <w:t>4448187</w:t>
      </w:r>
      <w:r>
        <w:rPr>
          <w:sz w:val="22"/>
          <w:szCs w:val="22"/>
          <w:lang w:val="en-GB"/>
        </w:rPr>
        <w:t>, E-mail: ej.timmermans@vumc.nl</w:t>
      </w:r>
    </w:p>
    <w:p w:rsidR="00C17334" w:rsidRPr="00B60762" w:rsidRDefault="00C17334" w:rsidP="00C17334">
      <w:pPr>
        <w:spacing w:line="480" w:lineRule="auto"/>
        <w:jc w:val="both"/>
        <w:rPr>
          <w:b/>
          <w:sz w:val="22"/>
          <w:szCs w:val="22"/>
          <w:lang w:val="en-GB"/>
        </w:rPr>
      </w:pPr>
    </w:p>
    <w:p w:rsidR="00377526" w:rsidRDefault="00377526">
      <w:pPr>
        <w:rPr>
          <w:b/>
          <w:sz w:val="22"/>
          <w:szCs w:val="22"/>
          <w:lang w:val="en-GB"/>
        </w:rPr>
      </w:pPr>
      <w:r>
        <w:rPr>
          <w:b/>
          <w:sz w:val="22"/>
          <w:szCs w:val="22"/>
          <w:lang w:val="en-GB"/>
        </w:rPr>
        <w:br w:type="page"/>
      </w:r>
    </w:p>
    <w:p w:rsidR="00500E5C" w:rsidRPr="00B2709B" w:rsidRDefault="00500E5C" w:rsidP="00500E5C">
      <w:pPr>
        <w:spacing w:line="480" w:lineRule="auto"/>
        <w:jc w:val="both"/>
        <w:rPr>
          <w:b/>
          <w:sz w:val="22"/>
          <w:szCs w:val="22"/>
          <w:lang w:val="en-GB"/>
        </w:rPr>
      </w:pPr>
      <w:r w:rsidRPr="00B2709B">
        <w:rPr>
          <w:b/>
          <w:sz w:val="22"/>
          <w:szCs w:val="22"/>
          <w:lang w:val="en-GB"/>
        </w:rPr>
        <w:lastRenderedPageBreak/>
        <w:t>Acknowledgement</w:t>
      </w:r>
      <w:r>
        <w:rPr>
          <w:b/>
          <w:sz w:val="22"/>
          <w:szCs w:val="22"/>
          <w:lang w:val="en-GB"/>
        </w:rPr>
        <w:t>s</w:t>
      </w:r>
    </w:p>
    <w:p w:rsidR="00500E5C" w:rsidRDefault="00500E5C" w:rsidP="00500E5C">
      <w:pPr>
        <w:autoSpaceDE w:val="0"/>
        <w:autoSpaceDN w:val="0"/>
        <w:adjustRightInd w:val="0"/>
        <w:spacing w:line="480" w:lineRule="auto"/>
        <w:jc w:val="both"/>
        <w:rPr>
          <w:color w:val="000000"/>
          <w:sz w:val="22"/>
          <w:szCs w:val="22"/>
          <w:lang w:val="en-GB"/>
        </w:rPr>
      </w:pPr>
      <w:r w:rsidRPr="00B2709B">
        <w:rPr>
          <w:color w:val="000000"/>
          <w:sz w:val="22"/>
          <w:szCs w:val="22"/>
          <w:lang w:val="en-GB"/>
        </w:rPr>
        <w:t>This work was supported by a personal grant from the EMGO</w:t>
      </w:r>
      <w:r w:rsidRPr="00B2709B">
        <w:rPr>
          <w:color w:val="000000"/>
          <w:sz w:val="22"/>
          <w:szCs w:val="22"/>
          <w:vertAlign w:val="superscript"/>
          <w:lang w:val="en-GB"/>
        </w:rPr>
        <w:t xml:space="preserve"> </w:t>
      </w:r>
      <w:r w:rsidRPr="00B2709B">
        <w:rPr>
          <w:color w:val="000000"/>
          <w:sz w:val="22"/>
          <w:szCs w:val="22"/>
          <w:lang w:val="en-GB"/>
        </w:rPr>
        <w:t xml:space="preserve">Institute for Health and Care Research, </w:t>
      </w:r>
      <w:r>
        <w:rPr>
          <w:color w:val="000000"/>
          <w:sz w:val="22"/>
          <w:szCs w:val="22"/>
          <w:lang w:val="en-GB"/>
        </w:rPr>
        <w:t xml:space="preserve">VU University Medical Centre, </w:t>
      </w:r>
      <w:r w:rsidRPr="00B2709B">
        <w:rPr>
          <w:color w:val="000000"/>
          <w:sz w:val="22"/>
          <w:szCs w:val="22"/>
          <w:lang w:val="en-GB"/>
        </w:rPr>
        <w:t>Amsterdam, the Netherlands to E</w:t>
      </w:r>
      <w:r w:rsidR="00CE16D2">
        <w:rPr>
          <w:color w:val="000000"/>
          <w:sz w:val="22"/>
          <w:szCs w:val="22"/>
          <w:lang w:val="en-GB"/>
        </w:rPr>
        <w:t>.</w:t>
      </w:r>
      <w:r w:rsidRPr="00B2709B">
        <w:rPr>
          <w:color w:val="000000"/>
          <w:sz w:val="22"/>
          <w:szCs w:val="22"/>
          <w:lang w:val="en-GB"/>
        </w:rPr>
        <w:t>J</w:t>
      </w:r>
      <w:r w:rsidR="00CE16D2">
        <w:rPr>
          <w:color w:val="000000"/>
          <w:sz w:val="22"/>
          <w:szCs w:val="22"/>
          <w:lang w:val="en-GB"/>
        </w:rPr>
        <w:t>.</w:t>
      </w:r>
      <w:r w:rsidRPr="00B2709B">
        <w:rPr>
          <w:color w:val="000000"/>
          <w:sz w:val="22"/>
          <w:szCs w:val="22"/>
          <w:lang w:val="en-GB"/>
        </w:rPr>
        <w:t xml:space="preserve"> Timmermans (EMGO</w:t>
      </w:r>
      <w:r>
        <w:rPr>
          <w:color w:val="000000"/>
          <w:sz w:val="22"/>
          <w:szCs w:val="22"/>
          <w:lang w:val="en-GB"/>
        </w:rPr>
        <w:t>+</w:t>
      </w:r>
      <w:r w:rsidRPr="00B2709B">
        <w:rPr>
          <w:color w:val="000000"/>
          <w:sz w:val="22"/>
          <w:szCs w:val="22"/>
          <w:vertAlign w:val="superscript"/>
          <w:lang w:val="en-GB"/>
        </w:rPr>
        <w:t xml:space="preserve"> </w:t>
      </w:r>
      <w:r w:rsidRPr="00B2709B">
        <w:rPr>
          <w:color w:val="000000"/>
          <w:sz w:val="22"/>
          <w:szCs w:val="22"/>
          <w:lang w:val="en-GB"/>
        </w:rPr>
        <w:t>Travel Grant 2014-2015). The Hertfordshire Cohort Study is funded by the Medical Research Council of Great Britain, Arthritis Research UK, the British Heart Foundation and the International Osteoporosis Foundation.</w:t>
      </w:r>
      <w:r>
        <w:rPr>
          <w:color w:val="000000"/>
          <w:sz w:val="22"/>
          <w:szCs w:val="22"/>
          <w:lang w:val="en-GB"/>
        </w:rPr>
        <w:t xml:space="preserve"> </w:t>
      </w:r>
    </w:p>
    <w:p w:rsidR="00500E5C" w:rsidRDefault="00500E5C" w:rsidP="00500E5C">
      <w:pPr>
        <w:autoSpaceDE w:val="0"/>
        <w:autoSpaceDN w:val="0"/>
        <w:adjustRightInd w:val="0"/>
        <w:spacing w:line="480" w:lineRule="auto"/>
        <w:jc w:val="both"/>
        <w:rPr>
          <w:color w:val="000000"/>
          <w:sz w:val="22"/>
          <w:szCs w:val="22"/>
          <w:lang w:val="en-GB"/>
        </w:rPr>
      </w:pPr>
    </w:p>
    <w:p w:rsidR="00500E5C" w:rsidRPr="00B2709B" w:rsidRDefault="00500E5C" w:rsidP="00500E5C">
      <w:pPr>
        <w:autoSpaceDE w:val="0"/>
        <w:autoSpaceDN w:val="0"/>
        <w:adjustRightInd w:val="0"/>
        <w:spacing w:line="480" w:lineRule="auto"/>
        <w:jc w:val="both"/>
        <w:rPr>
          <w:b/>
          <w:sz w:val="22"/>
          <w:szCs w:val="22"/>
          <w:lang w:val="en-GB"/>
        </w:rPr>
      </w:pPr>
      <w:r>
        <w:rPr>
          <w:b/>
          <w:sz w:val="22"/>
          <w:szCs w:val="22"/>
          <w:lang w:val="en-GB"/>
        </w:rPr>
        <w:t>Declaration of interest statement</w:t>
      </w:r>
    </w:p>
    <w:p w:rsidR="00500E5C" w:rsidRPr="00B2709B" w:rsidRDefault="00500E5C" w:rsidP="00500E5C">
      <w:pPr>
        <w:spacing w:line="480" w:lineRule="auto"/>
        <w:jc w:val="both"/>
        <w:rPr>
          <w:sz w:val="22"/>
          <w:szCs w:val="22"/>
          <w:lang w:val="en-GB"/>
        </w:rPr>
      </w:pPr>
      <w:r w:rsidRPr="00B2709B">
        <w:rPr>
          <w:sz w:val="22"/>
          <w:szCs w:val="22"/>
          <w:lang w:val="en-GB"/>
        </w:rPr>
        <w:t xml:space="preserve">The </w:t>
      </w:r>
      <w:r>
        <w:rPr>
          <w:sz w:val="22"/>
          <w:szCs w:val="22"/>
          <w:lang w:val="en-GB"/>
        </w:rPr>
        <w:t>authors report no conflicts of interest.</w:t>
      </w:r>
    </w:p>
    <w:p w:rsidR="00500E5C" w:rsidRDefault="00500E5C">
      <w:pPr>
        <w:rPr>
          <w:b/>
          <w:sz w:val="22"/>
          <w:szCs w:val="22"/>
          <w:lang w:val="en-GB"/>
        </w:rPr>
      </w:pPr>
      <w:r>
        <w:rPr>
          <w:b/>
          <w:sz w:val="22"/>
          <w:szCs w:val="22"/>
          <w:lang w:val="en-GB"/>
        </w:rPr>
        <w:br w:type="page"/>
      </w:r>
    </w:p>
    <w:p w:rsidR="00E662F4" w:rsidRDefault="003E7D44" w:rsidP="003321A5">
      <w:pPr>
        <w:spacing w:line="480" w:lineRule="auto"/>
        <w:jc w:val="both"/>
        <w:rPr>
          <w:b/>
          <w:sz w:val="22"/>
          <w:szCs w:val="22"/>
          <w:lang w:val="en-GB"/>
        </w:rPr>
      </w:pPr>
      <w:r>
        <w:rPr>
          <w:b/>
          <w:sz w:val="22"/>
          <w:szCs w:val="22"/>
          <w:lang w:val="en-GB"/>
        </w:rPr>
        <w:lastRenderedPageBreak/>
        <w:t>Abstract</w:t>
      </w:r>
    </w:p>
    <w:p w:rsidR="00E52739" w:rsidRDefault="00495DD8" w:rsidP="003321A5">
      <w:pPr>
        <w:spacing w:line="480" w:lineRule="auto"/>
        <w:jc w:val="both"/>
        <w:rPr>
          <w:sz w:val="22"/>
          <w:szCs w:val="22"/>
          <w:lang w:val="en-GB"/>
        </w:rPr>
      </w:pPr>
      <w:r>
        <w:rPr>
          <w:b/>
          <w:sz w:val="22"/>
          <w:szCs w:val="22"/>
          <w:lang w:val="en-GB"/>
        </w:rPr>
        <w:t>Introduction</w:t>
      </w:r>
      <w:r w:rsidR="00F8483C">
        <w:rPr>
          <w:b/>
          <w:sz w:val="22"/>
          <w:szCs w:val="22"/>
          <w:lang w:val="en-GB"/>
        </w:rPr>
        <w:t xml:space="preserve">: </w:t>
      </w:r>
      <w:r w:rsidRPr="00495DD8">
        <w:rPr>
          <w:sz w:val="22"/>
          <w:szCs w:val="22"/>
          <w:lang w:val="en-GB"/>
        </w:rPr>
        <w:t>This study aimed t</w:t>
      </w:r>
      <w:r w:rsidR="00DC43F2" w:rsidRPr="00495DD8">
        <w:rPr>
          <w:sz w:val="22"/>
          <w:szCs w:val="22"/>
          <w:lang w:val="en-GB"/>
        </w:rPr>
        <w:t>o examine</w:t>
      </w:r>
      <w:r w:rsidR="00DC43F2">
        <w:rPr>
          <w:sz w:val="22"/>
          <w:szCs w:val="22"/>
          <w:lang w:val="en-GB"/>
        </w:rPr>
        <w:t xml:space="preserve"> </w:t>
      </w:r>
      <w:r w:rsidR="001970C1">
        <w:rPr>
          <w:sz w:val="22"/>
          <w:szCs w:val="22"/>
          <w:lang w:val="en-GB"/>
        </w:rPr>
        <w:t>the associations of perceptions of neighbourhood cohesion and neighbourhood problems and objectively measured neighbourhood deprivation with the use of neighbourhood resources by older adults with and without lower l</w:t>
      </w:r>
      <w:r w:rsidR="00DC43F2">
        <w:rPr>
          <w:sz w:val="22"/>
          <w:szCs w:val="22"/>
          <w:lang w:val="en-GB"/>
        </w:rPr>
        <w:t xml:space="preserve">imb osteoarthritis (LLOA), and to assess </w:t>
      </w:r>
      <w:r w:rsidR="001970C1">
        <w:rPr>
          <w:sz w:val="22"/>
          <w:szCs w:val="22"/>
          <w:lang w:val="en-GB"/>
        </w:rPr>
        <w:t xml:space="preserve">whether these relationships are stronger in </w:t>
      </w:r>
      <w:r w:rsidR="00E52739">
        <w:rPr>
          <w:sz w:val="22"/>
          <w:szCs w:val="22"/>
          <w:lang w:val="en-GB"/>
        </w:rPr>
        <w:t xml:space="preserve">older persons with LLOA than in </w:t>
      </w:r>
      <w:r w:rsidR="001970C1">
        <w:rPr>
          <w:sz w:val="22"/>
          <w:szCs w:val="22"/>
          <w:lang w:val="en-GB"/>
        </w:rPr>
        <w:t>those with</w:t>
      </w:r>
      <w:r w:rsidR="00E52739">
        <w:rPr>
          <w:sz w:val="22"/>
          <w:szCs w:val="22"/>
          <w:lang w:val="en-GB"/>
        </w:rPr>
        <w:t>out the condition</w:t>
      </w:r>
      <w:r w:rsidR="001970C1">
        <w:rPr>
          <w:sz w:val="22"/>
          <w:szCs w:val="22"/>
          <w:lang w:val="en-GB"/>
        </w:rPr>
        <w:t>.</w:t>
      </w:r>
    </w:p>
    <w:p w:rsidR="0064051E" w:rsidRDefault="00EA34AF" w:rsidP="003321A5">
      <w:pPr>
        <w:spacing w:line="480" w:lineRule="auto"/>
        <w:jc w:val="both"/>
        <w:rPr>
          <w:sz w:val="22"/>
          <w:szCs w:val="22"/>
          <w:lang w:val="en-GB"/>
        </w:rPr>
      </w:pPr>
      <w:r>
        <w:rPr>
          <w:b/>
          <w:sz w:val="22"/>
          <w:szCs w:val="22"/>
          <w:lang w:val="en-US"/>
        </w:rPr>
        <w:t xml:space="preserve">Methods: </w:t>
      </w:r>
      <w:r w:rsidR="0027647B">
        <w:rPr>
          <w:sz w:val="22"/>
          <w:szCs w:val="22"/>
          <w:lang w:val="en-US"/>
        </w:rPr>
        <w:t xml:space="preserve">Data from the Hertfordshire Cohort Study were used. </w:t>
      </w:r>
      <w:r w:rsidR="006E5398">
        <w:rPr>
          <w:sz w:val="22"/>
          <w:szCs w:val="22"/>
          <w:lang w:val="en-US"/>
        </w:rPr>
        <w:t>American College of Rheumatology classification criter</w:t>
      </w:r>
      <w:r>
        <w:rPr>
          <w:sz w:val="22"/>
          <w:szCs w:val="22"/>
          <w:lang w:val="en-US"/>
        </w:rPr>
        <w:t>i</w:t>
      </w:r>
      <w:r w:rsidR="006E5398">
        <w:rPr>
          <w:sz w:val="22"/>
          <w:szCs w:val="22"/>
          <w:lang w:val="en-US"/>
        </w:rPr>
        <w:t>a were used</w:t>
      </w:r>
      <w:r w:rsidR="00873E76">
        <w:rPr>
          <w:sz w:val="22"/>
          <w:szCs w:val="22"/>
          <w:lang w:val="en-US"/>
        </w:rPr>
        <w:t xml:space="preserve"> to diagnose </w:t>
      </w:r>
      <w:r w:rsidR="00495DD8">
        <w:rPr>
          <w:sz w:val="22"/>
          <w:szCs w:val="22"/>
          <w:lang w:val="en-US"/>
        </w:rPr>
        <w:t xml:space="preserve">clinical </w:t>
      </w:r>
      <w:r w:rsidR="007C769D">
        <w:rPr>
          <w:sz w:val="22"/>
          <w:szCs w:val="22"/>
          <w:lang w:val="en-US"/>
        </w:rPr>
        <w:t>LL</w:t>
      </w:r>
      <w:r w:rsidR="00873E76">
        <w:rPr>
          <w:sz w:val="22"/>
          <w:szCs w:val="22"/>
          <w:lang w:val="en-US"/>
        </w:rPr>
        <w:t xml:space="preserve">OA </w:t>
      </w:r>
      <w:r w:rsidR="007C769D">
        <w:rPr>
          <w:sz w:val="22"/>
          <w:szCs w:val="22"/>
          <w:lang w:val="en-US"/>
        </w:rPr>
        <w:t>(knee and/or hip osteoarthritis).</w:t>
      </w:r>
      <w:r w:rsidR="00873E76">
        <w:rPr>
          <w:sz w:val="22"/>
          <w:szCs w:val="22"/>
          <w:lang w:val="en-US"/>
        </w:rPr>
        <w:t xml:space="preserve"> </w:t>
      </w:r>
      <w:r w:rsidR="006E5398">
        <w:rPr>
          <w:sz w:val="22"/>
          <w:szCs w:val="22"/>
          <w:lang w:val="en-US"/>
        </w:rPr>
        <w:t xml:space="preserve">Use of </w:t>
      </w:r>
      <w:proofErr w:type="spellStart"/>
      <w:r w:rsidR="006E5398">
        <w:rPr>
          <w:sz w:val="22"/>
          <w:szCs w:val="22"/>
          <w:lang w:val="en-US"/>
        </w:rPr>
        <w:t>neighbourhood</w:t>
      </w:r>
      <w:proofErr w:type="spellEnd"/>
      <w:r w:rsidR="006E5398">
        <w:rPr>
          <w:sz w:val="22"/>
          <w:szCs w:val="22"/>
          <w:lang w:val="en-US"/>
        </w:rPr>
        <w:t xml:space="preserve"> resources</w:t>
      </w:r>
      <w:r w:rsidR="00901F94">
        <w:rPr>
          <w:sz w:val="22"/>
          <w:szCs w:val="22"/>
          <w:lang w:val="en-US"/>
        </w:rPr>
        <w:t xml:space="preserve"> </w:t>
      </w:r>
      <w:r w:rsidR="006E5398">
        <w:rPr>
          <w:sz w:val="22"/>
          <w:szCs w:val="22"/>
          <w:lang w:val="en-US"/>
        </w:rPr>
        <w:t>was assessed using the Home and Community Environment instrument.</w:t>
      </w:r>
      <w:r w:rsidR="00F37DDC">
        <w:rPr>
          <w:sz w:val="22"/>
          <w:szCs w:val="22"/>
          <w:lang w:val="en-US"/>
        </w:rPr>
        <w:t xml:space="preserve"> Participants were asked about their perceptions of </w:t>
      </w:r>
      <w:proofErr w:type="spellStart"/>
      <w:r w:rsidR="00F37DDC">
        <w:rPr>
          <w:sz w:val="22"/>
          <w:szCs w:val="22"/>
          <w:lang w:val="en-US"/>
        </w:rPr>
        <w:t>neighbourhood</w:t>
      </w:r>
      <w:proofErr w:type="spellEnd"/>
      <w:r w:rsidR="00F37DDC">
        <w:rPr>
          <w:sz w:val="22"/>
          <w:szCs w:val="22"/>
          <w:lang w:val="en-US"/>
        </w:rPr>
        <w:t xml:space="preserve"> cohesion and </w:t>
      </w:r>
      <w:proofErr w:type="spellStart"/>
      <w:r w:rsidR="00F37DDC">
        <w:rPr>
          <w:sz w:val="22"/>
          <w:szCs w:val="22"/>
          <w:lang w:val="en-US"/>
        </w:rPr>
        <w:t>neighbourhood</w:t>
      </w:r>
      <w:proofErr w:type="spellEnd"/>
      <w:r w:rsidR="00F37DDC">
        <w:rPr>
          <w:sz w:val="22"/>
          <w:szCs w:val="22"/>
          <w:lang w:val="en-US"/>
        </w:rPr>
        <w:t xml:space="preserve"> problems. </w:t>
      </w:r>
      <w:r w:rsidR="007C31D5">
        <w:rPr>
          <w:sz w:val="22"/>
          <w:szCs w:val="22"/>
          <w:lang w:val="en-US"/>
        </w:rPr>
        <w:t xml:space="preserve">Objective </w:t>
      </w:r>
      <w:proofErr w:type="spellStart"/>
      <w:r w:rsidR="007C31D5">
        <w:rPr>
          <w:sz w:val="22"/>
          <w:szCs w:val="22"/>
          <w:lang w:val="en-US"/>
        </w:rPr>
        <w:t>n</w:t>
      </w:r>
      <w:r w:rsidR="00F37DDC">
        <w:rPr>
          <w:sz w:val="22"/>
          <w:szCs w:val="22"/>
          <w:lang w:val="en-US"/>
        </w:rPr>
        <w:t>eighbourhood</w:t>
      </w:r>
      <w:proofErr w:type="spellEnd"/>
      <w:r w:rsidR="00F37DDC">
        <w:rPr>
          <w:sz w:val="22"/>
          <w:szCs w:val="22"/>
          <w:lang w:val="en-US"/>
        </w:rPr>
        <w:t xml:space="preserve"> deprivation was assessed</w:t>
      </w:r>
      <w:r w:rsidR="005A65D3">
        <w:rPr>
          <w:sz w:val="22"/>
          <w:szCs w:val="22"/>
          <w:lang w:val="en-US"/>
        </w:rPr>
        <w:t xml:space="preserve"> using the Index of Multiple Deprivation score </w:t>
      </w:r>
      <w:r w:rsidR="00883CBB">
        <w:rPr>
          <w:sz w:val="22"/>
          <w:szCs w:val="22"/>
          <w:lang w:val="en-US"/>
        </w:rPr>
        <w:t xml:space="preserve">based on 2010 </w:t>
      </w:r>
      <w:r w:rsidR="005A65D3">
        <w:rPr>
          <w:sz w:val="22"/>
          <w:szCs w:val="22"/>
          <w:lang w:val="en-US"/>
        </w:rPr>
        <w:t xml:space="preserve">census </w:t>
      </w:r>
      <w:r w:rsidR="00883CBB">
        <w:rPr>
          <w:sz w:val="22"/>
          <w:szCs w:val="22"/>
          <w:lang w:val="en-US"/>
        </w:rPr>
        <w:t>data</w:t>
      </w:r>
      <w:r w:rsidR="005A65D3">
        <w:rPr>
          <w:sz w:val="22"/>
          <w:szCs w:val="22"/>
          <w:lang w:val="en-US"/>
        </w:rPr>
        <w:t xml:space="preserve">. </w:t>
      </w:r>
      <w:r w:rsidR="00F37DDC">
        <w:rPr>
          <w:b/>
          <w:sz w:val="22"/>
          <w:szCs w:val="22"/>
          <w:lang w:val="en-GB"/>
        </w:rPr>
        <w:t xml:space="preserve">Results: </w:t>
      </w:r>
      <w:r w:rsidR="00CA5495">
        <w:rPr>
          <w:sz w:val="22"/>
          <w:szCs w:val="22"/>
          <w:lang w:val="en-GB"/>
        </w:rPr>
        <w:t>Of the 40</w:t>
      </w:r>
      <w:r w:rsidR="00876E4E">
        <w:rPr>
          <w:sz w:val="22"/>
          <w:szCs w:val="22"/>
          <w:lang w:val="en-GB"/>
        </w:rPr>
        <w:t>1 participants (71-80 years), 74 (18.5</w:t>
      </w:r>
      <w:r w:rsidR="00CA5495">
        <w:rPr>
          <w:sz w:val="22"/>
          <w:szCs w:val="22"/>
          <w:lang w:val="en-GB"/>
        </w:rPr>
        <w:t>%)</w:t>
      </w:r>
      <w:r w:rsidR="006E6188">
        <w:rPr>
          <w:sz w:val="22"/>
          <w:szCs w:val="22"/>
          <w:lang w:val="en-GB"/>
        </w:rPr>
        <w:t xml:space="preserve"> </w:t>
      </w:r>
      <w:r w:rsidR="00CA5495">
        <w:rPr>
          <w:sz w:val="22"/>
          <w:szCs w:val="22"/>
          <w:lang w:val="en-GB"/>
        </w:rPr>
        <w:t xml:space="preserve">had </w:t>
      </w:r>
      <w:r w:rsidR="00220E15">
        <w:rPr>
          <w:sz w:val="22"/>
          <w:szCs w:val="22"/>
          <w:lang w:val="en-GB"/>
        </w:rPr>
        <w:t>LL</w:t>
      </w:r>
      <w:r w:rsidR="00CA5495">
        <w:rPr>
          <w:sz w:val="22"/>
          <w:szCs w:val="22"/>
          <w:lang w:val="en-GB"/>
        </w:rPr>
        <w:t>OA</w:t>
      </w:r>
      <w:r w:rsidR="00CA5495" w:rsidRPr="00493BD7">
        <w:rPr>
          <w:sz w:val="22"/>
          <w:szCs w:val="22"/>
          <w:lang w:val="en-GB"/>
        </w:rPr>
        <w:t xml:space="preserve">. </w:t>
      </w:r>
      <w:r w:rsidR="006945E3">
        <w:rPr>
          <w:sz w:val="22"/>
          <w:szCs w:val="22"/>
          <w:lang w:val="en-GB"/>
        </w:rPr>
        <w:t>T</w:t>
      </w:r>
      <w:r w:rsidR="0055313D">
        <w:rPr>
          <w:sz w:val="22"/>
          <w:szCs w:val="22"/>
          <w:lang w:val="en-GB"/>
        </w:rPr>
        <w:t>he neighbourhood measures were not significantly associated with use of resources in the full sample.</w:t>
      </w:r>
      <w:r w:rsidR="00F42391">
        <w:rPr>
          <w:sz w:val="22"/>
          <w:szCs w:val="22"/>
          <w:lang w:val="en-GB"/>
        </w:rPr>
        <w:t xml:space="preserve"> </w:t>
      </w:r>
      <w:r w:rsidR="00A90A3C">
        <w:rPr>
          <w:sz w:val="22"/>
          <w:szCs w:val="22"/>
          <w:lang w:val="en-GB"/>
        </w:rPr>
        <w:t xml:space="preserve">A trend for a negative association </w:t>
      </w:r>
      <w:r w:rsidR="00D553F8">
        <w:rPr>
          <w:sz w:val="22"/>
          <w:szCs w:val="22"/>
          <w:lang w:val="en-GB"/>
        </w:rPr>
        <w:t xml:space="preserve">between </w:t>
      </w:r>
      <w:r w:rsidR="00A90A3C">
        <w:rPr>
          <w:sz w:val="22"/>
          <w:szCs w:val="22"/>
          <w:lang w:val="en-GB"/>
        </w:rPr>
        <w:t xml:space="preserve">use of public transport </w:t>
      </w:r>
      <w:r w:rsidR="00D553F8">
        <w:rPr>
          <w:sz w:val="22"/>
          <w:szCs w:val="22"/>
          <w:lang w:val="en-GB"/>
        </w:rPr>
        <w:t xml:space="preserve">and perceived neighbourhood problems </w:t>
      </w:r>
      <w:r w:rsidR="00A90A3C">
        <w:rPr>
          <w:sz w:val="22"/>
          <w:szCs w:val="22"/>
          <w:lang w:val="en-GB"/>
        </w:rPr>
        <w:t>was observed in</w:t>
      </w:r>
      <w:r w:rsidR="00D55D6E">
        <w:rPr>
          <w:sz w:val="22"/>
          <w:szCs w:val="22"/>
          <w:lang w:val="en-GB"/>
        </w:rPr>
        <w:t xml:space="preserve"> participants with LLOA (OR=0.77, 99% CI=0.53-1.1</w:t>
      </w:r>
      <w:r w:rsidR="00B36DA6">
        <w:rPr>
          <w:sz w:val="22"/>
          <w:szCs w:val="22"/>
          <w:lang w:val="en-GB"/>
        </w:rPr>
        <w:t>2)</w:t>
      </w:r>
      <w:r w:rsidR="0064051E">
        <w:rPr>
          <w:sz w:val="22"/>
          <w:szCs w:val="22"/>
          <w:lang w:val="en-GB"/>
        </w:rPr>
        <w:t>, whereas a trend for a positive association between perceived neighbourhood problems and use of public transport was found in participants without LLOA (OR=1.18, 99% CI=1.00-1.39).</w:t>
      </w:r>
    </w:p>
    <w:p w:rsidR="00D553F8" w:rsidRPr="00BF6D8C" w:rsidRDefault="00A2008E" w:rsidP="003321A5">
      <w:pPr>
        <w:spacing w:line="480" w:lineRule="auto"/>
        <w:jc w:val="both"/>
        <w:rPr>
          <w:sz w:val="22"/>
          <w:szCs w:val="22"/>
          <w:lang w:val="en-GB"/>
        </w:rPr>
      </w:pPr>
      <w:r w:rsidRPr="00BF6D8C">
        <w:rPr>
          <w:b/>
          <w:sz w:val="22"/>
          <w:szCs w:val="22"/>
          <w:lang w:val="en-GB"/>
        </w:rPr>
        <w:t>Conclusion</w:t>
      </w:r>
      <w:r w:rsidR="00E5099B" w:rsidRPr="00BF6D8C">
        <w:rPr>
          <w:b/>
          <w:sz w:val="22"/>
          <w:szCs w:val="22"/>
          <w:lang w:val="en-GB"/>
        </w:rPr>
        <w:t xml:space="preserve">: </w:t>
      </w:r>
      <w:r w:rsidR="002C7ACC">
        <w:rPr>
          <w:sz w:val="22"/>
          <w:szCs w:val="22"/>
          <w:lang w:val="en-GB"/>
        </w:rPr>
        <w:t xml:space="preserve">The perception of more neighbourhood problems seems </w:t>
      </w:r>
      <w:r w:rsidR="005B51D5">
        <w:rPr>
          <w:sz w:val="22"/>
          <w:szCs w:val="22"/>
          <w:lang w:val="en-GB"/>
        </w:rPr>
        <w:t xml:space="preserve">only </w:t>
      </w:r>
      <w:r w:rsidR="002C7ACC">
        <w:rPr>
          <w:sz w:val="22"/>
          <w:szCs w:val="22"/>
          <w:lang w:val="en-GB"/>
        </w:rPr>
        <w:t>to hinder older adults with LLOA</w:t>
      </w:r>
      <w:r w:rsidR="00001F2E">
        <w:rPr>
          <w:sz w:val="22"/>
          <w:szCs w:val="22"/>
          <w:lang w:val="en-GB"/>
        </w:rPr>
        <w:t xml:space="preserve"> to make use of public transport. </w:t>
      </w:r>
      <w:r w:rsidR="00C57DAF">
        <w:rPr>
          <w:sz w:val="22"/>
          <w:szCs w:val="22"/>
          <w:lang w:val="en-GB"/>
        </w:rPr>
        <w:t xml:space="preserve">Older adults with LLOA may be less able to deal with neighbourhood problems </w:t>
      </w:r>
      <w:r w:rsidR="00001F2E">
        <w:rPr>
          <w:sz w:val="22"/>
          <w:szCs w:val="22"/>
          <w:lang w:val="en-GB"/>
        </w:rPr>
        <w:t xml:space="preserve">and more challenging environments </w:t>
      </w:r>
      <w:r w:rsidR="00C57DAF">
        <w:rPr>
          <w:sz w:val="22"/>
          <w:szCs w:val="22"/>
          <w:lang w:val="en-GB"/>
        </w:rPr>
        <w:t xml:space="preserve">than those without the condition. </w:t>
      </w:r>
    </w:p>
    <w:p w:rsidR="001166CD" w:rsidRDefault="001166CD" w:rsidP="003321A5">
      <w:pPr>
        <w:spacing w:line="480" w:lineRule="auto"/>
        <w:jc w:val="both"/>
        <w:rPr>
          <w:b/>
          <w:sz w:val="22"/>
          <w:szCs w:val="22"/>
          <w:highlight w:val="yellow"/>
          <w:lang w:val="en-GB"/>
        </w:rPr>
      </w:pPr>
    </w:p>
    <w:p w:rsidR="00581309" w:rsidRDefault="00377526" w:rsidP="00377526">
      <w:pPr>
        <w:spacing w:line="480" w:lineRule="auto"/>
        <w:jc w:val="both"/>
        <w:rPr>
          <w:sz w:val="22"/>
          <w:szCs w:val="22"/>
          <w:lang w:val="en-US"/>
        </w:rPr>
      </w:pPr>
      <w:r>
        <w:rPr>
          <w:b/>
          <w:sz w:val="22"/>
          <w:szCs w:val="22"/>
          <w:lang w:val="en-US"/>
        </w:rPr>
        <w:t>Key words:</w:t>
      </w:r>
      <w:r w:rsidR="00187220">
        <w:rPr>
          <w:sz w:val="22"/>
          <w:szCs w:val="22"/>
          <w:lang w:val="en-US"/>
        </w:rPr>
        <w:t xml:space="preserve"> </w:t>
      </w:r>
      <w:r w:rsidR="00007087">
        <w:rPr>
          <w:sz w:val="22"/>
          <w:szCs w:val="22"/>
          <w:lang w:val="en-US"/>
        </w:rPr>
        <w:t>O</w:t>
      </w:r>
      <w:r w:rsidR="00E9604B">
        <w:rPr>
          <w:sz w:val="22"/>
          <w:szCs w:val="22"/>
          <w:lang w:val="en-US"/>
        </w:rPr>
        <w:t xml:space="preserve">steoarthritis, </w:t>
      </w:r>
      <w:proofErr w:type="spellStart"/>
      <w:r w:rsidR="00581309">
        <w:rPr>
          <w:sz w:val="22"/>
          <w:szCs w:val="22"/>
          <w:lang w:val="en-US"/>
        </w:rPr>
        <w:t>Neighbourhood</w:t>
      </w:r>
      <w:proofErr w:type="spellEnd"/>
      <w:r w:rsidR="00581309">
        <w:rPr>
          <w:sz w:val="22"/>
          <w:szCs w:val="22"/>
          <w:lang w:val="en-US"/>
        </w:rPr>
        <w:t xml:space="preserve"> environment</w:t>
      </w:r>
      <w:r w:rsidR="00187220">
        <w:rPr>
          <w:sz w:val="22"/>
          <w:szCs w:val="22"/>
          <w:lang w:val="en-US"/>
        </w:rPr>
        <w:t xml:space="preserve">, </w:t>
      </w:r>
      <w:r w:rsidR="00DC43F2">
        <w:rPr>
          <w:sz w:val="22"/>
          <w:szCs w:val="22"/>
          <w:lang w:val="en-US"/>
        </w:rPr>
        <w:t>Older population</w:t>
      </w:r>
      <w:r w:rsidR="00007087">
        <w:rPr>
          <w:sz w:val="22"/>
          <w:szCs w:val="22"/>
          <w:lang w:val="en-US"/>
        </w:rPr>
        <w:t>.</w:t>
      </w:r>
    </w:p>
    <w:p w:rsidR="00581309" w:rsidRDefault="00581309" w:rsidP="00377526">
      <w:pPr>
        <w:spacing w:line="480" w:lineRule="auto"/>
        <w:jc w:val="both"/>
        <w:rPr>
          <w:sz w:val="22"/>
          <w:szCs w:val="22"/>
          <w:lang w:val="en-US"/>
        </w:rPr>
      </w:pPr>
    </w:p>
    <w:p w:rsidR="00377526" w:rsidRPr="005329DD" w:rsidRDefault="00581309" w:rsidP="00377526">
      <w:pPr>
        <w:spacing w:line="480" w:lineRule="auto"/>
        <w:jc w:val="both"/>
        <w:rPr>
          <w:sz w:val="22"/>
          <w:szCs w:val="22"/>
          <w:lang w:val="en-US"/>
        </w:rPr>
      </w:pPr>
      <w:r>
        <w:rPr>
          <w:b/>
          <w:sz w:val="22"/>
          <w:szCs w:val="22"/>
          <w:lang w:val="en-US"/>
        </w:rPr>
        <w:t xml:space="preserve">Running head: </w:t>
      </w:r>
      <w:proofErr w:type="spellStart"/>
      <w:r>
        <w:rPr>
          <w:sz w:val="22"/>
          <w:szCs w:val="22"/>
          <w:lang w:val="en-US"/>
        </w:rPr>
        <w:t>Neighbourhood</w:t>
      </w:r>
      <w:proofErr w:type="spellEnd"/>
      <w:r>
        <w:rPr>
          <w:sz w:val="22"/>
          <w:szCs w:val="22"/>
          <w:lang w:val="en-US"/>
        </w:rPr>
        <w:t xml:space="preserve"> environment and osteoarthritis</w:t>
      </w:r>
      <w:r w:rsidR="00007087">
        <w:rPr>
          <w:sz w:val="22"/>
          <w:szCs w:val="22"/>
          <w:lang w:val="en-US"/>
        </w:rPr>
        <w:t xml:space="preserve"> </w:t>
      </w:r>
    </w:p>
    <w:p w:rsidR="00963889" w:rsidRDefault="00963889">
      <w:pPr>
        <w:rPr>
          <w:b/>
          <w:sz w:val="22"/>
          <w:szCs w:val="22"/>
          <w:lang w:val="en-GB"/>
        </w:rPr>
      </w:pPr>
      <w:r>
        <w:rPr>
          <w:b/>
          <w:sz w:val="22"/>
          <w:szCs w:val="22"/>
          <w:lang w:val="en-GB"/>
        </w:rPr>
        <w:br w:type="page"/>
      </w:r>
    </w:p>
    <w:p w:rsidR="00A2008E" w:rsidRPr="00FF4848" w:rsidRDefault="00FF4848" w:rsidP="00FF4848">
      <w:pPr>
        <w:spacing w:line="480" w:lineRule="auto"/>
        <w:rPr>
          <w:b/>
          <w:sz w:val="22"/>
          <w:szCs w:val="22"/>
          <w:lang w:val="en-GB"/>
        </w:rPr>
      </w:pPr>
      <w:r>
        <w:rPr>
          <w:b/>
          <w:sz w:val="22"/>
          <w:szCs w:val="22"/>
          <w:lang w:val="en-GB"/>
        </w:rPr>
        <w:lastRenderedPageBreak/>
        <w:t>Introduction</w:t>
      </w:r>
    </w:p>
    <w:p w:rsidR="00535D67" w:rsidRDefault="00535D67" w:rsidP="00535D67">
      <w:pPr>
        <w:autoSpaceDE w:val="0"/>
        <w:autoSpaceDN w:val="0"/>
        <w:adjustRightInd w:val="0"/>
        <w:spacing w:line="480" w:lineRule="auto"/>
        <w:jc w:val="both"/>
        <w:rPr>
          <w:sz w:val="22"/>
          <w:szCs w:val="22"/>
          <w:lang w:val="en-GB"/>
        </w:rPr>
      </w:pPr>
      <w:r w:rsidRPr="00597093">
        <w:rPr>
          <w:sz w:val="22"/>
          <w:szCs w:val="22"/>
          <w:lang w:val="en-GB"/>
        </w:rPr>
        <w:t xml:space="preserve">An optimal neighbourhood environment is considered to </w:t>
      </w:r>
      <w:r>
        <w:rPr>
          <w:sz w:val="22"/>
          <w:szCs w:val="22"/>
          <w:lang w:val="en-GB"/>
        </w:rPr>
        <w:t xml:space="preserve">facilitate </w:t>
      </w:r>
      <w:r w:rsidRPr="00597093">
        <w:rPr>
          <w:sz w:val="22"/>
          <w:szCs w:val="22"/>
          <w:lang w:val="en-GB"/>
        </w:rPr>
        <w:t>activity and participation and to contribute to quality of life in old age</w:t>
      </w:r>
      <w:r w:rsidR="00BE10A8">
        <w:rPr>
          <w:sz w:val="22"/>
          <w:szCs w:val="22"/>
          <w:lang w:val="en-GB"/>
        </w:rPr>
        <w:t xml:space="preserve"> </w:t>
      </w:r>
      <w:r>
        <w:rPr>
          <w:sz w:val="22"/>
          <w:szCs w:val="22"/>
          <w:lang w:val="en-GB"/>
        </w:rPr>
        <w:t>[1-3]</w:t>
      </w:r>
      <w:r w:rsidR="00BE10A8">
        <w:rPr>
          <w:sz w:val="22"/>
          <w:szCs w:val="22"/>
          <w:lang w:val="en-GB"/>
        </w:rPr>
        <w:t>.</w:t>
      </w:r>
      <w:r w:rsidRPr="00597093">
        <w:rPr>
          <w:sz w:val="22"/>
          <w:szCs w:val="22"/>
          <w:lang w:val="en-GB"/>
        </w:rPr>
        <w:t xml:space="preserve"> </w:t>
      </w:r>
      <w:r>
        <w:rPr>
          <w:sz w:val="22"/>
          <w:szCs w:val="22"/>
          <w:lang w:val="en-GB"/>
        </w:rPr>
        <w:t xml:space="preserve">Previous research </w:t>
      </w:r>
      <w:r w:rsidR="0074227D">
        <w:rPr>
          <w:sz w:val="22"/>
          <w:szCs w:val="22"/>
          <w:lang w:val="en-GB"/>
        </w:rPr>
        <w:t xml:space="preserve">has shown </w:t>
      </w:r>
      <w:r>
        <w:rPr>
          <w:sz w:val="22"/>
          <w:szCs w:val="22"/>
          <w:lang w:val="en-GB"/>
        </w:rPr>
        <w:t>that several attributes of the neighbourhood environment are related to the use</w:t>
      </w:r>
      <w:r w:rsidR="008E2EBD">
        <w:rPr>
          <w:sz w:val="22"/>
          <w:szCs w:val="22"/>
          <w:lang w:val="en-GB"/>
        </w:rPr>
        <w:t xml:space="preserve"> of neighbourhood resources</w:t>
      </w:r>
      <w:r w:rsidR="00BE10A8">
        <w:rPr>
          <w:sz w:val="22"/>
          <w:szCs w:val="22"/>
          <w:lang w:val="en-GB"/>
        </w:rPr>
        <w:t xml:space="preserve"> </w:t>
      </w:r>
      <w:r w:rsidR="008E2EBD">
        <w:rPr>
          <w:sz w:val="22"/>
          <w:szCs w:val="22"/>
          <w:lang w:val="en-GB"/>
        </w:rPr>
        <w:t>[4-</w:t>
      </w:r>
      <w:r w:rsidR="005E4662">
        <w:rPr>
          <w:sz w:val="22"/>
          <w:szCs w:val="22"/>
          <w:lang w:val="en-GB"/>
        </w:rPr>
        <w:t>13</w:t>
      </w:r>
      <w:r>
        <w:rPr>
          <w:sz w:val="22"/>
          <w:szCs w:val="22"/>
          <w:lang w:val="en-GB"/>
        </w:rPr>
        <w:t>]</w:t>
      </w:r>
      <w:r w:rsidR="00BE10A8">
        <w:rPr>
          <w:sz w:val="22"/>
          <w:szCs w:val="22"/>
          <w:lang w:val="en-GB"/>
        </w:rPr>
        <w:t>.</w:t>
      </w:r>
      <w:r>
        <w:rPr>
          <w:sz w:val="22"/>
          <w:szCs w:val="22"/>
          <w:lang w:val="en-GB"/>
        </w:rPr>
        <w:t xml:space="preserve"> </w:t>
      </w:r>
      <w:r w:rsidRPr="00597093">
        <w:rPr>
          <w:sz w:val="22"/>
          <w:szCs w:val="22"/>
          <w:lang w:val="en-GB"/>
        </w:rPr>
        <w:t xml:space="preserve">The influence of </w:t>
      </w:r>
      <w:r>
        <w:rPr>
          <w:sz w:val="22"/>
          <w:szCs w:val="22"/>
          <w:lang w:val="en-GB"/>
        </w:rPr>
        <w:t xml:space="preserve">the neighbourhood environment </w:t>
      </w:r>
      <w:r w:rsidRPr="00597093">
        <w:rPr>
          <w:sz w:val="22"/>
          <w:szCs w:val="22"/>
          <w:lang w:val="en-GB"/>
        </w:rPr>
        <w:t xml:space="preserve">on the use of </w:t>
      </w:r>
      <w:r>
        <w:rPr>
          <w:sz w:val="22"/>
          <w:szCs w:val="22"/>
          <w:lang w:val="en-GB"/>
        </w:rPr>
        <w:t xml:space="preserve">neighbourhood resources </w:t>
      </w:r>
      <w:r w:rsidR="00271BEB">
        <w:rPr>
          <w:sz w:val="22"/>
          <w:szCs w:val="22"/>
          <w:lang w:val="en-GB"/>
        </w:rPr>
        <w:t>may be stronger in older adults</w:t>
      </w:r>
      <w:r w:rsidRPr="00597093">
        <w:rPr>
          <w:sz w:val="22"/>
          <w:szCs w:val="22"/>
          <w:lang w:val="en-GB"/>
        </w:rPr>
        <w:t xml:space="preserve"> with disabilities compared to those without disabilities</w:t>
      </w:r>
      <w:r w:rsidR="00BE10A8">
        <w:rPr>
          <w:sz w:val="22"/>
          <w:szCs w:val="22"/>
          <w:lang w:val="en-GB"/>
        </w:rPr>
        <w:t xml:space="preserve"> </w:t>
      </w:r>
      <w:r w:rsidRPr="00597093">
        <w:rPr>
          <w:sz w:val="22"/>
          <w:szCs w:val="22"/>
          <w:lang w:val="en-GB"/>
        </w:rPr>
        <w:t>[1,1</w:t>
      </w:r>
      <w:r w:rsidR="005E4662">
        <w:rPr>
          <w:sz w:val="22"/>
          <w:szCs w:val="22"/>
          <w:lang w:val="en-GB"/>
        </w:rPr>
        <w:t>4</w:t>
      </w:r>
      <w:r w:rsidR="00273BE5">
        <w:rPr>
          <w:sz w:val="22"/>
          <w:szCs w:val="22"/>
          <w:lang w:val="en-GB"/>
        </w:rPr>
        <w:t>]</w:t>
      </w:r>
      <w:r w:rsidR="00BE10A8">
        <w:rPr>
          <w:sz w:val="22"/>
          <w:szCs w:val="22"/>
          <w:lang w:val="en-GB"/>
        </w:rPr>
        <w:t>.</w:t>
      </w:r>
      <w:r>
        <w:rPr>
          <w:sz w:val="22"/>
          <w:szCs w:val="22"/>
          <w:lang w:val="en-GB"/>
        </w:rPr>
        <w:t xml:space="preserve"> </w:t>
      </w:r>
      <w:r w:rsidR="009C6B0F">
        <w:rPr>
          <w:sz w:val="22"/>
          <w:szCs w:val="22"/>
          <w:lang w:val="en-GB"/>
        </w:rPr>
        <w:t>Osteoarthritis (OA) of the lower limbs (knees and/or hips) is associated with si</w:t>
      </w:r>
      <w:r w:rsidR="008E2EBD">
        <w:rPr>
          <w:sz w:val="22"/>
          <w:szCs w:val="22"/>
          <w:lang w:val="en-GB"/>
        </w:rPr>
        <w:t xml:space="preserve">gnificant pain and disability in older </w:t>
      </w:r>
      <w:r w:rsidR="00273BE5">
        <w:rPr>
          <w:sz w:val="22"/>
          <w:szCs w:val="22"/>
          <w:lang w:val="en-GB"/>
        </w:rPr>
        <w:t>persons</w:t>
      </w:r>
      <w:r w:rsidR="00BE10A8">
        <w:rPr>
          <w:sz w:val="22"/>
          <w:szCs w:val="22"/>
          <w:lang w:val="en-GB"/>
        </w:rPr>
        <w:t xml:space="preserve"> </w:t>
      </w:r>
      <w:r w:rsidR="007F0788">
        <w:rPr>
          <w:sz w:val="22"/>
          <w:szCs w:val="22"/>
          <w:lang w:val="en-GB"/>
        </w:rPr>
        <w:t>[1</w:t>
      </w:r>
      <w:r w:rsidR="005E4662">
        <w:rPr>
          <w:sz w:val="22"/>
          <w:szCs w:val="22"/>
          <w:lang w:val="en-GB"/>
        </w:rPr>
        <w:t>5</w:t>
      </w:r>
      <w:r w:rsidR="00271BEB">
        <w:rPr>
          <w:sz w:val="22"/>
          <w:szCs w:val="22"/>
          <w:lang w:val="en-GB"/>
        </w:rPr>
        <w:t>,</w:t>
      </w:r>
      <w:r w:rsidR="005E4662">
        <w:rPr>
          <w:sz w:val="22"/>
          <w:szCs w:val="22"/>
          <w:lang w:val="en-GB"/>
        </w:rPr>
        <w:t>16</w:t>
      </w:r>
      <w:r w:rsidR="00273BE5">
        <w:rPr>
          <w:sz w:val="22"/>
          <w:szCs w:val="22"/>
          <w:lang w:val="en-GB"/>
        </w:rPr>
        <w:t>]</w:t>
      </w:r>
      <w:r w:rsidR="00BE10A8">
        <w:rPr>
          <w:sz w:val="22"/>
          <w:szCs w:val="22"/>
          <w:lang w:val="en-GB"/>
        </w:rPr>
        <w:t>.</w:t>
      </w:r>
      <w:r w:rsidR="008E2EBD">
        <w:rPr>
          <w:sz w:val="22"/>
          <w:szCs w:val="22"/>
          <w:lang w:val="en-GB"/>
        </w:rPr>
        <w:t xml:space="preserve"> </w:t>
      </w:r>
      <w:r>
        <w:rPr>
          <w:sz w:val="22"/>
          <w:szCs w:val="22"/>
          <w:lang w:val="en-GB"/>
        </w:rPr>
        <w:t xml:space="preserve">This </w:t>
      </w:r>
      <w:r w:rsidRPr="00597093">
        <w:rPr>
          <w:sz w:val="22"/>
          <w:szCs w:val="22"/>
          <w:lang w:val="en-GB"/>
        </w:rPr>
        <w:t xml:space="preserve">study aims to examine the associations </w:t>
      </w:r>
      <w:r w:rsidR="00592ABA">
        <w:rPr>
          <w:sz w:val="22"/>
          <w:szCs w:val="22"/>
          <w:lang w:val="en-GB"/>
        </w:rPr>
        <w:t xml:space="preserve">between the use of neighbourhood resources and perceived and objective neighbourhood characteristics </w:t>
      </w:r>
      <w:r>
        <w:rPr>
          <w:sz w:val="22"/>
          <w:szCs w:val="22"/>
          <w:lang w:val="en-GB"/>
        </w:rPr>
        <w:t xml:space="preserve">in older people with and without </w:t>
      </w:r>
      <w:r w:rsidR="00ED21CE">
        <w:rPr>
          <w:sz w:val="22"/>
          <w:szCs w:val="22"/>
          <w:lang w:val="en-GB"/>
        </w:rPr>
        <w:t>lower limb osteoarthritis (LLOA)</w:t>
      </w:r>
      <w:r w:rsidR="00B949DB">
        <w:rPr>
          <w:sz w:val="22"/>
          <w:szCs w:val="22"/>
          <w:lang w:val="en-GB"/>
        </w:rPr>
        <w:t>,</w:t>
      </w:r>
      <w:r>
        <w:rPr>
          <w:sz w:val="22"/>
          <w:szCs w:val="22"/>
          <w:lang w:val="en-GB"/>
        </w:rPr>
        <w:t xml:space="preserve"> and assesses whether these relationships </w:t>
      </w:r>
      <w:r w:rsidR="006945E3">
        <w:rPr>
          <w:sz w:val="22"/>
          <w:szCs w:val="22"/>
          <w:lang w:val="en-GB"/>
        </w:rPr>
        <w:t>are stronger in those with the condition.</w:t>
      </w:r>
    </w:p>
    <w:p w:rsidR="00535D67" w:rsidRPr="00DD3967" w:rsidRDefault="009D6DDC" w:rsidP="00535D67">
      <w:pPr>
        <w:spacing w:line="480" w:lineRule="auto"/>
        <w:ind w:firstLine="708"/>
        <w:jc w:val="both"/>
        <w:rPr>
          <w:sz w:val="22"/>
          <w:szCs w:val="22"/>
          <w:lang w:val="en-US"/>
        </w:rPr>
      </w:pPr>
      <w:r>
        <w:rPr>
          <w:sz w:val="22"/>
          <w:szCs w:val="22"/>
          <w:lang w:val="en-US"/>
        </w:rPr>
        <w:t>Theories f</w:t>
      </w:r>
      <w:r w:rsidRPr="00905AC5">
        <w:rPr>
          <w:sz w:val="22"/>
          <w:szCs w:val="22"/>
          <w:lang w:val="en-US"/>
        </w:rPr>
        <w:t>rom environmental gerontology</w:t>
      </w:r>
      <w:r>
        <w:rPr>
          <w:sz w:val="22"/>
          <w:szCs w:val="22"/>
          <w:lang w:val="en-US"/>
        </w:rPr>
        <w:t xml:space="preserve"> and </w:t>
      </w:r>
      <w:r w:rsidR="00B949DB">
        <w:rPr>
          <w:sz w:val="22"/>
          <w:szCs w:val="22"/>
          <w:lang w:val="en-US"/>
        </w:rPr>
        <w:t xml:space="preserve">the </w:t>
      </w:r>
      <w:r>
        <w:rPr>
          <w:sz w:val="22"/>
          <w:szCs w:val="22"/>
          <w:lang w:val="en-US"/>
        </w:rPr>
        <w:t>World Health Organization’s International Classification of Functioning, Disability and Health suggest that environmental factors can facilitate or impede older adults funct</w:t>
      </w:r>
      <w:r w:rsidR="00D90E2D">
        <w:rPr>
          <w:sz w:val="22"/>
          <w:szCs w:val="22"/>
          <w:lang w:val="en-US"/>
        </w:rPr>
        <w:t>ioning in terms of activities or</w:t>
      </w:r>
      <w:r>
        <w:rPr>
          <w:sz w:val="22"/>
          <w:szCs w:val="22"/>
          <w:lang w:val="en-US"/>
        </w:rPr>
        <w:t xml:space="preserve"> participation</w:t>
      </w:r>
      <w:r w:rsidR="00BE10A8">
        <w:rPr>
          <w:sz w:val="22"/>
          <w:szCs w:val="22"/>
          <w:lang w:val="en-US"/>
        </w:rPr>
        <w:t xml:space="preserve"> </w:t>
      </w:r>
      <w:r w:rsidR="00271BEB">
        <w:rPr>
          <w:sz w:val="22"/>
          <w:szCs w:val="22"/>
          <w:lang w:val="en-US"/>
        </w:rPr>
        <w:t>[1</w:t>
      </w:r>
      <w:r w:rsidR="005E4662">
        <w:rPr>
          <w:sz w:val="22"/>
          <w:szCs w:val="22"/>
          <w:lang w:val="en-US"/>
        </w:rPr>
        <w:t>7</w:t>
      </w:r>
      <w:r w:rsidR="00271BEB">
        <w:rPr>
          <w:sz w:val="22"/>
          <w:szCs w:val="22"/>
          <w:lang w:val="en-US"/>
        </w:rPr>
        <w:t>-1</w:t>
      </w:r>
      <w:r w:rsidR="005E4662">
        <w:rPr>
          <w:sz w:val="22"/>
          <w:szCs w:val="22"/>
          <w:lang w:val="en-US"/>
        </w:rPr>
        <w:t>9</w:t>
      </w:r>
      <w:r>
        <w:rPr>
          <w:sz w:val="22"/>
          <w:szCs w:val="22"/>
          <w:lang w:val="en-US"/>
        </w:rPr>
        <w:t>]</w:t>
      </w:r>
      <w:r w:rsidR="00BE10A8">
        <w:rPr>
          <w:sz w:val="22"/>
          <w:szCs w:val="22"/>
          <w:lang w:val="en-US"/>
        </w:rPr>
        <w:t>.</w:t>
      </w:r>
      <w:r>
        <w:rPr>
          <w:sz w:val="22"/>
          <w:szCs w:val="22"/>
          <w:lang w:val="en-US"/>
        </w:rPr>
        <w:t xml:space="preserve"> </w:t>
      </w:r>
      <w:r w:rsidR="00535D67" w:rsidRPr="00B2709B">
        <w:rPr>
          <w:sz w:val="22"/>
          <w:szCs w:val="22"/>
          <w:lang w:val="en-US"/>
        </w:rPr>
        <w:t xml:space="preserve">According to </w:t>
      </w:r>
      <w:r w:rsidR="00535D67">
        <w:rPr>
          <w:sz w:val="22"/>
          <w:szCs w:val="22"/>
          <w:lang w:val="en-US"/>
        </w:rPr>
        <w:t>the ecological model of aging</w:t>
      </w:r>
      <w:r w:rsidR="00535D67" w:rsidRPr="00B2709B">
        <w:rPr>
          <w:sz w:val="22"/>
          <w:szCs w:val="22"/>
          <w:lang w:val="en-US"/>
        </w:rPr>
        <w:t>, there is an interactio</w:t>
      </w:r>
      <w:r w:rsidR="00535D67">
        <w:rPr>
          <w:sz w:val="22"/>
          <w:szCs w:val="22"/>
          <w:lang w:val="en-US"/>
        </w:rPr>
        <w:t>n between individual competen</w:t>
      </w:r>
      <w:r w:rsidR="00BE10A8">
        <w:rPr>
          <w:sz w:val="22"/>
          <w:szCs w:val="22"/>
          <w:lang w:val="en-US"/>
        </w:rPr>
        <w:t xml:space="preserve">ce and environmental pressure </w:t>
      </w:r>
      <w:r w:rsidR="00535D67">
        <w:rPr>
          <w:sz w:val="22"/>
          <w:szCs w:val="22"/>
          <w:lang w:val="en-US"/>
        </w:rPr>
        <w:t>[</w:t>
      </w:r>
      <w:r w:rsidR="00AA3D1B">
        <w:rPr>
          <w:sz w:val="22"/>
          <w:szCs w:val="22"/>
          <w:lang w:val="en-US"/>
        </w:rPr>
        <w:t>17,</w:t>
      </w:r>
      <w:r w:rsidR="00535D67">
        <w:rPr>
          <w:sz w:val="22"/>
          <w:szCs w:val="22"/>
          <w:lang w:val="en-US"/>
        </w:rPr>
        <w:t>1</w:t>
      </w:r>
      <w:r w:rsidR="005E4662">
        <w:rPr>
          <w:sz w:val="22"/>
          <w:szCs w:val="22"/>
          <w:lang w:val="en-US"/>
        </w:rPr>
        <w:t>8</w:t>
      </w:r>
      <w:r w:rsidR="00535D67" w:rsidRPr="00B2709B">
        <w:rPr>
          <w:sz w:val="22"/>
          <w:szCs w:val="22"/>
          <w:lang w:val="en-US"/>
        </w:rPr>
        <w:t>]</w:t>
      </w:r>
      <w:r w:rsidR="00BE10A8">
        <w:rPr>
          <w:sz w:val="22"/>
          <w:szCs w:val="22"/>
          <w:lang w:val="en-US"/>
        </w:rPr>
        <w:t>.</w:t>
      </w:r>
      <w:r w:rsidR="00535D67">
        <w:rPr>
          <w:sz w:val="22"/>
          <w:szCs w:val="22"/>
          <w:lang w:val="en-US"/>
        </w:rPr>
        <w:t xml:space="preserve"> </w:t>
      </w:r>
      <w:r w:rsidR="00535D67" w:rsidRPr="00431861">
        <w:rPr>
          <w:sz w:val="22"/>
          <w:szCs w:val="22"/>
          <w:lang w:val="en-US"/>
        </w:rPr>
        <w:t xml:space="preserve">Derived from the </w:t>
      </w:r>
      <w:r w:rsidR="00A2008E">
        <w:rPr>
          <w:sz w:val="22"/>
          <w:szCs w:val="22"/>
          <w:lang w:val="en-US"/>
        </w:rPr>
        <w:t>ecological model of aging, the environmental docility h</w:t>
      </w:r>
      <w:r w:rsidR="00535D67" w:rsidRPr="00431861">
        <w:rPr>
          <w:sz w:val="22"/>
          <w:szCs w:val="22"/>
          <w:lang w:val="en-US"/>
        </w:rPr>
        <w:t>ypothesis</w:t>
      </w:r>
      <w:r w:rsidR="00535D67">
        <w:rPr>
          <w:sz w:val="22"/>
          <w:szCs w:val="22"/>
          <w:lang w:val="en-US"/>
        </w:rPr>
        <w:t xml:space="preserve"> </w:t>
      </w:r>
      <w:r w:rsidR="00535D67" w:rsidRPr="00431861">
        <w:rPr>
          <w:sz w:val="22"/>
          <w:szCs w:val="22"/>
          <w:lang w:val="en-US"/>
        </w:rPr>
        <w:t>suggests that the less competent the individual, the greater the impact of environmental factors on that individual</w:t>
      </w:r>
      <w:r w:rsidR="00B949DB">
        <w:rPr>
          <w:sz w:val="22"/>
          <w:szCs w:val="22"/>
          <w:lang w:val="en-US"/>
        </w:rPr>
        <w:t xml:space="preserve"> [1</w:t>
      </w:r>
      <w:r w:rsidR="00AA3D1B">
        <w:rPr>
          <w:sz w:val="22"/>
          <w:szCs w:val="22"/>
          <w:lang w:val="en-US"/>
        </w:rPr>
        <w:t>7,18</w:t>
      </w:r>
      <w:r w:rsidR="00B949DB">
        <w:rPr>
          <w:sz w:val="22"/>
          <w:szCs w:val="22"/>
          <w:lang w:val="en-US"/>
        </w:rPr>
        <w:t>]</w:t>
      </w:r>
      <w:r w:rsidR="00535D67" w:rsidRPr="00431861">
        <w:rPr>
          <w:sz w:val="22"/>
          <w:szCs w:val="22"/>
          <w:lang w:val="en-US"/>
        </w:rPr>
        <w:t xml:space="preserve">. </w:t>
      </w:r>
      <w:r w:rsidR="00535D67">
        <w:rPr>
          <w:sz w:val="22"/>
          <w:szCs w:val="22"/>
          <w:lang w:val="en-US"/>
        </w:rPr>
        <w:t>O</w:t>
      </w:r>
      <w:r w:rsidR="00535D67" w:rsidRPr="00431861">
        <w:rPr>
          <w:sz w:val="22"/>
          <w:szCs w:val="22"/>
          <w:lang w:val="en-US"/>
        </w:rPr>
        <w:t>lder</w:t>
      </w:r>
      <w:r w:rsidR="006E71FE">
        <w:rPr>
          <w:sz w:val="22"/>
          <w:szCs w:val="22"/>
          <w:lang w:val="en-US"/>
        </w:rPr>
        <w:t xml:space="preserve"> adults</w:t>
      </w:r>
      <w:r w:rsidR="00535D67">
        <w:rPr>
          <w:sz w:val="22"/>
          <w:szCs w:val="22"/>
          <w:lang w:val="en-US"/>
        </w:rPr>
        <w:t xml:space="preserve"> with </w:t>
      </w:r>
      <w:r w:rsidR="006E71FE">
        <w:rPr>
          <w:sz w:val="22"/>
          <w:szCs w:val="22"/>
          <w:lang w:val="en-US"/>
        </w:rPr>
        <w:t>LL</w:t>
      </w:r>
      <w:r w:rsidR="00535D67">
        <w:rPr>
          <w:sz w:val="22"/>
          <w:szCs w:val="22"/>
          <w:lang w:val="en-US"/>
        </w:rPr>
        <w:t xml:space="preserve">OA may have lower competence than older </w:t>
      </w:r>
      <w:r w:rsidR="006E71FE">
        <w:rPr>
          <w:sz w:val="22"/>
          <w:szCs w:val="22"/>
          <w:lang w:val="en-US"/>
        </w:rPr>
        <w:t xml:space="preserve">adults </w:t>
      </w:r>
      <w:r w:rsidR="00535D67">
        <w:rPr>
          <w:sz w:val="22"/>
          <w:szCs w:val="22"/>
          <w:lang w:val="en-US"/>
        </w:rPr>
        <w:t xml:space="preserve">without the condition and may be more vulnerable </w:t>
      </w:r>
      <w:r w:rsidR="006E71FE">
        <w:rPr>
          <w:sz w:val="22"/>
          <w:szCs w:val="22"/>
          <w:lang w:val="en-US"/>
        </w:rPr>
        <w:t>to environmental demands</w:t>
      </w:r>
      <w:r w:rsidR="00BE10A8">
        <w:rPr>
          <w:sz w:val="22"/>
          <w:szCs w:val="22"/>
          <w:lang w:val="en-US"/>
        </w:rPr>
        <w:t xml:space="preserve"> </w:t>
      </w:r>
      <w:r w:rsidR="005E4662">
        <w:rPr>
          <w:sz w:val="22"/>
          <w:szCs w:val="22"/>
          <w:lang w:val="en-US"/>
        </w:rPr>
        <w:t>[20</w:t>
      </w:r>
      <w:r w:rsidR="00535D67">
        <w:rPr>
          <w:sz w:val="22"/>
          <w:szCs w:val="22"/>
          <w:lang w:val="en-US"/>
        </w:rPr>
        <w:t>]</w:t>
      </w:r>
      <w:r w:rsidR="00BE10A8">
        <w:rPr>
          <w:sz w:val="22"/>
          <w:szCs w:val="22"/>
          <w:lang w:val="en-US"/>
        </w:rPr>
        <w:t>.</w:t>
      </w:r>
      <w:r w:rsidR="00535D67">
        <w:rPr>
          <w:sz w:val="22"/>
          <w:szCs w:val="22"/>
          <w:lang w:val="en-US"/>
        </w:rPr>
        <w:t xml:space="preserve"> Based on the </w:t>
      </w:r>
      <w:r w:rsidR="00A2008E">
        <w:rPr>
          <w:sz w:val="22"/>
          <w:szCs w:val="22"/>
          <w:lang w:val="en-US"/>
        </w:rPr>
        <w:t>environmental docility h</w:t>
      </w:r>
      <w:r w:rsidR="00A2008E" w:rsidRPr="00431861">
        <w:rPr>
          <w:sz w:val="22"/>
          <w:szCs w:val="22"/>
          <w:lang w:val="en-US"/>
        </w:rPr>
        <w:t>ypothesis</w:t>
      </w:r>
      <w:r w:rsidR="00535D67" w:rsidRPr="00B2709B">
        <w:rPr>
          <w:sz w:val="22"/>
          <w:szCs w:val="22"/>
          <w:lang w:val="en-US"/>
        </w:rPr>
        <w:t xml:space="preserve">, </w:t>
      </w:r>
      <w:r w:rsidR="00535D67">
        <w:rPr>
          <w:sz w:val="22"/>
          <w:szCs w:val="22"/>
          <w:lang w:val="en-US"/>
        </w:rPr>
        <w:t xml:space="preserve">perceived and objective characteristics </w:t>
      </w:r>
      <w:r w:rsidR="00535D67" w:rsidRPr="00B2709B">
        <w:rPr>
          <w:sz w:val="22"/>
          <w:szCs w:val="22"/>
          <w:lang w:val="en-US"/>
        </w:rPr>
        <w:t xml:space="preserve">of the neighborhood environment have a greater impact on </w:t>
      </w:r>
      <w:r w:rsidR="006E71FE">
        <w:rPr>
          <w:sz w:val="22"/>
          <w:szCs w:val="22"/>
          <w:lang w:val="en-US"/>
        </w:rPr>
        <w:t xml:space="preserve">older adults </w:t>
      </w:r>
      <w:r w:rsidR="00535D67" w:rsidRPr="00B2709B">
        <w:rPr>
          <w:sz w:val="22"/>
          <w:szCs w:val="22"/>
          <w:lang w:val="en-US"/>
        </w:rPr>
        <w:t xml:space="preserve">with </w:t>
      </w:r>
      <w:r w:rsidR="006E71FE">
        <w:rPr>
          <w:sz w:val="22"/>
          <w:szCs w:val="22"/>
          <w:lang w:val="en-US"/>
        </w:rPr>
        <w:t>LL</w:t>
      </w:r>
      <w:r w:rsidR="00535D67" w:rsidRPr="00B2709B">
        <w:rPr>
          <w:sz w:val="22"/>
          <w:szCs w:val="22"/>
          <w:lang w:val="en-US"/>
        </w:rPr>
        <w:t xml:space="preserve">OA compared to </w:t>
      </w:r>
      <w:r w:rsidR="00535D67">
        <w:rPr>
          <w:sz w:val="22"/>
          <w:szCs w:val="22"/>
          <w:lang w:val="en-US"/>
        </w:rPr>
        <w:t xml:space="preserve">those </w:t>
      </w:r>
      <w:r w:rsidR="00535D67" w:rsidRPr="00B2709B">
        <w:rPr>
          <w:sz w:val="22"/>
          <w:szCs w:val="22"/>
          <w:lang w:val="en-US"/>
        </w:rPr>
        <w:t xml:space="preserve">without </w:t>
      </w:r>
      <w:r w:rsidR="006E71FE">
        <w:rPr>
          <w:sz w:val="22"/>
          <w:szCs w:val="22"/>
          <w:lang w:val="en-US"/>
        </w:rPr>
        <w:t>LL</w:t>
      </w:r>
      <w:r w:rsidR="00535D67" w:rsidRPr="00B2709B">
        <w:rPr>
          <w:sz w:val="22"/>
          <w:szCs w:val="22"/>
          <w:lang w:val="en-US"/>
        </w:rPr>
        <w:t>OA.</w:t>
      </w:r>
      <w:r w:rsidR="00535D67">
        <w:rPr>
          <w:sz w:val="22"/>
          <w:szCs w:val="22"/>
          <w:lang w:val="en-US"/>
        </w:rPr>
        <w:t xml:space="preserve"> </w:t>
      </w:r>
    </w:p>
    <w:p w:rsidR="00535D67" w:rsidRDefault="001535F4" w:rsidP="00535D67">
      <w:pPr>
        <w:spacing w:line="480" w:lineRule="auto"/>
        <w:ind w:firstLine="708"/>
        <w:jc w:val="both"/>
        <w:rPr>
          <w:sz w:val="22"/>
          <w:szCs w:val="22"/>
          <w:lang w:val="en-GB"/>
        </w:rPr>
      </w:pPr>
      <w:r>
        <w:rPr>
          <w:sz w:val="22"/>
          <w:szCs w:val="22"/>
          <w:lang w:val="en-GB"/>
        </w:rPr>
        <w:t xml:space="preserve">Several perceived and objective characteristics of the neighbourhood have been identified as facilitators and/or barriers for the use of neighbourhood resources. </w:t>
      </w:r>
      <w:r w:rsidR="00535D67">
        <w:rPr>
          <w:sz w:val="22"/>
          <w:szCs w:val="22"/>
          <w:lang w:val="en-GB"/>
        </w:rPr>
        <w:t>Previous research showed that higher perceived neighbourhood cohesion</w:t>
      </w:r>
      <w:r>
        <w:rPr>
          <w:sz w:val="22"/>
          <w:szCs w:val="22"/>
          <w:lang w:val="en-GB"/>
        </w:rPr>
        <w:t xml:space="preserve">, that is </w:t>
      </w:r>
      <w:r w:rsidR="00CE47CA">
        <w:rPr>
          <w:sz w:val="22"/>
          <w:szCs w:val="22"/>
          <w:lang w:val="en-GB"/>
        </w:rPr>
        <w:t>the extent of one’s emot</w:t>
      </w:r>
      <w:r w:rsidR="00BE10A8">
        <w:rPr>
          <w:sz w:val="22"/>
          <w:szCs w:val="22"/>
          <w:lang w:val="en-GB"/>
        </w:rPr>
        <w:t xml:space="preserve">ional bond to the neighbourhood </w:t>
      </w:r>
      <w:r w:rsidR="001A6FBE">
        <w:rPr>
          <w:sz w:val="22"/>
          <w:szCs w:val="22"/>
          <w:lang w:val="en-GB"/>
        </w:rPr>
        <w:t>[2</w:t>
      </w:r>
      <w:r w:rsidR="005E4662">
        <w:rPr>
          <w:sz w:val="22"/>
          <w:szCs w:val="22"/>
          <w:lang w:val="en-GB"/>
        </w:rPr>
        <w:t>1,22</w:t>
      </w:r>
      <w:r w:rsidR="001A6FBE">
        <w:rPr>
          <w:sz w:val="22"/>
          <w:szCs w:val="22"/>
          <w:lang w:val="en-GB"/>
        </w:rPr>
        <w:t>]</w:t>
      </w:r>
      <w:r w:rsidR="00BE10A8">
        <w:rPr>
          <w:sz w:val="22"/>
          <w:szCs w:val="22"/>
          <w:lang w:val="en-GB"/>
        </w:rPr>
        <w:t>,</w:t>
      </w:r>
      <w:r w:rsidR="00535D67">
        <w:rPr>
          <w:sz w:val="22"/>
          <w:szCs w:val="22"/>
          <w:lang w:val="en-GB"/>
        </w:rPr>
        <w:t xml:space="preserve"> was associated with more use o</w:t>
      </w:r>
      <w:r w:rsidR="006C503A">
        <w:rPr>
          <w:sz w:val="22"/>
          <w:szCs w:val="22"/>
          <w:lang w:val="en-GB"/>
        </w:rPr>
        <w:t>f walking areas by older people</w:t>
      </w:r>
      <w:r w:rsidR="00BE10A8">
        <w:rPr>
          <w:sz w:val="22"/>
          <w:szCs w:val="22"/>
          <w:lang w:val="en-GB"/>
        </w:rPr>
        <w:t xml:space="preserve"> </w:t>
      </w:r>
      <w:r w:rsidR="00EB409A">
        <w:rPr>
          <w:sz w:val="22"/>
          <w:szCs w:val="22"/>
          <w:lang w:val="en-GB"/>
        </w:rPr>
        <w:t>[4,</w:t>
      </w:r>
      <w:r w:rsidR="005E4662">
        <w:rPr>
          <w:sz w:val="22"/>
          <w:szCs w:val="22"/>
          <w:lang w:val="en-GB"/>
        </w:rPr>
        <w:t>10</w:t>
      </w:r>
      <w:r w:rsidR="00535D67">
        <w:rPr>
          <w:sz w:val="22"/>
          <w:szCs w:val="22"/>
          <w:lang w:val="en-GB"/>
        </w:rPr>
        <w:t>]</w:t>
      </w:r>
      <w:r w:rsidR="00BE10A8">
        <w:rPr>
          <w:sz w:val="22"/>
          <w:szCs w:val="22"/>
          <w:lang w:val="en-GB"/>
        </w:rPr>
        <w:t>.</w:t>
      </w:r>
      <w:r w:rsidR="00535D67">
        <w:rPr>
          <w:sz w:val="22"/>
          <w:szCs w:val="22"/>
          <w:lang w:val="en-GB"/>
        </w:rPr>
        <w:t xml:space="preserve"> Furthermore, people use their neighbourhood environment more when they live in accessible, safe and attractive neighbourhoods, whereas people who perceive more neighbourhood problems, such as crime, litter and traffic, are less likely</w:t>
      </w:r>
      <w:r w:rsidR="006C503A">
        <w:rPr>
          <w:sz w:val="22"/>
          <w:szCs w:val="22"/>
          <w:lang w:val="en-GB"/>
        </w:rPr>
        <w:t xml:space="preserve"> to use neighbourhood resources</w:t>
      </w:r>
      <w:r w:rsidR="00BE10A8">
        <w:rPr>
          <w:sz w:val="22"/>
          <w:szCs w:val="22"/>
          <w:lang w:val="en-GB"/>
        </w:rPr>
        <w:t xml:space="preserve"> </w:t>
      </w:r>
      <w:r w:rsidR="00535D67" w:rsidRPr="006E2CDA">
        <w:rPr>
          <w:sz w:val="22"/>
          <w:szCs w:val="22"/>
          <w:lang w:val="en-GB"/>
        </w:rPr>
        <w:t>[</w:t>
      </w:r>
      <w:r w:rsidR="001A6FBE">
        <w:rPr>
          <w:sz w:val="22"/>
          <w:szCs w:val="22"/>
          <w:lang w:val="en-GB"/>
        </w:rPr>
        <w:t>5-</w:t>
      </w:r>
      <w:r w:rsidR="005E4662">
        <w:rPr>
          <w:sz w:val="22"/>
          <w:szCs w:val="22"/>
          <w:lang w:val="en-GB"/>
        </w:rPr>
        <w:t>9</w:t>
      </w:r>
      <w:r w:rsidR="001A6FBE">
        <w:rPr>
          <w:sz w:val="22"/>
          <w:szCs w:val="22"/>
          <w:lang w:val="en-GB"/>
        </w:rPr>
        <w:t>,1</w:t>
      </w:r>
      <w:r w:rsidR="005E4662">
        <w:rPr>
          <w:sz w:val="22"/>
          <w:szCs w:val="22"/>
          <w:lang w:val="en-GB"/>
        </w:rPr>
        <w:t>1-13</w:t>
      </w:r>
      <w:r w:rsidR="00535D67" w:rsidRPr="006E2CDA">
        <w:rPr>
          <w:sz w:val="22"/>
          <w:szCs w:val="22"/>
          <w:lang w:val="en-GB"/>
        </w:rPr>
        <w:t>]</w:t>
      </w:r>
      <w:r w:rsidR="00BE10A8">
        <w:rPr>
          <w:sz w:val="22"/>
          <w:szCs w:val="22"/>
          <w:lang w:val="en-GB"/>
        </w:rPr>
        <w:t>.</w:t>
      </w:r>
      <w:r w:rsidR="00535D67">
        <w:rPr>
          <w:sz w:val="22"/>
          <w:szCs w:val="22"/>
          <w:lang w:val="en-GB"/>
        </w:rPr>
        <w:t xml:space="preserve"> Moreover, previou</w:t>
      </w:r>
      <w:r w:rsidR="006945E3">
        <w:rPr>
          <w:sz w:val="22"/>
          <w:szCs w:val="22"/>
          <w:lang w:val="en-GB"/>
        </w:rPr>
        <w:t xml:space="preserve">s research showed </w:t>
      </w:r>
      <w:r w:rsidR="00535D67">
        <w:rPr>
          <w:sz w:val="22"/>
          <w:szCs w:val="22"/>
          <w:lang w:val="en-GB"/>
        </w:rPr>
        <w:t xml:space="preserve">that residents of </w:t>
      </w:r>
      <w:r w:rsidR="006945E3">
        <w:rPr>
          <w:sz w:val="22"/>
          <w:szCs w:val="22"/>
          <w:lang w:val="en-GB"/>
        </w:rPr>
        <w:lastRenderedPageBreak/>
        <w:t xml:space="preserve">objectively </w:t>
      </w:r>
      <w:r w:rsidR="00535D67">
        <w:rPr>
          <w:sz w:val="22"/>
          <w:szCs w:val="22"/>
          <w:lang w:val="en-GB"/>
        </w:rPr>
        <w:t>more deprived neighbourhoods make less use of local facilities</w:t>
      </w:r>
      <w:r w:rsidR="008955D0">
        <w:rPr>
          <w:sz w:val="22"/>
          <w:szCs w:val="22"/>
          <w:lang w:val="en-GB"/>
        </w:rPr>
        <w:t>, such as</w:t>
      </w:r>
      <w:r w:rsidR="0055343D">
        <w:rPr>
          <w:sz w:val="22"/>
          <w:szCs w:val="22"/>
          <w:lang w:val="en-GB"/>
        </w:rPr>
        <w:t xml:space="preserve"> parks</w:t>
      </w:r>
      <w:r w:rsidR="009519F4">
        <w:rPr>
          <w:sz w:val="22"/>
          <w:szCs w:val="22"/>
          <w:lang w:val="en-GB"/>
        </w:rPr>
        <w:t xml:space="preserve"> and greenspaces</w:t>
      </w:r>
      <w:r w:rsidR="00C62872">
        <w:rPr>
          <w:sz w:val="22"/>
          <w:szCs w:val="22"/>
          <w:lang w:val="en-GB"/>
        </w:rPr>
        <w:t>,</w:t>
      </w:r>
      <w:r w:rsidR="008955D0">
        <w:rPr>
          <w:sz w:val="22"/>
          <w:szCs w:val="22"/>
          <w:lang w:val="en-GB"/>
        </w:rPr>
        <w:t xml:space="preserve"> </w:t>
      </w:r>
      <w:r w:rsidR="00535D67">
        <w:rPr>
          <w:sz w:val="22"/>
          <w:szCs w:val="22"/>
          <w:lang w:val="en-GB"/>
        </w:rPr>
        <w:t xml:space="preserve">than those who live in </w:t>
      </w:r>
      <w:r w:rsidR="006C503A">
        <w:rPr>
          <w:sz w:val="22"/>
          <w:szCs w:val="22"/>
          <w:lang w:val="en-GB"/>
        </w:rPr>
        <w:t>more affluent neighbourhoods</w:t>
      </w:r>
      <w:r w:rsidR="00BE10A8">
        <w:rPr>
          <w:sz w:val="22"/>
          <w:szCs w:val="22"/>
          <w:lang w:val="en-GB"/>
        </w:rPr>
        <w:t xml:space="preserve"> </w:t>
      </w:r>
      <w:r w:rsidR="009D6DDC">
        <w:rPr>
          <w:sz w:val="22"/>
          <w:szCs w:val="22"/>
          <w:lang w:val="en-GB"/>
        </w:rPr>
        <w:t>[2</w:t>
      </w:r>
      <w:r w:rsidR="005E4662">
        <w:rPr>
          <w:sz w:val="22"/>
          <w:szCs w:val="22"/>
          <w:lang w:val="en-GB"/>
        </w:rPr>
        <w:t>3</w:t>
      </w:r>
      <w:r w:rsidR="00535D67">
        <w:rPr>
          <w:sz w:val="22"/>
          <w:szCs w:val="22"/>
          <w:lang w:val="en-GB"/>
        </w:rPr>
        <w:t>]</w:t>
      </w:r>
      <w:r w:rsidR="00BE10A8">
        <w:rPr>
          <w:sz w:val="22"/>
          <w:szCs w:val="22"/>
          <w:lang w:val="en-GB"/>
        </w:rPr>
        <w:t>.</w:t>
      </w:r>
      <w:r w:rsidR="00535D67">
        <w:rPr>
          <w:sz w:val="22"/>
          <w:szCs w:val="22"/>
          <w:lang w:val="en-GB"/>
        </w:rPr>
        <w:t xml:space="preserve"> </w:t>
      </w:r>
    </w:p>
    <w:p w:rsidR="001E2B94" w:rsidRDefault="00535D67" w:rsidP="00535D67">
      <w:pPr>
        <w:spacing w:line="480" w:lineRule="auto"/>
        <w:ind w:firstLine="708"/>
        <w:jc w:val="both"/>
        <w:rPr>
          <w:sz w:val="22"/>
          <w:szCs w:val="22"/>
          <w:lang w:val="en-GB"/>
        </w:rPr>
      </w:pPr>
      <w:r>
        <w:rPr>
          <w:sz w:val="22"/>
          <w:szCs w:val="22"/>
          <w:lang w:val="en-GB"/>
        </w:rPr>
        <w:t>In a</w:t>
      </w:r>
      <w:r w:rsidRPr="00894F86">
        <w:rPr>
          <w:sz w:val="22"/>
          <w:szCs w:val="22"/>
          <w:lang w:val="en-GB"/>
        </w:rPr>
        <w:t xml:space="preserve"> </w:t>
      </w:r>
      <w:r>
        <w:rPr>
          <w:sz w:val="22"/>
          <w:szCs w:val="22"/>
          <w:lang w:val="en-GB"/>
        </w:rPr>
        <w:t xml:space="preserve">previous </w:t>
      </w:r>
      <w:r w:rsidRPr="00894F86">
        <w:rPr>
          <w:sz w:val="22"/>
          <w:szCs w:val="22"/>
          <w:lang w:val="en-GB"/>
        </w:rPr>
        <w:t xml:space="preserve">study using data from the European Project on </w:t>
      </w:r>
      <w:proofErr w:type="spellStart"/>
      <w:r w:rsidRPr="00894F86">
        <w:rPr>
          <w:sz w:val="22"/>
          <w:szCs w:val="22"/>
          <w:lang w:val="en-GB"/>
        </w:rPr>
        <w:t>OSteoArthritis</w:t>
      </w:r>
      <w:proofErr w:type="spellEnd"/>
      <w:r w:rsidRPr="00894F86">
        <w:rPr>
          <w:sz w:val="22"/>
          <w:szCs w:val="22"/>
          <w:lang w:val="en-GB"/>
        </w:rPr>
        <w:t xml:space="preserve"> (EPOSA) study, the association between </w:t>
      </w:r>
      <w:r w:rsidR="001E2B94">
        <w:rPr>
          <w:sz w:val="22"/>
          <w:szCs w:val="22"/>
          <w:lang w:val="en-GB"/>
        </w:rPr>
        <w:t>LL</w:t>
      </w:r>
      <w:r w:rsidRPr="00894F86">
        <w:rPr>
          <w:sz w:val="22"/>
          <w:szCs w:val="22"/>
          <w:lang w:val="en-GB"/>
        </w:rPr>
        <w:t>OA and the use of the neighbourhood environment was examined</w:t>
      </w:r>
      <w:r w:rsidR="00BE10A8">
        <w:rPr>
          <w:sz w:val="22"/>
          <w:szCs w:val="22"/>
          <w:lang w:val="en-GB"/>
        </w:rPr>
        <w:t xml:space="preserve"> </w:t>
      </w:r>
      <w:r w:rsidR="009D6DDC">
        <w:rPr>
          <w:sz w:val="22"/>
          <w:szCs w:val="22"/>
          <w:lang w:val="en-GB"/>
        </w:rPr>
        <w:t>[2</w:t>
      </w:r>
      <w:r w:rsidR="005E4662">
        <w:rPr>
          <w:sz w:val="22"/>
          <w:szCs w:val="22"/>
          <w:lang w:val="en-GB"/>
        </w:rPr>
        <w:t>4</w:t>
      </w:r>
      <w:r w:rsidRPr="00894F86">
        <w:rPr>
          <w:sz w:val="22"/>
          <w:szCs w:val="22"/>
          <w:lang w:val="en-GB"/>
        </w:rPr>
        <w:t>]</w:t>
      </w:r>
      <w:r w:rsidR="00BE10A8">
        <w:rPr>
          <w:sz w:val="22"/>
          <w:szCs w:val="22"/>
          <w:lang w:val="en-GB"/>
        </w:rPr>
        <w:t>.</w:t>
      </w:r>
      <w:r w:rsidRPr="00894F86">
        <w:rPr>
          <w:sz w:val="22"/>
          <w:szCs w:val="22"/>
          <w:lang w:val="en-GB"/>
        </w:rPr>
        <w:t xml:space="preserve"> It was found that lower limb OA was associated with less</w:t>
      </w:r>
      <w:r w:rsidR="006C503A">
        <w:rPr>
          <w:sz w:val="22"/>
          <w:szCs w:val="22"/>
          <w:lang w:val="en-GB"/>
        </w:rPr>
        <w:t xml:space="preserve"> use of parks and walking areas and </w:t>
      </w:r>
      <w:r w:rsidRPr="00894F86">
        <w:rPr>
          <w:sz w:val="22"/>
          <w:szCs w:val="22"/>
          <w:lang w:val="en-GB"/>
        </w:rPr>
        <w:t>mor</w:t>
      </w:r>
      <w:r w:rsidR="006C503A">
        <w:rPr>
          <w:sz w:val="22"/>
          <w:szCs w:val="22"/>
          <w:lang w:val="en-GB"/>
        </w:rPr>
        <w:t>e use of places to sit and rest</w:t>
      </w:r>
      <w:r w:rsidRPr="00894F86">
        <w:rPr>
          <w:sz w:val="22"/>
          <w:szCs w:val="22"/>
          <w:lang w:val="en-GB"/>
        </w:rPr>
        <w:t xml:space="preserve">. These findings suggest that people with </w:t>
      </w:r>
      <w:r w:rsidR="001E2B94">
        <w:rPr>
          <w:sz w:val="22"/>
          <w:szCs w:val="22"/>
          <w:lang w:val="en-GB"/>
        </w:rPr>
        <w:t>LL</w:t>
      </w:r>
      <w:r w:rsidRPr="00894F86">
        <w:rPr>
          <w:sz w:val="22"/>
          <w:szCs w:val="22"/>
          <w:lang w:val="en-GB"/>
        </w:rPr>
        <w:t xml:space="preserve">OA adjust the use of their neighbourhood environment and </w:t>
      </w:r>
      <w:r>
        <w:rPr>
          <w:sz w:val="22"/>
          <w:szCs w:val="22"/>
          <w:lang w:val="en-GB"/>
        </w:rPr>
        <w:t xml:space="preserve">this </w:t>
      </w:r>
      <w:r w:rsidRPr="00894F86">
        <w:rPr>
          <w:sz w:val="22"/>
          <w:szCs w:val="22"/>
          <w:lang w:val="en-GB"/>
        </w:rPr>
        <w:t>provide</w:t>
      </w:r>
      <w:r>
        <w:rPr>
          <w:sz w:val="22"/>
          <w:szCs w:val="22"/>
          <w:lang w:val="en-GB"/>
        </w:rPr>
        <w:t>s</w:t>
      </w:r>
      <w:r w:rsidRPr="00894F86">
        <w:rPr>
          <w:sz w:val="22"/>
          <w:szCs w:val="22"/>
          <w:lang w:val="en-GB"/>
        </w:rPr>
        <w:t xml:space="preserve"> some evidence for the </w:t>
      </w:r>
      <w:r w:rsidR="00A2008E">
        <w:rPr>
          <w:sz w:val="22"/>
          <w:szCs w:val="22"/>
          <w:lang w:val="en-US"/>
        </w:rPr>
        <w:t>environmental docility h</w:t>
      </w:r>
      <w:r w:rsidR="00A2008E" w:rsidRPr="00431861">
        <w:rPr>
          <w:sz w:val="22"/>
          <w:szCs w:val="22"/>
          <w:lang w:val="en-US"/>
        </w:rPr>
        <w:t>ypothesis</w:t>
      </w:r>
      <w:r w:rsidR="000C49B2">
        <w:rPr>
          <w:sz w:val="22"/>
          <w:szCs w:val="22"/>
          <w:lang w:val="en-GB"/>
        </w:rPr>
        <w:t>.</w:t>
      </w:r>
      <w:r w:rsidRPr="00894F86">
        <w:rPr>
          <w:sz w:val="22"/>
          <w:szCs w:val="22"/>
          <w:lang w:val="en-GB"/>
        </w:rPr>
        <w:t xml:space="preserve"> </w:t>
      </w:r>
    </w:p>
    <w:p w:rsidR="005E6EC6" w:rsidRDefault="00322203" w:rsidP="00535D67">
      <w:pPr>
        <w:spacing w:line="480" w:lineRule="auto"/>
        <w:ind w:firstLine="708"/>
        <w:jc w:val="both"/>
        <w:rPr>
          <w:sz w:val="22"/>
          <w:szCs w:val="22"/>
          <w:lang w:val="en-GB"/>
        </w:rPr>
      </w:pPr>
      <w:r>
        <w:rPr>
          <w:sz w:val="22"/>
          <w:szCs w:val="22"/>
          <w:lang w:val="en-GB"/>
        </w:rPr>
        <w:t xml:space="preserve">To support activity and promote participation of older adults with LLOA, more knowledge is needed on the </w:t>
      </w:r>
      <w:r w:rsidR="00A2117B">
        <w:rPr>
          <w:sz w:val="22"/>
          <w:szCs w:val="22"/>
          <w:lang w:val="en-GB"/>
        </w:rPr>
        <w:t>relationships between the use of neighbourhood resources and perceived and objective neighbo</w:t>
      </w:r>
      <w:r w:rsidR="000C49B2">
        <w:rPr>
          <w:sz w:val="22"/>
          <w:szCs w:val="22"/>
          <w:lang w:val="en-GB"/>
        </w:rPr>
        <w:t xml:space="preserve">urhood characteristics in this </w:t>
      </w:r>
      <w:r w:rsidR="00A2117B">
        <w:rPr>
          <w:sz w:val="22"/>
          <w:szCs w:val="22"/>
          <w:lang w:val="en-GB"/>
        </w:rPr>
        <w:t xml:space="preserve">population. </w:t>
      </w:r>
      <w:r w:rsidR="008F55DA">
        <w:rPr>
          <w:sz w:val="22"/>
          <w:szCs w:val="22"/>
          <w:lang w:val="en-GB"/>
        </w:rPr>
        <w:t xml:space="preserve">This </w:t>
      </w:r>
      <w:r w:rsidR="005E6EC6">
        <w:rPr>
          <w:sz w:val="22"/>
          <w:szCs w:val="22"/>
          <w:lang w:val="en-GB"/>
        </w:rPr>
        <w:t xml:space="preserve">population-based </w:t>
      </w:r>
      <w:r w:rsidR="008F55DA">
        <w:rPr>
          <w:sz w:val="22"/>
          <w:szCs w:val="22"/>
          <w:lang w:val="en-GB"/>
        </w:rPr>
        <w:t xml:space="preserve">study examined </w:t>
      </w:r>
      <w:r w:rsidR="00535D67">
        <w:rPr>
          <w:sz w:val="22"/>
          <w:szCs w:val="22"/>
          <w:lang w:val="en-GB"/>
        </w:rPr>
        <w:t>the associations of perceptions of neighbourhood cohesion and neighbourhood problems and objectively measured neighbourhood deprivation with the use of neighbourhood resources by older</w:t>
      </w:r>
      <w:r w:rsidR="005E6EC6">
        <w:rPr>
          <w:sz w:val="22"/>
          <w:szCs w:val="22"/>
          <w:lang w:val="en-GB"/>
        </w:rPr>
        <w:t xml:space="preserve"> adults</w:t>
      </w:r>
      <w:r w:rsidR="00535D67">
        <w:rPr>
          <w:sz w:val="22"/>
          <w:szCs w:val="22"/>
          <w:lang w:val="en-GB"/>
        </w:rPr>
        <w:t xml:space="preserve"> with and without </w:t>
      </w:r>
      <w:r w:rsidR="005E6EC6">
        <w:rPr>
          <w:sz w:val="22"/>
          <w:szCs w:val="22"/>
          <w:lang w:val="en-GB"/>
        </w:rPr>
        <w:t>LL</w:t>
      </w:r>
      <w:r w:rsidR="00535D67">
        <w:rPr>
          <w:sz w:val="22"/>
          <w:szCs w:val="22"/>
          <w:lang w:val="en-GB"/>
        </w:rPr>
        <w:t>OA. I</w:t>
      </w:r>
      <w:r w:rsidR="005E6EC6">
        <w:rPr>
          <w:sz w:val="22"/>
          <w:szCs w:val="22"/>
          <w:lang w:val="en-GB"/>
        </w:rPr>
        <w:t xml:space="preserve">t is hypothesized </w:t>
      </w:r>
      <w:r w:rsidR="00535D67" w:rsidRPr="00322515">
        <w:rPr>
          <w:sz w:val="22"/>
          <w:szCs w:val="22"/>
          <w:lang w:val="en-GB"/>
        </w:rPr>
        <w:t>that</w:t>
      </w:r>
      <w:r w:rsidR="005E6EC6">
        <w:rPr>
          <w:sz w:val="22"/>
          <w:szCs w:val="22"/>
          <w:lang w:val="en-GB"/>
        </w:rPr>
        <w:t xml:space="preserve"> living in</w:t>
      </w:r>
      <w:r w:rsidR="005F6F37">
        <w:rPr>
          <w:sz w:val="22"/>
          <w:szCs w:val="22"/>
          <w:lang w:val="en-GB"/>
        </w:rPr>
        <w:t xml:space="preserve"> a</w:t>
      </w:r>
      <w:r w:rsidR="00125A1B">
        <w:rPr>
          <w:sz w:val="22"/>
          <w:szCs w:val="22"/>
          <w:lang w:val="en-GB"/>
        </w:rPr>
        <w:t xml:space="preserve"> </w:t>
      </w:r>
      <w:r w:rsidR="005E6EC6">
        <w:rPr>
          <w:sz w:val="22"/>
          <w:szCs w:val="22"/>
          <w:lang w:val="en-GB"/>
        </w:rPr>
        <w:t xml:space="preserve">more deprived </w:t>
      </w:r>
      <w:r w:rsidR="005F6F37">
        <w:rPr>
          <w:sz w:val="22"/>
          <w:szCs w:val="22"/>
          <w:lang w:val="en-GB"/>
        </w:rPr>
        <w:t>neighbourhood</w:t>
      </w:r>
      <w:r w:rsidR="005E6EC6">
        <w:rPr>
          <w:sz w:val="22"/>
          <w:szCs w:val="22"/>
          <w:lang w:val="en-GB"/>
        </w:rPr>
        <w:t xml:space="preserve"> and the perception </w:t>
      </w:r>
      <w:r w:rsidR="00125A1B">
        <w:rPr>
          <w:sz w:val="22"/>
          <w:szCs w:val="22"/>
          <w:lang w:val="en-GB"/>
        </w:rPr>
        <w:t>of more neighbourhood</w:t>
      </w:r>
      <w:r>
        <w:rPr>
          <w:sz w:val="22"/>
          <w:szCs w:val="22"/>
          <w:lang w:val="en-GB"/>
        </w:rPr>
        <w:t xml:space="preserve"> problems are associated with less use of neighbourhood resources by older adults.</w:t>
      </w:r>
      <w:r w:rsidR="00E52739">
        <w:rPr>
          <w:sz w:val="22"/>
          <w:szCs w:val="22"/>
          <w:lang w:val="en-GB"/>
        </w:rPr>
        <w:t xml:space="preserve"> In addition, it is hypothesised that lower levels of</w:t>
      </w:r>
      <w:r w:rsidR="00CE16D2">
        <w:rPr>
          <w:sz w:val="22"/>
          <w:szCs w:val="22"/>
          <w:lang w:val="en-GB"/>
        </w:rPr>
        <w:t xml:space="preserve"> </w:t>
      </w:r>
      <w:r w:rsidR="00E52739">
        <w:rPr>
          <w:sz w:val="22"/>
          <w:szCs w:val="22"/>
          <w:lang w:val="en-GB"/>
        </w:rPr>
        <w:t>perceived neighbourhood cohesion</w:t>
      </w:r>
      <w:r>
        <w:rPr>
          <w:sz w:val="22"/>
          <w:szCs w:val="22"/>
          <w:lang w:val="en-GB"/>
        </w:rPr>
        <w:t xml:space="preserve"> </w:t>
      </w:r>
      <w:r w:rsidR="00E52739">
        <w:rPr>
          <w:sz w:val="22"/>
          <w:szCs w:val="22"/>
          <w:lang w:val="en-GB"/>
        </w:rPr>
        <w:t xml:space="preserve">is associated with less use of neighbourhood resources by older persons. </w:t>
      </w:r>
      <w:r>
        <w:rPr>
          <w:sz w:val="22"/>
          <w:szCs w:val="22"/>
          <w:lang w:val="en-GB"/>
        </w:rPr>
        <w:t xml:space="preserve">It is expected that these associations are stronger in older adults with LLOA than in those without the condition. </w:t>
      </w:r>
    </w:p>
    <w:p w:rsidR="005E6EC6" w:rsidRDefault="005E6EC6" w:rsidP="00535D67">
      <w:pPr>
        <w:spacing w:line="480" w:lineRule="auto"/>
        <w:ind w:firstLine="708"/>
        <w:jc w:val="both"/>
        <w:rPr>
          <w:sz w:val="22"/>
          <w:szCs w:val="22"/>
          <w:lang w:val="en-GB"/>
        </w:rPr>
      </w:pPr>
    </w:p>
    <w:p w:rsidR="00535D67" w:rsidRDefault="00535D67">
      <w:pPr>
        <w:rPr>
          <w:b/>
          <w:sz w:val="22"/>
          <w:szCs w:val="22"/>
          <w:lang w:val="en-GB"/>
        </w:rPr>
      </w:pPr>
      <w:r>
        <w:rPr>
          <w:b/>
          <w:sz w:val="22"/>
          <w:szCs w:val="22"/>
          <w:lang w:val="en-GB"/>
        </w:rPr>
        <w:br w:type="page"/>
      </w:r>
    </w:p>
    <w:p w:rsidR="00535D67" w:rsidRPr="00B2709B" w:rsidRDefault="00D0139E" w:rsidP="00535D67">
      <w:pPr>
        <w:spacing w:line="480" w:lineRule="auto"/>
        <w:jc w:val="both"/>
        <w:rPr>
          <w:b/>
          <w:sz w:val="22"/>
          <w:szCs w:val="22"/>
          <w:lang w:val="en-GB"/>
        </w:rPr>
      </w:pPr>
      <w:r>
        <w:rPr>
          <w:b/>
          <w:sz w:val="22"/>
          <w:szCs w:val="22"/>
          <w:lang w:val="en-GB"/>
        </w:rPr>
        <w:lastRenderedPageBreak/>
        <w:t xml:space="preserve">Material and </w:t>
      </w:r>
      <w:r w:rsidR="006F3399">
        <w:rPr>
          <w:b/>
          <w:sz w:val="22"/>
          <w:szCs w:val="22"/>
          <w:lang w:val="en-GB"/>
        </w:rPr>
        <w:t>Methods</w:t>
      </w:r>
    </w:p>
    <w:p w:rsidR="00003F21" w:rsidRPr="00B2709B" w:rsidRDefault="00003F21" w:rsidP="00003F21">
      <w:pPr>
        <w:spacing w:line="480" w:lineRule="auto"/>
        <w:jc w:val="both"/>
        <w:rPr>
          <w:i/>
          <w:sz w:val="22"/>
          <w:szCs w:val="22"/>
          <w:lang w:val="en-GB"/>
        </w:rPr>
      </w:pPr>
      <w:r>
        <w:rPr>
          <w:i/>
          <w:sz w:val="22"/>
          <w:szCs w:val="22"/>
          <w:lang w:val="en-GB"/>
        </w:rPr>
        <w:t>Design and study sample</w:t>
      </w:r>
    </w:p>
    <w:p w:rsidR="00583CA2" w:rsidRPr="008C056D" w:rsidRDefault="003C7140" w:rsidP="00583CA2">
      <w:pPr>
        <w:spacing w:line="480" w:lineRule="auto"/>
        <w:jc w:val="both"/>
        <w:rPr>
          <w:sz w:val="22"/>
          <w:szCs w:val="22"/>
          <w:lang w:val="en-GB"/>
        </w:rPr>
      </w:pPr>
      <w:r w:rsidRPr="0087754D">
        <w:rPr>
          <w:sz w:val="22"/>
          <w:szCs w:val="22"/>
          <w:lang w:val="en-GB"/>
        </w:rPr>
        <w:t xml:space="preserve">The study sample comprised men and women who participated in the United Kingdom (UK) component of the European Project on </w:t>
      </w:r>
      <w:proofErr w:type="spellStart"/>
      <w:r w:rsidRPr="0087754D">
        <w:rPr>
          <w:sz w:val="22"/>
          <w:szCs w:val="22"/>
          <w:lang w:val="en-GB"/>
        </w:rPr>
        <w:t>OSteoArthritis</w:t>
      </w:r>
      <w:proofErr w:type="spellEnd"/>
      <w:r w:rsidRPr="0087754D">
        <w:rPr>
          <w:sz w:val="22"/>
          <w:szCs w:val="22"/>
          <w:lang w:val="en-GB"/>
        </w:rPr>
        <w:t xml:space="preserve"> (EPOSA) and who originally participated in th</w:t>
      </w:r>
      <w:r w:rsidR="00A2117B" w:rsidRPr="0087754D">
        <w:rPr>
          <w:sz w:val="22"/>
          <w:szCs w:val="22"/>
          <w:lang w:val="en-GB"/>
        </w:rPr>
        <w:t>e Hertfordshire Cohort Study (HC</w:t>
      </w:r>
      <w:r w:rsidRPr="0087754D">
        <w:rPr>
          <w:sz w:val="22"/>
          <w:szCs w:val="22"/>
          <w:lang w:val="en-GB"/>
        </w:rPr>
        <w:t>S). The HCS and the EPOSA study have been</w:t>
      </w:r>
      <w:r w:rsidR="00ED21CE" w:rsidRPr="0087754D">
        <w:rPr>
          <w:sz w:val="22"/>
          <w:szCs w:val="22"/>
          <w:lang w:val="en-GB"/>
        </w:rPr>
        <w:t xml:space="preserve"> de</w:t>
      </w:r>
      <w:r w:rsidR="00927AA6" w:rsidRPr="0087754D">
        <w:rPr>
          <w:sz w:val="22"/>
          <w:szCs w:val="22"/>
          <w:lang w:val="en-GB"/>
        </w:rPr>
        <w:t>scribed in detail previously</w:t>
      </w:r>
      <w:r w:rsidR="00BE10A8" w:rsidRPr="0087754D">
        <w:rPr>
          <w:sz w:val="22"/>
          <w:szCs w:val="22"/>
          <w:lang w:val="en-GB"/>
        </w:rPr>
        <w:t xml:space="preserve"> </w:t>
      </w:r>
      <w:r w:rsidR="005E4662" w:rsidRPr="0087754D">
        <w:rPr>
          <w:sz w:val="22"/>
          <w:szCs w:val="22"/>
          <w:lang w:val="en-GB"/>
        </w:rPr>
        <w:t>[25,26</w:t>
      </w:r>
      <w:r w:rsidRPr="0087754D">
        <w:rPr>
          <w:sz w:val="22"/>
          <w:szCs w:val="22"/>
          <w:lang w:val="en-GB"/>
        </w:rPr>
        <w:t>]</w:t>
      </w:r>
      <w:r w:rsidR="00BE10A8" w:rsidRPr="0087754D">
        <w:rPr>
          <w:sz w:val="22"/>
          <w:szCs w:val="22"/>
          <w:lang w:val="en-GB"/>
        </w:rPr>
        <w:t>.</w:t>
      </w:r>
      <w:r w:rsidRPr="0087754D">
        <w:rPr>
          <w:sz w:val="22"/>
          <w:szCs w:val="22"/>
          <w:lang w:val="en-GB"/>
        </w:rPr>
        <w:t xml:space="preserve"> </w:t>
      </w:r>
      <w:r w:rsidR="00003F21" w:rsidRPr="0087754D">
        <w:rPr>
          <w:sz w:val="22"/>
          <w:szCs w:val="22"/>
          <w:lang w:val="en-GB"/>
        </w:rPr>
        <w:t xml:space="preserve">In 1998-2004, men and women born in Hertfordshire (UK), between 1931 and 1939 and still living in the county were recruited to take part in the </w:t>
      </w:r>
      <w:r w:rsidR="00ED21CE" w:rsidRPr="0087754D">
        <w:rPr>
          <w:sz w:val="22"/>
          <w:szCs w:val="22"/>
          <w:lang w:val="en-GB"/>
        </w:rPr>
        <w:t xml:space="preserve">HCS </w:t>
      </w:r>
      <w:r w:rsidR="00003F21" w:rsidRPr="0087754D">
        <w:rPr>
          <w:sz w:val="22"/>
          <w:szCs w:val="22"/>
          <w:lang w:val="en-GB"/>
        </w:rPr>
        <w:t>to evaluate interactions between the genome, the intrauterine and early postnatal environment, and adult diet and lifestyle in the aetiology of c</w:t>
      </w:r>
      <w:r w:rsidR="00ED21CE" w:rsidRPr="0087754D">
        <w:rPr>
          <w:sz w:val="22"/>
          <w:szCs w:val="22"/>
          <w:lang w:val="en-GB"/>
        </w:rPr>
        <w:t>hronic disorders in later life</w:t>
      </w:r>
      <w:r w:rsidR="00BE10A8" w:rsidRPr="0087754D">
        <w:rPr>
          <w:sz w:val="22"/>
          <w:szCs w:val="22"/>
          <w:lang w:val="en-GB"/>
        </w:rPr>
        <w:t xml:space="preserve"> </w:t>
      </w:r>
      <w:r w:rsidR="00003F21" w:rsidRPr="0087754D">
        <w:rPr>
          <w:sz w:val="22"/>
          <w:szCs w:val="22"/>
          <w:lang w:val="en-GB"/>
        </w:rPr>
        <w:t>[2</w:t>
      </w:r>
      <w:r w:rsidR="005E4662" w:rsidRPr="0087754D">
        <w:rPr>
          <w:sz w:val="22"/>
          <w:szCs w:val="22"/>
          <w:lang w:val="en-GB"/>
        </w:rPr>
        <w:t>5</w:t>
      </w:r>
      <w:r w:rsidR="00003F21" w:rsidRPr="0087754D">
        <w:rPr>
          <w:sz w:val="22"/>
          <w:szCs w:val="22"/>
          <w:lang w:val="en-GB"/>
        </w:rPr>
        <w:t>]</w:t>
      </w:r>
      <w:r w:rsidR="00BE10A8" w:rsidRPr="0087754D">
        <w:rPr>
          <w:sz w:val="22"/>
          <w:szCs w:val="22"/>
          <w:lang w:val="en-GB"/>
        </w:rPr>
        <w:t>.</w:t>
      </w:r>
      <w:r w:rsidR="00003F21" w:rsidRPr="0087754D">
        <w:rPr>
          <w:sz w:val="22"/>
          <w:szCs w:val="22"/>
          <w:lang w:val="en-GB"/>
        </w:rPr>
        <w:t xml:space="preserve"> </w:t>
      </w:r>
      <w:r w:rsidRPr="0087754D">
        <w:rPr>
          <w:sz w:val="22"/>
          <w:szCs w:val="22"/>
          <w:lang w:val="en-GB"/>
        </w:rPr>
        <w:t>In 2010, a total of 592 participants from the HCS were invited by letter to participate in the EPOSA study. The EPOSA study focuses on the personal and societal burden of OA and its determinants in older adults in six European countries</w:t>
      </w:r>
      <w:r w:rsidR="00BE10A8" w:rsidRPr="0087754D">
        <w:rPr>
          <w:sz w:val="22"/>
          <w:szCs w:val="22"/>
          <w:lang w:val="en-GB"/>
        </w:rPr>
        <w:t xml:space="preserve"> </w:t>
      </w:r>
      <w:r w:rsidR="0047718C" w:rsidRPr="0087754D">
        <w:rPr>
          <w:sz w:val="22"/>
          <w:szCs w:val="22"/>
          <w:lang w:val="en-GB"/>
        </w:rPr>
        <w:t>[2</w:t>
      </w:r>
      <w:r w:rsidR="005E4662" w:rsidRPr="0087754D">
        <w:rPr>
          <w:sz w:val="22"/>
          <w:szCs w:val="22"/>
          <w:lang w:val="en-GB"/>
        </w:rPr>
        <w:t>6</w:t>
      </w:r>
      <w:r w:rsidR="0047718C" w:rsidRPr="0087754D">
        <w:rPr>
          <w:sz w:val="22"/>
          <w:szCs w:val="22"/>
          <w:lang w:val="en-GB"/>
        </w:rPr>
        <w:t>]</w:t>
      </w:r>
      <w:r w:rsidR="00BE10A8" w:rsidRPr="0087754D">
        <w:rPr>
          <w:sz w:val="22"/>
          <w:szCs w:val="22"/>
          <w:lang w:val="en-GB"/>
        </w:rPr>
        <w:t>.</w:t>
      </w:r>
      <w:r w:rsidRPr="0087754D">
        <w:rPr>
          <w:sz w:val="22"/>
          <w:szCs w:val="22"/>
          <w:lang w:val="en-GB"/>
        </w:rPr>
        <w:t xml:space="preserve"> In total, 444 (75.0%) persons from HCS agreed to participate in the EPOSA baseline study.</w:t>
      </w:r>
      <w:r w:rsidR="006C0F1C" w:rsidRPr="0087754D">
        <w:rPr>
          <w:sz w:val="22"/>
          <w:szCs w:val="22"/>
          <w:lang w:val="en-GB"/>
        </w:rPr>
        <w:t xml:space="preserve"> </w:t>
      </w:r>
      <w:r w:rsidR="00A73792" w:rsidRPr="0087754D">
        <w:rPr>
          <w:sz w:val="22"/>
          <w:szCs w:val="22"/>
          <w:lang w:val="en-GB"/>
        </w:rPr>
        <w:t>D</w:t>
      </w:r>
      <w:r w:rsidR="006C0F1C" w:rsidRPr="0087754D">
        <w:rPr>
          <w:sz w:val="22"/>
          <w:szCs w:val="22"/>
          <w:lang w:val="en-GB"/>
        </w:rPr>
        <w:t>ata on perceived neighbourhood cohesion and perceived neighbourhood problems were collected in 2008 using a postal survey.</w:t>
      </w:r>
      <w:r w:rsidR="008377C5" w:rsidRPr="0087754D">
        <w:rPr>
          <w:sz w:val="22"/>
          <w:szCs w:val="22"/>
          <w:lang w:val="en-GB"/>
        </w:rPr>
        <w:t xml:space="preserve"> </w:t>
      </w:r>
      <w:r w:rsidR="00003F21" w:rsidRPr="0087754D">
        <w:rPr>
          <w:sz w:val="22"/>
          <w:szCs w:val="22"/>
          <w:lang w:val="en-GB"/>
        </w:rPr>
        <w:t xml:space="preserve">Hertfordshire is a stable county in terms </w:t>
      </w:r>
      <w:r w:rsidR="0047718C" w:rsidRPr="0087754D">
        <w:rPr>
          <w:sz w:val="22"/>
          <w:szCs w:val="22"/>
          <w:lang w:val="en-GB"/>
        </w:rPr>
        <w:t>of</w:t>
      </w:r>
      <w:r w:rsidR="00A57A24" w:rsidRPr="0087754D">
        <w:rPr>
          <w:sz w:val="22"/>
          <w:szCs w:val="22"/>
          <w:lang w:val="en-GB"/>
        </w:rPr>
        <w:t xml:space="preserve"> neighbourhood deprivation</w:t>
      </w:r>
      <w:r w:rsidR="00BE10A8" w:rsidRPr="0087754D">
        <w:rPr>
          <w:sz w:val="22"/>
          <w:szCs w:val="22"/>
          <w:lang w:val="en-GB"/>
        </w:rPr>
        <w:t xml:space="preserve"> </w:t>
      </w:r>
      <w:r w:rsidR="00F26AA1" w:rsidRPr="0087754D">
        <w:rPr>
          <w:sz w:val="22"/>
          <w:szCs w:val="22"/>
          <w:lang w:val="en-GB"/>
        </w:rPr>
        <w:t>[27-29</w:t>
      </w:r>
      <w:r w:rsidR="00003F21" w:rsidRPr="0087754D">
        <w:rPr>
          <w:sz w:val="22"/>
          <w:szCs w:val="22"/>
          <w:lang w:val="en-GB"/>
        </w:rPr>
        <w:t>]</w:t>
      </w:r>
      <w:r w:rsidR="00BE10A8" w:rsidRPr="0087754D">
        <w:rPr>
          <w:sz w:val="22"/>
          <w:szCs w:val="22"/>
          <w:lang w:val="en-GB"/>
        </w:rPr>
        <w:t>.</w:t>
      </w:r>
      <w:r w:rsidR="008F72D7" w:rsidRPr="0087754D">
        <w:rPr>
          <w:sz w:val="22"/>
          <w:szCs w:val="22"/>
          <w:lang w:val="en-GB"/>
        </w:rPr>
        <w:t xml:space="preserve"> In this study</w:t>
      </w:r>
      <w:r w:rsidR="00003F21" w:rsidRPr="0087754D">
        <w:rPr>
          <w:sz w:val="22"/>
          <w:szCs w:val="22"/>
          <w:lang w:val="en-GB"/>
        </w:rPr>
        <w:t xml:space="preserve">, it is assumed that perceptions of neighbourhood cohesion and neighbourhood problems remained stable between 2008 and 2010. </w:t>
      </w:r>
      <w:r w:rsidR="00CD0E8F" w:rsidRPr="0087754D">
        <w:rPr>
          <w:sz w:val="22"/>
          <w:szCs w:val="22"/>
          <w:lang w:val="en-GB"/>
        </w:rPr>
        <w:t xml:space="preserve">The participants </w:t>
      </w:r>
      <w:r w:rsidR="00003F21" w:rsidRPr="0087754D">
        <w:rPr>
          <w:sz w:val="22"/>
          <w:szCs w:val="22"/>
          <w:lang w:val="en-GB"/>
        </w:rPr>
        <w:t xml:space="preserve">who moved between </w:t>
      </w:r>
      <w:r w:rsidR="008377C5" w:rsidRPr="0087754D">
        <w:rPr>
          <w:sz w:val="22"/>
          <w:szCs w:val="22"/>
          <w:lang w:val="en-GB"/>
        </w:rPr>
        <w:t>the postal survey</w:t>
      </w:r>
      <w:r w:rsidR="00CD0E8F" w:rsidRPr="0087754D">
        <w:rPr>
          <w:sz w:val="22"/>
          <w:szCs w:val="22"/>
          <w:lang w:val="en-GB"/>
        </w:rPr>
        <w:t xml:space="preserve"> (2008)</w:t>
      </w:r>
      <w:r w:rsidR="008377C5" w:rsidRPr="0087754D">
        <w:rPr>
          <w:sz w:val="22"/>
          <w:szCs w:val="22"/>
          <w:lang w:val="en-GB"/>
        </w:rPr>
        <w:t xml:space="preserve"> and the EPOSA </w:t>
      </w:r>
      <w:r w:rsidR="00CD0E8F" w:rsidRPr="0087754D">
        <w:rPr>
          <w:sz w:val="22"/>
          <w:szCs w:val="22"/>
          <w:lang w:val="en-GB"/>
        </w:rPr>
        <w:t xml:space="preserve">baseline study (2010) </w:t>
      </w:r>
      <w:r w:rsidR="00A57A24" w:rsidRPr="0087754D">
        <w:rPr>
          <w:sz w:val="22"/>
          <w:szCs w:val="22"/>
          <w:lang w:val="en-GB"/>
        </w:rPr>
        <w:t>(n=26)</w:t>
      </w:r>
      <w:r w:rsidR="00991001" w:rsidRPr="0087754D">
        <w:rPr>
          <w:sz w:val="22"/>
          <w:szCs w:val="22"/>
          <w:lang w:val="en-GB"/>
        </w:rPr>
        <w:t xml:space="preserve"> were excluded from the analyses. Moreover, those who had missing data on the presence of LLOA (n=17) were omitted.</w:t>
      </w:r>
      <w:r w:rsidR="00583CA2" w:rsidRPr="0087754D">
        <w:rPr>
          <w:sz w:val="22"/>
          <w:szCs w:val="22"/>
          <w:lang w:val="en-GB"/>
        </w:rPr>
        <w:t xml:space="preserve"> In total, 401 participants were included in the current study.</w:t>
      </w:r>
      <w:r w:rsidR="00991001" w:rsidRPr="0087754D">
        <w:rPr>
          <w:sz w:val="22"/>
          <w:szCs w:val="22"/>
          <w:lang w:val="en-GB"/>
        </w:rPr>
        <w:t xml:space="preserve"> </w:t>
      </w:r>
      <w:r w:rsidR="00CE2F15">
        <w:rPr>
          <w:sz w:val="22"/>
          <w:szCs w:val="22"/>
          <w:lang w:val="en-GB"/>
        </w:rPr>
        <w:t xml:space="preserve">All included </w:t>
      </w:r>
      <w:r w:rsidR="00CE1006">
        <w:rPr>
          <w:sz w:val="22"/>
          <w:szCs w:val="22"/>
          <w:lang w:val="en-GB"/>
        </w:rPr>
        <w:t xml:space="preserve">participants had data available on the use of neighbourhood resources. </w:t>
      </w:r>
      <w:r w:rsidR="00583CA2" w:rsidRPr="0087754D">
        <w:rPr>
          <w:sz w:val="22"/>
          <w:szCs w:val="22"/>
          <w:lang w:val="en-GB"/>
        </w:rPr>
        <w:t>For all included participants, data on objectively measured neighbourhood deprivation in 2010 were available. Data from the postal survey on perceived neighbourhood cohesion and perceived neighbourhood problems were available for 303 and 299 participants, respectively.</w:t>
      </w:r>
      <w:r w:rsidR="00D0738A" w:rsidRPr="0087754D">
        <w:rPr>
          <w:sz w:val="22"/>
          <w:szCs w:val="22"/>
          <w:lang w:val="en-GB"/>
        </w:rPr>
        <w:t xml:space="preserve"> There were no significant differences in characteristics</w:t>
      </w:r>
      <w:r w:rsidR="008D0D0F">
        <w:rPr>
          <w:sz w:val="22"/>
          <w:szCs w:val="22"/>
          <w:lang w:val="en-GB"/>
        </w:rPr>
        <w:t xml:space="preserve"> and neighbourhood measures</w:t>
      </w:r>
      <w:r w:rsidR="00D0738A" w:rsidRPr="0087754D">
        <w:rPr>
          <w:sz w:val="22"/>
          <w:szCs w:val="22"/>
          <w:lang w:val="en-GB"/>
        </w:rPr>
        <w:t xml:space="preserve"> between included </w:t>
      </w:r>
      <w:r w:rsidR="009A41BF">
        <w:rPr>
          <w:sz w:val="22"/>
          <w:szCs w:val="22"/>
          <w:lang w:val="en-GB"/>
        </w:rPr>
        <w:t xml:space="preserve">and excluded participants </w:t>
      </w:r>
      <w:r w:rsidR="00D0738A" w:rsidRPr="008C056D">
        <w:rPr>
          <w:sz w:val="22"/>
          <w:szCs w:val="22"/>
          <w:lang w:val="en-GB"/>
        </w:rPr>
        <w:t xml:space="preserve">(data not shown). </w:t>
      </w:r>
      <w:r w:rsidR="008C056D" w:rsidRPr="008C056D">
        <w:rPr>
          <w:sz w:val="22"/>
          <w:szCs w:val="22"/>
          <w:lang w:val="en-GB"/>
        </w:rPr>
        <w:t>In addition, there were no significant differences in characteristics</w:t>
      </w:r>
      <w:r w:rsidR="00A238CF">
        <w:rPr>
          <w:sz w:val="22"/>
          <w:szCs w:val="22"/>
          <w:lang w:val="en-GB"/>
        </w:rPr>
        <w:t xml:space="preserve"> and neighbourhood deprivation </w:t>
      </w:r>
      <w:r w:rsidR="008C056D" w:rsidRPr="008C056D">
        <w:rPr>
          <w:sz w:val="22"/>
          <w:szCs w:val="22"/>
          <w:lang w:val="en-GB"/>
        </w:rPr>
        <w:t>between</w:t>
      </w:r>
      <w:r w:rsidR="008C056D">
        <w:rPr>
          <w:sz w:val="22"/>
          <w:szCs w:val="22"/>
          <w:lang w:val="en-GB"/>
        </w:rPr>
        <w:t xml:space="preserve"> participants who completed </w:t>
      </w:r>
      <w:r w:rsidR="008C056D" w:rsidRPr="008C056D">
        <w:rPr>
          <w:sz w:val="22"/>
          <w:szCs w:val="22"/>
          <w:lang w:val="en-GB"/>
        </w:rPr>
        <w:t>the postal survey and those who did not</w:t>
      </w:r>
      <w:r w:rsidR="008C056D">
        <w:rPr>
          <w:sz w:val="22"/>
          <w:szCs w:val="22"/>
          <w:lang w:val="en-GB"/>
        </w:rPr>
        <w:t xml:space="preserve"> (data not shown)</w:t>
      </w:r>
      <w:r w:rsidR="008C056D" w:rsidRPr="008C056D">
        <w:rPr>
          <w:sz w:val="22"/>
          <w:szCs w:val="22"/>
          <w:lang w:val="en-GB"/>
        </w:rPr>
        <w:t xml:space="preserve">. </w:t>
      </w:r>
      <w:r w:rsidR="00D0738A" w:rsidRPr="008C056D">
        <w:rPr>
          <w:sz w:val="22"/>
          <w:szCs w:val="22"/>
          <w:lang w:val="en-GB"/>
        </w:rPr>
        <w:t>The study was approved by the Hertfordshire Research Ethics Committee.</w:t>
      </w:r>
    </w:p>
    <w:p w:rsidR="00003F21" w:rsidRDefault="00003F21" w:rsidP="00003F21">
      <w:pPr>
        <w:spacing w:line="480" w:lineRule="auto"/>
        <w:jc w:val="both"/>
        <w:rPr>
          <w:sz w:val="22"/>
          <w:szCs w:val="22"/>
          <w:lang w:val="en-GB"/>
        </w:rPr>
      </w:pPr>
    </w:p>
    <w:p w:rsidR="00D0738A" w:rsidRDefault="00D0738A" w:rsidP="00535D67">
      <w:pPr>
        <w:spacing w:line="480" w:lineRule="auto"/>
        <w:jc w:val="both"/>
        <w:rPr>
          <w:i/>
          <w:sz w:val="22"/>
          <w:szCs w:val="22"/>
          <w:lang w:val="en-GB"/>
        </w:rPr>
      </w:pPr>
    </w:p>
    <w:p w:rsidR="00535D67" w:rsidRPr="00B2709B" w:rsidRDefault="008962E7" w:rsidP="00535D67">
      <w:pPr>
        <w:spacing w:line="480" w:lineRule="auto"/>
        <w:jc w:val="both"/>
        <w:rPr>
          <w:i/>
          <w:sz w:val="22"/>
          <w:szCs w:val="22"/>
          <w:lang w:val="en-GB"/>
        </w:rPr>
      </w:pPr>
      <w:r>
        <w:rPr>
          <w:i/>
          <w:sz w:val="22"/>
          <w:szCs w:val="22"/>
          <w:lang w:val="en-GB"/>
        </w:rPr>
        <w:lastRenderedPageBreak/>
        <w:t>U</w:t>
      </w:r>
      <w:r w:rsidR="00535D67" w:rsidRPr="00B2709B">
        <w:rPr>
          <w:i/>
          <w:sz w:val="22"/>
          <w:szCs w:val="22"/>
          <w:lang w:val="en-GB"/>
        </w:rPr>
        <w:t xml:space="preserve">se of neighbourhood </w:t>
      </w:r>
      <w:r w:rsidR="00535D67">
        <w:rPr>
          <w:i/>
          <w:sz w:val="22"/>
          <w:szCs w:val="22"/>
          <w:lang w:val="en-GB"/>
        </w:rPr>
        <w:t>resources</w:t>
      </w:r>
    </w:p>
    <w:p w:rsidR="00535D67" w:rsidRPr="00D07895" w:rsidRDefault="00461627" w:rsidP="00535D67">
      <w:pPr>
        <w:autoSpaceDE w:val="0"/>
        <w:autoSpaceDN w:val="0"/>
        <w:adjustRightInd w:val="0"/>
        <w:spacing w:line="480" w:lineRule="auto"/>
        <w:jc w:val="both"/>
        <w:rPr>
          <w:sz w:val="22"/>
          <w:szCs w:val="22"/>
          <w:lang w:val="en-GB"/>
        </w:rPr>
      </w:pPr>
      <w:r>
        <w:rPr>
          <w:sz w:val="22"/>
          <w:szCs w:val="22"/>
          <w:lang w:val="en-GB"/>
        </w:rPr>
        <w:t>In the EPOSA baseline study (2010), u</w:t>
      </w:r>
      <w:r w:rsidR="00535D67">
        <w:rPr>
          <w:sz w:val="22"/>
          <w:szCs w:val="22"/>
          <w:lang w:val="en-GB"/>
        </w:rPr>
        <w:t>se</w:t>
      </w:r>
      <w:r w:rsidR="005D66C5">
        <w:rPr>
          <w:sz w:val="22"/>
          <w:szCs w:val="22"/>
          <w:lang w:val="en-GB"/>
        </w:rPr>
        <w:t xml:space="preserve"> of neighbourhood resources was</w:t>
      </w:r>
      <w:r w:rsidR="00535D67">
        <w:rPr>
          <w:sz w:val="22"/>
          <w:szCs w:val="22"/>
          <w:lang w:val="en-GB"/>
        </w:rPr>
        <w:t xml:space="preserve"> assessed using </w:t>
      </w:r>
      <w:r w:rsidR="008B7F06">
        <w:rPr>
          <w:sz w:val="22"/>
          <w:szCs w:val="22"/>
          <w:lang w:val="en-GB"/>
        </w:rPr>
        <w:t xml:space="preserve">a modified version of </w:t>
      </w:r>
      <w:r w:rsidR="00535D67">
        <w:rPr>
          <w:sz w:val="22"/>
          <w:szCs w:val="22"/>
          <w:lang w:val="en-GB"/>
        </w:rPr>
        <w:t xml:space="preserve">the </w:t>
      </w:r>
      <w:r w:rsidR="00535D67" w:rsidRPr="00B2709B">
        <w:rPr>
          <w:sz w:val="22"/>
          <w:szCs w:val="22"/>
          <w:lang w:val="en-US"/>
        </w:rPr>
        <w:t>Home and Community Environment (HACE)</w:t>
      </w:r>
      <w:r w:rsidR="009D6DDC">
        <w:rPr>
          <w:sz w:val="22"/>
          <w:szCs w:val="22"/>
          <w:lang w:val="en-US"/>
        </w:rPr>
        <w:t xml:space="preserve"> </w:t>
      </w:r>
      <w:r w:rsidR="003E7265">
        <w:rPr>
          <w:sz w:val="22"/>
          <w:szCs w:val="22"/>
          <w:lang w:val="en-US"/>
        </w:rPr>
        <w:t>instrume</w:t>
      </w:r>
      <w:r w:rsidR="005D66C5">
        <w:rPr>
          <w:sz w:val="22"/>
          <w:szCs w:val="22"/>
          <w:lang w:val="en-US"/>
        </w:rPr>
        <w:t>nt</w:t>
      </w:r>
      <w:r w:rsidR="00BE10A8">
        <w:rPr>
          <w:sz w:val="22"/>
          <w:szCs w:val="22"/>
          <w:lang w:val="en-US"/>
        </w:rPr>
        <w:t xml:space="preserve"> </w:t>
      </w:r>
      <w:r w:rsidR="00F26AA1">
        <w:rPr>
          <w:sz w:val="22"/>
          <w:szCs w:val="22"/>
          <w:lang w:val="en-US"/>
        </w:rPr>
        <w:t>[30</w:t>
      </w:r>
      <w:r w:rsidR="00535D67">
        <w:rPr>
          <w:sz w:val="22"/>
          <w:szCs w:val="22"/>
          <w:lang w:val="en-US"/>
        </w:rPr>
        <w:t>]</w:t>
      </w:r>
      <w:r w:rsidR="00BE10A8">
        <w:rPr>
          <w:sz w:val="22"/>
          <w:szCs w:val="22"/>
          <w:lang w:val="en-US"/>
        </w:rPr>
        <w:t>.</w:t>
      </w:r>
      <w:r w:rsidR="00535D67" w:rsidRPr="00B2709B">
        <w:rPr>
          <w:sz w:val="22"/>
          <w:szCs w:val="22"/>
          <w:lang w:val="en-US"/>
        </w:rPr>
        <w:t xml:space="preserve"> </w:t>
      </w:r>
      <w:r w:rsidR="008B7F06">
        <w:rPr>
          <w:sz w:val="22"/>
          <w:szCs w:val="22"/>
          <w:lang w:val="en-US"/>
        </w:rPr>
        <w:t>The HACE is a standardized, self-report instrument designed to assess factors in a person’s environment that may influence level</w:t>
      </w:r>
      <w:r w:rsidR="00AE2652">
        <w:rPr>
          <w:sz w:val="22"/>
          <w:szCs w:val="22"/>
          <w:lang w:val="en-US"/>
        </w:rPr>
        <w:t>s</w:t>
      </w:r>
      <w:r w:rsidR="008B7F06">
        <w:rPr>
          <w:sz w:val="22"/>
          <w:szCs w:val="22"/>
          <w:lang w:val="en-US"/>
        </w:rPr>
        <w:t xml:space="preserve"> of participation. The modified version included items pertaining to community mobility and transportation which have </w:t>
      </w:r>
      <w:r w:rsidR="00AE2652">
        <w:rPr>
          <w:sz w:val="22"/>
          <w:szCs w:val="22"/>
          <w:lang w:val="en-US"/>
        </w:rPr>
        <w:t xml:space="preserve">been </w:t>
      </w:r>
      <w:r w:rsidR="008B7F06">
        <w:rPr>
          <w:sz w:val="22"/>
          <w:szCs w:val="22"/>
          <w:lang w:val="en-US"/>
        </w:rPr>
        <w:t xml:space="preserve">shown to be important features of the </w:t>
      </w:r>
      <w:proofErr w:type="spellStart"/>
      <w:r w:rsidR="008B7F06">
        <w:rPr>
          <w:sz w:val="22"/>
          <w:szCs w:val="22"/>
          <w:lang w:val="en-US"/>
        </w:rPr>
        <w:t>neighbourhood</w:t>
      </w:r>
      <w:proofErr w:type="spellEnd"/>
      <w:r w:rsidR="008B7F06">
        <w:rPr>
          <w:sz w:val="22"/>
          <w:szCs w:val="22"/>
          <w:lang w:val="en-US"/>
        </w:rPr>
        <w:t xml:space="preserve"> environment for older adults with functional </w:t>
      </w:r>
      <w:r w:rsidR="00A57A24">
        <w:rPr>
          <w:sz w:val="22"/>
          <w:szCs w:val="22"/>
          <w:lang w:val="en-US"/>
        </w:rPr>
        <w:t>limitations</w:t>
      </w:r>
      <w:r w:rsidR="00BE10A8">
        <w:rPr>
          <w:sz w:val="22"/>
          <w:szCs w:val="22"/>
          <w:lang w:val="en-US"/>
        </w:rPr>
        <w:t xml:space="preserve"> </w:t>
      </w:r>
      <w:r w:rsidR="00F26AA1">
        <w:rPr>
          <w:sz w:val="22"/>
          <w:szCs w:val="22"/>
          <w:lang w:val="en-US"/>
        </w:rPr>
        <w:t>[30</w:t>
      </w:r>
      <w:r w:rsidR="008B7F06">
        <w:rPr>
          <w:sz w:val="22"/>
          <w:szCs w:val="22"/>
          <w:lang w:val="en-US"/>
        </w:rPr>
        <w:t>,</w:t>
      </w:r>
      <w:r w:rsidR="00F26AA1">
        <w:rPr>
          <w:sz w:val="22"/>
          <w:szCs w:val="22"/>
          <w:lang w:val="en-US"/>
        </w:rPr>
        <w:t>31</w:t>
      </w:r>
      <w:r w:rsidR="001A6FBE">
        <w:rPr>
          <w:sz w:val="22"/>
          <w:szCs w:val="22"/>
          <w:lang w:val="en-US"/>
        </w:rPr>
        <w:t>]</w:t>
      </w:r>
      <w:r w:rsidR="00BE10A8">
        <w:rPr>
          <w:sz w:val="22"/>
          <w:szCs w:val="22"/>
          <w:lang w:val="en-US"/>
        </w:rPr>
        <w:t>.</w:t>
      </w:r>
      <w:r w:rsidR="008B7F06">
        <w:rPr>
          <w:sz w:val="22"/>
          <w:szCs w:val="22"/>
          <w:lang w:val="en-US"/>
        </w:rPr>
        <w:t xml:space="preserve"> First,</w:t>
      </w:r>
      <w:r w:rsidR="00FA72FB">
        <w:rPr>
          <w:sz w:val="22"/>
          <w:szCs w:val="22"/>
          <w:lang w:val="en-US"/>
        </w:rPr>
        <w:t xml:space="preserve"> </w:t>
      </w:r>
      <w:r w:rsidR="008B7F06">
        <w:rPr>
          <w:sz w:val="22"/>
          <w:szCs w:val="22"/>
          <w:lang w:val="en-US"/>
        </w:rPr>
        <w:t>t</w:t>
      </w:r>
      <w:r w:rsidR="00535D67">
        <w:rPr>
          <w:sz w:val="22"/>
          <w:szCs w:val="22"/>
          <w:lang w:val="en-US"/>
        </w:rPr>
        <w:t>he availability of three resources was assessed by asking the participants: ‘</w:t>
      </w:r>
      <w:r w:rsidR="00535D67" w:rsidRPr="00905AC5">
        <w:rPr>
          <w:sz w:val="22"/>
          <w:szCs w:val="22"/>
          <w:lang w:val="en-US"/>
        </w:rPr>
        <w:t xml:space="preserve">Could you please indicate if any of the following facilities can be found in your </w:t>
      </w:r>
      <w:proofErr w:type="spellStart"/>
      <w:r w:rsidR="00535D67" w:rsidRPr="00905AC5">
        <w:rPr>
          <w:sz w:val="22"/>
          <w:szCs w:val="22"/>
          <w:lang w:val="en-US"/>
        </w:rPr>
        <w:t>neighbo</w:t>
      </w:r>
      <w:r w:rsidR="00535D67">
        <w:rPr>
          <w:sz w:val="22"/>
          <w:szCs w:val="22"/>
          <w:lang w:val="en-US"/>
        </w:rPr>
        <w:t>urhood</w:t>
      </w:r>
      <w:proofErr w:type="spellEnd"/>
      <w:r w:rsidR="00535D67" w:rsidRPr="00905AC5">
        <w:rPr>
          <w:sz w:val="22"/>
          <w:szCs w:val="22"/>
          <w:lang w:val="en-US"/>
        </w:rPr>
        <w:t>?</w:t>
      </w:r>
      <w:r w:rsidR="00535D67">
        <w:rPr>
          <w:sz w:val="22"/>
          <w:szCs w:val="22"/>
          <w:lang w:val="en-US"/>
        </w:rPr>
        <w:t>’</w:t>
      </w:r>
      <w:r w:rsidR="00535D67" w:rsidRPr="00905AC5">
        <w:rPr>
          <w:sz w:val="22"/>
          <w:szCs w:val="22"/>
          <w:lang w:val="en-US"/>
        </w:rPr>
        <w:t xml:space="preserve"> (1) parks and walking areas that are easy to get to and easy to use; (2) places to sit and rest at bus stops, in parks, or in other places where people walk; (3) public </w:t>
      </w:r>
      <w:r w:rsidR="00535D67">
        <w:rPr>
          <w:sz w:val="22"/>
          <w:szCs w:val="22"/>
          <w:lang w:val="en-US"/>
        </w:rPr>
        <w:t>transportation close to home</w:t>
      </w:r>
      <w:r w:rsidR="008B7F06">
        <w:rPr>
          <w:sz w:val="22"/>
          <w:szCs w:val="22"/>
          <w:lang w:val="en-US"/>
        </w:rPr>
        <w:t xml:space="preserve">; and 4) public facilities. </w:t>
      </w:r>
      <w:r w:rsidR="00535D67" w:rsidRPr="00905AC5">
        <w:rPr>
          <w:sz w:val="22"/>
          <w:szCs w:val="22"/>
          <w:lang w:val="en-US"/>
        </w:rPr>
        <w:t>Response categories were ‘a lot’, ‘some’ and ‘not at all’.</w:t>
      </w:r>
      <w:r w:rsidR="00535D67">
        <w:rPr>
          <w:sz w:val="22"/>
          <w:szCs w:val="22"/>
          <w:lang w:val="en-US"/>
        </w:rPr>
        <w:t xml:space="preserve"> </w:t>
      </w:r>
      <w:r w:rsidR="00535D67" w:rsidRPr="00B2709B">
        <w:rPr>
          <w:sz w:val="22"/>
          <w:szCs w:val="22"/>
          <w:lang w:val="en-US"/>
        </w:rPr>
        <w:t xml:space="preserve">When </w:t>
      </w:r>
      <w:r w:rsidR="00535D67" w:rsidRPr="003515D6">
        <w:rPr>
          <w:sz w:val="22"/>
          <w:szCs w:val="22"/>
          <w:lang w:val="en-US"/>
        </w:rPr>
        <w:t>participants answered ‘a lot’ or ‘some’, they were asked whether they made use of the resources (0=no, 1=yes).</w:t>
      </w:r>
    </w:p>
    <w:p w:rsidR="00535D67" w:rsidRPr="00B2709B" w:rsidRDefault="00535D67" w:rsidP="00535D67">
      <w:pPr>
        <w:spacing w:line="480" w:lineRule="auto"/>
        <w:jc w:val="both"/>
        <w:rPr>
          <w:sz w:val="22"/>
          <w:szCs w:val="22"/>
          <w:lang w:val="en-GB"/>
        </w:rPr>
      </w:pPr>
    </w:p>
    <w:p w:rsidR="00535D67" w:rsidRPr="00B2709B" w:rsidRDefault="00535D67" w:rsidP="00535D67">
      <w:pPr>
        <w:spacing w:line="480" w:lineRule="auto"/>
        <w:jc w:val="both"/>
        <w:rPr>
          <w:i/>
          <w:sz w:val="22"/>
          <w:szCs w:val="22"/>
          <w:lang w:val="en-GB"/>
        </w:rPr>
      </w:pPr>
      <w:r>
        <w:rPr>
          <w:i/>
          <w:sz w:val="22"/>
          <w:szCs w:val="22"/>
          <w:lang w:val="en-GB"/>
        </w:rPr>
        <w:t>Perceived n</w:t>
      </w:r>
      <w:r w:rsidRPr="00B2709B">
        <w:rPr>
          <w:i/>
          <w:sz w:val="22"/>
          <w:szCs w:val="22"/>
          <w:lang w:val="en-GB"/>
        </w:rPr>
        <w:t>eighbourhood cohesion</w:t>
      </w:r>
    </w:p>
    <w:p w:rsidR="00535D67" w:rsidRDefault="00461627" w:rsidP="00535D67">
      <w:pPr>
        <w:spacing w:line="480" w:lineRule="auto"/>
        <w:jc w:val="both"/>
        <w:rPr>
          <w:sz w:val="22"/>
          <w:szCs w:val="22"/>
          <w:lang w:val="en-GB"/>
        </w:rPr>
      </w:pPr>
      <w:r>
        <w:rPr>
          <w:sz w:val="22"/>
          <w:szCs w:val="22"/>
          <w:lang w:val="en-GB"/>
        </w:rPr>
        <w:t>In the postal survey (2008), p</w:t>
      </w:r>
      <w:r w:rsidR="002061AE">
        <w:rPr>
          <w:sz w:val="22"/>
          <w:szCs w:val="22"/>
          <w:lang w:val="en-GB"/>
        </w:rPr>
        <w:t>erceived n</w:t>
      </w:r>
      <w:r w:rsidR="00535D67" w:rsidRPr="00B2709B">
        <w:rPr>
          <w:sz w:val="22"/>
          <w:szCs w:val="22"/>
          <w:lang w:val="en-GB"/>
        </w:rPr>
        <w:t>eighbourhood cohesion was assessed using eight items from the 18-it</w:t>
      </w:r>
      <w:r w:rsidR="00535D67">
        <w:rPr>
          <w:sz w:val="22"/>
          <w:szCs w:val="22"/>
          <w:lang w:val="en-GB"/>
        </w:rPr>
        <w:t>em Neighbourhood Cohesion Scale</w:t>
      </w:r>
      <w:r w:rsidR="005D062F">
        <w:rPr>
          <w:sz w:val="22"/>
          <w:szCs w:val="22"/>
          <w:lang w:val="en-GB"/>
        </w:rPr>
        <w:t>, that was developed to measure sense of community, attraction to neighbourhood and social interaction within it</w:t>
      </w:r>
      <w:r w:rsidR="00BE10A8">
        <w:rPr>
          <w:sz w:val="22"/>
          <w:szCs w:val="22"/>
          <w:lang w:val="en-GB"/>
        </w:rPr>
        <w:t xml:space="preserve"> </w:t>
      </w:r>
      <w:r w:rsidR="00F26AA1">
        <w:rPr>
          <w:sz w:val="22"/>
          <w:szCs w:val="22"/>
          <w:lang w:val="en-GB"/>
        </w:rPr>
        <w:t>[21,22,32,33</w:t>
      </w:r>
      <w:r w:rsidR="001A6FBE">
        <w:rPr>
          <w:sz w:val="22"/>
          <w:szCs w:val="22"/>
          <w:lang w:val="en-GB"/>
        </w:rPr>
        <w:t>]</w:t>
      </w:r>
      <w:r w:rsidR="00BE10A8">
        <w:rPr>
          <w:sz w:val="22"/>
          <w:szCs w:val="22"/>
          <w:lang w:val="en-GB"/>
        </w:rPr>
        <w:t>.</w:t>
      </w:r>
      <w:r w:rsidR="005D062F">
        <w:rPr>
          <w:sz w:val="22"/>
          <w:szCs w:val="22"/>
          <w:lang w:val="en-GB"/>
        </w:rPr>
        <w:t xml:space="preserve"> </w:t>
      </w:r>
      <w:r w:rsidR="005D062F" w:rsidRPr="00B2709B">
        <w:rPr>
          <w:sz w:val="22"/>
          <w:szCs w:val="22"/>
          <w:lang w:val="en-GB"/>
        </w:rPr>
        <w:t xml:space="preserve">Examples </w:t>
      </w:r>
      <w:r w:rsidR="002061AE">
        <w:rPr>
          <w:sz w:val="22"/>
          <w:szCs w:val="22"/>
          <w:lang w:val="en-GB"/>
        </w:rPr>
        <w:t xml:space="preserve">of items that were </w:t>
      </w:r>
      <w:r w:rsidR="005D062F" w:rsidRPr="00B2709B">
        <w:rPr>
          <w:sz w:val="22"/>
          <w:szCs w:val="22"/>
          <w:lang w:val="en-GB"/>
        </w:rPr>
        <w:t>include</w:t>
      </w:r>
      <w:r w:rsidR="002061AE">
        <w:rPr>
          <w:sz w:val="22"/>
          <w:szCs w:val="22"/>
          <w:lang w:val="en-GB"/>
        </w:rPr>
        <w:t>d are:</w:t>
      </w:r>
      <w:r w:rsidR="005D062F" w:rsidRPr="00B2709B">
        <w:rPr>
          <w:sz w:val="22"/>
          <w:szCs w:val="22"/>
          <w:lang w:val="en-GB"/>
        </w:rPr>
        <w:t xml:space="preserve"> ‘I feel like I belong to this neighbourhood’ (sense of community), ‘I plan to remain a resident of this neighbourhood for a number of years’ (attraction-to-neighbourhood) and ‘I regularly stop and talk with people in my neighbourhood’ (</w:t>
      </w:r>
      <w:r w:rsidR="005D062F">
        <w:rPr>
          <w:sz w:val="22"/>
          <w:szCs w:val="22"/>
          <w:lang w:val="en-GB"/>
        </w:rPr>
        <w:t>social interaction within neighbourhood</w:t>
      </w:r>
      <w:r w:rsidR="005D062F" w:rsidRPr="00B2709B">
        <w:rPr>
          <w:sz w:val="22"/>
          <w:szCs w:val="22"/>
          <w:lang w:val="en-GB"/>
        </w:rPr>
        <w:t>).</w:t>
      </w:r>
      <w:r w:rsidR="002061AE">
        <w:rPr>
          <w:sz w:val="22"/>
          <w:szCs w:val="22"/>
          <w:lang w:val="en-GB"/>
        </w:rPr>
        <w:t xml:space="preserve"> Participants were asked to indicate how strongly they agreed or disagreed with each statement. </w:t>
      </w:r>
      <w:r w:rsidR="00535D67" w:rsidRPr="00B2709B">
        <w:rPr>
          <w:sz w:val="22"/>
          <w:szCs w:val="22"/>
          <w:lang w:val="en-GB"/>
        </w:rPr>
        <w:t xml:space="preserve">Response options ranged from strongly disagree </w:t>
      </w:r>
      <w:r w:rsidR="00535D67">
        <w:rPr>
          <w:sz w:val="22"/>
          <w:szCs w:val="22"/>
          <w:lang w:val="en-GB"/>
        </w:rPr>
        <w:t xml:space="preserve">to strongly agree </w:t>
      </w:r>
      <w:r w:rsidR="00535D67" w:rsidRPr="00B2709B">
        <w:rPr>
          <w:sz w:val="22"/>
          <w:szCs w:val="22"/>
          <w:lang w:val="en-GB"/>
        </w:rPr>
        <w:t xml:space="preserve">on a 5-point Likert scale. The overall index </w:t>
      </w:r>
      <w:r w:rsidR="00A57A24">
        <w:rPr>
          <w:sz w:val="22"/>
          <w:szCs w:val="22"/>
          <w:lang w:val="en-GB"/>
        </w:rPr>
        <w:t xml:space="preserve">score </w:t>
      </w:r>
      <w:r w:rsidR="00535D67" w:rsidRPr="00B2709B">
        <w:rPr>
          <w:sz w:val="22"/>
          <w:szCs w:val="22"/>
          <w:lang w:val="en-GB"/>
        </w:rPr>
        <w:t xml:space="preserve">ranged from 5 to 40, with higher scores indicating a higher sense of neighbourhood cohesion. </w:t>
      </w:r>
    </w:p>
    <w:p w:rsidR="00A57A24" w:rsidRPr="00FA72FB" w:rsidRDefault="00A57A24" w:rsidP="00535D67">
      <w:pPr>
        <w:spacing w:line="480" w:lineRule="auto"/>
        <w:jc w:val="both"/>
        <w:rPr>
          <w:sz w:val="22"/>
          <w:szCs w:val="22"/>
          <w:lang w:val="en-GB"/>
        </w:rPr>
      </w:pPr>
    </w:p>
    <w:p w:rsidR="00535D67" w:rsidRPr="00B2709B" w:rsidRDefault="00535D67" w:rsidP="00535D67">
      <w:pPr>
        <w:spacing w:line="480" w:lineRule="auto"/>
        <w:jc w:val="both"/>
        <w:rPr>
          <w:i/>
          <w:sz w:val="22"/>
          <w:szCs w:val="22"/>
          <w:lang w:val="en-GB"/>
        </w:rPr>
      </w:pPr>
      <w:r>
        <w:rPr>
          <w:i/>
          <w:sz w:val="22"/>
          <w:szCs w:val="22"/>
          <w:lang w:val="en-GB"/>
        </w:rPr>
        <w:t>Perceived n</w:t>
      </w:r>
      <w:r w:rsidRPr="00B2709B">
        <w:rPr>
          <w:i/>
          <w:sz w:val="22"/>
          <w:szCs w:val="22"/>
          <w:lang w:val="en-GB"/>
        </w:rPr>
        <w:t>eighbourhood problems</w:t>
      </w:r>
    </w:p>
    <w:p w:rsidR="00535D67" w:rsidRDefault="00461627" w:rsidP="00535D67">
      <w:pPr>
        <w:spacing w:line="480" w:lineRule="auto"/>
        <w:jc w:val="both"/>
        <w:rPr>
          <w:sz w:val="22"/>
          <w:szCs w:val="22"/>
          <w:lang w:val="en-GB"/>
        </w:rPr>
      </w:pPr>
      <w:r>
        <w:rPr>
          <w:sz w:val="22"/>
          <w:szCs w:val="22"/>
          <w:lang w:val="en-GB"/>
        </w:rPr>
        <w:t>In the postal survey (2008), p</w:t>
      </w:r>
      <w:r w:rsidR="00535D67">
        <w:rPr>
          <w:sz w:val="22"/>
          <w:szCs w:val="22"/>
          <w:lang w:val="en-GB"/>
        </w:rPr>
        <w:t>erceived n</w:t>
      </w:r>
      <w:proofErr w:type="spellStart"/>
      <w:r w:rsidR="00535D67" w:rsidRPr="00B2709B">
        <w:rPr>
          <w:sz w:val="22"/>
          <w:szCs w:val="22"/>
          <w:lang w:val="en-US"/>
        </w:rPr>
        <w:t>eighbourhood</w:t>
      </w:r>
      <w:proofErr w:type="spellEnd"/>
      <w:r w:rsidR="00535D67" w:rsidRPr="00B2709B">
        <w:rPr>
          <w:sz w:val="22"/>
          <w:szCs w:val="22"/>
          <w:lang w:val="en-US"/>
        </w:rPr>
        <w:t xml:space="preserve"> problems were assessed by asking participants to consider a list of eight problems that people often have with the area where they live and indi</w:t>
      </w:r>
      <w:r w:rsidR="00535D67">
        <w:rPr>
          <w:sz w:val="22"/>
          <w:szCs w:val="22"/>
          <w:lang w:val="en-US"/>
        </w:rPr>
        <w:t xml:space="preserve">cate whether each one was not a </w:t>
      </w:r>
      <w:r w:rsidR="00535D67" w:rsidRPr="00B2709B">
        <w:rPr>
          <w:sz w:val="22"/>
          <w:szCs w:val="22"/>
          <w:lang w:val="en-US"/>
        </w:rPr>
        <w:t>problem</w:t>
      </w:r>
      <w:r w:rsidR="00EB409A">
        <w:rPr>
          <w:sz w:val="22"/>
          <w:szCs w:val="22"/>
          <w:lang w:val="en-US"/>
        </w:rPr>
        <w:t xml:space="preserve"> (score 1)</w:t>
      </w:r>
      <w:r w:rsidR="00535D67" w:rsidRPr="00B2709B">
        <w:rPr>
          <w:sz w:val="22"/>
          <w:szCs w:val="22"/>
          <w:lang w:val="en-US"/>
        </w:rPr>
        <w:t xml:space="preserve">, a small problem </w:t>
      </w:r>
      <w:r w:rsidR="00EB409A">
        <w:rPr>
          <w:sz w:val="22"/>
          <w:szCs w:val="22"/>
          <w:lang w:val="en-US"/>
        </w:rPr>
        <w:t xml:space="preserve">(score 2) </w:t>
      </w:r>
      <w:r w:rsidR="00535D67" w:rsidRPr="00B2709B">
        <w:rPr>
          <w:sz w:val="22"/>
          <w:szCs w:val="22"/>
          <w:lang w:val="en-US"/>
        </w:rPr>
        <w:t xml:space="preserve">or a </w:t>
      </w:r>
      <w:r w:rsidR="00535D67">
        <w:rPr>
          <w:sz w:val="22"/>
          <w:szCs w:val="22"/>
          <w:lang w:val="en-US"/>
        </w:rPr>
        <w:t>big problem</w:t>
      </w:r>
      <w:r w:rsidR="00EB409A">
        <w:rPr>
          <w:sz w:val="22"/>
          <w:szCs w:val="22"/>
          <w:lang w:val="en-US"/>
        </w:rPr>
        <w:t xml:space="preserve"> (score 3)</w:t>
      </w:r>
      <w:r w:rsidR="00535D67" w:rsidRPr="00B2709B">
        <w:rPr>
          <w:sz w:val="22"/>
          <w:szCs w:val="22"/>
          <w:lang w:val="en-US"/>
        </w:rPr>
        <w:t xml:space="preserve"> for them</w:t>
      </w:r>
      <w:r w:rsidR="00BE10A8">
        <w:rPr>
          <w:sz w:val="22"/>
          <w:szCs w:val="22"/>
          <w:lang w:val="en-US"/>
        </w:rPr>
        <w:t xml:space="preserve"> </w:t>
      </w:r>
      <w:r w:rsidR="00E6482B">
        <w:rPr>
          <w:sz w:val="22"/>
          <w:szCs w:val="22"/>
          <w:lang w:val="en-US"/>
        </w:rPr>
        <w:lastRenderedPageBreak/>
        <w:t>[</w:t>
      </w:r>
      <w:r w:rsidR="00F26AA1">
        <w:rPr>
          <w:sz w:val="22"/>
          <w:szCs w:val="22"/>
          <w:lang w:val="en-US"/>
        </w:rPr>
        <w:t>33</w:t>
      </w:r>
      <w:r w:rsidR="00D345CD">
        <w:rPr>
          <w:sz w:val="22"/>
          <w:szCs w:val="22"/>
          <w:lang w:val="en-US"/>
        </w:rPr>
        <w:t>,</w:t>
      </w:r>
      <w:r w:rsidR="00E6482B">
        <w:rPr>
          <w:sz w:val="22"/>
          <w:szCs w:val="22"/>
          <w:lang w:val="en-US"/>
        </w:rPr>
        <w:t>3</w:t>
      </w:r>
      <w:r w:rsidR="00F26AA1">
        <w:rPr>
          <w:sz w:val="22"/>
          <w:szCs w:val="22"/>
          <w:lang w:val="en-US"/>
        </w:rPr>
        <w:t>4</w:t>
      </w:r>
      <w:r w:rsidR="00E6482B">
        <w:rPr>
          <w:sz w:val="22"/>
          <w:szCs w:val="22"/>
          <w:lang w:val="en-US"/>
        </w:rPr>
        <w:t>]</w:t>
      </w:r>
      <w:r w:rsidR="00BE10A8">
        <w:rPr>
          <w:sz w:val="22"/>
          <w:szCs w:val="22"/>
          <w:lang w:val="en-US"/>
        </w:rPr>
        <w:t>.</w:t>
      </w:r>
      <w:r w:rsidR="00E6482B">
        <w:rPr>
          <w:sz w:val="22"/>
          <w:szCs w:val="22"/>
          <w:lang w:val="en-US"/>
        </w:rPr>
        <w:t xml:space="preserve"> </w:t>
      </w:r>
      <w:r w:rsidR="00535D67" w:rsidRPr="00B2709B">
        <w:rPr>
          <w:sz w:val="22"/>
          <w:szCs w:val="22"/>
          <w:lang w:val="en-US"/>
        </w:rPr>
        <w:t xml:space="preserve">The problems were: </w:t>
      </w:r>
      <w:r w:rsidR="008962E7">
        <w:rPr>
          <w:sz w:val="22"/>
          <w:szCs w:val="22"/>
          <w:lang w:val="en-US"/>
        </w:rPr>
        <w:t xml:space="preserve">(1) </w:t>
      </w:r>
      <w:r w:rsidR="00535D67" w:rsidRPr="00B2709B">
        <w:rPr>
          <w:sz w:val="22"/>
          <w:szCs w:val="22"/>
          <w:lang w:val="en-US"/>
        </w:rPr>
        <w:t xml:space="preserve">vandalism, </w:t>
      </w:r>
      <w:r w:rsidR="008962E7">
        <w:rPr>
          <w:sz w:val="22"/>
          <w:szCs w:val="22"/>
          <w:lang w:val="en-US"/>
        </w:rPr>
        <w:t xml:space="preserve">(2) </w:t>
      </w:r>
      <w:r w:rsidR="00535D67">
        <w:rPr>
          <w:sz w:val="22"/>
          <w:szCs w:val="22"/>
          <w:lang w:val="en-US"/>
        </w:rPr>
        <w:t>litter/</w:t>
      </w:r>
      <w:r w:rsidR="00535D67" w:rsidRPr="00B2709B">
        <w:rPr>
          <w:sz w:val="22"/>
          <w:szCs w:val="22"/>
          <w:lang w:val="en-US"/>
        </w:rPr>
        <w:t xml:space="preserve">rubbish, </w:t>
      </w:r>
      <w:r w:rsidR="008962E7">
        <w:rPr>
          <w:sz w:val="22"/>
          <w:szCs w:val="22"/>
          <w:lang w:val="en-US"/>
        </w:rPr>
        <w:t xml:space="preserve">(3) </w:t>
      </w:r>
      <w:r w:rsidR="00535D67">
        <w:rPr>
          <w:sz w:val="22"/>
          <w:szCs w:val="22"/>
          <w:lang w:val="en-US"/>
        </w:rPr>
        <w:t>smells/</w:t>
      </w:r>
      <w:r w:rsidR="00535D67" w:rsidRPr="00B2709B">
        <w:rPr>
          <w:sz w:val="22"/>
          <w:szCs w:val="22"/>
          <w:lang w:val="en-US"/>
        </w:rPr>
        <w:t xml:space="preserve">fumes, </w:t>
      </w:r>
      <w:r w:rsidR="008962E7">
        <w:rPr>
          <w:sz w:val="22"/>
          <w:szCs w:val="22"/>
          <w:lang w:val="en-US"/>
        </w:rPr>
        <w:t xml:space="preserve">(4) </w:t>
      </w:r>
      <w:r w:rsidR="00535D67">
        <w:rPr>
          <w:sz w:val="22"/>
          <w:szCs w:val="22"/>
          <w:lang w:val="en-US"/>
        </w:rPr>
        <w:t xml:space="preserve">assaults/muggings, </w:t>
      </w:r>
      <w:r w:rsidR="008962E7">
        <w:rPr>
          <w:sz w:val="22"/>
          <w:szCs w:val="22"/>
          <w:lang w:val="en-US"/>
        </w:rPr>
        <w:t xml:space="preserve">(5) </w:t>
      </w:r>
      <w:r w:rsidR="00535D67">
        <w:rPr>
          <w:sz w:val="22"/>
          <w:szCs w:val="22"/>
          <w:lang w:val="en-US"/>
        </w:rPr>
        <w:t xml:space="preserve">burglaries, </w:t>
      </w:r>
      <w:r w:rsidR="008962E7">
        <w:rPr>
          <w:sz w:val="22"/>
          <w:szCs w:val="22"/>
          <w:lang w:val="en-US"/>
        </w:rPr>
        <w:t xml:space="preserve">(6) </w:t>
      </w:r>
      <w:r w:rsidR="00535D67" w:rsidRPr="00B2709B">
        <w:rPr>
          <w:sz w:val="22"/>
          <w:szCs w:val="22"/>
          <w:lang w:val="en-US"/>
        </w:rPr>
        <w:t>disturbance by children</w:t>
      </w:r>
      <w:r w:rsidR="00535D67">
        <w:rPr>
          <w:sz w:val="22"/>
          <w:szCs w:val="22"/>
          <w:lang w:val="en-US"/>
        </w:rPr>
        <w:t>/</w:t>
      </w:r>
      <w:r w:rsidR="00535D67" w:rsidRPr="00B2709B">
        <w:rPr>
          <w:sz w:val="22"/>
          <w:szCs w:val="22"/>
          <w:lang w:val="en-US"/>
        </w:rPr>
        <w:t xml:space="preserve">youngsters, </w:t>
      </w:r>
      <w:r w:rsidR="008962E7">
        <w:rPr>
          <w:sz w:val="22"/>
          <w:szCs w:val="22"/>
          <w:lang w:val="en-US"/>
        </w:rPr>
        <w:t xml:space="preserve">(7) </w:t>
      </w:r>
      <w:r w:rsidR="00535D67" w:rsidRPr="00B2709B">
        <w:rPr>
          <w:sz w:val="22"/>
          <w:szCs w:val="22"/>
          <w:lang w:val="en-US"/>
        </w:rPr>
        <w:t xml:space="preserve">traffic, and </w:t>
      </w:r>
      <w:r w:rsidR="008962E7">
        <w:rPr>
          <w:sz w:val="22"/>
          <w:szCs w:val="22"/>
          <w:lang w:val="en-US"/>
        </w:rPr>
        <w:t xml:space="preserve">(8) </w:t>
      </w:r>
      <w:r w:rsidR="00535D67" w:rsidRPr="00B2709B">
        <w:rPr>
          <w:sz w:val="22"/>
          <w:szCs w:val="22"/>
          <w:lang w:val="en-US"/>
        </w:rPr>
        <w:t xml:space="preserve">noise. </w:t>
      </w:r>
      <w:r w:rsidR="00535D67">
        <w:rPr>
          <w:sz w:val="22"/>
          <w:szCs w:val="22"/>
          <w:lang w:val="en-GB"/>
        </w:rPr>
        <w:t xml:space="preserve">The overall index </w:t>
      </w:r>
      <w:r w:rsidR="008962E7">
        <w:rPr>
          <w:sz w:val="22"/>
          <w:szCs w:val="22"/>
          <w:lang w:val="en-GB"/>
        </w:rPr>
        <w:t xml:space="preserve">score </w:t>
      </w:r>
      <w:r w:rsidR="00535D67">
        <w:rPr>
          <w:sz w:val="22"/>
          <w:szCs w:val="22"/>
          <w:lang w:val="en-GB"/>
        </w:rPr>
        <w:t>ranged from 8 to 24, with higher scores indicating more problems</w:t>
      </w:r>
      <w:r w:rsidR="00535D67" w:rsidRPr="00B2709B">
        <w:rPr>
          <w:sz w:val="22"/>
          <w:szCs w:val="22"/>
          <w:lang w:val="en-GB"/>
        </w:rPr>
        <w:t>.</w:t>
      </w:r>
      <w:r w:rsidR="00535D67">
        <w:rPr>
          <w:sz w:val="22"/>
          <w:szCs w:val="22"/>
          <w:lang w:val="en-GB"/>
        </w:rPr>
        <w:t xml:space="preserve"> </w:t>
      </w:r>
    </w:p>
    <w:p w:rsidR="002061AE" w:rsidRPr="00CF2158" w:rsidRDefault="002061AE" w:rsidP="00535D67">
      <w:pPr>
        <w:spacing w:line="480" w:lineRule="auto"/>
        <w:jc w:val="both"/>
        <w:rPr>
          <w:sz w:val="22"/>
          <w:szCs w:val="22"/>
          <w:lang w:val="en-GB"/>
        </w:rPr>
      </w:pPr>
    </w:p>
    <w:p w:rsidR="00535D67" w:rsidRPr="00B2709B" w:rsidRDefault="00535D67" w:rsidP="00535D67">
      <w:pPr>
        <w:spacing w:line="480" w:lineRule="auto"/>
        <w:jc w:val="both"/>
        <w:rPr>
          <w:i/>
          <w:sz w:val="22"/>
          <w:szCs w:val="22"/>
          <w:lang w:val="en-GB"/>
        </w:rPr>
      </w:pPr>
      <w:r>
        <w:rPr>
          <w:i/>
          <w:sz w:val="22"/>
          <w:szCs w:val="22"/>
          <w:lang w:val="en-GB"/>
        </w:rPr>
        <w:t>Objective n</w:t>
      </w:r>
      <w:r w:rsidRPr="00B2709B">
        <w:rPr>
          <w:i/>
          <w:sz w:val="22"/>
          <w:szCs w:val="22"/>
          <w:lang w:val="en-GB"/>
        </w:rPr>
        <w:t>eighbourhood deprivation</w:t>
      </w:r>
    </w:p>
    <w:p w:rsidR="00535D67" w:rsidRPr="00B2709B" w:rsidRDefault="00535D67" w:rsidP="00535D67">
      <w:pPr>
        <w:spacing w:line="480" w:lineRule="auto"/>
        <w:jc w:val="both"/>
        <w:rPr>
          <w:sz w:val="22"/>
          <w:szCs w:val="22"/>
          <w:lang w:val="en-GB"/>
        </w:rPr>
      </w:pPr>
      <w:r w:rsidRPr="00B2709B">
        <w:rPr>
          <w:sz w:val="22"/>
          <w:szCs w:val="22"/>
          <w:lang w:val="en-GB"/>
        </w:rPr>
        <w:t>The post</w:t>
      </w:r>
      <w:r>
        <w:rPr>
          <w:sz w:val="22"/>
          <w:szCs w:val="22"/>
          <w:lang w:val="en-GB"/>
        </w:rPr>
        <w:t>al codes of the participants</w:t>
      </w:r>
      <w:r w:rsidRPr="00B2709B">
        <w:rPr>
          <w:sz w:val="22"/>
          <w:szCs w:val="22"/>
          <w:lang w:val="en-GB"/>
        </w:rPr>
        <w:t xml:space="preserve"> </w:t>
      </w:r>
      <w:r>
        <w:rPr>
          <w:sz w:val="22"/>
          <w:szCs w:val="22"/>
          <w:lang w:val="en-GB"/>
        </w:rPr>
        <w:t>were linked to the 2001 census Lower Super Output A</w:t>
      </w:r>
      <w:r w:rsidRPr="00B2709B">
        <w:rPr>
          <w:sz w:val="22"/>
          <w:szCs w:val="22"/>
          <w:lang w:val="en-GB"/>
        </w:rPr>
        <w:t>reas</w:t>
      </w:r>
      <w:r w:rsidR="00983CEE">
        <w:rPr>
          <w:sz w:val="22"/>
          <w:szCs w:val="22"/>
          <w:lang w:val="en-GB"/>
        </w:rPr>
        <w:t xml:space="preserve"> (LSOAs)</w:t>
      </w:r>
      <w:r w:rsidRPr="00B2709B">
        <w:rPr>
          <w:sz w:val="22"/>
          <w:szCs w:val="22"/>
          <w:lang w:val="en-GB"/>
        </w:rPr>
        <w:t xml:space="preserve"> using the </w:t>
      </w:r>
      <w:proofErr w:type="spellStart"/>
      <w:r w:rsidRPr="00B2709B">
        <w:rPr>
          <w:sz w:val="22"/>
          <w:szCs w:val="22"/>
          <w:lang w:val="en-GB"/>
        </w:rPr>
        <w:t>GeoConvert</w:t>
      </w:r>
      <w:proofErr w:type="spellEnd"/>
      <w:r w:rsidRPr="00B2709B">
        <w:rPr>
          <w:sz w:val="22"/>
          <w:szCs w:val="22"/>
          <w:lang w:val="en-GB"/>
        </w:rPr>
        <w:t xml:space="preserve"> online geography matching tool</w:t>
      </w:r>
      <w:r w:rsidR="00983CEE">
        <w:rPr>
          <w:sz w:val="22"/>
          <w:szCs w:val="22"/>
          <w:lang w:val="en-GB"/>
        </w:rPr>
        <w:t xml:space="preserve">. </w:t>
      </w:r>
      <w:r w:rsidR="00547055">
        <w:rPr>
          <w:sz w:val="22"/>
          <w:szCs w:val="22"/>
          <w:lang w:val="en-GB"/>
        </w:rPr>
        <w:t>On average, t</w:t>
      </w:r>
      <w:r w:rsidR="00983CEE">
        <w:rPr>
          <w:sz w:val="22"/>
          <w:szCs w:val="22"/>
          <w:lang w:val="en-GB"/>
        </w:rPr>
        <w:t xml:space="preserve">hese LSOAs </w:t>
      </w:r>
      <w:r w:rsidR="00547055">
        <w:rPr>
          <w:sz w:val="22"/>
          <w:szCs w:val="22"/>
          <w:lang w:val="en-GB"/>
        </w:rPr>
        <w:t xml:space="preserve">contain approximately 650 households and 1,500 residents </w:t>
      </w:r>
      <w:r w:rsidR="00983CEE">
        <w:rPr>
          <w:sz w:val="22"/>
          <w:szCs w:val="22"/>
          <w:lang w:val="en-GB"/>
        </w:rPr>
        <w:t xml:space="preserve">[29,35]. The LSOAs were linked </w:t>
      </w:r>
      <w:r w:rsidRPr="00B2709B">
        <w:rPr>
          <w:sz w:val="22"/>
          <w:szCs w:val="22"/>
          <w:lang w:val="en-GB"/>
        </w:rPr>
        <w:t>to scores on the Index of Multiple Deprivation</w:t>
      </w:r>
      <w:r>
        <w:rPr>
          <w:sz w:val="22"/>
          <w:szCs w:val="22"/>
          <w:lang w:val="en-GB"/>
        </w:rPr>
        <w:t xml:space="preserve"> 2010</w:t>
      </w:r>
      <w:r w:rsidRPr="00B2709B">
        <w:rPr>
          <w:sz w:val="22"/>
          <w:szCs w:val="22"/>
          <w:lang w:val="en-GB"/>
        </w:rPr>
        <w:t xml:space="preserve"> (IM</w:t>
      </w:r>
      <w:r>
        <w:rPr>
          <w:sz w:val="22"/>
          <w:szCs w:val="22"/>
          <w:lang w:val="en-GB"/>
        </w:rPr>
        <w:t>D-2010)</w:t>
      </w:r>
      <w:r w:rsidR="00BE10A8">
        <w:rPr>
          <w:sz w:val="22"/>
          <w:szCs w:val="22"/>
          <w:lang w:val="en-GB"/>
        </w:rPr>
        <w:t xml:space="preserve"> </w:t>
      </w:r>
      <w:r w:rsidR="009D6DDC">
        <w:rPr>
          <w:sz w:val="22"/>
          <w:szCs w:val="22"/>
          <w:lang w:val="en-GB"/>
        </w:rPr>
        <w:t>[2</w:t>
      </w:r>
      <w:r w:rsidR="005E4662">
        <w:rPr>
          <w:sz w:val="22"/>
          <w:szCs w:val="22"/>
          <w:lang w:val="en-GB"/>
        </w:rPr>
        <w:t>7</w:t>
      </w:r>
      <w:r w:rsidR="00F26AA1">
        <w:rPr>
          <w:sz w:val="22"/>
          <w:szCs w:val="22"/>
          <w:lang w:val="en-GB"/>
        </w:rPr>
        <w:t>,29</w:t>
      </w:r>
      <w:r w:rsidRPr="00B2709B">
        <w:rPr>
          <w:sz w:val="22"/>
          <w:szCs w:val="22"/>
          <w:lang w:val="en-GB"/>
        </w:rPr>
        <w:t>]</w:t>
      </w:r>
      <w:r w:rsidR="00BE10A8">
        <w:rPr>
          <w:sz w:val="22"/>
          <w:szCs w:val="22"/>
          <w:lang w:val="en-GB"/>
        </w:rPr>
        <w:t>.</w:t>
      </w:r>
      <w:r w:rsidRPr="00B2709B">
        <w:rPr>
          <w:sz w:val="22"/>
          <w:szCs w:val="22"/>
          <w:lang w:val="en-GB"/>
        </w:rPr>
        <w:t xml:space="preserve"> The IMD</w:t>
      </w:r>
      <w:r>
        <w:rPr>
          <w:sz w:val="22"/>
          <w:szCs w:val="22"/>
          <w:lang w:val="en-GB"/>
        </w:rPr>
        <w:t>-2010</w:t>
      </w:r>
      <w:r w:rsidRPr="00B2709B">
        <w:rPr>
          <w:sz w:val="22"/>
          <w:szCs w:val="22"/>
          <w:lang w:val="en-GB"/>
        </w:rPr>
        <w:t xml:space="preserve"> provides a measure of area-level multiple deprivation by combining information on seven domains o</w:t>
      </w:r>
      <w:r>
        <w:rPr>
          <w:sz w:val="22"/>
          <w:szCs w:val="22"/>
          <w:lang w:val="en-GB"/>
        </w:rPr>
        <w:t xml:space="preserve">f deprivation, including </w:t>
      </w:r>
      <w:r w:rsidR="00EB409A">
        <w:rPr>
          <w:sz w:val="22"/>
          <w:szCs w:val="22"/>
          <w:lang w:val="en-GB"/>
        </w:rPr>
        <w:t xml:space="preserve">(1) </w:t>
      </w:r>
      <w:r>
        <w:rPr>
          <w:sz w:val="22"/>
          <w:szCs w:val="22"/>
          <w:lang w:val="en-GB"/>
        </w:rPr>
        <w:t>income,</w:t>
      </w:r>
      <w:r w:rsidRPr="00B2709B">
        <w:rPr>
          <w:sz w:val="22"/>
          <w:szCs w:val="22"/>
          <w:lang w:val="en-GB"/>
        </w:rPr>
        <w:t xml:space="preserve"> </w:t>
      </w:r>
      <w:r w:rsidR="00EB409A">
        <w:rPr>
          <w:sz w:val="22"/>
          <w:szCs w:val="22"/>
          <w:lang w:val="en-GB"/>
        </w:rPr>
        <w:t xml:space="preserve">(2) </w:t>
      </w:r>
      <w:r>
        <w:rPr>
          <w:sz w:val="22"/>
          <w:szCs w:val="22"/>
          <w:lang w:val="en-GB"/>
        </w:rPr>
        <w:t xml:space="preserve">employment, </w:t>
      </w:r>
      <w:r w:rsidR="00EB409A">
        <w:rPr>
          <w:sz w:val="22"/>
          <w:szCs w:val="22"/>
          <w:lang w:val="en-GB"/>
        </w:rPr>
        <w:t xml:space="preserve">(3) </w:t>
      </w:r>
      <w:r>
        <w:rPr>
          <w:sz w:val="22"/>
          <w:szCs w:val="22"/>
          <w:lang w:val="en-GB"/>
        </w:rPr>
        <w:t xml:space="preserve">health/ disability, </w:t>
      </w:r>
      <w:r w:rsidR="00EB409A">
        <w:rPr>
          <w:sz w:val="22"/>
          <w:szCs w:val="22"/>
          <w:lang w:val="en-GB"/>
        </w:rPr>
        <w:t xml:space="preserve">(4) </w:t>
      </w:r>
      <w:r>
        <w:rPr>
          <w:sz w:val="22"/>
          <w:szCs w:val="22"/>
          <w:lang w:val="en-GB"/>
        </w:rPr>
        <w:t xml:space="preserve">education/skills/ training, </w:t>
      </w:r>
      <w:r w:rsidR="00EB409A">
        <w:rPr>
          <w:sz w:val="22"/>
          <w:szCs w:val="22"/>
          <w:lang w:val="en-GB"/>
        </w:rPr>
        <w:t xml:space="preserve">(5) </w:t>
      </w:r>
      <w:r>
        <w:rPr>
          <w:sz w:val="22"/>
          <w:szCs w:val="22"/>
          <w:lang w:val="en-GB"/>
        </w:rPr>
        <w:t xml:space="preserve">barriers to housing/services, </w:t>
      </w:r>
      <w:r w:rsidR="00EB409A">
        <w:rPr>
          <w:sz w:val="22"/>
          <w:szCs w:val="22"/>
          <w:lang w:val="en-GB"/>
        </w:rPr>
        <w:t xml:space="preserve">(6) </w:t>
      </w:r>
      <w:r>
        <w:rPr>
          <w:sz w:val="22"/>
          <w:szCs w:val="22"/>
          <w:lang w:val="en-GB"/>
        </w:rPr>
        <w:t>living environment, and</w:t>
      </w:r>
      <w:r w:rsidRPr="00B2709B">
        <w:rPr>
          <w:sz w:val="22"/>
          <w:szCs w:val="22"/>
          <w:lang w:val="en-GB"/>
        </w:rPr>
        <w:t xml:space="preserve"> </w:t>
      </w:r>
      <w:r w:rsidR="00EB409A">
        <w:rPr>
          <w:sz w:val="22"/>
          <w:szCs w:val="22"/>
          <w:lang w:val="en-GB"/>
        </w:rPr>
        <w:t xml:space="preserve">(7) </w:t>
      </w:r>
      <w:r w:rsidRPr="00B2709B">
        <w:rPr>
          <w:sz w:val="22"/>
          <w:szCs w:val="22"/>
          <w:lang w:val="en-GB"/>
        </w:rPr>
        <w:t xml:space="preserve">crime. </w:t>
      </w:r>
      <w:r>
        <w:rPr>
          <w:sz w:val="22"/>
          <w:szCs w:val="22"/>
          <w:lang w:val="en-GB"/>
        </w:rPr>
        <w:t xml:space="preserve">The lowest and highest IMD-2010 in England were 0.53 and 87.80 respectively. </w:t>
      </w:r>
      <w:r w:rsidRPr="00B2709B">
        <w:rPr>
          <w:sz w:val="22"/>
          <w:szCs w:val="22"/>
          <w:lang w:val="en-GB"/>
        </w:rPr>
        <w:t>The higher the IMD</w:t>
      </w:r>
      <w:r>
        <w:rPr>
          <w:sz w:val="22"/>
          <w:szCs w:val="22"/>
          <w:lang w:val="en-GB"/>
        </w:rPr>
        <w:t>-2010</w:t>
      </w:r>
      <w:r w:rsidRPr="00B2709B">
        <w:rPr>
          <w:sz w:val="22"/>
          <w:szCs w:val="22"/>
          <w:lang w:val="en-GB"/>
        </w:rPr>
        <w:t xml:space="preserve"> score, the more deprived the area of residence.</w:t>
      </w:r>
    </w:p>
    <w:p w:rsidR="00EB409A" w:rsidRDefault="00EB409A" w:rsidP="00535D67">
      <w:pPr>
        <w:spacing w:line="480" w:lineRule="auto"/>
        <w:jc w:val="both"/>
        <w:rPr>
          <w:i/>
          <w:sz w:val="22"/>
          <w:szCs w:val="22"/>
          <w:lang w:val="en-GB"/>
        </w:rPr>
      </w:pPr>
    </w:p>
    <w:p w:rsidR="003B40BA" w:rsidRPr="00B2709B" w:rsidRDefault="003B40BA" w:rsidP="003B40BA">
      <w:pPr>
        <w:spacing w:line="480" w:lineRule="auto"/>
        <w:rPr>
          <w:i/>
          <w:sz w:val="22"/>
          <w:szCs w:val="22"/>
          <w:lang w:val="en-GB"/>
        </w:rPr>
      </w:pPr>
      <w:r w:rsidRPr="00901F94">
        <w:rPr>
          <w:i/>
          <w:sz w:val="22"/>
          <w:szCs w:val="22"/>
          <w:lang w:val="en-GB"/>
        </w:rPr>
        <w:t>Potential effect modifier</w:t>
      </w:r>
    </w:p>
    <w:p w:rsidR="003B40BA" w:rsidRPr="00B2709B" w:rsidRDefault="003B40BA" w:rsidP="003B40BA">
      <w:pPr>
        <w:spacing w:line="480" w:lineRule="auto"/>
        <w:jc w:val="both"/>
        <w:rPr>
          <w:sz w:val="22"/>
          <w:szCs w:val="22"/>
          <w:lang w:val="en-US"/>
        </w:rPr>
      </w:pPr>
      <w:r>
        <w:rPr>
          <w:sz w:val="22"/>
          <w:szCs w:val="22"/>
          <w:lang w:val="en-US"/>
        </w:rPr>
        <w:t xml:space="preserve">A potential effect modifier was clinical LLOA. </w:t>
      </w:r>
      <w:r w:rsidR="00461627">
        <w:rPr>
          <w:sz w:val="22"/>
          <w:szCs w:val="22"/>
          <w:lang w:val="en-US"/>
        </w:rPr>
        <w:t xml:space="preserve">In the EPOSA baseline study (2010), the </w:t>
      </w:r>
      <w:r w:rsidRPr="00B2709B">
        <w:rPr>
          <w:sz w:val="22"/>
          <w:szCs w:val="22"/>
          <w:lang w:val="en-US"/>
        </w:rPr>
        <w:t xml:space="preserve">American </w:t>
      </w:r>
      <w:r>
        <w:rPr>
          <w:sz w:val="22"/>
          <w:szCs w:val="22"/>
          <w:lang w:val="en-US"/>
        </w:rPr>
        <w:t>College of Rheumatology (ACR) classification criteria were used to diagnose OA in knee and hip</w:t>
      </w:r>
      <w:r w:rsidR="00BE10A8">
        <w:rPr>
          <w:sz w:val="22"/>
          <w:szCs w:val="22"/>
          <w:lang w:val="en-US"/>
        </w:rPr>
        <w:t xml:space="preserve"> </w:t>
      </w:r>
      <w:r>
        <w:rPr>
          <w:sz w:val="22"/>
          <w:szCs w:val="22"/>
          <w:lang w:val="en-US"/>
        </w:rPr>
        <w:t>[</w:t>
      </w:r>
      <w:r w:rsidR="00D345CD">
        <w:rPr>
          <w:sz w:val="22"/>
          <w:szCs w:val="22"/>
          <w:lang w:val="en-US"/>
        </w:rPr>
        <w:t>3</w:t>
      </w:r>
      <w:r w:rsidR="00F26AA1">
        <w:rPr>
          <w:sz w:val="22"/>
          <w:szCs w:val="22"/>
          <w:lang w:val="en-US"/>
        </w:rPr>
        <w:t>6</w:t>
      </w:r>
      <w:r w:rsidR="001A6FBE">
        <w:rPr>
          <w:sz w:val="22"/>
          <w:szCs w:val="22"/>
          <w:lang w:val="en-US"/>
        </w:rPr>
        <w:t>]</w:t>
      </w:r>
      <w:r w:rsidR="00BE10A8">
        <w:rPr>
          <w:sz w:val="22"/>
          <w:szCs w:val="22"/>
          <w:lang w:val="en-US"/>
        </w:rPr>
        <w:t>.</w:t>
      </w:r>
      <w:r>
        <w:rPr>
          <w:sz w:val="22"/>
          <w:szCs w:val="22"/>
          <w:lang w:val="en-US"/>
        </w:rPr>
        <w:t xml:space="preserve"> Lower limb OA was defined as present when the participants had clinical OA in knee and/or hip. An extensive description</w:t>
      </w:r>
      <w:r w:rsidR="00D345CD">
        <w:rPr>
          <w:sz w:val="22"/>
          <w:szCs w:val="22"/>
          <w:lang w:val="en-US"/>
        </w:rPr>
        <w:t xml:space="preserve"> of the diagnosis of OA in knee and hip</w:t>
      </w:r>
      <w:r>
        <w:rPr>
          <w:sz w:val="22"/>
          <w:szCs w:val="22"/>
          <w:lang w:val="en-US"/>
        </w:rPr>
        <w:t xml:space="preserve"> is described else</w:t>
      </w:r>
      <w:r w:rsidR="00D345CD">
        <w:rPr>
          <w:sz w:val="22"/>
          <w:szCs w:val="22"/>
          <w:lang w:val="en-US"/>
        </w:rPr>
        <w:t>where</w:t>
      </w:r>
      <w:r w:rsidR="00BE10A8">
        <w:rPr>
          <w:sz w:val="22"/>
          <w:szCs w:val="22"/>
          <w:lang w:val="en-US"/>
        </w:rPr>
        <w:t xml:space="preserve"> </w:t>
      </w:r>
      <w:r w:rsidR="00D345CD">
        <w:rPr>
          <w:sz w:val="22"/>
          <w:szCs w:val="22"/>
          <w:lang w:val="en-US"/>
        </w:rPr>
        <w:t>[2</w:t>
      </w:r>
      <w:r w:rsidR="005E4662">
        <w:rPr>
          <w:sz w:val="22"/>
          <w:szCs w:val="22"/>
          <w:lang w:val="en-US"/>
        </w:rPr>
        <w:t>6</w:t>
      </w:r>
      <w:r>
        <w:rPr>
          <w:sz w:val="22"/>
          <w:szCs w:val="22"/>
          <w:lang w:val="en-US"/>
        </w:rPr>
        <w:t>]</w:t>
      </w:r>
      <w:r w:rsidR="00BE10A8">
        <w:rPr>
          <w:sz w:val="22"/>
          <w:szCs w:val="22"/>
          <w:lang w:val="en-US"/>
        </w:rPr>
        <w:t>.</w:t>
      </w:r>
    </w:p>
    <w:p w:rsidR="003B40BA" w:rsidRPr="00D345CD" w:rsidRDefault="003B40BA" w:rsidP="00535D67">
      <w:pPr>
        <w:spacing w:line="480" w:lineRule="auto"/>
        <w:jc w:val="both"/>
        <w:rPr>
          <w:i/>
          <w:sz w:val="22"/>
          <w:szCs w:val="22"/>
          <w:lang w:val="en-US"/>
        </w:rPr>
      </w:pPr>
    </w:p>
    <w:p w:rsidR="00535D67" w:rsidRPr="00616DAB" w:rsidRDefault="00535D67" w:rsidP="00535D67">
      <w:pPr>
        <w:spacing w:line="480" w:lineRule="auto"/>
        <w:jc w:val="both"/>
        <w:rPr>
          <w:i/>
          <w:sz w:val="22"/>
          <w:szCs w:val="22"/>
          <w:lang w:val="en-GB"/>
        </w:rPr>
      </w:pPr>
      <w:r>
        <w:rPr>
          <w:i/>
          <w:sz w:val="22"/>
          <w:szCs w:val="22"/>
          <w:lang w:val="en-GB"/>
        </w:rPr>
        <w:t>Potential confounders</w:t>
      </w:r>
    </w:p>
    <w:p w:rsidR="0018103D" w:rsidRDefault="00E7344B" w:rsidP="00535D67">
      <w:pPr>
        <w:spacing w:line="480" w:lineRule="auto"/>
        <w:jc w:val="both"/>
        <w:rPr>
          <w:sz w:val="22"/>
          <w:szCs w:val="22"/>
          <w:lang w:val="en-GB"/>
        </w:rPr>
      </w:pPr>
      <w:r>
        <w:rPr>
          <w:sz w:val="22"/>
          <w:szCs w:val="22"/>
          <w:lang w:val="en-GB"/>
        </w:rPr>
        <w:t>P</w:t>
      </w:r>
      <w:r w:rsidR="00535D67" w:rsidRPr="00B30C19">
        <w:rPr>
          <w:sz w:val="22"/>
          <w:szCs w:val="22"/>
          <w:lang w:val="en-GB"/>
        </w:rPr>
        <w:t>otential confounders</w:t>
      </w:r>
      <w:r>
        <w:rPr>
          <w:sz w:val="22"/>
          <w:szCs w:val="22"/>
          <w:lang w:val="en-GB"/>
        </w:rPr>
        <w:t xml:space="preserve"> included</w:t>
      </w:r>
      <w:r w:rsidR="00535D67" w:rsidRPr="00B30C19">
        <w:rPr>
          <w:sz w:val="22"/>
          <w:szCs w:val="22"/>
          <w:lang w:val="en-GB"/>
        </w:rPr>
        <w:t xml:space="preserve"> age, sex</w:t>
      </w:r>
      <w:r w:rsidR="00535D67">
        <w:rPr>
          <w:sz w:val="22"/>
          <w:szCs w:val="22"/>
          <w:lang w:val="en-GB"/>
        </w:rPr>
        <w:t xml:space="preserve"> (0=men, 1=women)</w:t>
      </w:r>
      <w:r w:rsidR="00535D67" w:rsidRPr="00B30C19">
        <w:rPr>
          <w:sz w:val="22"/>
          <w:szCs w:val="22"/>
          <w:lang w:val="en-GB"/>
        </w:rPr>
        <w:t xml:space="preserve">, </w:t>
      </w:r>
      <w:r w:rsidR="00535D67">
        <w:rPr>
          <w:sz w:val="22"/>
          <w:szCs w:val="22"/>
          <w:lang w:val="en-GB"/>
        </w:rPr>
        <w:t xml:space="preserve">partner status </w:t>
      </w:r>
      <w:r w:rsidR="00535D67" w:rsidRPr="00510C6E">
        <w:rPr>
          <w:sz w:val="22"/>
          <w:szCs w:val="22"/>
          <w:lang w:val="en-US"/>
        </w:rPr>
        <w:t>(0=having no partner, 1=having a partner)</w:t>
      </w:r>
      <w:r w:rsidR="00535D67">
        <w:rPr>
          <w:sz w:val="22"/>
          <w:szCs w:val="22"/>
          <w:lang w:val="en-GB"/>
        </w:rPr>
        <w:t xml:space="preserve">, </w:t>
      </w:r>
      <w:r w:rsidR="00535D67" w:rsidRPr="00B30C19">
        <w:rPr>
          <w:sz w:val="22"/>
          <w:szCs w:val="22"/>
          <w:lang w:val="en-GB"/>
        </w:rPr>
        <w:t>education</w:t>
      </w:r>
      <w:r w:rsidR="00535D67">
        <w:rPr>
          <w:sz w:val="22"/>
          <w:szCs w:val="22"/>
          <w:lang w:val="en-GB"/>
        </w:rPr>
        <w:t>al</w:t>
      </w:r>
      <w:r w:rsidR="00535D67" w:rsidRPr="00B30C19">
        <w:rPr>
          <w:sz w:val="22"/>
          <w:szCs w:val="22"/>
          <w:lang w:val="en-GB"/>
        </w:rPr>
        <w:t xml:space="preserve"> level</w:t>
      </w:r>
      <w:r w:rsidR="00535D67">
        <w:rPr>
          <w:sz w:val="22"/>
          <w:szCs w:val="22"/>
          <w:lang w:val="en-GB"/>
        </w:rPr>
        <w:t xml:space="preserve"> (0=lower educated than secondary education, 1=secondary education or a higher level), </w:t>
      </w:r>
      <w:r w:rsidR="00535D67" w:rsidRPr="006B6B32">
        <w:rPr>
          <w:sz w:val="22"/>
          <w:szCs w:val="22"/>
          <w:lang w:val="en-GB"/>
        </w:rPr>
        <w:t xml:space="preserve">anxiety, </w:t>
      </w:r>
      <w:r w:rsidR="00D345CD">
        <w:rPr>
          <w:sz w:val="22"/>
          <w:szCs w:val="22"/>
          <w:lang w:val="en-GB"/>
        </w:rPr>
        <w:t>depression</w:t>
      </w:r>
      <w:r w:rsidR="00535D67" w:rsidRPr="006B6B32">
        <w:rPr>
          <w:sz w:val="22"/>
          <w:szCs w:val="22"/>
          <w:lang w:val="en-GB"/>
        </w:rPr>
        <w:t xml:space="preserve">, </w:t>
      </w:r>
      <w:r w:rsidR="000E4310">
        <w:rPr>
          <w:sz w:val="22"/>
          <w:szCs w:val="22"/>
          <w:lang w:val="en-GB"/>
        </w:rPr>
        <w:t>comorbidity</w:t>
      </w:r>
      <w:r w:rsidR="00535D67">
        <w:rPr>
          <w:sz w:val="22"/>
          <w:szCs w:val="22"/>
          <w:lang w:val="en-GB"/>
        </w:rPr>
        <w:t xml:space="preserve">, </w:t>
      </w:r>
      <w:r w:rsidR="00EB409A">
        <w:rPr>
          <w:sz w:val="22"/>
          <w:szCs w:val="22"/>
          <w:lang w:val="en-GB"/>
        </w:rPr>
        <w:t xml:space="preserve">and </w:t>
      </w:r>
      <w:r w:rsidR="00535D67">
        <w:rPr>
          <w:sz w:val="22"/>
          <w:szCs w:val="22"/>
          <w:lang w:val="en-GB"/>
        </w:rPr>
        <w:t>physical activity</w:t>
      </w:r>
      <w:r w:rsidR="0076581F">
        <w:rPr>
          <w:sz w:val="22"/>
          <w:szCs w:val="22"/>
          <w:lang w:val="en-GB"/>
        </w:rPr>
        <w:t>, which were previously found to be associated with the use of neighbourhood resources and the three neighbourhood measures</w:t>
      </w:r>
      <w:r w:rsidR="0018103D">
        <w:rPr>
          <w:sz w:val="22"/>
          <w:szCs w:val="22"/>
          <w:lang w:val="en-GB"/>
        </w:rPr>
        <w:t xml:space="preserve"> [</w:t>
      </w:r>
      <w:r w:rsidR="008A65BA">
        <w:rPr>
          <w:sz w:val="22"/>
          <w:szCs w:val="22"/>
          <w:lang w:val="en-GB"/>
        </w:rPr>
        <w:t>3</w:t>
      </w:r>
      <w:r w:rsidR="00F26AA1">
        <w:rPr>
          <w:sz w:val="22"/>
          <w:szCs w:val="22"/>
          <w:lang w:val="en-GB"/>
        </w:rPr>
        <w:t>7</w:t>
      </w:r>
      <w:r w:rsidR="0018103D">
        <w:rPr>
          <w:sz w:val="22"/>
          <w:szCs w:val="22"/>
          <w:lang w:val="en-GB"/>
        </w:rPr>
        <w:t>]</w:t>
      </w:r>
      <w:r w:rsidR="0076581F">
        <w:rPr>
          <w:sz w:val="22"/>
          <w:szCs w:val="22"/>
          <w:lang w:val="en-GB"/>
        </w:rPr>
        <w:t>.</w:t>
      </w:r>
      <w:r w:rsidR="00461627">
        <w:rPr>
          <w:sz w:val="22"/>
          <w:szCs w:val="22"/>
          <w:lang w:val="en-GB"/>
        </w:rPr>
        <w:t xml:space="preserve"> Data on these potential confounders were collected in the EPOSA baseline study</w:t>
      </w:r>
      <w:r>
        <w:rPr>
          <w:sz w:val="22"/>
          <w:szCs w:val="22"/>
          <w:lang w:val="en-GB"/>
        </w:rPr>
        <w:t xml:space="preserve"> </w:t>
      </w:r>
      <w:r w:rsidR="0018103D">
        <w:rPr>
          <w:sz w:val="22"/>
          <w:szCs w:val="22"/>
          <w:lang w:val="en-GB"/>
        </w:rPr>
        <w:t>in 2010.</w:t>
      </w:r>
    </w:p>
    <w:p w:rsidR="008700E1" w:rsidRDefault="008700E1" w:rsidP="008700E1">
      <w:pPr>
        <w:spacing w:line="480" w:lineRule="auto"/>
        <w:ind w:firstLine="708"/>
        <w:jc w:val="both"/>
        <w:rPr>
          <w:sz w:val="22"/>
          <w:szCs w:val="22"/>
          <w:lang w:val="en-US"/>
        </w:rPr>
      </w:pPr>
      <w:r w:rsidRPr="008700E1">
        <w:rPr>
          <w:rStyle w:val="paragraph24752463"/>
          <w:sz w:val="22"/>
          <w:szCs w:val="22"/>
          <w:lang w:val="en-US"/>
        </w:rPr>
        <w:t>Anxiety and depressive symptoms were examined by the Hospital Anxiety Depression Scales (HADS)</w:t>
      </w:r>
      <w:r w:rsidR="00BE10A8">
        <w:rPr>
          <w:rStyle w:val="paragraph24752463"/>
          <w:sz w:val="22"/>
          <w:szCs w:val="22"/>
          <w:lang w:val="en-US"/>
        </w:rPr>
        <w:t xml:space="preserve"> </w:t>
      </w:r>
      <w:r w:rsidR="008A65BA">
        <w:rPr>
          <w:rStyle w:val="paragraph24752463"/>
          <w:sz w:val="22"/>
          <w:szCs w:val="22"/>
          <w:lang w:val="en-US"/>
        </w:rPr>
        <w:t>[3</w:t>
      </w:r>
      <w:r w:rsidR="00F26AA1">
        <w:rPr>
          <w:rStyle w:val="paragraph24752463"/>
          <w:sz w:val="22"/>
          <w:szCs w:val="22"/>
          <w:lang w:val="en-US"/>
        </w:rPr>
        <w:t>8</w:t>
      </w:r>
      <w:r w:rsidR="001A6FBE">
        <w:rPr>
          <w:rStyle w:val="paragraph24752463"/>
          <w:sz w:val="22"/>
          <w:szCs w:val="22"/>
          <w:lang w:val="en-US"/>
        </w:rPr>
        <w:t>]</w:t>
      </w:r>
      <w:r w:rsidR="00BE10A8">
        <w:rPr>
          <w:rStyle w:val="paragraph24752463"/>
          <w:sz w:val="22"/>
          <w:szCs w:val="22"/>
          <w:lang w:val="en-US"/>
        </w:rPr>
        <w:t>.</w:t>
      </w:r>
      <w:r w:rsidRPr="008700E1">
        <w:rPr>
          <w:rStyle w:val="paragraph24752463"/>
          <w:sz w:val="22"/>
          <w:szCs w:val="22"/>
          <w:lang w:val="en-US"/>
        </w:rPr>
        <w:t xml:space="preserve"> </w:t>
      </w:r>
      <w:r>
        <w:rPr>
          <w:rStyle w:val="paragraph24752463"/>
          <w:sz w:val="22"/>
          <w:szCs w:val="22"/>
          <w:lang w:val="en-US"/>
        </w:rPr>
        <w:t xml:space="preserve">The </w:t>
      </w:r>
      <w:r w:rsidRPr="008700E1">
        <w:rPr>
          <w:rStyle w:val="paragraph24752463"/>
          <w:sz w:val="22"/>
          <w:szCs w:val="22"/>
          <w:lang w:val="en-US"/>
        </w:rPr>
        <w:t xml:space="preserve">HADS is a self-report questionnaire comprising 14 four-point Likert scaled items, 7 </w:t>
      </w:r>
      <w:r w:rsidRPr="008700E1">
        <w:rPr>
          <w:rStyle w:val="paragraph24752463"/>
          <w:sz w:val="22"/>
          <w:szCs w:val="22"/>
          <w:lang w:val="en-US"/>
        </w:rPr>
        <w:lastRenderedPageBreak/>
        <w:t xml:space="preserve">for anxiety (HADS-A) and 7 for depression (HADS-D). </w:t>
      </w:r>
      <w:r w:rsidRPr="00824FA7">
        <w:rPr>
          <w:rStyle w:val="paragraph24752463"/>
          <w:sz w:val="22"/>
          <w:szCs w:val="22"/>
          <w:lang w:val="en-US"/>
        </w:rPr>
        <w:t>Both s</w:t>
      </w:r>
      <w:r>
        <w:rPr>
          <w:rStyle w:val="paragraph24752463"/>
          <w:sz w:val="22"/>
          <w:szCs w:val="22"/>
          <w:lang w:val="en-US"/>
        </w:rPr>
        <w:t>cales ranged from 0 to 21 and a cut-off level of 8 or more was used for presence of anxiety and depression.</w:t>
      </w:r>
    </w:p>
    <w:p w:rsidR="00535D67" w:rsidRDefault="000E4310" w:rsidP="00535D67">
      <w:pPr>
        <w:spacing w:line="480" w:lineRule="auto"/>
        <w:ind w:firstLine="708"/>
        <w:jc w:val="both"/>
        <w:rPr>
          <w:sz w:val="22"/>
          <w:szCs w:val="22"/>
          <w:lang w:val="en-US"/>
        </w:rPr>
      </w:pPr>
      <w:r>
        <w:rPr>
          <w:sz w:val="22"/>
          <w:szCs w:val="22"/>
          <w:lang w:val="en-US"/>
        </w:rPr>
        <w:t xml:space="preserve">Comorbidity was measured </w:t>
      </w:r>
      <w:r w:rsidR="00535D67" w:rsidRPr="00C41D45">
        <w:rPr>
          <w:sz w:val="22"/>
          <w:szCs w:val="22"/>
          <w:lang w:val="en-US"/>
        </w:rPr>
        <w:t xml:space="preserve">through self-reported presence of the following chronic diseases or symptoms that lasted for at least three months or diseases for which the participant had been treated or </w:t>
      </w:r>
      <w:r w:rsidR="00535D67">
        <w:rPr>
          <w:sz w:val="22"/>
          <w:szCs w:val="22"/>
          <w:lang w:val="en-US"/>
        </w:rPr>
        <w:t xml:space="preserve">monitored </w:t>
      </w:r>
      <w:r w:rsidR="00535D67" w:rsidRPr="00C41D45">
        <w:rPr>
          <w:sz w:val="22"/>
          <w:szCs w:val="22"/>
          <w:lang w:val="en-US"/>
        </w:rPr>
        <w:t xml:space="preserve">by a physician: chronic non-specific lung disease, cardiovascular diseases, peripheral artery diseases, stroke, diabetes, cancer, and osteoporosis. </w:t>
      </w:r>
      <w:r w:rsidR="00535D67">
        <w:rPr>
          <w:sz w:val="22"/>
          <w:szCs w:val="22"/>
          <w:lang w:val="en-US"/>
        </w:rPr>
        <w:t xml:space="preserve">The number of chronic diseases other than </w:t>
      </w:r>
      <w:r>
        <w:rPr>
          <w:sz w:val="22"/>
          <w:szCs w:val="22"/>
          <w:lang w:val="en-US"/>
        </w:rPr>
        <w:t>LL</w:t>
      </w:r>
      <w:r w:rsidR="00535D67">
        <w:rPr>
          <w:sz w:val="22"/>
          <w:szCs w:val="22"/>
          <w:lang w:val="en-US"/>
        </w:rPr>
        <w:t>OA was categorized into 0, 1, 2 or more chronic diseases.</w:t>
      </w:r>
    </w:p>
    <w:p w:rsidR="00535D67" w:rsidRDefault="00535D67" w:rsidP="00535D67">
      <w:pPr>
        <w:spacing w:line="480" w:lineRule="auto"/>
        <w:ind w:firstLine="708"/>
        <w:jc w:val="both"/>
        <w:rPr>
          <w:sz w:val="22"/>
          <w:szCs w:val="22"/>
          <w:lang w:val="en-GB"/>
        </w:rPr>
      </w:pPr>
      <w:r>
        <w:rPr>
          <w:sz w:val="22"/>
          <w:szCs w:val="22"/>
          <w:lang w:val="en-GB"/>
        </w:rPr>
        <w:t xml:space="preserve">Physical activity was measured using the </w:t>
      </w:r>
      <w:r w:rsidR="00DA7E13">
        <w:rPr>
          <w:sz w:val="22"/>
          <w:szCs w:val="22"/>
          <w:lang w:val="en-GB"/>
        </w:rPr>
        <w:t>Longitudinal Aging Study Amsterdam</w:t>
      </w:r>
      <w:r>
        <w:rPr>
          <w:sz w:val="22"/>
          <w:szCs w:val="22"/>
          <w:lang w:val="en-GB"/>
        </w:rPr>
        <w:t xml:space="preserve"> Physical Activity Ques</w:t>
      </w:r>
      <w:r w:rsidR="000E4310">
        <w:rPr>
          <w:sz w:val="22"/>
          <w:szCs w:val="22"/>
          <w:lang w:val="en-GB"/>
        </w:rPr>
        <w:t>tionnaire (LAPAQ)</w:t>
      </w:r>
      <w:r w:rsidR="00BE10A8">
        <w:rPr>
          <w:sz w:val="22"/>
          <w:szCs w:val="22"/>
          <w:lang w:val="en-GB"/>
        </w:rPr>
        <w:t xml:space="preserve"> </w:t>
      </w:r>
      <w:r w:rsidR="005E4662">
        <w:rPr>
          <w:sz w:val="22"/>
          <w:szCs w:val="22"/>
          <w:lang w:val="en-GB"/>
        </w:rPr>
        <w:t>[3</w:t>
      </w:r>
      <w:r w:rsidR="00F26AA1">
        <w:rPr>
          <w:sz w:val="22"/>
          <w:szCs w:val="22"/>
          <w:lang w:val="en-GB"/>
        </w:rPr>
        <w:t>9</w:t>
      </w:r>
      <w:r>
        <w:rPr>
          <w:sz w:val="22"/>
          <w:szCs w:val="22"/>
          <w:lang w:val="en-GB"/>
        </w:rPr>
        <w:t>]</w:t>
      </w:r>
      <w:r w:rsidR="00BE10A8">
        <w:rPr>
          <w:sz w:val="22"/>
          <w:szCs w:val="22"/>
          <w:lang w:val="en-GB"/>
        </w:rPr>
        <w:t>.</w:t>
      </w:r>
      <w:r w:rsidR="001A6FBE">
        <w:rPr>
          <w:sz w:val="22"/>
          <w:szCs w:val="22"/>
          <w:lang w:val="en-GB"/>
        </w:rPr>
        <w:t xml:space="preserve"> </w:t>
      </w:r>
      <w:r>
        <w:rPr>
          <w:sz w:val="22"/>
          <w:szCs w:val="22"/>
          <w:lang w:val="en-GB"/>
        </w:rPr>
        <w:t xml:space="preserve">The LAPAQ </w:t>
      </w:r>
      <w:r w:rsidRPr="00905AC5">
        <w:rPr>
          <w:sz w:val="22"/>
          <w:szCs w:val="22"/>
          <w:lang w:val="en-US"/>
        </w:rPr>
        <w:t xml:space="preserve">estimates the </w:t>
      </w:r>
      <w:r w:rsidRPr="00AA16D5">
        <w:rPr>
          <w:sz w:val="22"/>
          <w:szCs w:val="22"/>
          <w:lang w:val="en-US"/>
        </w:rPr>
        <w:t>frequency and duration of participation in activities</w:t>
      </w:r>
      <w:r w:rsidR="000E4310">
        <w:rPr>
          <w:sz w:val="22"/>
          <w:szCs w:val="22"/>
          <w:lang w:val="en-US"/>
        </w:rPr>
        <w:t xml:space="preserve"> (walking, bicycling, gardening, light and heavy household tasks, and sports activities) in the previous two weeks, resulting in a total physical activity time in minutes per week.</w:t>
      </w:r>
      <w:r>
        <w:rPr>
          <w:sz w:val="22"/>
          <w:szCs w:val="22"/>
          <w:lang w:val="en-US"/>
        </w:rPr>
        <w:t xml:space="preserve"> </w:t>
      </w:r>
    </w:p>
    <w:p w:rsidR="001F363A" w:rsidRDefault="001F363A" w:rsidP="00535D67">
      <w:pPr>
        <w:spacing w:line="480" w:lineRule="auto"/>
        <w:jc w:val="both"/>
        <w:rPr>
          <w:i/>
          <w:sz w:val="22"/>
          <w:szCs w:val="22"/>
          <w:lang w:val="en-GB"/>
        </w:rPr>
      </w:pPr>
    </w:p>
    <w:p w:rsidR="00535D67" w:rsidRPr="00ED29BA" w:rsidRDefault="00535D67" w:rsidP="00535D67">
      <w:pPr>
        <w:spacing w:line="480" w:lineRule="auto"/>
        <w:jc w:val="both"/>
        <w:rPr>
          <w:i/>
          <w:sz w:val="22"/>
          <w:szCs w:val="22"/>
          <w:lang w:val="en-GB"/>
        </w:rPr>
      </w:pPr>
      <w:r w:rsidRPr="00B2709B">
        <w:rPr>
          <w:i/>
          <w:sz w:val="22"/>
          <w:szCs w:val="22"/>
          <w:lang w:val="en-GB"/>
        </w:rPr>
        <w:t>Statistical analyses</w:t>
      </w:r>
      <w:r>
        <w:rPr>
          <w:i/>
          <w:sz w:val="22"/>
          <w:szCs w:val="22"/>
          <w:lang w:val="en-GB"/>
        </w:rPr>
        <w:t xml:space="preserve"> </w:t>
      </w:r>
    </w:p>
    <w:p w:rsidR="005C580C" w:rsidRDefault="005C580C" w:rsidP="00535D67">
      <w:pPr>
        <w:spacing w:line="480" w:lineRule="auto"/>
        <w:jc w:val="both"/>
        <w:rPr>
          <w:sz w:val="22"/>
          <w:szCs w:val="22"/>
          <w:lang w:val="en-US"/>
        </w:rPr>
      </w:pPr>
      <w:r>
        <w:rPr>
          <w:sz w:val="22"/>
          <w:szCs w:val="22"/>
          <w:lang w:val="en-US"/>
        </w:rPr>
        <w:t>Characteristics of participants with and without LLOA are presented using descriptive statistics. Differences in means were tested using Independent Sample T-Tests for normally distributed variables. Differences in medians were tested using Mann Whitney U Tests for skewed continuous variables and differences in frequencies were tested using Pearson Chi-square tests for frequencies.</w:t>
      </w:r>
    </w:p>
    <w:p w:rsidR="00535D67" w:rsidRDefault="00535D67" w:rsidP="005C580C">
      <w:pPr>
        <w:spacing w:line="480" w:lineRule="auto"/>
        <w:ind w:firstLine="708"/>
        <w:jc w:val="both"/>
        <w:rPr>
          <w:sz w:val="22"/>
          <w:szCs w:val="22"/>
          <w:lang w:val="en-GB"/>
        </w:rPr>
      </w:pPr>
      <w:r w:rsidRPr="00824FA7">
        <w:rPr>
          <w:sz w:val="22"/>
          <w:szCs w:val="22"/>
          <w:lang w:val="en-US"/>
        </w:rPr>
        <w:t xml:space="preserve">Logistic regression analyses were used to examine the associations </w:t>
      </w:r>
      <w:r>
        <w:rPr>
          <w:sz w:val="22"/>
          <w:szCs w:val="22"/>
          <w:lang w:val="en-US"/>
        </w:rPr>
        <w:t xml:space="preserve">of </w:t>
      </w:r>
      <w:r w:rsidRPr="00824FA7">
        <w:rPr>
          <w:sz w:val="22"/>
          <w:szCs w:val="22"/>
          <w:lang w:val="en-US"/>
        </w:rPr>
        <w:t xml:space="preserve">the </w:t>
      </w:r>
      <w:r>
        <w:rPr>
          <w:sz w:val="22"/>
          <w:szCs w:val="22"/>
          <w:lang w:val="en-US"/>
        </w:rPr>
        <w:t xml:space="preserve">three </w:t>
      </w:r>
      <w:proofErr w:type="spellStart"/>
      <w:r w:rsidRPr="00824FA7">
        <w:rPr>
          <w:sz w:val="22"/>
          <w:szCs w:val="22"/>
          <w:lang w:val="en-US"/>
        </w:rPr>
        <w:t>neighbourhood</w:t>
      </w:r>
      <w:proofErr w:type="spellEnd"/>
      <w:r w:rsidRPr="00824FA7">
        <w:rPr>
          <w:sz w:val="22"/>
          <w:szCs w:val="22"/>
          <w:lang w:val="en-US"/>
        </w:rPr>
        <w:t xml:space="preserve"> environment </w:t>
      </w:r>
      <w:r>
        <w:rPr>
          <w:sz w:val="22"/>
          <w:szCs w:val="22"/>
          <w:lang w:val="en-US"/>
        </w:rPr>
        <w:t xml:space="preserve">measures with the </w:t>
      </w:r>
      <w:r w:rsidRPr="00824FA7">
        <w:rPr>
          <w:sz w:val="22"/>
          <w:szCs w:val="22"/>
          <w:lang w:val="en-US"/>
        </w:rPr>
        <w:t xml:space="preserve">use of </w:t>
      </w:r>
      <w:proofErr w:type="spellStart"/>
      <w:r w:rsidRPr="00824FA7">
        <w:rPr>
          <w:sz w:val="22"/>
          <w:szCs w:val="22"/>
          <w:lang w:val="en-US"/>
        </w:rPr>
        <w:t>neighbourhood</w:t>
      </w:r>
      <w:proofErr w:type="spellEnd"/>
      <w:r w:rsidRPr="00824FA7">
        <w:rPr>
          <w:sz w:val="22"/>
          <w:szCs w:val="22"/>
          <w:lang w:val="en-US"/>
        </w:rPr>
        <w:t xml:space="preserve"> resources</w:t>
      </w:r>
      <w:r>
        <w:rPr>
          <w:sz w:val="22"/>
          <w:szCs w:val="22"/>
          <w:lang w:val="en-US"/>
        </w:rPr>
        <w:t>.</w:t>
      </w:r>
      <w:r w:rsidRPr="00824FA7">
        <w:rPr>
          <w:sz w:val="22"/>
          <w:szCs w:val="22"/>
          <w:lang w:val="en-US"/>
        </w:rPr>
        <w:t xml:space="preserve"> First, </w:t>
      </w:r>
      <w:r w:rsidR="005C580C">
        <w:rPr>
          <w:sz w:val="22"/>
          <w:szCs w:val="22"/>
          <w:lang w:val="en-US"/>
        </w:rPr>
        <w:t>LL</w:t>
      </w:r>
      <w:r w:rsidRPr="00824FA7">
        <w:rPr>
          <w:sz w:val="22"/>
          <w:szCs w:val="22"/>
          <w:lang w:val="en-US"/>
        </w:rPr>
        <w:t xml:space="preserve">OA was assessed for potential effect modification by examining interaction effects between </w:t>
      </w:r>
      <w:r w:rsidR="005C580C">
        <w:rPr>
          <w:sz w:val="22"/>
          <w:szCs w:val="22"/>
          <w:lang w:val="en-US"/>
        </w:rPr>
        <w:t>LL</w:t>
      </w:r>
      <w:r w:rsidRPr="00824FA7">
        <w:rPr>
          <w:sz w:val="22"/>
          <w:szCs w:val="22"/>
          <w:lang w:val="en-US"/>
        </w:rPr>
        <w:t xml:space="preserve">OA and </w:t>
      </w:r>
      <w:r w:rsidR="005C580C">
        <w:rPr>
          <w:sz w:val="22"/>
          <w:szCs w:val="22"/>
          <w:lang w:val="en-US"/>
        </w:rPr>
        <w:t xml:space="preserve">each of </w:t>
      </w:r>
      <w:r w:rsidRPr="00824FA7">
        <w:rPr>
          <w:sz w:val="22"/>
          <w:szCs w:val="22"/>
          <w:lang w:val="en-US"/>
        </w:rPr>
        <w:t xml:space="preserve">the </w:t>
      </w:r>
      <w:proofErr w:type="spellStart"/>
      <w:r w:rsidRPr="00824FA7">
        <w:rPr>
          <w:sz w:val="22"/>
          <w:szCs w:val="22"/>
          <w:lang w:val="en-US"/>
        </w:rPr>
        <w:t>neighbourhood</w:t>
      </w:r>
      <w:proofErr w:type="spellEnd"/>
      <w:r w:rsidRPr="00824FA7">
        <w:rPr>
          <w:sz w:val="22"/>
          <w:szCs w:val="22"/>
          <w:lang w:val="en-US"/>
        </w:rPr>
        <w:t xml:space="preserve"> environment</w:t>
      </w:r>
      <w:r>
        <w:rPr>
          <w:sz w:val="22"/>
          <w:szCs w:val="22"/>
          <w:lang w:val="en-US"/>
        </w:rPr>
        <w:t xml:space="preserve"> measures</w:t>
      </w:r>
      <w:r w:rsidRPr="00824FA7">
        <w:rPr>
          <w:sz w:val="22"/>
          <w:szCs w:val="22"/>
          <w:lang w:val="en-US"/>
        </w:rPr>
        <w:t xml:space="preserve"> in fully adjusted models. </w:t>
      </w:r>
      <w:r>
        <w:rPr>
          <w:sz w:val="22"/>
          <w:szCs w:val="22"/>
          <w:lang w:val="en-GB"/>
        </w:rPr>
        <w:t>The interaction effects were considered signifi</w:t>
      </w:r>
      <w:r w:rsidR="002E1E43">
        <w:rPr>
          <w:sz w:val="22"/>
          <w:szCs w:val="22"/>
          <w:lang w:val="en-GB"/>
        </w:rPr>
        <w:t>cant at a p-value below 0.10</w:t>
      </w:r>
      <w:r w:rsidR="00BE10A8">
        <w:rPr>
          <w:sz w:val="22"/>
          <w:szCs w:val="22"/>
          <w:lang w:val="en-GB"/>
        </w:rPr>
        <w:t xml:space="preserve"> </w:t>
      </w:r>
      <w:r w:rsidR="00F26AA1">
        <w:rPr>
          <w:sz w:val="22"/>
          <w:szCs w:val="22"/>
          <w:lang w:val="en-GB"/>
        </w:rPr>
        <w:t>[40</w:t>
      </w:r>
      <w:r>
        <w:rPr>
          <w:sz w:val="22"/>
          <w:szCs w:val="22"/>
          <w:lang w:val="en-GB"/>
        </w:rPr>
        <w:t>]</w:t>
      </w:r>
      <w:r w:rsidR="00BE10A8">
        <w:rPr>
          <w:sz w:val="22"/>
          <w:szCs w:val="22"/>
          <w:lang w:val="en-GB"/>
        </w:rPr>
        <w:t>.</w:t>
      </w:r>
      <w:r>
        <w:rPr>
          <w:sz w:val="22"/>
          <w:szCs w:val="22"/>
          <w:lang w:val="en-GB"/>
        </w:rPr>
        <w:t xml:space="preserve"> If a </w:t>
      </w:r>
      <w:r w:rsidR="005C580C">
        <w:rPr>
          <w:sz w:val="22"/>
          <w:szCs w:val="22"/>
          <w:lang w:val="en-GB"/>
        </w:rPr>
        <w:t xml:space="preserve">statistically significant </w:t>
      </w:r>
      <w:r>
        <w:rPr>
          <w:sz w:val="22"/>
          <w:szCs w:val="22"/>
          <w:lang w:val="en-GB"/>
        </w:rPr>
        <w:t>interaction term was</w:t>
      </w:r>
      <w:r w:rsidR="005C580C">
        <w:rPr>
          <w:sz w:val="22"/>
          <w:szCs w:val="22"/>
          <w:lang w:val="en-GB"/>
        </w:rPr>
        <w:t xml:space="preserve"> observed</w:t>
      </w:r>
      <w:r>
        <w:rPr>
          <w:sz w:val="22"/>
          <w:szCs w:val="22"/>
          <w:lang w:val="en-GB"/>
        </w:rPr>
        <w:t xml:space="preserve">, </w:t>
      </w:r>
      <w:r w:rsidR="005C580C">
        <w:rPr>
          <w:sz w:val="22"/>
          <w:szCs w:val="22"/>
          <w:lang w:val="en-GB"/>
        </w:rPr>
        <w:t xml:space="preserve">analyses were stratified for LLOA and </w:t>
      </w:r>
      <w:r>
        <w:rPr>
          <w:sz w:val="22"/>
          <w:szCs w:val="22"/>
          <w:lang w:val="en-GB"/>
        </w:rPr>
        <w:t xml:space="preserve">group-specific associations between the use of neighbourhood resources and the neighbourhood environment were presented. If the interaction effect was not </w:t>
      </w:r>
      <w:r w:rsidR="005C580C">
        <w:rPr>
          <w:sz w:val="22"/>
          <w:szCs w:val="22"/>
          <w:lang w:val="en-GB"/>
        </w:rPr>
        <w:t xml:space="preserve">statistically </w:t>
      </w:r>
      <w:r>
        <w:rPr>
          <w:sz w:val="22"/>
          <w:szCs w:val="22"/>
          <w:lang w:val="en-GB"/>
        </w:rPr>
        <w:t xml:space="preserve">significant, a pooled analysis (also adjusted for </w:t>
      </w:r>
      <w:r w:rsidR="005C580C">
        <w:rPr>
          <w:sz w:val="22"/>
          <w:szCs w:val="22"/>
          <w:lang w:val="en-GB"/>
        </w:rPr>
        <w:t>LL</w:t>
      </w:r>
      <w:r>
        <w:rPr>
          <w:sz w:val="22"/>
          <w:szCs w:val="22"/>
          <w:lang w:val="en-GB"/>
        </w:rPr>
        <w:t>OA) was performed. Second, a</w:t>
      </w:r>
      <w:r w:rsidRPr="00F8019E">
        <w:rPr>
          <w:sz w:val="22"/>
          <w:szCs w:val="22"/>
          <w:lang w:val="en-GB"/>
        </w:rPr>
        <w:t>ll associations</w:t>
      </w:r>
      <w:r>
        <w:rPr>
          <w:sz w:val="22"/>
          <w:szCs w:val="22"/>
          <w:lang w:val="en-GB"/>
        </w:rPr>
        <w:t xml:space="preserve"> between the use of neighbourhood resources and the neighbourhood environment</w:t>
      </w:r>
      <w:r w:rsidRPr="00F8019E">
        <w:rPr>
          <w:sz w:val="22"/>
          <w:szCs w:val="22"/>
          <w:lang w:val="en-GB"/>
        </w:rPr>
        <w:t xml:space="preserve"> </w:t>
      </w:r>
      <w:r>
        <w:rPr>
          <w:sz w:val="22"/>
          <w:szCs w:val="22"/>
          <w:lang w:val="en-GB"/>
        </w:rPr>
        <w:t xml:space="preserve">measures </w:t>
      </w:r>
      <w:r w:rsidRPr="00F8019E">
        <w:rPr>
          <w:sz w:val="22"/>
          <w:szCs w:val="22"/>
          <w:lang w:val="en-GB"/>
        </w:rPr>
        <w:t>were examined in models constructed step by step.</w:t>
      </w:r>
      <w:r>
        <w:rPr>
          <w:sz w:val="22"/>
          <w:szCs w:val="22"/>
          <w:lang w:val="en-GB"/>
        </w:rPr>
        <w:t xml:space="preserve"> M</w:t>
      </w:r>
      <w:r w:rsidR="005C580C">
        <w:rPr>
          <w:sz w:val="22"/>
          <w:szCs w:val="22"/>
          <w:lang w:val="en-GB"/>
        </w:rPr>
        <w:t>odel 1 examined the association of each neighbourhood environment measure with the use of resources</w:t>
      </w:r>
      <w:r>
        <w:rPr>
          <w:sz w:val="22"/>
          <w:szCs w:val="22"/>
          <w:lang w:val="en-GB"/>
        </w:rPr>
        <w:t xml:space="preserve"> adjusted for sex and age. Mo</w:t>
      </w:r>
      <w:r w:rsidR="005C580C">
        <w:rPr>
          <w:sz w:val="22"/>
          <w:szCs w:val="22"/>
          <w:lang w:val="en-GB"/>
        </w:rPr>
        <w:t>del 2 assessed the</w:t>
      </w:r>
      <w:r w:rsidR="00C8639B">
        <w:rPr>
          <w:sz w:val="22"/>
          <w:szCs w:val="22"/>
          <w:lang w:val="en-GB"/>
        </w:rPr>
        <w:t>se</w:t>
      </w:r>
      <w:r w:rsidR="005C580C">
        <w:rPr>
          <w:sz w:val="22"/>
          <w:szCs w:val="22"/>
          <w:lang w:val="en-GB"/>
        </w:rPr>
        <w:t xml:space="preserve"> associations,</w:t>
      </w:r>
      <w:r>
        <w:rPr>
          <w:sz w:val="22"/>
          <w:szCs w:val="22"/>
          <w:lang w:val="en-GB"/>
        </w:rPr>
        <w:t xml:space="preserve"> additionally </w:t>
      </w:r>
      <w:r>
        <w:rPr>
          <w:sz w:val="22"/>
          <w:szCs w:val="22"/>
          <w:lang w:val="en-GB"/>
        </w:rPr>
        <w:lastRenderedPageBreak/>
        <w:t xml:space="preserve">adjusted for </w:t>
      </w:r>
      <w:r w:rsidR="00D865BA">
        <w:rPr>
          <w:sz w:val="22"/>
          <w:szCs w:val="22"/>
          <w:lang w:val="en-GB"/>
        </w:rPr>
        <w:t>all other confounders. Because of multiple testing, the p-value was set to 0.0</w:t>
      </w:r>
      <w:r w:rsidR="00846135">
        <w:rPr>
          <w:sz w:val="22"/>
          <w:szCs w:val="22"/>
          <w:lang w:val="en-GB"/>
        </w:rPr>
        <w:t>1</w:t>
      </w:r>
      <w:r w:rsidR="00D865BA">
        <w:rPr>
          <w:sz w:val="22"/>
          <w:szCs w:val="22"/>
          <w:lang w:val="en-GB"/>
        </w:rPr>
        <w:t xml:space="preserve"> in all models. </w:t>
      </w:r>
      <w:r>
        <w:rPr>
          <w:sz w:val="22"/>
          <w:szCs w:val="22"/>
          <w:lang w:val="en-GB"/>
        </w:rPr>
        <w:t>S</w:t>
      </w:r>
      <w:r w:rsidRPr="00EC4A0E">
        <w:rPr>
          <w:sz w:val="22"/>
          <w:szCs w:val="22"/>
          <w:lang w:val="en-GB"/>
        </w:rPr>
        <w:t>tatistical analyses were performed in IBM SPSS Statistics (version 2</w:t>
      </w:r>
      <w:r>
        <w:rPr>
          <w:sz w:val="22"/>
          <w:szCs w:val="22"/>
          <w:lang w:val="en-GB"/>
        </w:rPr>
        <w:t>0</w:t>
      </w:r>
      <w:r w:rsidRPr="00EC4A0E">
        <w:rPr>
          <w:sz w:val="22"/>
          <w:szCs w:val="22"/>
          <w:lang w:val="en-GB"/>
        </w:rPr>
        <w:t>.0).</w:t>
      </w:r>
    </w:p>
    <w:p w:rsidR="008A65BA" w:rsidRDefault="008A65BA" w:rsidP="003321A5">
      <w:pPr>
        <w:spacing w:line="480" w:lineRule="auto"/>
        <w:jc w:val="both"/>
        <w:rPr>
          <w:b/>
          <w:sz w:val="22"/>
          <w:szCs w:val="22"/>
          <w:lang w:val="en-GB"/>
        </w:rPr>
      </w:pPr>
    </w:p>
    <w:p w:rsidR="00330B9B" w:rsidRDefault="00330B9B">
      <w:pPr>
        <w:rPr>
          <w:b/>
          <w:sz w:val="22"/>
          <w:szCs w:val="22"/>
          <w:lang w:val="en-GB"/>
        </w:rPr>
      </w:pPr>
      <w:r>
        <w:rPr>
          <w:b/>
          <w:sz w:val="22"/>
          <w:szCs w:val="22"/>
          <w:lang w:val="en-GB"/>
        </w:rPr>
        <w:br w:type="page"/>
      </w:r>
    </w:p>
    <w:p w:rsidR="00A46998" w:rsidRDefault="00D13460" w:rsidP="003321A5">
      <w:pPr>
        <w:spacing w:line="480" w:lineRule="auto"/>
        <w:jc w:val="both"/>
        <w:rPr>
          <w:b/>
          <w:sz w:val="22"/>
          <w:szCs w:val="22"/>
          <w:lang w:val="en-GB"/>
        </w:rPr>
      </w:pPr>
      <w:r>
        <w:rPr>
          <w:b/>
          <w:sz w:val="22"/>
          <w:szCs w:val="22"/>
          <w:lang w:val="en-GB"/>
        </w:rPr>
        <w:lastRenderedPageBreak/>
        <w:t>Re</w:t>
      </w:r>
      <w:r w:rsidR="00A46998" w:rsidRPr="00D13460">
        <w:rPr>
          <w:b/>
          <w:sz w:val="22"/>
          <w:szCs w:val="22"/>
          <w:lang w:val="en-GB"/>
        </w:rPr>
        <w:t>sults</w:t>
      </w:r>
    </w:p>
    <w:p w:rsidR="00EB1873" w:rsidRDefault="005F6F37" w:rsidP="00EB1873">
      <w:pPr>
        <w:spacing w:line="480" w:lineRule="auto"/>
        <w:jc w:val="both"/>
        <w:rPr>
          <w:sz w:val="22"/>
          <w:szCs w:val="22"/>
          <w:lang w:val="en-GB"/>
        </w:rPr>
      </w:pPr>
      <w:r w:rsidRPr="00C54581">
        <w:rPr>
          <w:sz w:val="22"/>
          <w:szCs w:val="22"/>
          <w:lang w:val="en-GB"/>
        </w:rPr>
        <w:t xml:space="preserve">The characteristics of the participants with and without </w:t>
      </w:r>
      <w:r w:rsidR="00B73DDF">
        <w:rPr>
          <w:sz w:val="22"/>
          <w:szCs w:val="22"/>
          <w:lang w:val="en-GB"/>
        </w:rPr>
        <w:t>LL</w:t>
      </w:r>
      <w:r w:rsidR="007823ED">
        <w:rPr>
          <w:sz w:val="22"/>
          <w:szCs w:val="22"/>
          <w:lang w:val="en-GB"/>
        </w:rPr>
        <w:t>OA are presented in t</w:t>
      </w:r>
      <w:r w:rsidRPr="00C54581">
        <w:rPr>
          <w:sz w:val="22"/>
          <w:szCs w:val="22"/>
          <w:lang w:val="en-GB"/>
        </w:rPr>
        <w:t>able 1.</w:t>
      </w:r>
      <w:r>
        <w:rPr>
          <w:sz w:val="22"/>
          <w:szCs w:val="22"/>
          <w:lang w:val="en-GB"/>
        </w:rPr>
        <w:t xml:space="preserve"> </w:t>
      </w:r>
      <w:r w:rsidR="00464E43">
        <w:rPr>
          <w:sz w:val="22"/>
          <w:szCs w:val="22"/>
          <w:lang w:val="en-GB"/>
        </w:rPr>
        <w:t>The mean age of all 401</w:t>
      </w:r>
      <w:r w:rsidR="00535D67" w:rsidRPr="00C54581">
        <w:rPr>
          <w:sz w:val="22"/>
          <w:szCs w:val="22"/>
          <w:lang w:val="en-GB"/>
        </w:rPr>
        <w:t xml:space="preserve"> participants was 75.2 (SD=2.6) years with an age</w:t>
      </w:r>
      <w:r w:rsidR="00535D67" w:rsidRPr="00FF42C4">
        <w:rPr>
          <w:sz w:val="22"/>
          <w:szCs w:val="22"/>
          <w:lang w:val="en-GB"/>
        </w:rPr>
        <w:t>-range of 71-80 years. Of all partic</w:t>
      </w:r>
      <w:r w:rsidR="00464E43" w:rsidRPr="00FF42C4">
        <w:rPr>
          <w:sz w:val="22"/>
          <w:szCs w:val="22"/>
          <w:lang w:val="en-GB"/>
        </w:rPr>
        <w:t>ipants, 202</w:t>
      </w:r>
      <w:r w:rsidR="00CE16D2">
        <w:rPr>
          <w:sz w:val="22"/>
          <w:szCs w:val="22"/>
          <w:lang w:val="en-GB"/>
        </w:rPr>
        <w:t xml:space="preserve"> (50</w:t>
      </w:r>
      <w:r w:rsidR="00535D67" w:rsidRPr="00FF42C4">
        <w:rPr>
          <w:sz w:val="22"/>
          <w:szCs w:val="22"/>
          <w:lang w:val="en-GB"/>
        </w:rPr>
        <w:t>.</w:t>
      </w:r>
      <w:r w:rsidR="00464E43" w:rsidRPr="00FF42C4">
        <w:rPr>
          <w:sz w:val="22"/>
          <w:szCs w:val="22"/>
          <w:lang w:val="en-GB"/>
        </w:rPr>
        <w:t>4</w:t>
      </w:r>
      <w:r w:rsidR="00876E4E" w:rsidRPr="00FF42C4">
        <w:rPr>
          <w:sz w:val="22"/>
          <w:szCs w:val="22"/>
          <w:lang w:val="en-GB"/>
        </w:rPr>
        <w:t>%) were female and 74</w:t>
      </w:r>
      <w:r w:rsidR="00535D67" w:rsidRPr="00FF42C4">
        <w:rPr>
          <w:sz w:val="22"/>
          <w:szCs w:val="22"/>
          <w:lang w:val="en-GB"/>
        </w:rPr>
        <w:t xml:space="preserve"> </w:t>
      </w:r>
      <w:r w:rsidR="00876E4E" w:rsidRPr="00FF42C4">
        <w:rPr>
          <w:sz w:val="22"/>
          <w:szCs w:val="22"/>
          <w:lang w:val="en-GB"/>
        </w:rPr>
        <w:t>(18.5</w:t>
      </w:r>
      <w:r w:rsidR="00535D67" w:rsidRPr="00FF42C4">
        <w:rPr>
          <w:sz w:val="22"/>
          <w:szCs w:val="22"/>
          <w:lang w:val="en-GB"/>
        </w:rPr>
        <w:t xml:space="preserve">%) persons had </w:t>
      </w:r>
      <w:r w:rsidR="000E4310" w:rsidRPr="00FF42C4">
        <w:rPr>
          <w:sz w:val="22"/>
          <w:szCs w:val="22"/>
          <w:lang w:val="en-GB"/>
        </w:rPr>
        <w:t>LL</w:t>
      </w:r>
      <w:r w:rsidR="00535D67" w:rsidRPr="00FF42C4">
        <w:rPr>
          <w:sz w:val="22"/>
          <w:szCs w:val="22"/>
          <w:lang w:val="en-GB"/>
        </w:rPr>
        <w:t xml:space="preserve">OA. </w:t>
      </w:r>
      <w:r w:rsidRPr="00FF42C4">
        <w:rPr>
          <w:sz w:val="22"/>
          <w:szCs w:val="22"/>
          <w:lang w:val="en-GB"/>
        </w:rPr>
        <w:t>O</w:t>
      </w:r>
      <w:r w:rsidR="00FF42C4" w:rsidRPr="00FF42C4">
        <w:rPr>
          <w:sz w:val="22"/>
          <w:szCs w:val="22"/>
          <w:lang w:val="en-GB"/>
        </w:rPr>
        <w:t>f the participants with LLOA, 12.2</w:t>
      </w:r>
      <w:r w:rsidRPr="00FF42C4">
        <w:rPr>
          <w:sz w:val="22"/>
          <w:szCs w:val="22"/>
          <w:lang w:val="en-GB"/>
        </w:rPr>
        <w:t>%</w:t>
      </w:r>
      <w:r w:rsidR="00FF42C4" w:rsidRPr="00FF42C4">
        <w:rPr>
          <w:sz w:val="22"/>
          <w:szCs w:val="22"/>
          <w:lang w:val="en-GB"/>
        </w:rPr>
        <w:t xml:space="preserve"> had clinical hip OA, 75.6% had clinical </w:t>
      </w:r>
      <w:r w:rsidR="00AA3D1B">
        <w:rPr>
          <w:sz w:val="22"/>
          <w:szCs w:val="22"/>
          <w:lang w:val="en-GB"/>
        </w:rPr>
        <w:t>knee</w:t>
      </w:r>
      <w:r w:rsidR="00FF42C4" w:rsidRPr="00FF42C4">
        <w:rPr>
          <w:sz w:val="22"/>
          <w:szCs w:val="22"/>
          <w:lang w:val="en-GB"/>
        </w:rPr>
        <w:t xml:space="preserve"> OA, and 12</w:t>
      </w:r>
      <w:r w:rsidR="00874B08">
        <w:rPr>
          <w:sz w:val="22"/>
          <w:szCs w:val="22"/>
          <w:lang w:val="en-GB"/>
        </w:rPr>
        <w:t>.</w:t>
      </w:r>
      <w:r w:rsidR="00FF42C4" w:rsidRPr="00FF42C4">
        <w:rPr>
          <w:sz w:val="22"/>
          <w:szCs w:val="22"/>
          <w:lang w:val="en-GB"/>
        </w:rPr>
        <w:t>2</w:t>
      </w:r>
      <w:r w:rsidR="00B73DDF" w:rsidRPr="00FF42C4">
        <w:rPr>
          <w:sz w:val="22"/>
          <w:szCs w:val="22"/>
          <w:lang w:val="en-GB"/>
        </w:rPr>
        <w:t xml:space="preserve">% </w:t>
      </w:r>
      <w:r w:rsidR="00FF42C4" w:rsidRPr="00FF42C4">
        <w:rPr>
          <w:sz w:val="22"/>
          <w:szCs w:val="22"/>
          <w:lang w:val="en-GB"/>
        </w:rPr>
        <w:t xml:space="preserve">had </w:t>
      </w:r>
      <w:r w:rsidR="00B73DDF" w:rsidRPr="00FF42C4">
        <w:rPr>
          <w:sz w:val="22"/>
          <w:szCs w:val="22"/>
          <w:lang w:val="en-GB"/>
        </w:rPr>
        <w:t xml:space="preserve">both knee and hip OA. </w:t>
      </w:r>
      <w:r w:rsidR="005B0D71" w:rsidRPr="00FF42C4">
        <w:rPr>
          <w:sz w:val="22"/>
          <w:szCs w:val="22"/>
          <w:lang w:val="en-GB"/>
        </w:rPr>
        <w:t>The proportions</w:t>
      </w:r>
      <w:r w:rsidR="005B0D71">
        <w:rPr>
          <w:sz w:val="22"/>
          <w:szCs w:val="22"/>
          <w:lang w:val="en-GB"/>
        </w:rPr>
        <w:t xml:space="preserve"> of wom</w:t>
      </w:r>
      <w:r w:rsidR="00C955EE">
        <w:rPr>
          <w:sz w:val="22"/>
          <w:szCs w:val="22"/>
          <w:lang w:val="en-GB"/>
        </w:rPr>
        <w:t xml:space="preserve">en and depressed </w:t>
      </w:r>
      <w:r w:rsidR="00483146">
        <w:rPr>
          <w:sz w:val="22"/>
          <w:szCs w:val="22"/>
          <w:lang w:val="en-GB"/>
        </w:rPr>
        <w:t xml:space="preserve">as well anxious </w:t>
      </w:r>
      <w:r w:rsidR="00C955EE">
        <w:rPr>
          <w:sz w:val="22"/>
          <w:szCs w:val="22"/>
          <w:lang w:val="en-GB"/>
        </w:rPr>
        <w:t xml:space="preserve">persons were higher in the LLOA-group. Furthermore, participants with LLOA had a lower educational level </w:t>
      </w:r>
      <w:r w:rsidR="00483146">
        <w:rPr>
          <w:sz w:val="22"/>
          <w:szCs w:val="22"/>
          <w:lang w:val="en-GB"/>
        </w:rPr>
        <w:t xml:space="preserve">than those without LLOA. </w:t>
      </w:r>
    </w:p>
    <w:p w:rsidR="00483146" w:rsidRDefault="00483146" w:rsidP="00EB1873">
      <w:pPr>
        <w:spacing w:line="480" w:lineRule="auto"/>
        <w:jc w:val="both"/>
        <w:rPr>
          <w:sz w:val="22"/>
          <w:szCs w:val="22"/>
          <w:lang w:val="en-GB"/>
        </w:rPr>
      </w:pPr>
    </w:p>
    <w:p w:rsidR="00464D92" w:rsidRDefault="00EB1873" w:rsidP="00EB1873">
      <w:pPr>
        <w:spacing w:line="480" w:lineRule="auto"/>
        <w:rPr>
          <w:sz w:val="22"/>
          <w:szCs w:val="22"/>
          <w:lang w:val="en-GB"/>
        </w:rPr>
      </w:pPr>
      <w:r>
        <w:rPr>
          <w:i/>
          <w:sz w:val="22"/>
          <w:szCs w:val="22"/>
          <w:lang w:val="en-GB"/>
        </w:rPr>
        <w:t>*Table 1*</w:t>
      </w:r>
      <w:r w:rsidR="00535D67" w:rsidRPr="00C54581">
        <w:rPr>
          <w:sz w:val="22"/>
          <w:szCs w:val="22"/>
          <w:lang w:val="en-GB"/>
        </w:rPr>
        <w:t xml:space="preserve"> </w:t>
      </w:r>
    </w:p>
    <w:p w:rsidR="009C6B0F" w:rsidRDefault="009C6B0F" w:rsidP="00EB1873">
      <w:pPr>
        <w:spacing w:line="480" w:lineRule="auto"/>
        <w:rPr>
          <w:sz w:val="22"/>
          <w:szCs w:val="22"/>
          <w:lang w:val="en-GB"/>
        </w:rPr>
      </w:pPr>
    </w:p>
    <w:p w:rsidR="00464D92" w:rsidRPr="001F7A41" w:rsidRDefault="005F6F37" w:rsidP="00464D92">
      <w:pPr>
        <w:spacing w:line="480" w:lineRule="auto"/>
        <w:jc w:val="both"/>
        <w:rPr>
          <w:i/>
          <w:sz w:val="22"/>
          <w:szCs w:val="22"/>
          <w:lang w:val="en-GB"/>
        </w:rPr>
      </w:pPr>
      <w:r>
        <w:rPr>
          <w:i/>
          <w:sz w:val="22"/>
          <w:szCs w:val="22"/>
          <w:lang w:val="en-GB"/>
        </w:rPr>
        <w:t>U</w:t>
      </w:r>
      <w:r w:rsidR="00464D92" w:rsidRPr="001F7A41">
        <w:rPr>
          <w:i/>
          <w:sz w:val="22"/>
          <w:szCs w:val="22"/>
          <w:lang w:val="en-GB"/>
        </w:rPr>
        <w:t>se of neighbourhood resources</w:t>
      </w:r>
    </w:p>
    <w:p w:rsidR="00B73DDF" w:rsidRDefault="00464D92" w:rsidP="00B73DDF">
      <w:pPr>
        <w:spacing w:line="480" w:lineRule="auto"/>
        <w:jc w:val="both"/>
        <w:rPr>
          <w:sz w:val="22"/>
          <w:szCs w:val="22"/>
          <w:lang w:val="en-GB"/>
        </w:rPr>
      </w:pPr>
      <w:r w:rsidRPr="001F7A41">
        <w:rPr>
          <w:sz w:val="22"/>
          <w:szCs w:val="22"/>
          <w:lang w:val="en-GB"/>
        </w:rPr>
        <w:t>Most participants reported that they have a lot or some availability of parks and walking areas, places to sit and rest</w:t>
      </w:r>
      <w:r>
        <w:rPr>
          <w:sz w:val="22"/>
          <w:szCs w:val="22"/>
          <w:lang w:val="en-GB"/>
        </w:rPr>
        <w:t>, public transport</w:t>
      </w:r>
      <w:r w:rsidR="002B0038">
        <w:rPr>
          <w:sz w:val="22"/>
          <w:szCs w:val="22"/>
          <w:lang w:val="en-GB"/>
        </w:rPr>
        <w:t>,</w:t>
      </w:r>
      <w:r w:rsidRPr="001F7A41">
        <w:rPr>
          <w:sz w:val="22"/>
          <w:szCs w:val="22"/>
          <w:lang w:val="en-GB"/>
        </w:rPr>
        <w:t xml:space="preserve"> and public facilities</w:t>
      </w:r>
      <w:r w:rsidR="00B73DDF">
        <w:rPr>
          <w:sz w:val="22"/>
          <w:szCs w:val="22"/>
          <w:lang w:val="en-GB"/>
        </w:rPr>
        <w:t xml:space="preserve"> in their neighbourhood</w:t>
      </w:r>
      <w:r w:rsidRPr="001F7A41">
        <w:rPr>
          <w:sz w:val="22"/>
          <w:szCs w:val="22"/>
          <w:lang w:val="en-GB"/>
        </w:rPr>
        <w:t xml:space="preserve">. Of those participants, the majority reported </w:t>
      </w:r>
      <w:r>
        <w:rPr>
          <w:sz w:val="22"/>
          <w:szCs w:val="22"/>
          <w:lang w:val="en-GB"/>
        </w:rPr>
        <w:t>that they made</w:t>
      </w:r>
      <w:r w:rsidRPr="001F7A41">
        <w:rPr>
          <w:sz w:val="22"/>
          <w:szCs w:val="22"/>
          <w:lang w:val="en-GB"/>
        </w:rPr>
        <w:t xml:space="preserve"> use of parks and walking areas</w:t>
      </w:r>
      <w:r>
        <w:rPr>
          <w:sz w:val="22"/>
          <w:szCs w:val="22"/>
          <w:lang w:val="en-GB"/>
        </w:rPr>
        <w:t xml:space="preserve">, public transport, </w:t>
      </w:r>
      <w:r w:rsidR="000E4310">
        <w:rPr>
          <w:sz w:val="22"/>
          <w:szCs w:val="22"/>
          <w:lang w:val="en-GB"/>
        </w:rPr>
        <w:t xml:space="preserve">and </w:t>
      </w:r>
      <w:r w:rsidRPr="001F7A41">
        <w:rPr>
          <w:sz w:val="22"/>
          <w:szCs w:val="22"/>
          <w:lang w:val="en-GB"/>
        </w:rPr>
        <w:t>public facilities</w:t>
      </w:r>
      <w:r>
        <w:rPr>
          <w:sz w:val="22"/>
          <w:szCs w:val="22"/>
          <w:lang w:val="en-GB"/>
        </w:rPr>
        <w:t xml:space="preserve">. Most participants reported that they did not </w:t>
      </w:r>
      <w:r w:rsidRPr="001F7A41">
        <w:rPr>
          <w:sz w:val="22"/>
          <w:szCs w:val="22"/>
          <w:lang w:val="en-GB"/>
        </w:rPr>
        <w:t>make use of places to sit and rest</w:t>
      </w:r>
      <w:r>
        <w:rPr>
          <w:sz w:val="22"/>
          <w:szCs w:val="22"/>
          <w:lang w:val="en-GB"/>
        </w:rPr>
        <w:t>.</w:t>
      </w:r>
      <w:r w:rsidR="002B0038">
        <w:rPr>
          <w:sz w:val="22"/>
          <w:szCs w:val="22"/>
          <w:lang w:val="en-GB"/>
        </w:rPr>
        <w:t xml:space="preserve"> </w:t>
      </w:r>
      <w:r w:rsidR="002B0038" w:rsidRPr="001F7A41">
        <w:rPr>
          <w:sz w:val="22"/>
          <w:szCs w:val="22"/>
          <w:lang w:val="en-GB"/>
        </w:rPr>
        <w:t xml:space="preserve">No differences were found between older people with and without </w:t>
      </w:r>
      <w:r w:rsidR="002B0038">
        <w:rPr>
          <w:sz w:val="22"/>
          <w:szCs w:val="22"/>
          <w:lang w:val="en-GB"/>
        </w:rPr>
        <w:t>LL</w:t>
      </w:r>
      <w:r w:rsidR="002B0038" w:rsidRPr="001F7A41">
        <w:rPr>
          <w:sz w:val="22"/>
          <w:szCs w:val="22"/>
          <w:lang w:val="en-GB"/>
        </w:rPr>
        <w:t xml:space="preserve">OA in the availability of </w:t>
      </w:r>
      <w:r w:rsidR="002B0038" w:rsidRPr="007D2A92">
        <w:rPr>
          <w:sz w:val="22"/>
          <w:szCs w:val="22"/>
          <w:lang w:val="en-GB"/>
        </w:rPr>
        <w:t>neighbourhood resources</w:t>
      </w:r>
      <w:r w:rsidR="002B0038">
        <w:rPr>
          <w:sz w:val="22"/>
          <w:szCs w:val="22"/>
          <w:lang w:val="en-GB"/>
        </w:rPr>
        <w:t>.</w:t>
      </w:r>
      <w:r>
        <w:rPr>
          <w:sz w:val="22"/>
          <w:szCs w:val="22"/>
          <w:lang w:val="en-GB"/>
        </w:rPr>
        <w:t xml:space="preserve"> Participants </w:t>
      </w:r>
      <w:r w:rsidRPr="007D2A92">
        <w:rPr>
          <w:sz w:val="22"/>
          <w:szCs w:val="22"/>
          <w:lang w:val="en-GB"/>
        </w:rPr>
        <w:t xml:space="preserve">with </w:t>
      </w:r>
      <w:r w:rsidR="000E4310">
        <w:rPr>
          <w:sz w:val="22"/>
          <w:szCs w:val="22"/>
          <w:lang w:val="en-GB"/>
        </w:rPr>
        <w:t>LL</w:t>
      </w:r>
      <w:r w:rsidRPr="007D2A92">
        <w:rPr>
          <w:sz w:val="22"/>
          <w:szCs w:val="22"/>
          <w:lang w:val="en-GB"/>
        </w:rPr>
        <w:t xml:space="preserve">OA </w:t>
      </w:r>
      <w:r>
        <w:rPr>
          <w:sz w:val="22"/>
          <w:szCs w:val="22"/>
          <w:lang w:val="en-GB"/>
        </w:rPr>
        <w:t xml:space="preserve">reported making </w:t>
      </w:r>
      <w:r w:rsidRPr="007D2A92">
        <w:rPr>
          <w:sz w:val="22"/>
          <w:szCs w:val="22"/>
          <w:lang w:val="en-GB"/>
        </w:rPr>
        <w:t xml:space="preserve">more use of places to sit and rest </w:t>
      </w:r>
      <w:r w:rsidR="00095795">
        <w:rPr>
          <w:sz w:val="22"/>
          <w:szCs w:val="22"/>
          <w:lang w:val="en-GB"/>
        </w:rPr>
        <w:t xml:space="preserve">than </w:t>
      </w:r>
      <w:r>
        <w:rPr>
          <w:sz w:val="22"/>
          <w:szCs w:val="22"/>
          <w:lang w:val="en-GB"/>
        </w:rPr>
        <w:t xml:space="preserve">their counterparts </w:t>
      </w:r>
      <w:r w:rsidRPr="00173741">
        <w:rPr>
          <w:sz w:val="22"/>
          <w:szCs w:val="22"/>
          <w:lang w:val="en-GB"/>
        </w:rPr>
        <w:t xml:space="preserve">without </w:t>
      </w:r>
      <w:r w:rsidR="005F6F37">
        <w:rPr>
          <w:sz w:val="22"/>
          <w:szCs w:val="22"/>
          <w:lang w:val="en-GB"/>
        </w:rPr>
        <w:t>LL</w:t>
      </w:r>
      <w:r w:rsidR="007823ED">
        <w:rPr>
          <w:sz w:val="22"/>
          <w:szCs w:val="22"/>
          <w:lang w:val="en-GB"/>
        </w:rPr>
        <w:t>OA (t</w:t>
      </w:r>
      <w:r w:rsidR="002B0038">
        <w:rPr>
          <w:sz w:val="22"/>
          <w:szCs w:val="22"/>
          <w:lang w:val="en-GB"/>
        </w:rPr>
        <w:t>able 2).</w:t>
      </w:r>
    </w:p>
    <w:p w:rsidR="002B0038" w:rsidRPr="002B0038" w:rsidRDefault="002B0038" w:rsidP="00B73DDF">
      <w:pPr>
        <w:spacing w:line="480" w:lineRule="auto"/>
        <w:jc w:val="both"/>
        <w:rPr>
          <w:sz w:val="22"/>
          <w:szCs w:val="22"/>
          <w:lang w:val="en-GB"/>
        </w:rPr>
      </w:pPr>
    </w:p>
    <w:p w:rsidR="00B73DDF" w:rsidRDefault="00B73DDF" w:rsidP="00B73DDF">
      <w:pPr>
        <w:spacing w:line="480" w:lineRule="auto"/>
        <w:jc w:val="both"/>
        <w:rPr>
          <w:i/>
          <w:sz w:val="22"/>
          <w:szCs w:val="22"/>
          <w:lang w:val="en-GB"/>
        </w:rPr>
      </w:pPr>
      <w:r>
        <w:rPr>
          <w:i/>
          <w:sz w:val="22"/>
          <w:szCs w:val="22"/>
          <w:lang w:val="en-GB"/>
        </w:rPr>
        <w:t>*Table 2*</w:t>
      </w:r>
    </w:p>
    <w:p w:rsidR="00D55D6E" w:rsidRPr="00330B9B" w:rsidRDefault="00D55D6E" w:rsidP="00330B9B">
      <w:pPr>
        <w:spacing w:line="480" w:lineRule="auto"/>
        <w:rPr>
          <w:sz w:val="22"/>
          <w:szCs w:val="22"/>
          <w:lang w:val="en-GB"/>
        </w:rPr>
      </w:pPr>
    </w:p>
    <w:p w:rsidR="00464D92" w:rsidRDefault="00464D92" w:rsidP="00464D92">
      <w:pPr>
        <w:spacing w:line="480" w:lineRule="auto"/>
        <w:jc w:val="both"/>
        <w:rPr>
          <w:i/>
          <w:sz w:val="22"/>
          <w:szCs w:val="22"/>
          <w:lang w:val="en-GB"/>
        </w:rPr>
      </w:pPr>
      <w:r>
        <w:rPr>
          <w:i/>
          <w:sz w:val="22"/>
          <w:szCs w:val="22"/>
          <w:lang w:val="en-GB"/>
        </w:rPr>
        <w:t>Neighbourhood environment</w:t>
      </w:r>
    </w:p>
    <w:p w:rsidR="00C646FB" w:rsidRPr="00BE131D" w:rsidRDefault="00464D92" w:rsidP="00C646FB">
      <w:pPr>
        <w:spacing w:line="480" w:lineRule="auto"/>
        <w:jc w:val="both"/>
        <w:rPr>
          <w:sz w:val="22"/>
          <w:szCs w:val="22"/>
          <w:lang w:val="en-GB"/>
        </w:rPr>
      </w:pPr>
      <w:r>
        <w:rPr>
          <w:sz w:val="22"/>
          <w:szCs w:val="22"/>
          <w:lang w:val="en-GB"/>
        </w:rPr>
        <w:t>The characteristics of the neighbourhood envi</w:t>
      </w:r>
      <w:r w:rsidR="005F6F37">
        <w:rPr>
          <w:sz w:val="22"/>
          <w:szCs w:val="22"/>
          <w:lang w:val="en-GB"/>
        </w:rPr>
        <w:t>r</w:t>
      </w:r>
      <w:r w:rsidR="007823ED">
        <w:rPr>
          <w:sz w:val="22"/>
          <w:szCs w:val="22"/>
          <w:lang w:val="en-GB"/>
        </w:rPr>
        <w:t>onment are presented in t</w:t>
      </w:r>
      <w:r w:rsidR="0080122E">
        <w:rPr>
          <w:sz w:val="22"/>
          <w:szCs w:val="22"/>
          <w:lang w:val="en-GB"/>
        </w:rPr>
        <w:t>able 3</w:t>
      </w:r>
      <w:r>
        <w:rPr>
          <w:sz w:val="22"/>
          <w:szCs w:val="22"/>
          <w:lang w:val="en-GB"/>
        </w:rPr>
        <w:t>.</w:t>
      </w:r>
      <w:r w:rsidR="00AD2469">
        <w:rPr>
          <w:sz w:val="22"/>
          <w:szCs w:val="22"/>
          <w:lang w:val="en-GB"/>
        </w:rPr>
        <w:t xml:space="preserve"> In the full sample</w:t>
      </w:r>
      <w:r w:rsidR="00874B08">
        <w:rPr>
          <w:sz w:val="22"/>
          <w:szCs w:val="22"/>
          <w:lang w:val="en-GB"/>
        </w:rPr>
        <w:t xml:space="preserve">, </w:t>
      </w:r>
      <w:r w:rsidR="00C646FB">
        <w:rPr>
          <w:sz w:val="22"/>
          <w:szCs w:val="22"/>
          <w:lang w:val="en-GB"/>
        </w:rPr>
        <w:t xml:space="preserve">the </w:t>
      </w:r>
      <w:r w:rsidR="00AD2469">
        <w:rPr>
          <w:sz w:val="22"/>
          <w:szCs w:val="22"/>
          <w:lang w:val="en-GB"/>
        </w:rPr>
        <w:t xml:space="preserve">average </w:t>
      </w:r>
      <w:r w:rsidR="00C646FB">
        <w:rPr>
          <w:sz w:val="22"/>
          <w:szCs w:val="22"/>
          <w:lang w:val="en-GB"/>
        </w:rPr>
        <w:t xml:space="preserve">perceived </w:t>
      </w:r>
      <w:r w:rsidR="00C646FB" w:rsidRPr="00D664F2">
        <w:rPr>
          <w:sz w:val="22"/>
          <w:szCs w:val="22"/>
          <w:lang w:val="en-GB"/>
        </w:rPr>
        <w:t>neighbourhood</w:t>
      </w:r>
      <w:r w:rsidR="00874B08">
        <w:rPr>
          <w:sz w:val="22"/>
          <w:szCs w:val="22"/>
          <w:lang w:val="en-GB"/>
        </w:rPr>
        <w:t xml:space="preserve"> cohesion score was 32.2 (SD=4.5</w:t>
      </w:r>
      <w:r w:rsidR="00C646FB" w:rsidRPr="00D664F2">
        <w:rPr>
          <w:sz w:val="22"/>
          <w:szCs w:val="22"/>
          <w:lang w:val="en-GB"/>
        </w:rPr>
        <w:t>)</w:t>
      </w:r>
      <w:r w:rsidR="00874B08">
        <w:rPr>
          <w:sz w:val="22"/>
          <w:szCs w:val="22"/>
          <w:lang w:val="en-GB"/>
        </w:rPr>
        <w:t xml:space="preserve"> </w:t>
      </w:r>
      <w:r w:rsidR="00C646FB">
        <w:rPr>
          <w:sz w:val="22"/>
          <w:szCs w:val="22"/>
          <w:lang w:val="en-GB"/>
        </w:rPr>
        <w:t xml:space="preserve">and the </w:t>
      </w:r>
      <w:r w:rsidR="00AD2469">
        <w:rPr>
          <w:sz w:val="22"/>
          <w:szCs w:val="22"/>
          <w:lang w:val="en-GB"/>
        </w:rPr>
        <w:t xml:space="preserve">average </w:t>
      </w:r>
      <w:r w:rsidR="00C646FB">
        <w:rPr>
          <w:sz w:val="22"/>
          <w:szCs w:val="22"/>
          <w:lang w:val="en-GB"/>
        </w:rPr>
        <w:t xml:space="preserve">perceived </w:t>
      </w:r>
      <w:r w:rsidR="00C646FB" w:rsidRPr="00D664F2">
        <w:rPr>
          <w:sz w:val="22"/>
          <w:szCs w:val="22"/>
          <w:lang w:val="en-GB"/>
        </w:rPr>
        <w:t>neighbourhood problem index was 11.</w:t>
      </w:r>
      <w:r w:rsidR="00874B08">
        <w:rPr>
          <w:sz w:val="22"/>
          <w:szCs w:val="22"/>
          <w:lang w:val="en-GB"/>
        </w:rPr>
        <w:t>0</w:t>
      </w:r>
      <w:r w:rsidR="00C646FB" w:rsidRPr="00D664F2">
        <w:rPr>
          <w:sz w:val="22"/>
          <w:szCs w:val="22"/>
          <w:lang w:val="en-GB"/>
        </w:rPr>
        <w:t xml:space="preserve"> (SD= 2.6). </w:t>
      </w:r>
      <w:r w:rsidR="00AD2469">
        <w:rPr>
          <w:sz w:val="22"/>
          <w:szCs w:val="22"/>
          <w:lang w:val="en-GB"/>
        </w:rPr>
        <w:t>In the full sample, t</w:t>
      </w:r>
      <w:r w:rsidR="00C646FB" w:rsidRPr="001A3087">
        <w:rPr>
          <w:sz w:val="22"/>
          <w:szCs w:val="22"/>
          <w:lang w:val="en-GB"/>
        </w:rPr>
        <w:t>he IMD-2010</w:t>
      </w:r>
      <w:r w:rsidR="00C646FB">
        <w:rPr>
          <w:sz w:val="22"/>
          <w:szCs w:val="22"/>
          <w:lang w:val="en-GB"/>
        </w:rPr>
        <w:t xml:space="preserve"> score </w:t>
      </w:r>
      <w:r w:rsidR="00874B08">
        <w:rPr>
          <w:sz w:val="22"/>
          <w:szCs w:val="22"/>
          <w:lang w:val="en-GB"/>
        </w:rPr>
        <w:t xml:space="preserve">ranged </w:t>
      </w:r>
      <w:r w:rsidR="00C646FB" w:rsidRPr="00D664F2">
        <w:rPr>
          <w:sz w:val="22"/>
          <w:szCs w:val="22"/>
          <w:lang w:val="en-GB"/>
        </w:rPr>
        <w:t>from 1.45 to 34.72</w:t>
      </w:r>
      <w:r w:rsidR="00C646FB">
        <w:rPr>
          <w:sz w:val="22"/>
          <w:szCs w:val="22"/>
          <w:lang w:val="en-GB"/>
        </w:rPr>
        <w:t>, with a median (I</w:t>
      </w:r>
      <w:r w:rsidR="00C646FB" w:rsidRPr="00D664F2">
        <w:rPr>
          <w:sz w:val="22"/>
          <w:szCs w:val="22"/>
          <w:lang w:val="en-GB"/>
        </w:rPr>
        <w:t xml:space="preserve">nterquartile </w:t>
      </w:r>
      <w:r w:rsidR="00874B08">
        <w:rPr>
          <w:sz w:val="22"/>
          <w:szCs w:val="22"/>
          <w:lang w:val="en-GB"/>
        </w:rPr>
        <w:t>range (IQR)) score of 9.09 (5.08</w:t>
      </w:r>
      <w:r w:rsidR="00C646FB" w:rsidRPr="00D664F2">
        <w:rPr>
          <w:sz w:val="22"/>
          <w:szCs w:val="22"/>
          <w:lang w:val="en-GB"/>
        </w:rPr>
        <w:t xml:space="preserve">-13.29). </w:t>
      </w:r>
    </w:p>
    <w:p w:rsidR="00AD2469" w:rsidRDefault="00AD2469" w:rsidP="00AD2469">
      <w:pPr>
        <w:spacing w:line="480" w:lineRule="auto"/>
        <w:ind w:firstLine="708"/>
        <w:jc w:val="both"/>
        <w:rPr>
          <w:sz w:val="22"/>
          <w:szCs w:val="22"/>
          <w:lang w:val="en-GB"/>
        </w:rPr>
      </w:pPr>
      <w:r>
        <w:rPr>
          <w:sz w:val="22"/>
          <w:szCs w:val="22"/>
          <w:lang w:val="en-GB"/>
        </w:rPr>
        <w:t xml:space="preserve">Participants </w:t>
      </w:r>
      <w:r w:rsidR="00C646FB" w:rsidRPr="00E2244A">
        <w:rPr>
          <w:sz w:val="22"/>
          <w:szCs w:val="22"/>
          <w:lang w:val="en-GB"/>
        </w:rPr>
        <w:t xml:space="preserve">with </w:t>
      </w:r>
      <w:r w:rsidR="00874B08">
        <w:rPr>
          <w:sz w:val="22"/>
          <w:szCs w:val="22"/>
          <w:lang w:val="en-GB"/>
        </w:rPr>
        <w:t>LL</w:t>
      </w:r>
      <w:r w:rsidR="00C646FB" w:rsidRPr="00E2244A">
        <w:rPr>
          <w:sz w:val="22"/>
          <w:szCs w:val="22"/>
          <w:lang w:val="en-GB"/>
        </w:rPr>
        <w:t xml:space="preserve">OA perceived </w:t>
      </w:r>
      <w:r w:rsidR="00C646FB">
        <w:rPr>
          <w:sz w:val="22"/>
          <w:szCs w:val="22"/>
          <w:lang w:val="en-GB"/>
        </w:rPr>
        <w:t xml:space="preserve">significantly </w:t>
      </w:r>
      <w:r w:rsidR="00C646FB" w:rsidRPr="00E2244A">
        <w:rPr>
          <w:sz w:val="22"/>
          <w:szCs w:val="22"/>
          <w:lang w:val="en-GB"/>
        </w:rPr>
        <w:t xml:space="preserve">more neighbourhood problems compared to their counterparts without </w:t>
      </w:r>
      <w:r w:rsidR="00874B08">
        <w:rPr>
          <w:sz w:val="22"/>
          <w:szCs w:val="22"/>
          <w:lang w:val="en-GB"/>
        </w:rPr>
        <w:t>LL</w:t>
      </w:r>
      <w:r w:rsidR="00C646FB" w:rsidRPr="00E2244A">
        <w:rPr>
          <w:sz w:val="22"/>
          <w:szCs w:val="22"/>
          <w:lang w:val="en-GB"/>
        </w:rPr>
        <w:t>OA</w:t>
      </w:r>
      <w:r w:rsidR="00C646FB">
        <w:rPr>
          <w:sz w:val="22"/>
          <w:szCs w:val="22"/>
          <w:lang w:val="en-GB"/>
        </w:rPr>
        <w:t xml:space="preserve"> </w:t>
      </w:r>
      <w:r>
        <w:rPr>
          <w:sz w:val="22"/>
          <w:szCs w:val="22"/>
          <w:lang w:val="en-GB"/>
        </w:rPr>
        <w:t xml:space="preserve">(LLOA: Mean=12.0, SD=2.6 versus non-LLOA: Mean=10.9, SD=2.5; </w:t>
      </w:r>
      <w:r>
        <w:rPr>
          <w:sz w:val="22"/>
          <w:szCs w:val="22"/>
          <w:lang w:val="en-GB"/>
        </w:rPr>
        <w:lastRenderedPageBreak/>
        <w:t>p&lt;0.01). Perceived neighbourhood cohesion and objective neighbourhood deprivation did not differ between parti</w:t>
      </w:r>
      <w:r w:rsidR="007823ED">
        <w:rPr>
          <w:sz w:val="22"/>
          <w:szCs w:val="22"/>
          <w:lang w:val="en-GB"/>
        </w:rPr>
        <w:t>cipants with and without LLOA (t</w:t>
      </w:r>
      <w:r>
        <w:rPr>
          <w:sz w:val="22"/>
          <w:szCs w:val="22"/>
          <w:lang w:val="en-GB"/>
        </w:rPr>
        <w:t>able 3).</w:t>
      </w:r>
    </w:p>
    <w:p w:rsidR="00AD2469" w:rsidRDefault="00AD2469" w:rsidP="00AD2469">
      <w:pPr>
        <w:spacing w:line="480" w:lineRule="auto"/>
        <w:jc w:val="both"/>
        <w:rPr>
          <w:i/>
          <w:sz w:val="22"/>
          <w:szCs w:val="22"/>
          <w:lang w:val="en-GB"/>
        </w:rPr>
      </w:pPr>
    </w:p>
    <w:p w:rsidR="00AD2469" w:rsidRDefault="00AD2469" w:rsidP="00AD2469">
      <w:pPr>
        <w:spacing w:line="480" w:lineRule="auto"/>
        <w:jc w:val="both"/>
        <w:rPr>
          <w:i/>
          <w:sz w:val="22"/>
          <w:szCs w:val="22"/>
          <w:lang w:val="en-GB"/>
        </w:rPr>
      </w:pPr>
      <w:r>
        <w:rPr>
          <w:i/>
          <w:sz w:val="22"/>
          <w:szCs w:val="22"/>
          <w:lang w:val="en-GB"/>
        </w:rPr>
        <w:t>*Table 3*</w:t>
      </w:r>
    </w:p>
    <w:p w:rsidR="005F6F37" w:rsidRDefault="005F6F37" w:rsidP="00D80C66">
      <w:pPr>
        <w:spacing w:line="480" w:lineRule="auto"/>
        <w:rPr>
          <w:i/>
          <w:sz w:val="22"/>
          <w:szCs w:val="22"/>
          <w:lang w:val="en-GB"/>
        </w:rPr>
      </w:pPr>
    </w:p>
    <w:p w:rsidR="00464D92" w:rsidRPr="0072409C" w:rsidRDefault="00464D92" w:rsidP="00464D92">
      <w:pPr>
        <w:spacing w:line="480" w:lineRule="auto"/>
        <w:jc w:val="both"/>
        <w:rPr>
          <w:i/>
          <w:sz w:val="22"/>
          <w:szCs w:val="22"/>
          <w:lang w:val="en-GB"/>
        </w:rPr>
      </w:pPr>
      <w:r w:rsidRPr="0072409C">
        <w:rPr>
          <w:i/>
          <w:sz w:val="22"/>
          <w:szCs w:val="22"/>
          <w:lang w:val="en-GB"/>
        </w:rPr>
        <w:t xml:space="preserve">Use of neighbourhood resources and </w:t>
      </w:r>
      <w:r w:rsidR="009269B2">
        <w:rPr>
          <w:i/>
          <w:sz w:val="22"/>
          <w:szCs w:val="22"/>
          <w:lang w:val="en-GB"/>
        </w:rPr>
        <w:t xml:space="preserve">perceived </w:t>
      </w:r>
      <w:r w:rsidRPr="0072409C">
        <w:rPr>
          <w:i/>
          <w:sz w:val="22"/>
          <w:szCs w:val="22"/>
          <w:lang w:val="en-GB"/>
        </w:rPr>
        <w:t>neighbourhood cohesion</w:t>
      </w:r>
    </w:p>
    <w:p w:rsidR="00464D92" w:rsidRPr="005F6F37" w:rsidRDefault="009269B2" w:rsidP="00464D92">
      <w:pPr>
        <w:spacing w:line="480" w:lineRule="auto"/>
        <w:jc w:val="both"/>
        <w:rPr>
          <w:sz w:val="22"/>
          <w:szCs w:val="22"/>
          <w:lang w:val="en-GB"/>
        </w:rPr>
      </w:pPr>
      <w:r>
        <w:rPr>
          <w:sz w:val="22"/>
          <w:szCs w:val="22"/>
          <w:lang w:val="en-GB"/>
        </w:rPr>
        <w:t>After adjustment for all confounders,</w:t>
      </w:r>
      <w:r w:rsidR="005A71D5">
        <w:rPr>
          <w:sz w:val="22"/>
          <w:szCs w:val="22"/>
          <w:lang w:val="en-GB"/>
        </w:rPr>
        <w:t xml:space="preserve"> a trend for a positive association between perceived neighbourhood cohesion and use of places to sit and rest was observed in the full sampl</w:t>
      </w:r>
      <w:r w:rsidR="00D55D6E">
        <w:rPr>
          <w:sz w:val="22"/>
          <w:szCs w:val="22"/>
          <w:lang w:val="en-GB"/>
        </w:rPr>
        <w:t>e (OR=1.07, 99% CI=</w:t>
      </w:r>
      <w:r w:rsidR="007823ED">
        <w:rPr>
          <w:sz w:val="22"/>
          <w:szCs w:val="22"/>
          <w:lang w:val="en-GB"/>
        </w:rPr>
        <w:t>0</w:t>
      </w:r>
      <w:r w:rsidR="00D55D6E">
        <w:rPr>
          <w:sz w:val="22"/>
          <w:szCs w:val="22"/>
          <w:lang w:val="en-GB"/>
        </w:rPr>
        <w:t>.98-1.16</w:t>
      </w:r>
      <w:r w:rsidR="007823ED">
        <w:rPr>
          <w:sz w:val="22"/>
          <w:szCs w:val="22"/>
          <w:lang w:val="en-GB"/>
        </w:rPr>
        <w:t>) (table 4; m</w:t>
      </w:r>
      <w:r w:rsidR="005A71D5">
        <w:rPr>
          <w:sz w:val="22"/>
          <w:szCs w:val="22"/>
          <w:lang w:val="en-GB"/>
        </w:rPr>
        <w:t xml:space="preserve">odel 2). </w:t>
      </w:r>
      <w:r w:rsidR="00464D92" w:rsidRPr="005539F5">
        <w:rPr>
          <w:sz w:val="22"/>
          <w:szCs w:val="22"/>
          <w:lang w:val="en-GB"/>
        </w:rPr>
        <w:t>The asso</w:t>
      </w:r>
      <w:r w:rsidR="00464D92">
        <w:rPr>
          <w:sz w:val="22"/>
          <w:szCs w:val="22"/>
          <w:lang w:val="en-GB"/>
        </w:rPr>
        <w:t xml:space="preserve">ciations between </w:t>
      </w:r>
      <w:r>
        <w:rPr>
          <w:sz w:val="22"/>
          <w:szCs w:val="22"/>
          <w:lang w:val="en-GB"/>
        </w:rPr>
        <w:t xml:space="preserve">perceived </w:t>
      </w:r>
      <w:r w:rsidR="00464D92">
        <w:rPr>
          <w:sz w:val="22"/>
          <w:szCs w:val="22"/>
          <w:lang w:val="en-GB"/>
        </w:rPr>
        <w:t>neighbourhood cohesion</w:t>
      </w:r>
      <w:r w:rsidR="00464D92" w:rsidRPr="005539F5">
        <w:rPr>
          <w:sz w:val="22"/>
          <w:szCs w:val="22"/>
          <w:lang w:val="en-GB"/>
        </w:rPr>
        <w:t xml:space="preserve"> and the use of </w:t>
      </w:r>
      <w:r w:rsidR="00B73DDF">
        <w:rPr>
          <w:sz w:val="22"/>
          <w:szCs w:val="22"/>
          <w:lang w:val="en-GB"/>
        </w:rPr>
        <w:t xml:space="preserve">neighbourhood </w:t>
      </w:r>
      <w:r w:rsidR="00464D92" w:rsidRPr="005539F5">
        <w:rPr>
          <w:sz w:val="22"/>
          <w:szCs w:val="22"/>
          <w:lang w:val="en-GB"/>
        </w:rPr>
        <w:t>resources</w:t>
      </w:r>
      <w:r w:rsidR="005F6F37">
        <w:rPr>
          <w:sz w:val="22"/>
          <w:szCs w:val="22"/>
          <w:lang w:val="en-GB"/>
        </w:rPr>
        <w:t xml:space="preserve"> did not </w:t>
      </w:r>
      <w:r w:rsidR="00B73DDF">
        <w:rPr>
          <w:sz w:val="22"/>
          <w:szCs w:val="22"/>
          <w:lang w:val="en-GB"/>
        </w:rPr>
        <w:t>differ between participants with and without LLOA.</w:t>
      </w:r>
    </w:p>
    <w:p w:rsidR="00B73DDF" w:rsidRDefault="00B73DDF" w:rsidP="00464D92">
      <w:pPr>
        <w:spacing w:line="480" w:lineRule="auto"/>
        <w:jc w:val="both"/>
        <w:rPr>
          <w:i/>
          <w:sz w:val="22"/>
          <w:szCs w:val="22"/>
          <w:lang w:val="en-GB"/>
        </w:rPr>
      </w:pPr>
    </w:p>
    <w:p w:rsidR="00AD2469" w:rsidRDefault="00AD2469" w:rsidP="00464D92">
      <w:pPr>
        <w:spacing w:line="480" w:lineRule="auto"/>
        <w:jc w:val="both"/>
        <w:rPr>
          <w:i/>
          <w:sz w:val="22"/>
          <w:szCs w:val="22"/>
          <w:lang w:val="en-GB"/>
        </w:rPr>
      </w:pPr>
      <w:r>
        <w:rPr>
          <w:i/>
          <w:sz w:val="22"/>
          <w:szCs w:val="22"/>
          <w:lang w:val="en-GB"/>
        </w:rPr>
        <w:t>*Table 4*</w:t>
      </w:r>
    </w:p>
    <w:p w:rsidR="00B73DDF" w:rsidRPr="00EB1873" w:rsidRDefault="00B73DDF" w:rsidP="00464D92">
      <w:pPr>
        <w:spacing w:line="480" w:lineRule="auto"/>
        <w:jc w:val="both"/>
        <w:rPr>
          <w:i/>
          <w:sz w:val="22"/>
          <w:szCs w:val="22"/>
          <w:lang w:val="en-GB"/>
        </w:rPr>
      </w:pPr>
    </w:p>
    <w:p w:rsidR="00464D92" w:rsidRPr="0072409C" w:rsidRDefault="00464D92" w:rsidP="00464D92">
      <w:pPr>
        <w:spacing w:line="480" w:lineRule="auto"/>
        <w:jc w:val="both"/>
        <w:rPr>
          <w:i/>
          <w:sz w:val="22"/>
          <w:szCs w:val="22"/>
          <w:lang w:val="en-GB"/>
        </w:rPr>
      </w:pPr>
      <w:r w:rsidRPr="0072409C">
        <w:rPr>
          <w:i/>
          <w:sz w:val="22"/>
          <w:szCs w:val="22"/>
          <w:lang w:val="en-GB"/>
        </w:rPr>
        <w:t xml:space="preserve">Use of neighbourhood resources and </w:t>
      </w:r>
      <w:r>
        <w:rPr>
          <w:i/>
          <w:sz w:val="22"/>
          <w:szCs w:val="22"/>
          <w:lang w:val="en-GB"/>
        </w:rPr>
        <w:t xml:space="preserve">perceived </w:t>
      </w:r>
      <w:r w:rsidRPr="0072409C">
        <w:rPr>
          <w:i/>
          <w:sz w:val="22"/>
          <w:szCs w:val="22"/>
          <w:lang w:val="en-GB"/>
        </w:rPr>
        <w:t>neighbourhood problems</w:t>
      </w:r>
    </w:p>
    <w:p w:rsidR="00D85CC5" w:rsidRDefault="009269B2" w:rsidP="00464D92">
      <w:pPr>
        <w:spacing w:line="480" w:lineRule="auto"/>
        <w:jc w:val="both"/>
        <w:rPr>
          <w:sz w:val="22"/>
          <w:szCs w:val="22"/>
          <w:lang w:val="en-GB"/>
        </w:rPr>
      </w:pPr>
      <w:r>
        <w:rPr>
          <w:sz w:val="22"/>
          <w:szCs w:val="22"/>
          <w:lang w:val="en-GB"/>
        </w:rPr>
        <w:t xml:space="preserve">After adjustment for all confounders, </w:t>
      </w:r>
      <w:r w:rsidR="00D80C66">
        <w:rPr>
          <w:sz w:val="22"/>
          <w:szCs w:val="22"/>
          <w:lang w:val="en-GB"/>
        </w:rPr>
        <w:t>n</w:t>
      </w:r>
      <w:r w:rsidR="00464D92" w:rsidRPr="0072409C">
        <w:rPr>
          <w:sz w:val="22"/>
          <w:szCs w:val="22"/>
          <w:lang w:val="en-GB"/>
        </w:rPr>
        <w:t xml:space="preserve">o statistically significant associations between </w:t>
      </w:r>
      <w:r w:rsidR="00D80C66">
        <w:rPr>
          <w:sz w:val="22"/>
          <w:szCs w:val="22"/>
          <w:lang w:val="en-GB"/>
        </w:rPr>
        <w:t xml:space="preserve">perceived </w:t>
      </w:r>
      <w:r w:rsidR="00464D92" w:rsidRPr="0072409C">
        <w:rPr>
          <w:sz w:val="22"/>
          <w:szCs w:val="22"/>
          <w:lang w:val="en-GB"/>
        </w:rPr>
        <w:t xml:space="preserve">neighbourhood problems </w:t>
      </w:r>
      <w:r w:rsidR="00464D92">
        <w:rPr>
          <w:sz w:val="22"/>
          <w:szCs w:val="22"/>
          <w:lang w:val="en-GB"/>
        </w:rPr>
        <w:t xml:space="preserve">and use of </w:t>
      </w:r>
      <w:r w:rsidR="00464D92" w:rsidRPr="0072409C">
        <w:rPr>
          <w:sz w:val="22"/>
          <w:szCs w:val="22"/>
          <w:lang w:val="en-GB"/>
        </w:rPr>
        <w:t xml:space="preserve">neighbourhood </w:t>
      </w:r>
      <w:r w:rsidR="00B73DDF">
        <w:rPr>
          <w:sz w:val="22"/>
          <w:szCs w:val="22"/>
          <w:lang w:val="en-GB"/>
        </w:rPr>
        <w:t>resources were observed</w:t>
      </w:r>
      <w:r>
        <w:rPr>
          <w:sz w:val="22"/>
          <w:szCs w:val="22"/>
          <w:lang w:val="en-GB"/>
        </w:rPr>
        <w:t xml:space="preserve"> in the full sample</w:t>
      </w:r>
      <w:r w:rsidR="00016B1C">
        <w:rPr>
          <w:sz w:val="22"/>
          <w:szCs w:val="22"/>
          <w:lang w:val="en-GB"/>
        </w:rPr>
        <w:t xml:space="preserve"> (t</w:t>
      </w:r>
      <w:r w:rsidR="007B3540">
        <w:rPr>
          <w:sz w:val="22"/>
          <w:szCs w:val="22"/>
          <w:lang w:val="en-GB"/>
        </w:rPr>
        <w:t>able 4</w:t>
      </w:r>
      <w:r w:rsidR="009A28C2">
        <w:rPr>
          <w:sz w:val="22"/>
          <w:szCs w:val="22"/>
          <w:lang w:val="en-GB"/>
        </w:rPr>
        <w:t xml:space="preserve">; </w:t>
      </w:r>
      <w:r w:rsidR="00016B1C">
        <w:rPr>
          <w:sz w:val="22"/>
          <w:szCs w:val="22"/>
          <w:lang w:val="en-GB"/>
        </w:rPr>
        <w:t>m</w:t>
      </w:r>
      <w:r w:rsidR="00B73DDF">
        <w:rPr>
          <w:sz w:val="22"/>
          <w:szCs w:val="22"/>
          <w:lang w:val="en-GB"/>
        </w:rPr>
        <w:t>odel 2</w:t>
      </w:r>
      <w:r w:rsidR="00464D92" w:rsidRPr="0072409C">
        <w:rPr>
          <w:sz w:val="22"/>
          <w:szCs w:val="22"/>
          <w:lang w:val="en-GB"/>
        </w:rPr>
        <w:t>).</w:t>
      </w:r>
      <w:r w:rsidR="00464D92">
        <w:rPr>
          <w:sz w:val="22"/>
          <w:szCs w:val="22"/>
          <w:lang w:val="en-GB"/>
        </w:rPr>
        <w:t xml:space="preserve"> </w:t>
      </w:r>
      <w:r w:rsidR="00464D92" w:rsidRPr="00F508D6">
        <w:rPr>
          <w:sz w:val="22"/>
          <w:szCs w:val="22"/>
          <w:lang w:val="en-GB"/>
        </w:rPr>
        <w:t xml:space="preserve">A significant </w:t>
      </w:r>
      <w:r w:rsidR="00B73DDF">
        <w:rPr>
          <w:sz w:val="22"/>
          <w:szCs w:val="22"/>
          <w:lang w:val="en-GB"/>
        </w:rPr>
        <w:t>LL</w:t>
      </w:r>
      <w:r w:rsidR="00464D92" w:rsidRPr="00F508D6">
        <w:rPr>
          <w:sz w:val="22"/>
          <w:szCs w:val="22"/>
          <w:lang w:val="en-GB"/>
        </w:rPr>
        <w:t xml:space="preserve">OA by </w:t>
      </w:r>
      <w:r w:rsidR="00D80C66">
        <w:rPr>
          <w:sz w:val="22"/>
          <w:szCs w:val="22"/>
          <w:lang w:val="en-GB"/>
        </w:rPr>
        <w:t xml:space="preserve">perceived </w:t>
      </w:r>
      <w:r w:rsidR="00464D92" w:rsidRPr="00F508D6">
        <w:rPr>
          <w:sz w:val="22"/>
          <w:szCs w:val="22"/>
          <w:lang w:val="en-GB"/>
        </w:rPr>
        <w:t xml:space="preserve">neighbourhood problems </w:t>
      </w:r>
      <w:r w:rsidR="0087754D">
        <w:rPr>
          <w:sz w:val="22"/>
          <w:szCs w:val="22"/>
          <w:lang w:val="en-GB"/>
        </w:rPr>
        <w:t xml:space="preserve">interaction </w:t>
      </w:r>
      <w:r w:rsidR="00464D92" w:rsidRPr="00F508D6">
        <w:rPr>
          <w:sz w:val="22"/>
          <w:szCs w:val="22"/>
          <w:lang w:val="en-GB"/>
        </w:rPr>
        <w:t>effect on the use of</w:t>
      </w:r>
      <w:r w:rsidR="00464D92">
        <w:rPr>
          <w:sz w:val="22"/>
          <w:szCs w:val="22"/>
          <w:lang w:val="en-GB"/>
        </w:rPr>
        <w:t xml:space="preserve"> public transport was observed</w:t>
      </w:r>
      <w:r w:rsidR="00B73DDF">
        <w:rPr>
          <w:sz w:val="22"/>
          <w:szCs w:val="22"/>
          <w:lang w:val="en-GB"/>
        </w:rPr>
        <w:t xml:space="preserve"> </w:t>
      </w:r>
      <w:r w:rsidR="00B73DDF" w:rsidRPr="00F508D6">
        <w:rPr>
          <w:sz w:val="22"/>
          <w:szCs w:val="22"/>
          <w:lang w:val="en-GB"/>
        </w:rPr>
        <w:t>(</w:t>
      </w:r>
      <w:r w:rsidR="005A71D5">
        <w:rPr>
          <w:sz w:val="22"/>
          <w:szCs w:val="22"/>
          <w:lang w:val="en-GB"/>
        </w:rPr>
        <w:t>p=0.03</w:t>
      </w:r>
      <w:r w:rsidR="00B73DDF">
        <w:rPr>
          <w:sz w:val="22"/>
          <w:szCs w:val="22"/>
          <w:lang w:val="en-GB"/>
        </w:rPr>
        <w:t>)</w:t>
      </w:r>
      <w:r w:rsidR="00464D92">
        <w:rPr>
          <w:sz w:val="22"/>
          <w:szCs w:val="22"/>
          <w:lang w:val="en-GB"/>
        </w:rPr>
        <w:t xml:space="preserve">. </w:t>
      </w:r>
      <w:r w:rsidR="005A71D5">
        <w:rPr>
          <w:sz w:val="22"/>
          <w:szCs w:val="22"/>
          <w:lang w:val="en-GB"/>
        </w:rPr>
        <w:t>A trend for a negative association between perceived neighbourhood problems and use of public transport was observed in</w:t>
      </w:r>
      <w:r w:rsidR="00D55D6E">
        <w:rPr>
          <w:sz w:val="22"/>
          <w:szCs w:val="22"/>
          <w:lang w:val="en-GB"/>
        </w:rPr>
        <w:t xml:space="preserve"> participants with LLOA (OR=0.77, 99% CI=0.53-1.12</w:t>
      </w:r>
      <w:r w:rsidR="009258D9">
        <w:rPr>
          <w:sz w:val="22"/>
          <w:szCs w:val="22"/>
          <w:lang w:val="en-GB"/>
        </w:rPr>
        <w:t>), whereas</w:t>
      </w:r>
      <w:r w:rsidR="005A71D5">
        <w:rPr>
          <w:sz w:val="22"/>
          <w:szCs w:val="22"/>
          <w:lang w:val="en-GB"/>
        </w:rPr>
        <w:t xml:space="preserve"> </w:t>
      </w:r>
      <w:r w:rsidR="009258D9">
        <w:rPr>
          <w:sz w:val="22"/>
          <w:szCs w:val="22"/>
          <w:lang w:val="en-GB"/>
        </w:rPr>
        <w:t>a trend for a positive association between perceived neighbourhood problems and use of public transport was found in those without LLOA (OR=1.18, 99% CI=1.00-1.39)</w:t>
      </w:r>
      <w:r w:rsidR="00B36DA6">
        <w:rPr>
          <w:sz w:val="22"/>
          <w:szCs w:val="22"/>
          <w:lang w:val="en-GB"/>
        </w:rPr>
        <w:t xml:space="preserve"> (figure 1)</w:t>
      </w:r>
      <w:r w:rsidR="009258D9">
        <w:rPr>
          <w:sz w:val="22"/>
          <w:szCs w:val="22"/>
          <w:lang w:val="en-GB"/>
        </w:rPr>
        <w:t>.</w:t>
      </w:r>
    </w:p>
    <w:p w:rsidR="00B36DA6" w:rsidRDefault="00B36DA6" w:rsidP="00464D92">
      <w:pPr>
        <w:spacing w:line="480" w:lineRule="auto"/>
        <w:jc w:val="both"/>
        <w:rPr>
          <w:i/>
          <w:sz w:val="22"/>
          <w:szCs w:val="22"/>
          <w:lang w:val="en-GB"/>
        </w:rPr>
      </w:pPr>
    </w:p>
    <w:p w:rsidR="00464D92" w:rsidRPr="00F508D6" w:rsidRDefault="00464D92" w:rsidP="00464D92">
      <w:pPr>
        <w:spacing w:line="480" w:lineRule="auto"/>
        <w:jc w:val="both"/>
        <w:rPr>
          <w:i/>
          <w:sz w:val="22"/>
          <w:szCs w:val="22"/>
          <w:lang w:val="en-GB"/>
        </w:rPr>
      </w:pPr>
      <w:r>
        <w:rPr>
          <w:i/>
          <w:sz w:val="22"/>
          <w:szCs w:val="22"/>
          <w:lang w:val="en-GB"/>
        </w:rPr>
        <w:t>*Figure 1</w:t>
      </w:r>
      <w:r w:rsidRPr="00F508D6">
        <w:rPr>
          <w:i/>
          <w:sz w:val="22"/>
          <w:szCs w:val="22"/>
          <w:lang w:val="en-GB"/>
        </w:rPr>
        <w:t>*</w:t>
      </w:r>
    </w:p>
    <w:p w:rsidR="00464D92" w:rsidRPr="00877F0B" w:rsidRDefault="00464D92" w:rsidP="00464D92">
      <w:pPr>
        <w:spacing w:line="480" w:lineRule="auto"/>
        <w:jc w:val="both"/>
        <w:rPr>
          <w:sz w:val="22"/>
          <w:szCs w:val="22"/>
          <w:highlight w:val="red"/>
          <w:lang w:val="en-GB"/>
        </w:rPr>
      </w:pPr>
    </w:p>
    <w:p w:rsidR="00330B9B" w:rsidRDefault="00330B9B">
      <w:pPr>
        <w:rPr>
          <w:i/>
          <w:sz w:val="22"/>
          <w:szCs w:val="22"/>
          <w:lang w:val="en-GB"/>
        </w:rPr>
      </w:pPr>
      <w:r>
        <w:rPr>
          <w:i/>
          <w:sz w:val="22"/>
          <w:szCs w:val="22"/>
          <w:lang w:val="en-GB"/>
        </w:rPr>
        <w:br w:type="page"/>
      </w:r>
    </w:p>
    <w:p w:rsidR="00464D92" w:rsidRPr="00025DA2" w:rsidRDefault="00464D92" w:rsidP="00464D92">
      <w:pPr>
        <w:spacing w:line="480" w:lineRule="auto"/>
        <w:jc w:val="both"/>
        <w:rPr>
          <w:i/>
          <w:sz w:val="22"/>
          <w:szCs w:val="22"/>
          <w:lang w:val="en-GB"/>
        </w:rPr>
      </w:pPr>
      <w:r w:rsidRPr="00025DA2">
        <w:rPr>
          <w:i/>
          <w:sz w:val="22"/>
          <w:szCs w:val="22"/>
          <w:lang w:val="en-GB"/>
        </w:rPr>
        <w:lastRenderedPageBreak/>
        <w:t xml:space="preserve">Use of neighbourhood resources and </w:t>
      </w:r>
      <w:r>
        <w:rPr>
          <w:i/>
          <w:sz w:val="22"/>
          <w:szCs w:val="22"/>
          <w:lang w:val="en-GB"/>
        </w:rPr>
        <w:t xml:space="preserve">objective </w:t>
      </w:r>
      <w:r w:rsidRPr="00025DA2">
        <w:rPr>
          <w:i/>
          <w:sz w:val="22"/>
          <w:szCs w:val="22"/>
          <w:lang w:val="en-GB"/>
        </w:rPr>
        <w:t>neighbourhood deprivation</w:t>
      </w:r>
    </w:p>
    <w:p w:rsidR="005930FA" w:rsidRDefault="009269B2" w:rsidP="003321A5">
      <w:pPr>
        <w:spacing w:line="480" w:lineRule="auto"/>
        <w:jc w:val="both"/>
        <w:rPr>
          <w:sz w:val="22"/>
          <w:szCs w:val="22"/>
          <w:lang w:val="en-GB"/>
        </w:rPr>
      </w:pPr>
      <w:r>
        <w:rPr>
          <w:sz w:val="22"/>
          <w:szCs w:val="22"/>
          <w:lang w:val="en-GB"/>
        </w:rPr>
        <w:t>After adjustment for all confounders, n</w:t>
      </w:r>
      <w:r w:rsidR="00464D92" w:rsidRPr="005539F5">
        <w:rPr>
          <w:sz w:val="22"/>
          <w:szCs w:val="22"/>
          <w:lang w:val="en-GB"/>
        </w:rPr>
        <w:t xml:space="preserve">o statistically significant associations between </w:t>
      </w:r>
      <w:r>
        <w:rPr>
          <w:sz w:val="22"/>
          <w:szCs w:val="22"/>
          <w:lang w:val="en-GB"/>
        </w:rPr>
        <w:t xml:space="preserve">objective </w:t>
      </w:r>
      <w:r w:rsidR="00464D92" w:rsidRPr="005539F5">
        <w:rPr>
          <w:sz w:val="22"/>
          <w:szCs w:val="22"/>
          <w:lang w:val="en-GB"/>
        </w:rPr>
        <w:t xml:space="preserve">neighbourhood deprivation and use of neighbourhood </w:t>
      </w:r>
      <w:r>
        <w:rPr>
          <w:sz w:val="22"/>
          <w:szCs w:val="22"/>
          <w:lang w:val="en-GB"/>
        </w:rPr>
        <w:t>resources were obse</w:t>
      </w:r>
      <w:r w:rsidR="007B3540">
        <w:rPr>
          <w:sz w:val="22"/>
          <w:szCs w:val="22"/>
          <w:lang w:val="en-GB"/>
        </w:rPr>
        <w:t>rved in the full sample (</w:t>
      </w:r>
      <w:r w:rsidR="00016B1C">
        <w:rPr>
          <w:sz w:val="22"/>
          <w:szCs w:val="22"/>
          <w:lang w:val="en-GB"/>
        </w:rPr>
        <w:t>t</w:t>
      </w:r>
      <w:r w:rsidR="007B3540">
        <w:rPr>
          <w:sz w:val="22"/>
          <w:szCs w:val="22"/>
          <w:lang w:val="en-GB"/>
        </w:rPr>
        <w:t>able 4</w:t>
      </w:r>
      <w:r w:rsidR="009A28C2">
        <w:rPr>
          <w:sz w:val="22"/>
          <w:szCs w:val="22"/>
          <w:lang w:val="en-GB"/>
        </w:rPr>
        <w:t xml:space="preserve">; </w:t>
      </w:r>
      <w:r w:rsidR="00016B1C">
        <w:rPr>
          <w:sz w:val="22"/>
          <w:szCs w:val="22"/>
          <w:lang w:val="en-GB"/>
        </w:rPr>
        <w:t>m</w:t>
      </w:r>
      <w:r>
        <w:rPr>
          <w:sz w:val="22"/>
          <w:szCs w:val="22"/>
          <w:lang w:val="en-GB"/>
        </w:rPr>
        <w:t>odel 2</w:t>
      </w:r>
      <w:r w:rsidR="00464D92" w:rsidRPr="005539F5">
        <w:rPr>
          <w:sz w:val="22"/>
          <w:szCs w:val="22"/>
          <w:lang w:val="en-GB"/>
        </w:rPr>
        <w:t xml:space="preserve">). The associations between neighbourhood deprivation and the use of resources </w:t>
      </w:r>
      <w:r>
        <w:rPr>
          <w:sz w:val="22"/>
          <w:szCs w:val="22"/>
          <w:lang w:val="en-GB"/>
        </w:rPr>
        <w:t>did not differ between participants with and without LLOA.</w:t>
      </w:r>
      <w:r w:rsidR="005930FA">
        <w:rPr>
          <w:sz w:val="22"/>
          <w:szCs w:val="22"/>
          <w:lang w:val="en-GB"/>
        </w:rPr>
        <w:br w:type="page"/>
      </w:r>
    </w:p>
    <w:p w:rsidR="005930FA" w:rsidRDefault="005930FA" w:rsidP="003321A5">
      <w:pPr>
        <w:spacing w:line="480" w:lineRule="auto"/>
        <w:jc w:val="both"/>
        <w:rPr>
          <w:i/>
          <w:sz w:val="22"/>
          <w:szCs w:val="22"/>
          <w:lang w:val="en-GB"/>
        </w:rPr>
        <w:sectPr w:rsidR="005930FA" w:rsidSect="00464D92">
          <w:footerReference w:type="default" r:id="rId9"/>
          <w:pgSz w:w="11906" w:h="16838"/>
          <w:pgMar w:top="1276" w:right="1417" w:bottom="851" w:left="1135" w:header="708" w:footer="708" w:gutter="0"/>
          <w:cols w:space="708"/>
          <w:docGrid w:linePitch="360"/>
        </w:sectPr>
      </w:pPr>
    </w:p>
    <w:p w:rsidR="007B3540" w:rsidRPr="00233C6F" w:rsidRDefault="005D091D" w:rsidP="005D091D">
      <w:pPr>
        <w:spacing w:line="480" w:lineRule="auto"/>
        <w:jc w:val="both"/>
        <w:rPr>
          <w:b/>
          <w:sz w:val="22"/>
          <w:szCs w:val="22"/>
          <w:lang w:val="en-GB"/>
        </w:rPr>
      </w:pPr>
      <w:r w:rsidRPr="00233C6F">
        <w:rPr>
          <w:b/>
          <w:sz w:val="22"/>
          <w:szCs w:val="22"/>
          <w:lang w:val="en-GB"/>
        </w:rPr>
        <w:lastRenderedPageBreak/>
        <w:t>Discussion</w:t>
      </w:r>
      <w:r w:rsidR="00AD2469" w:rsidRPr="00233C6F">
        <w:rPr>
          <w:b/>
          <w:sz w:val="22"/>
          <w:szCs w:val="22"/>
          <w:lang w:val="en-GB"/>
        </w:rPr>
        <w:t xml:space="preserve"> </w:t>
      </w:r>
    </w:p>
    <w:p w:rsidR="009841AE" w:rsidRDefault="005D091D" w:rsidP="00167734">
      <w:pPr>
        <w:spacing w:line="480" w:lineRule="auto"/>
        <w:jc w:val="both"/>
        <w:rPr>
          <w:sz w:val="22"/>
          <w:szCs w:val="22"/>
          <w:lang w:val="en-GB"/>
        </w:rPr>
      </w:pPr>
      <w:r w:rsidRPr="00BA0604">
        <w:rPr>
          <w:sz w:val="22"/>
          <w:szCs w:val="22"/>
          <w:lang w:val="en-GB"/>
        </w:rPr>
        <w:t xml:space="preserve">This study </w:t>
      </w:r>
      <w:r w:rsidR="009269B2" w:rsidRPr="00BA0604">
        <w:rPr>
          <w:sz w:val="22"/>
          <w:szCs w:val="22"/>
          <w:lang w:val="en-GB"/>
        </w:rPr>
        <w:t>examined the associations of perceptions of neighbourhood cohesion and neighbourhood problems and objectively measured neighbourhood deprivation with the use of neighbourhood resources in older adults with and without LLOA</w:t>
      </w:r>
      <w:r w:rsidR="00ED7664">
        <w:rPr>
          <w:sz w:val="22"/>
          <w:szCs w:val="22"/>
          <w:lang w:val="en-GB"/>
        </w:rPr>
        <w:t xml:space="preserve"> living in Hertfordshire, UK, </w:t>
      </w:r>
      <w:r w:rsidR="009269B2" w:rsidRPr="00BA0604">
        <w:rPr>
          <w:sz w:val="22"/>
          <w:szCs w:val="22"/>
          <w:lang w:val="en-GB"/>
        </w:rPr>
        <w:t xml:space="preserve">and assessed whether these relationships were stronger in </w:t>
      </w:r>
      <w:r w:rsidR="00E52739">
        <w:rPr>
          <w:sz w:val="22"/>
          <w:szCs w:val="22"/>
          <w:lang w:val="en-GB"/>
        </w:rPr>
        <w:t xml:space="preserve">older persons </w:t>
      </w:r>
      <w:r w:rsidR="009269B2" w:rsidRPr="00BA0604">
        <w:rPr>
          <w:sz w:val="22"/>
          <w:szCs w:val="22"/>
          <w:lang w:val="en-GB"/>
        </w:rPr>
        <w:t xml:space="preserve">with </w:t>
      </w:r>
      <w:r w:rsidR="002211BF">
        <w:rPr>
          <w:sz w:val="22"/>
          <w:szCs w:val="22"/>
          <w:lang w:val="en-GB"/>
        </w:rPr>
        <w:t xml:space="preserve">LLOA than in those without </w:t>
      </w:r>
      <w:r w:rsidR="009269B2" w:rsidRPr="00BA0604">
        <w:rPr>
          <w:sz w:val="22"/>
          <w:szCs w:val="22"/>
          <w:lang w:val="en-GB"/>
        </w:rPr>
        <w:t>the condition</w:t>
      </w:r>
      <w:r w:rsidR="00167734">
        <w:rPr>
          <w:sz w:val="22"/>
          <w:szCs w:val="22"/>
          <w:lang w:val="en-GB"/>
        </w:rPr>
        <w:t xml:space="preserve">. </w:t>
      </w:r>
      <w:r w:rsidR="005329E5">
        <w:rPr>
          <w:sz w:val="22"/>
          <w:szCs w:val="22"/>
          <w:lang w:val="en-GB"/>
        </w:rPr>
        <w:t>It was found that, r</w:t>
      </w:r>
      <w:r w:rsidR="00242F25">
        <w:rPr>
          <w:sz w:val="22"/>
          <w:szCs w:val="22"/>
          <w:lang w:val="en-GB"/>
        </w:rPr>
        <w:t xml:space="preserve">egardless of LLOA, perceived neighbourhood cohesion and objective </w:t>
      </w:r>
      <w:r w:rsidR="0040095C">
        <w:rPr>
          <w:sz w:val="22"/>
          <w:szCs w:val="22"/>
          <w:lang w:val="en-GB"/>
        </w:rPr>
        <w:t xml:space="preserve">neighbourhood </w:t>
      </w:r>
      <w:r w:rsidR="00242F25">
        <w:rPr>
          <w:sz w:val="22"/>
          <w:szCs w:val="22"/>
          <w:lang w:val="en-GB"/>
        </w:rPr>
        <w:t>deprivation were not significantly associated with use of resources</w:t>
      </w:r>
      <w:r w:rsidR="007604AE">
        <w:rPr>
          <w:sz w:val="22"/>
          <w:szCs w:val="22"/>
          <w:lang w:val="en-GB"/>
        </w:rPr>
        <w:t xml:space="preserve"> by older adults.</w:t>
      </w:r>
      <w:r w:rsidR="00743490">
        <w:rPr>
          <w:sz w:val="22"/>
          <w:szCs w:val="22"/>
          <w:lang w:val="en-GB"/>
        </w:rPr>
        <w:t xml:space="preserve"> </w:t>
      </w:r>
      <w:r w:rsidR="00271162">
        <w:rPr>
          <w:sz w:val="22"/>
          <w:szCs w:val="22"/>
          <w:lang w:val="en-GB"/>
        </w:rPr>
        <w:t>Furthermore, t</w:t>
      </w:r>
      <w:r w:rsidR="002F132D">
        <w:rPr>
          <w:sz w:val="22"/>
          <w:szCs w:val="22"/>
          <w:lang w:val="en-GB"/>
        </w:rPr>
        <w:t>he results showed that p</w:t>
      </w:r>
      <w:r w:rsidR="00743490">
        <w:rPr>
          <w:sz w:val="22"/>
          <w:szCs w:val="22"/>
          <w:lang w:val="en-GB"/>
        </w:rPr>
        <w:t xml:space="preserve">erception of more neighbourhood problems was marginally significantly associated with more use of public transport in older adults without LLOA, whereas the perception of more neighbourhood problems was marginally significantly associated with less use of public transport in older adults </w:t>
      </w:r>
      <w:r w:rsidR="00CE16D2">
        <w:rPr>
          <w:sz w:val="22"/>
          <w:szCs w:val="22"/>
          <w:lang w:val="en-GB"/>
        </w:rPr>
        <w:t xml:space="preserve">with </w:t>
      </w:r>
      <w:r w:rsidR="00743490">
        <w:rPr>
          <w:sz w:val="22"/>
          <w:szCs w:val="22"/>
          <w:lang w:val="en-GB"/>
        </w:rPr>
        <w:t>LLOA.</w:t>
      </w:r>
    </w:p>
    <w:p w:rsidR="002F074F" w:rsidRDefault="001A3042" w:rsidP="005D091D">
      <w:pPr>
        <w:spacing w:line="480" w:lineRule="auto"/>
        <w:jc w:val="both"/>
        <w:rPr>
          <w:sz w:val="22"/>
          <w:szCs w:val="22"/>
          <w:lang w:val="en-GB"/>
        </w:rPr>
      </w:pPr>
      <w:r>
        <w:rPr>
          <w:sz w:val="22"/>
          <w:szCs w:val="22"/>
          <w:lang w:val="en-GB"/>
        </w:rPr>
        <w:tab/>
      </w:r>
      <w:r w:rsidR="004D2BB5">
        <w:rPr>
          <w:sz w:val="22"/>
          <w:szCs w:val="22"/>
          <w:lang w:val="en-GB"/>
        </w:rPr>
        <w:t>Based on the environmental docility hypothesis</w:t>
      </w:r>
      <w:r w:rsidR="00743490">
        <w:rPr>
          <w:sz w:val="22"/>
          <w:szCs w:val="22"/>
          <w:lang w:val="en-GB"/>
        </w:rPr>
        <w:t xml:space="preserve"> [17,18]</w:t>
      </w:r>
      <w:r w:rsidR="004D2BB5">
        <w:rPr>
          <w:sz w:val="22"/>
          <w:szCs w:val="22"/>
          <w:lang w:val="en-GB"/>
        </w:rPr>
        <w:t xml:space="preserve">, </w:t>
      </w:r>
      <w:r w:rsidR="002F074F">
        <w:rPr>
          <w:sz w:val="22"/>
          <w:szCs w:val="22"/>
          <w:lang w:val="en-GB"/>
        </w:rPr>
        <w:t xml:space="preserve">it was expected </w:t>
      </w:r>
      <w:r w:rsidR="004D2BB5">
        <w:rPr>
          <w:sz w:val="22"/>
          <w:szCs w:val="22"/>
          <w:lang w:val="en-GB"/>
        </w:rPr>
        <w:t xml:space="preserve">that </w:t>
      </w:r>
      <w:r w:rsidR="0040095C">
        <w:rPr>
          <w:sz w:val="22"/>
          <w:szCs w:val="22"/>
          <w:lang w:val="en-GB"/>
        </w:rPr>
        <w:t>lower levels of perceived neighbourhood cohesion</w:t>
      </w:r>
      <w:r w:rsidR="00E00661">
        <w:rPr>
          <w:sz w:val="22"/>
          <w:szCs w:val="22"/>
          <w:lang w:val="en-GB"/>
        </w:rPr>
        <w:t xml:space="preserve">, more perceived neighbourhood problems and </w:t>
      </w:r>
      <w:r w:rsidR="0040095C">
        <w:rPr>
          <w:sz w:val="22"/>
          <w:szCs w:val="22"/>
          <w:lang w:val="en-GB"/>
        </w:rPr>
        <w:t xml:space="preserve">higher levels of objectively measured neighbourhood deprivation, </w:t>
      </w:r>
      <w:r w:rsidR="004D2BB5">
        <w:rPr>
          <w:sz w:val="22"/>
          <w:szCs w:val="22"/>
          <w:lang w:val="en-GB"/>
        </w:rPr>
        <w:t xml:space="preserve">would be </w:t>
      </w:r>
      <w:r w:rsidR="0040095C">
        <w:rPr>
          <w:sz w:val="22"/>
          <w:szCs w:val="22"/>
          <w:lang w:val="en-GB"/>
        </w:rPr>
        <w:t xml:space="preserve">associated with less use of resources in older adults, and that these associations would be stronger in older persons with LLOA than in those without the condition. </w:t>
      </w:r>
      <w:r w:rsidR="00E00661">
        <w:rPr>
          <w:sz w:val="22"/>
          <w:szCs w:val="22"/>
          <w:lang w:val="en-GB"/>
        </w:rPr>
        <w:t>In contrast with the environmental docility hypothesis</w:t>
      </w:r>
      <w:r w:rsidR="0085772F">
        <w:rPr>
          <w:sz w:val="22"/>
          <w:szCs w:val="22"/>
          <w:lang w:val="en-GB"/>
        </w:rPr>
        <w:t xml:space="preserve"> [17,18]</w:t>
      </w:r>
      <w:r w:rsidR="00E00661">
        <w:rPr>
          <w:sz w:val="22"/>
          <w:szCs w:val="22"/>
          <w:lang w:val="en-GB"/>
        </w:rPr>
        <w:t xml:space="preserve">, the results of this study showed that, </w:t>
      </w:r>
      <w:r w:rsidR="0040095C">
        <w:rPr>
          <w:sz w:val="22"/>
          <w:szCs w:val="22"/>
          <w:lang w:val="en-GB"/>
        </w:rPr>
        <w:t xml:space="preserve">regardless of </w:t>
      </w:r>
      <w:r w:rsidR="00215853">
        <w:rPr>
          <w:sz w:val="22"/>
          <w:szCs w:val="22"/>
          <w:lang w:val="en-GB"/>
        </w:rPr>
        <w:t>LL</w:t>
      </w:r>
      <w:r w:rsidR="0040095C">
        <w:rPr>
          <w:sz w:val="22"/>
          <w:szCs w:val="22"/>
          <w:lang w:val="en-GB"/>
        </w:rPr>
        <w:t>OA, perceived neighbourhood cohesion and objective neighbourhood deprivation were not significantly associated with use of resources by older adults.</w:t>
      </w:r>
      <w:r w:rsidR="00E00661">
        <w:rPr>
          <w:sz w:val="22"/>
          <w:szCs w:val="22"/>
          <w:lang w:val="en-GB"/>
        </w:rPr>
        <w:t xml:space="preserve"> </w:t>
      </w:r>
      <w:r w:rsidR="004D2BB5">
        <w:rPr>
          <w:sz w:val="22"/>
          <w:szCs w:val="22"/>
          <w:lang w:val="en-GB"/>
        </w:rPr>
        <w:t>In line with the environmental docility hypothesis</w:t>
      </w:r>
      <w:r w:rsidR="0085772F">
        <w:rPr>
          <w:sz w:val="22"/>
          <w:szCs w:val="22"/>
          <w:lang w:val="en-GB"/>
        </w:rPr>
        <w:t xml:space="preserve"> [17,18]</w:t>
      </w:r>
      <w:r w:rsidR="004D2BB5">
        <w:rPr>
          <w:sz w:val="22"/>
          <w:szCs w:val="22"/>
          <w:lang w:val="en-GB"/>
        </w:rPr>
        <w:t xml:space="preserve">, </w:t>
      </w:r>
      <w:r w:rsidR="00EB194D">
        <w:rPr>
          <w:sz w:val="22"/>
          <w:szCs w:val="22"/>
          <w:lang w:val="en-GB"/>
        </w:rPr>
        <w:t>it was found</w:t>
      </w:r>
      <w:r w:rsidR="004D2BB5">
        <w:rPr>
          <w:sz w:val="22"/>
          <w:szCs w:val="22"/>
          <w:lang w:val="en-GB"/>
        </w:rPr>
        <w:t xml:space="preserve"> that older adults with LLOA perceive more neighbourhood problems than those without LLOA</w:t>
      </w:r>
      <w:r w:rsidR="00EB194D">
        <w:rPr>
          <w:sz w:val="22"/>
          <w:szCs w:val="22"/>
          <w:lang w:val="en-GB"/>
        </w:rPr>
        <w:t>. This suggests that older adults with LLOA might be more vulnerable to environmental demands</w:t>
      </w:r>
      <w:r w:rsidR="00167734">
        <w:rPr>
          <w:sz w:val="22"/>
          <w:szCs w:val="22"/>
          <w:lang w:val="en-GB"/>
        </w:rPr>
        <w:t xml:space="preserve"> than those without the condition</w:t>
      </w:r>
      <w:r w:rsidR="002F132D">
        <w:rPr>
          <w:sz w:val="22"/>
          <w:szCs w:val="22"/>
          <w:lang w:val="en-GB"/>
        </w:rPr>
        <w:t>, due to the experience of more pain and disability.</w:t>
      </w:r>
      <w:r w:rsidR="00EB194D">
        <w:rPr>
          <w:sz w:val="22"/>
          <w:szCs w:val="22"/>
          <w:lang w:val="en-GB"/>
        </w:rPr>
        <w:t xml:space="preserve"> The findings also showed that the perception of more neighbourhood problems was associated with more use of public transport in older adults without LLOA, whereas older adults with LLOA were less likely to make use of public transport when they perceive more neighbourhood problems. In line with the environmental docility hypothesis</w:t>
      </w:r>
      <w:r w:rsidR="0085772F">
        <w:rPr>
          <w:sz w:val="22"/>
          <w:szCs w:val="22"/>
          <w:lang w:val="en-GB"/>
        </w:rPr>
        <w:t xml:space="preserve"> [17,18]</w:t>
      </w:r>
      <w:r w:rsidR="00EB194D">
        <w:rPr>
          <w:sz w:val="22"/>
          <w:szCs w:val="22"/>
          <w:lang w:val="en-GB"/>
        </w:rPr>
        <w:t xml:space="preserve">, </w:t>
      </w:r>
      <w:r w:rsidR="005405CB">
        <w:rPr>
          <w:sz w:val="22"/>
          <w:szCs w:val="22"/>
          <w:lang w:val="en-GB"/>
        </w:rPr>
        <w:t>the perception of more neighbourhood problems seems to hinder older adults with LLOA to make use of public transport</w:t>
      </w:r>
      <w:r w:rsidR="001166CD">
        <w:rPr>
          <w:sz w:val="22"/>
          <w:szCs w:val="22"/>
          <w:lang w:val="en-GB"/>
        </w:rPr>
        <w:t xml:space="preserve"> </w:t>
      </w:r>
      <w:r w:rsidR="00271162">
        <w:rPr>
          <w:sz w:val="22"/>
          <w:szCs w:val="22"/>
          <w:lang w:val="en-GB"/>
        </w:rPr>
        <w:t>facilities</w:t>
      </w:r>
      <w:r w:rsidR="001166CD">
        <w:rPr>
          <w:sz w:val="22"/>
          <w:szCs w:val="22"/>
          <w:lang w:val="en-GB"/>
        </w:rPr>
        <w:t xml:space="preserve">. The perception of more neighbourhood problems seems not to be a barrier for older adults without LLOA to make use of these </w:t>
      </w:r>
      <w:r w:rsidR="00271162">
        <w:rPr>
          <w:sz w:val="22"/>
          <w:szCs w:val="22"/>
          <w:lang w:val="en-GB"/>
        </w:rPr>
        <w:t>neighbourhood resources</w:t>
      </w:r>
      <w:r w:rsidR="001166CD">
        <w:rPr>
          <w:sz w:val="22"/>
          <w:szCs w:val="22"/>
          <w:lang w:val="en-GB"/>
        </w:rPr>
        <w:t xml:space="preserve">. These findings suggest that older adults with LLOA may be </w:t>
      </w:r>
      <w:r w:rsidR="00EB194D">
        <w:rPr>
          <w:sz w:val="22"/>
          <w:szCs w:val="22"/>
          <w:lang w:val="en-GB"/>
        </w:rPr>
        <w:t>less able to deal with perceived neighbourhood problems and more challenging environments than those without LLOA.</w:t>
      </w:r>
      <w:r w:rsidR="00167734">
        <w:rPr>
          <w:sz w:val="22"/>
          <w:szCs w:val="22"/>
          <w:lang w:val="en-GB"/>
        </w:rPr>
        <w:t xml:space="preserve"> </w:t>
      </w:r>
      <w:r w:rsidR="00863310">
        <w:rPr>
          <w:sz w:val="22"/>
          <w:szCs w:val="22"/>
          <w:lang w:val="en-GB"/>
        </w:rPr>
        <w:t>O</w:t>
      </w:r>
      <w:r w:rsidR="00EB194D">
        <w:rPr>
          <w:sz w:val="22"/>
          <w:szCs w:val="22"/>
          <w:lang w:val="en-GB"/>
        </w:rPr>
        <w:t>lder adults with LLOA may reduce their use of public transport, because they do not wa</w:t>
      </w:r>
      <w:r w:rsidR="00167734">
        <w:rPr>
          <w:sz w:val="22"/>
          <w:szCs w:val="22"/>
          <w:lang w:val="en-GB"/>
        </w:rPr>
        <w:t>n</w:t>
      </w:r>
      <w:r w:rsidR="00EB194D">
        <w:rPr>
          <w:sz w:val="22"/>
          <w:szCs w:val="22"/>
          <w:lang w:val="en-GB"/>
        </w:rPr>
        <w:t xml:space="preserve">t to travel through their </w:t>
      </w:r>
      <w:r w:rsidR="00EB194D">
        <w:rPr>
          <w:sz w:val="22"/>
          <w:szCs w:val="22"/>
          <w:lang w:val="en-GB"/>
        </w:rPr>
        <w:lastRenderedPageBreak/>
        <w:t>neighbourhood</w:t>
      </w:r>
      <w:r w:rsidR="00167734">
        <w:rPr>
          <w:sz w:val="22"/>
          <w:szCs w:val="22"/>
          <w:lang w:val="en-GB"/>
        </w:rPr>
        <w:t xml:space="preserve"> to public transport facilities and be exposed to their perceived neighbourhood problems.</w:t>
      </w:r>
      <w:r w:rsidR="002F132D">
        <w:rPr>
          <w:sz w:val="22"/>
          <w:szCs w:val="22"/>
          <w:lang w:val="en-GB"/>
        </w:rPr>
        <w:t xml:space="preserve"> </w:t>
      </w:r>
      <w:r w:rsidR="0085772F">
        <w:rPr>
          <w:sz w:val="22"/>
          <w:szCs w:val="22"/>
          <w:lang w:val="en-GB"/>
        </w:rPr>
        <w:t xml:space="preserve">However, the results do not show any </w:t>
      </w:r>
      <w:r w:rsidR="001166CD">
        <w:rPr>
          <w:sz w:val="22"/>
          <w:szCs w:val="22"/>
          <w:lang w:val="en-GB"/>
        </w:rPr>
        <w:t xml:space="preserve">association </w:t>
      </w:r>
      <w:r w:rsidR="0085772F">
        <w:rPr>
          <w:sz w:val="22"/>
          <w:szCs w:val="22"/>
          <w:lang w:val="en-GB"/>
        </w:rPr>
        <w:t xml:space="preserve">between perceived neighbourhood problems and </w:t>
      </w:r>
      <w:r w:rsidR="001166CD">
        <w:rPr>
          <w:sz w:val="22"/>
          <w:szCs w:val="22"/>
          <w:lang w:val="en-GB"/>
        </w:rPr>
        <w:t xml:space="preserve">use of </w:t>
      </w:r>
      <w:r w:rsidR="0085772F">
        <w:rPr>
          <w:sz w:val="22"/>
          <w:szCs w:val="22"/>
          <w:lang w:val="en-GB"/>
        </w:rPr>
        <w:t xml:space="preserve">other neighbourhood resources in older adults with LLOA. </w:t>
      </w:r>
    </w:p>
    <w:p w:rsidR="002D0297" w:rsidRDefault="002D0297" w:rsidP="005D091D">
      <w:pPr>
        <w:spacing w:line="480" w:lineRule="auto"/>
        <w:jc w:val="both"/>
        <w:rPr>
          <w:sz w:val="22"/>
          <w:szCs w:val="22"/>
          <w:lang w:val="en-GB"/>
        </w:rPr>
      </w:pPr>
      <w:r>
        <w:rPr>
          <w:sz w:val="22"/>
          <w:szCs w:val="22"/>
          <w:lang w:val="en-GB"/>
        </w:rPr>
        <w:tab/>
        <w:t xml:space="preserve">Perception of more neighbourhood problems seems to hinder older adults with LLOA to </w:t>
      </w:r>
      <w:r w:rsidR="00E029FF">
        <w:rPr>
          <w:sz w:val="22"/>
          <w:szCs w:val="22"/>
          <w:lang w:val="en-GB"/>
        </w:rPr>
        <w:t xml:space="preserve">make </w:t>
      </w:r>
      <w:r>
        <w:rPr>
          <w:sz w:val="22"/>
          <w:szCs w:val="22"/>
          <w:lang w:val="en-GB"/>
        </w:rPr>
        <w:t xml:space="preserve">use </w:t>
      </w:r>
      <w:r w:rsidR="00E029FF">
        <w:rPr>
          <w:sz w:val="22"/>
          <w:szCs w:val="22"/>
          <w:lang w:val="en-GB"/>
        </w:rPr>
        <w:t xml:space="preserve">of </w:t>
      </w:r>
      <w:r>
        <w:rPr>
          <w:sz w:val="22"/>
          <w:szCs w:val="22"/>
          <w:lang w:val="en-GB"/>
        </w:rPr>
        <w:t>public transport and this may have an important negative impact on their daily functioni</w:t>
      </w:r>
      <w:r w:rsidR="0064221B">
        <w:rPr>
          <w:sz w:val="22"/>
          <w:szCs w:val="22"/>
          <w:lang w:val="en-GB"/>
        </w:rPr>
        <w:t>ng. In a study by Martin et al.,</w:t>
      </w:r>
      <w:r w:rsidR="00BE10A8">
        <w:rPr>
          <w:sz w:val="22"/>
          <w:szCs w:val="22"/>
          <w:lang w:val="en-GB"/>
        </w:rPr>
        <w:t xml:space="preserve"> </w:t>
      </w:r>
      <w:r w:rsidR="00500BDE">
        <w:rPr>
          <w:sz w:val="22"/>
          <w:szCs w:val="22"/>
          <w:lang w:val="en-GB"/>
        </w:rPr>
        <w:t xml:space="preserve">community-dwelling older </w:t>
      </w:r>
      <w:r w:rsidR="003502DB">
        <w:rPr>
          <w:sz w:val="22"/>
          <w:szCs w:val="22"/>
          <w:lang w:val="en-GB"/>
        </w:rPr>
        <w:t>adults</w:t>
      </w:r>
      <w:r w:rsidR="00500BDE">
        <w:rPr>
          <w:sz w:val="22"/>
          <w:szCs w:val="22"/>
          <w:lang w:val="en-GB"/>
        </w:rPr>
        <w:t xml:space="preserve"> with OA identified public transport as an important community resource tha</w:t>
      </w:r>
      <w:r w:rsidR="00CA1DD2">
        <w:rPr>
          <w:sz w:val="22"/>
          <w:szCs w:val="22"/>
          <w:lang w:val="en-GB"/>
        </w:rPr>
        <w:t>t they use to manage their OA as</w:t>
      </w:r>
      <w:r w:rsidR="00500BDE">
        <w:rPr>
          <w:sz w:val="22"/>
          <w:szCs w:val="22"/>
          <w:lang w:val="en-GB"/>
        </w:rPr>
        <w:t xml:space="preserve"> it facilitates easier access to public services and health care resources</w:t>
      </w:r>
      <w:r w:rsidR="00F26AA1">
        <w:rPr>
          <w:sz w:val="22"/>
          <w:szCs w:val="22"/>
          <w:lang w:val="en-GB"/>
        </w:rPr>
        <w:t xml:space="preserve"> [41</w:t>
      </w:r>
      <w:r w:rsidR="00BE10A8">
        <w:rPr>
          <w:sz w:val="22"/>
          <w:szCs w:val="22"/>
          <w:lang w:val="en-GB"/>
        </w:rPr>
        <w:t>]</w:t>
      </w:r>
      <w:r w:rsidR="00500BDE">
        <w:rPr>
          <w:sz w:val="22"/>
          <w:szCs w:val="22"/>
          <w:lang w:val="en-GB"/>
        </w:rPr>
        <w:t>. In addition, previous studies suggest that public transport is an important resource for older persons to maintain social relationships, personal independence, and participation in activities</w:t>
      </w:r>
      <w:r w:rsidR="00BE10A8">
        <w:rPr>
          <w:sz w:val="22"/>
          <w:szCs w:val="22"/>
          <w:lang w:val="en-GB"/>
        </w:rPr>
        <w:t xml:space="preserve"> </w:t>
      </w:r>
      <w:r w:rsidR="00543122">
        <w:rPr>
          <w:sz w:val="22"/>
          <w:szCs w:val="22"/>
          <w:lang w:val="en-GB"/>
        </w:rPr>
        <w:t>[</w:t>
      </w:r>
      <w:r w:rsidR="008A65BA">
        <w:rPr>
          <w:sz w:val="22"/>
          <w:szCs w:val="22"/>
          <w:lang w:val="en-GB"/>
        </w:rPr>
        <w:t>4</w:t>
      </w:r>
      <w:r w:rsidR="00F26AA1">
        <w:rPr>
          <w:sz w:val="22"/>
          <w:szCs w:val="22"/>
          <w:lang w:val="en-GB"/>
        </w:rPr>
        <w:t>2</w:t>
      </w:r>
      <w:r w:rsidR="00CA1DD2">
        <w:rPr>
          <w:sz w:val="22"/>
          <w:szCs w:val="22"/>
          <w:lang w:val="en-GB"/>
        </w:rPr>
        <w:t>,</w:t>
      </w:r>
      <w:r w:rsidR="008A65BA">
        <w:rPr>
          <w:sz w:val="22"/>
          <w:szCs w:val="22"/>
          <w:lang w:val="en-GB"/>
        </w:rPr>
        <w:t>4</w:t>
      </w:r>
      <w:r w:rsidR="00F26AA1">
        <w:rPr>
          <w:sz w:val="22"/>
          <w:szCs w:val="22"/>
          <w:lang w:val="en-GB"/>
        </w:rPr>
        <w:t>3</w:t>
      </w:r>
      <w:r w:rsidR="0064221B">
        <w:rPr>
          <w:sz w:val="22"/>
          <w:szCs w:val="22"/>
          <w:lang w:val="en-GB"/>
        </w:rPr>
        <w:t>]</w:t>
      </w:r>
      <w:r w:rsidR="00BE10A8">
        <w:rPr>
          <w:sz w:val="22"/>
          <w:szCs w:val="22"/>
          <w:lang w:val="en-GB"/>
        </w:rPr>
        <w:t>.</w:t>
      </w:r>
      <w:r w:rsidR="00CA1DD2">
        <w:rPr>
          <w:sz w:val="22"/>
          <w:szCs w:val="22"/>
          <w:lang w:val="en-GB"/>
        </w:rPr>
        <w:t xml:space="preserve"> </w:t>
      </w:r>
    </w:p>
    <w:p w:rsidR="005E5EFA" w:rsidRDefault="00CA1DD2" w:rsidP="00551474">
      <w:pPr>
        <w:spacing w:line="480" w:lineRule="auto"/>
        <w:jc w:val="both"/>
        <w:rPr>
          <w:sz w:val="22"/>
          <w:szCs w:val="22"/>
          <w:lang w:val="en-GB"/>
        </w:rPr>
      </w:pPr>
      <w:r>
        <w:rPr>
          <w:sz w:val="22"/>
          <w:szCs w:val="22"/>
          <w:lang w:val="en-GB"/>
        </w:rPr>
        <w:tab/>
        <w:t xml:space="preserve">Older adults with LLOA reported making more use of places to sit and rest in their neighbourhood than </w:t>
      </w:r>
      <w:r w:rsidR="005E5EFA">
        <w:rPr>
          <w:sz w:val="22"/>
          <w:szCs w:val="22"/>
          <w:lang w:val="en-GB"/>
        </w:rPr>
        <w:t>their counterparts</w:t>
      </w:r>
      <w:r>
        <w:rPr>
          <w:sz w:val="22"/>
          <w:szCs w:val="22"/>
          <w:lang w:val="en-GB"/>
        </w:rPr>
        <w:t xml:space="preserve"> without LLOA. </w:t>
      </w:r>
      <w:r w:rsidR="005E5EFA">
        <w:rPr>
          <w:sz w:val="22"/>
          <w:szCs w:val="22"/>
          <w:lang w:val="en-GB"/>
        </w:rPr>
        <w:t>I</w:t>
      </w:r>
      <w:r>
        <w:rPr>
          <w:sz w:val="22"/>
          <w:szCs w:val="22"/>
          <w:lang w:val="en-GB"/>
        </w:rPr>
        <w:t xml:space="preserve">ndividuals with LLOA </w:t>
      </w:r>
      <w:r w:rsidR="005E5EFA">
        <w:rPr>
          <w:sz w:val="22"/>
          <w:szCs w:val="22"/>
          <w:lang w:val="en-GB"/>
        </w:rPr>
        <w:t>might be more dependent on these amenities, because they experience more pain and disability than those with</w:t>
      </w:r>
      <w:r w:rsidR="00021C52">
        <w:rPr>
          <w:sz w:val="22"/>
          <w:szCs w:val="22"/>
          <w:lang w:val="en-GB"/>
        </w:rPr>
        <w:t>out</w:t>
      </w:r>
      <w:r w:rsidR="005E5EFA">
        <w:rPr>
          <w:sz w:val="22"/>
          <w:szCs w:val="22"/>
          <w:lang w:val="en-GB"/>
        </w:rPr>
        <w:t xml:space="preserve"> the condition and, as a consequence, they may need to rest more often during</w:t>
      </w:r>
      <w:r w:rsidR="00500E5C">
        <w:rPr>
          <w:sz w:val="22"/>
          <w:szCs w:val="22"/>
          <w:lang w:val="en-GB"/>
        </w:rPr>
        <w:t xml:space="preserve"> </w:t>
      </w:r>
      <w:r w:rsidR="00F31573">
        <w:rPr>
          <w:sz w:val="22"/>
          <w:szCs w:val="22"/>
          <w:lang w:val="en-GB"/>
        </w:rPr>
        <w:t xml:space="preserve">their </w:t>
      </w:r>
      <w:r w:rsidR="00500E5C">
        <w:rPr>
          <w:sz w:val="22"/>
          <w:szCs w:val="22"/>
          <w:lang w:val="en-GB"/>
        </w:rPr>
        <w:t>outdoor activities</w:t>
      </w:r>
      <w:r w:rsidR="005E5EFA">
        <w:rPr>
          <w:sz w:val="22"/>
          <w:szCs w:val="22"/>
          <w:lang w:val="en-GB"/>
        </w:rPr>
        <w:t xml:space="preserve">. </w:t>
      </w:r>
      <w:r w:rsidR="00021C52">
        <w:rPr>
          <w:sz w:val="22"/>
          <w:szCs w:val="22"/>
          <w:lang w:val="en-GB"/>
        </w:rPr>
        <w:t>Regardless of LLOA, a trend for a positive association between perceived neighbourhood cohesion and use of places to sit and rest was observed. Previous research showed that more availability of places to sit and rest results in more use of these resources</w:t>
      </w:r>
      <w:r w:rsidR="00BE10A8">
        <w:rPr>
          <w:sz w:val="22"/>
          <w:szCs w:val="22"/>
          <w:lang w:val="en-GB"/>
        </w:rPr>
        <w:t xml:space="preserve"> </w:t>
      </w:r>
      <w:r w:rsidR="005E4662">
        <w:rPr>
          <w:sz w:val="22"/>
          <w:szCs w:val="22"/>
          <w:lang w:val="en-GB"/>
        </w:rPr>
        <w:t>[24</w:t>
      </w:r>
      <w:r w:rsidR="0064221B">
        <w:rPr>
          <w:sz w:val="22"/>
          <w:szCs w:val="22"/>
          <w:lang w:val="en-GB"/>
        </w:rPr>
        <w:t>]</w:t>
      </w:r>
      <w:r w:rsidR="00BE10A8">
        <w:rPr>
          <w:sz w:val="22"/>
          <w:szCs w:val="22"/>
          <w:lang w:val="en-GB"/>
        </w:rPr>
        <w:t>.</w:t>
      </w:r>
      <w:r w:rsidR="00021C52">
        <w:rPr>
          <w:sz w:val="22"/>
          <w:szCs w:val="22"/>
          <w:lang w:val="en-GB"/>
        </w:rPr>
        <w:t xml:space="preserve"> It could be that the availability of places to sit and rest in a neighbourhood increases the use of these places by residents, which may facilitate attractiveness of a neighbourhood, social interaction within a neighbourhood and a higher sense of community among residents in a neighbourhood. Another possible explanation for this finding could be that older adults with a higher sense of </w:t>
      </w:r>
      <w:r w:rsidR="00FB0D8B">
        <w:rPr>
          <w:sz w:val="22"/>
          <w:szCs w:val="22"/>
          <w:lang w:val="en-GB"/>
        </w:rPr>
        <w:t>neighbourhood cohesion are more likely to make use of places to sit and rest, because they can spend time outside and meet other residents of their neighbourhood.</w:t>
      </w:r>
    </w:p>
    <w:p w:rsidR="00551474" w:rsidRDefault="00551474" w:rsidP="00551474">
      <w:pPr>
        <w:spacing w:line="480" w:lineRule="auto"/>
        <w:jc w:val="both"/>
        <w:rPr>
          <w:sz w:val="22"/>
          <w:szCs w:val="22"/>
          <w:lang w:val="en-GB"/>
        </w:rPr>
      </w:pPr>
      <w:r>
        <w:rPr>
          <w:sz w:val="22"/>
          <w:szCs w:val="22"/>
          <w:lang w:val="en-GB"/>
        </w:rPr>
        <w:tab/>
        <w:t>The current study extends previous research by examining the association between use of resources and characteristics of the immediate neighbourhood environment measured through self-reports and objective assessments in older adults with and without LLOA. This study has several strengths, including extensive phenotyping of study participants according to strict study protocols, and by a highly trained research team.</w:t>
      </w:r>
    </w:p>
    <w:p w:rsidR="00533DCE" w:rsidRDefault="00533DCE" w:rsidP="00551474">
      <w:pPr>
        <w:spacing w:line="480" w:lineRule="auto"/>
        <w:ind w:firstLine="708"/>
        <w:jc w:val="both"/>
        <w:rPr>
          <w:sz w:val="22"/>
          <w:szCs w:val="22"/>
          <w:lang w:val="en-GB"/>
        </w:rPr>
      </w:pPr>
      <w:r>
        <w:rPr>
          <w:sz w:val="22"/>
          <w:szCs w:val="22"/>
          <w:lang w:val="en-GB"/>
        </w:rPr>
        <w:t>S</w:t>
      </w:r>
      <w:r w:rsidRPr="006547E4">
        <w:rPr>
          <w:sz w:val="22"/>
          <w:szCs w:val="22"/>
          <w:lang w:val="en-GB"/>
        </w:rPr>
        <w:t>ome limitations</w:t>
      </w:r>
      <w:r>
        <w:rPr>
          <w:sz w:val="22"/>
          <w:szCs w:val="22"/>
          <w:lang w:val="en-GB"/>
        </w:rPr>
        <w:t xml:space="preserve"> have to be acknowledged as well. N</w:t>
      </w:r>
      <w:r w:rsidRPr="006547E4">
        <w:rPr>
          <w:sz w:val="22"/>
          <w:szCs w:val="22"/>
          <w:lang w:val="en-GB"/>
        </w:rPr>
        <w:t xml:space="preserve">eighbourhood cohesion and problems were measured in 2008, whereas </w:t>
      </w:r>
      <w:r>
        <w:rPr>
          <w:sz w:val="22"/>
          <w:szCs w:val="22"/>
          <w:lang w:val="en-GB"/>
        </w:rPr>
        <w:t xml:space="preserve">the assessment of </w:t>
      </w:r>
      <w:r w:rsidR="00D907AA">
        <w:rPr>
          <w:sz w:val="22"/>
          <w:szCs w:val="22"/>
          <w:lang w:val="en-GB"/>
        </w:rPr>
        <w:t>LL</w:t>
      </w:r>
      <w:r>
        <w:rPr>
          <w:sz w:val="22"/>
          <w:szCs w:val="22"/>
          <w:lang w:val="en-GB"/>
        </w:rPr>
        <w:t xml:space="preserve">OA, </w:t>
      </w:r>
      <w:r w:rsidRPr="006547E4">
        <w:rPr>
          <w:sz w:val="22"/>
          <w:szCs w:val="22"/>
          <w:lang w:val="en-GB"/>
        </w:rPr>
        <w:t xml:space="preserve">use of resources and the covariates were assessed in </w:t>
      </w:r>
      <w:r w:rsidRPr="006547E4">
        <w:rPr>
          <w:sz w:val="22"/>
          <w:szCs w:val="22"/>
          <w:lang w:val="en-GB"/>
        </w:rPr>
        <w:lastRenderedPageBreak/>
        <w:t xml:space="preserve">2010. </w:t>
      </w:r>
      <w:r>
        <w:rPr>
          <w:sz w:val="22"/>
          <w:szCs w:val="22"/>
          <w:lang w:val="en-GB"/>
        </w:rPr>
        <w:t>It has been assumed that perceptions of neighbourhood cohesion and problems remained stable between 2008 and 2010. Although</w:t>
      </w:r>
      <w:r w:rsidRPr="006547E4">
        <w:rPr>
          <w:sz w:val="22"/>
          <w:szCs w:val="22"/>
          <w:lang w:val="en-GB"/>
        </w:rPr>
        <w:t xml:space="preserve"> Hertfordshire is a stable county in term</w:t>
      </w:r>
      <w:r w:rsidR="0064221B">
        <w:rPr>
          <w:sz w:val="22"/>
          <w:szCs w:val="22"/>
          <w:lang w:val="en-GB"/>
        </w:rPr>
        <w:t>s of deprivation [2</w:t>
      </w:r>
      <w:r w:rsidR="005E4662">
        <w:rPr>
          <w:sz w:val="22"/>
          <w:szCs w:val="22"/>
          <w:lang w:val="en-GB"/>
        </w:rPr>
        <w:t>7</w:t>
      </w:r>
      <w:r w:rsidR="00F26AA1">
        <w:rPr>
          <w:sz w:val="22"/>
          <w:szCs w:val="22"/>
          <w:lang w:val="en-GB"/>
        </w:rPr>
        <w:t>-29</w:t>
      </w:r>
      <w:r>
        <w:rPr>
          <w:sz w:val="22"/>
          <w:szCs w:val="22"/>
          <w:lang w:val="en-GB"/>
        </w:rPr>
        <w:t>]</w:t>
      </w:r>
      <w:r w:rsidRPr="006547E4">
        <w:rPr>
          <w:sz w:val="22"/>
          <w:szCs w:val="22"/>
          <w:lang w:val="en-GB"/>
        </w:rPr>
        <w:t xml:space="preserve"> and people who moved within this period were excluded from the analyses, </w:t>
      </w:r>
      <w:r>
        <w:rPr>
          <w:sz w:val="22"/>
          <w:szCs w:val="22"/>
          <w:lang w:val="en-GB"/>
        </w:rPr>
        <w:t xml:space="preserve">the two-year lag and the small sample size might have made it harder to gauge the true size of the associations between the neighbourhood environment and use of resources by older people with and without </w:t>
      </w:r>
      <w:r w:rsidR="00D907AA">
        <w:rPr>
          <w:sz w:val="22"/>
          <w:szCs w:val="22"/>
          <w:lang w:val="en-GB"/>
        </w:rPr>
        <w:t>LL</w:t>
      </w:r>
      <w:r>
        <w:rPr>
          <w:sz w:val="22"/>
          <w:szCs w:val="22"/>
          <w:lang w:val="en-GB"/>
        </w:rPr>
        <w:t xml:space="preserve">OA. </w:t>
      </w:r>
      <w:r w:rsidRPr="006547E4">
        <w:rPr>
          <w:sz w:val="22"/>
          <w:szCs w:val="22"/>
          <w:lang w:val="en-GB"/>
        </w:rPr>
        <w:t xml:space="preserve">Furthermore, the cross-sectional design makes it impossible to be certain about the direction of effect </w:t>
      </w:r>
      <w:r>
        <w:rPr>
          <w:sz w:val="22"/>
          <w:szCs w:val="22"/>
          <w:lang w:val="en-GB"/>
        </w:rPr>
        <w:t>of s</w:t>
      </w:r>
      <w:r w:rsidRPr="006547E4">
        <w:rPr>
          <w:sz w:val="22"/>
          <w:szCs w:val="22"/>
          <w:lang w:val="en-GB"/>
        </w:rPr>
        <w:t xml:space="preserve">ense of neighbourhood cohesion and perceptions of neighbourhood problems </w:t>
      </w:r>
      <w:r>
        <w:rPr>
          <w:sz w:val="22"/>
          <w:szCs w:val="22"/>
          <w:lang w:val="en-GB"/>
        </w:rPr>
        <w:t xml:space="preserve">on </w:t>
      </w:r>
      <w:r w:rsidRPr="006547E4">
        <w:rPr>
          <w:sz w:val="22"/>
          <w:szCs w:val="22"/>
          <w:lang w:val="en-GB"/>
        </w:rPr>
        <w:t>use of neighbourhood resources.</w:t>
      </w:r>
      <w:r>
        <w:rPr>
          <w:sz w:val="22"/>
          <w:szCs w:val="22"/>
          <w:lang w:val="en-GB"/>
        </w:rPr>
        <w:t xml:space="preserve"> Another limitation is related to the geographical distribution of the study sample. T</w:t>
      </w:r>
      <w:r w:rsidRPr="00D676D9">
        <w:rPr>
          <w:sz w:val="22"/>
          <w:szCs w:val="22"/>
          <w:lang w:val="en-GB"/>
        </w:rPr>
        <w:t>he study sampl</w:t>
      </w:r>
      <w:r>
        <w:rPr>
          <w:sz w:val="22"/>
          <w:szCs w:val="22"/>
          <w:lang w:val="en-GB"/>
        </w:rPr>
        <w:t xml:space="preserve">e is drawn from a single </w:t>
      </w:r>
      <w:r w:rsidR="00F26AA1">
        <w:rPr>
          <w:sz w:val="22"/>
          <w:szCs w:val="22"/>
          <w:lang w:val="en-GB"/>
        </w:rPr>
        <w:t xml:space="preserve">county which </w:t>
      </w:r>
      <w:r>
        <w:rPr>
          <w:sz w:val="22"/>
          <w:szCs w:val="22"/>
          <w:lang w:val="en-GB"/>
        </w:rPr>
        <w:t>has low levels of deprivation compared to other parts of the UK</w:t>
      </w:r>
      <w:r w:rsidR="00BE10A8">
        <w:rPr>
          <w:sz w:val="22"/>
          <w:szCs w:val="22"/>
          <w:lang w:val="en-GB"/>
        </w:rPr>
        <w:t xml:space="preserve"> </w:t>
      </w:r>
      <w:r w:rsidR="005E4662">
        <w:rPr>
          <w:sz w:val="22"/>
          <w:szCs w:val="22"/>
          <w:lang w:val="en-GB"/>
        </w:rPr>
        <w:t>[27</w:t>
      </w:r>
      <w:r w:rsidR="00F26AA1">
        <w:rPr>
          <w:sz w:val="22"/>
          <w:szCs w:val="22"/>
          <w:lang w:val="en-GB"/>
        </w:rPr>
        <w:t>,29</w:t>
      </w:r>
      <w:r>
        <w:rPr>
          <w:sz w:val="22"/>
          <w:szCs w:val="22"/>
          <w:lang w:val="en-GB"/>
        </w:rPr>
        <w:t>]</w:t>
      </w:r>
      <w:r w:rsidR="00BE10A8">
        <w:rPr>
          <w:sz w:val="22"/>
          <w:szCs w:val="22"/>
          <w:lang w:val="en-GB"/>
        </w:rPr>
        <w:t>.</w:t>
      </w:r>
      <w:r>
        <w:rPr>
          <w:sz w:val="22"/>
          <w:szCs w:val="22"/>
          <w:lang w:val="en-GB"/>
        </w:rPr>
        <w:t xml:space="preserve"> Moreover, the participants in this study cannot be considered typical of all men and women of this age in the UK, because they have continued to live in the county of their birth</w:t>
      </w:r>
      <w:r w:rsidR="00BE10A8">
        <w:rPr>
          <w:sz w:val="22"/>
          <w:szCs w:val="22"/>
          <w:lang w:val="en-GB"/>
        </w:rPr>
        <w:t xml:space="preserve"> </w:t>
      </w:r>
      <w:r w:rsidR="000068C8">
        <w:rPr>
          <w:sz w:val="22"/>
          <w:szCs w:val="22"/>
          <w:lang w:val="en-GB"/>
        </w:rPr>
        <w:t>[25</w:t>
      </w:r>
      <w:r w:rsidR="0064221B">
        <w:rPr>
          <w:sz w:val="22"/>
          <w:szCs w:val="22"/>
          <w:lang w:val="en-GB"/>
        </w:rPr>
        <w:t>]</w:t>
      </w:r>
      <w:r w:rsidR="00BE10A8">
        <w:rPr>
          <w:sz w:val="22"/>
          <w:szCs w:val="22"/>
          <w:lang w:val="en-GB"/>
        </w:rPr>
        <w:t>.</w:t>
      </w:r>
      <w:r>
        <w:rPr>
          <w:sz w:val="22"/>
          <w:szCs w:val="22"/>
          <w:lang w:val="en-GB"/>
        </w:rPr>
        <w:t xml:space="preserve"> However, participants of the HCS have been shown to be very similar to those in the nationally representative Health Survey for England on a range of </w:t>
      </w:r>
      <w:r w:rsidR="008000AD">
        <w:rPr>
          <w:sz w:val="22"/>
          <w:szCs w:val="22"/>
          <w:lang w:val="en-GB"/>
        </w:rPr>
        <w:t>characteristics</w:t>
      </w:r>
      <w:r w:rsidR="00BE10A8">
        <w:rPr>
          <w:sz w:val="22"/>
          <w:szCs w:val="22"/>
          <w:lang w:val="en-GB"/>
        </w:rPr>
        <w:t xml:space="preserve"> </w:t>
      </w:r>
      <w:r w:rsidR="0064221B">
        <w:rPr>
          <w:sz w:val="22"/>
          <w:szCs w:val="22"/>
          <w:lang w:val="en-GB"/>
        </w:rPr>
        <w:t>[2</w:t>
      </w:r>
      <w:r w:rsidR="005E4662">
        <w:rPr>
          <w:sz w:val="22"/>
          <w:szCs w:val="22"/>
          <w:lang w:val="en-GB"/>
        </w:rPr>
        <w:t>5</w:t>
      </w:r>
      <w:r w:rsidR="0064221B">
        <w:rPr>
          <w:sz w:val="22"/>
          <w:szCs w:val="22"/>
          <w:lang w:val="en-GB"/>
        </w:rPr>
        <w:t>]</w:t>
      </w:r>
      <w:r w:rsidR="00BE10A8">
        <w:rPr>
          <w:sz w:val="22"/>
          <w:szCs w:val="22"/>
          <w:lang w:val="en-GB"/>
        </w:rPr>
        <w:t>.</w:t>
      </w:r>
    </w:p>
    <w:p w:rsidR="00533DCE" w:rsidRDefault="00533DCE" w:rsidP="00551474">
      <w:pPr>
        <w:spacing w:line="480" w:lineRule="auto"/>
        <w:jc w:val="both"/>
        <w:rPr>
          <w:sz w:val="22"/>
          <w:szCs w:val="22"/>
          <w:lang w:val="en-GB"/>
        </w:rPr>
      </w:pPr>
      <w:r>
        <w:rPr>
          <w:sz w:val="22"/>
          <w:szCs w:val="22"/>
          <w:lang w:val="en-GB"/>
        </w:rPr>
        <w:tab/>
        <w:t xml:space="preserve">This study is limited to perceived availability and use of some neighbourhood resources. Future research could focus on objectively measured availability and actual use of neighbourhood resources by using objective data on the built environment and by using Global Position System (GPS) devices. Furthermore, future research should not only focus on the neighbourhood resources that were included in the HACE instrument, but also need to consider other neighbourhood resources that are important for older adults with and without LLOA. </w:t>
      </w:r>
      <w:r w:rsidR="00C5755A">
        <w:rPr>
          <w:sz w:val="22"/>
          <w:szCs w:val="22"/>
          <w:lang w:val="en-GB"/>
        </w:rPr>
        <w:t>F</w:t>
      </w:r>
      <w:r w:rsidR="0046203A">
        <w:rPr>
          <w:sz w:val="22"/>
          <w:szCs w:val="22"/>
          <w:lang w:val="en-GB"/>
        </w:rPr>
        <w:t xml:space="preserve">uture research could </w:t>
      </w:r>
      <w:r w:rsidR="00C5755A">
        <w:rPr>
          <w:sz w:val="22"/>
          <w:szCs w:val="22"/>
          <w:lang w:val="en-GB"/>
        </w:rPr>
        <w:t xml:space="preserve">also </w:t>
      </w:r>
      <w:r w:rsidR="0046203A">
        <w:rPr>
          <w:sz w:val="22"/>
          <w:szCs w:val="22"/>
          <w:lang w:val="en-GB"/>
        </w:rPr>
        <w:t>consider other</w:t>
      </w:r>
      <w:r w:rsidR="004A1EDB">
        <w:rPr>
          <w:sz w:val="22"/>
          <w:szCs w:val="22"/>
          <w:lang w:val="en-GB"/>
        </w:rPr>
        <w:t xml:space="preserve"> relevant perceived and objective</w:t>
      </w:r>
      <w:r w:rsidR="0046203A">
        <w:rPr>
          <w:sz w:val="22"/>
          <w:szCs w:val="22"/>
          <w:lang w:val="en-GB"/>
        </w:rPr>
        <w:t xml:space="preserve"> neighbourhood characteristics, such as </w:t>
      </w:r>
      <w:r w:rsidR="004A1EDB">
        <w:rPr>
          <w:sz w:val="22"/>
          <w:szCs w:val="22"/>
          <w:lang w:val="en-GB"/>
        </w:rPr>
        <w:t>hilly terrain</w:t>
      </w:r>
      <w:r w:rsidR="00810BF7">
        <w:rPr>
          <w:sz w:val="22"/>
          <w:szCs w:val="22"/>
          <w:lang w:val="en-GB"/>
        </w:rPr>
        <w:t>, accessibility of buildings,</w:t>
      </w:r>
      <w:r w:rsidR="004A1EDB">
        <w:rPr>
          <w:sz w:val="22"/>
          <w:szCs w:val="22"/>
          <w:lang w:val="en-GB"/>
        </w:rPr>
        <w:t xml:space="preserve"> and poor pavement conditions.</w:t>
      </w:r>
      <w:r w:rsidR="00810BF7">
        <w:rPr>
          <w:sz w:val="22"/>
          <w:szCs w:val="22"/>
          <w:lang w:val="en-GB"/>
        </w:rPr>
        <w:t xml:space="preserve"> </w:t>
      </w:r>
      <w:r w:rsidR="005405CB">
        <w:rPr>
          <w:sz w:val="22"/>
          <w:szCs w:val="22"/>
          <w:lang w:val="en-GB"/>
        </w:rPr>
        <w:t>In addition, f</w:t>
      </w:r>
      <w:r w:rsidR="005B7F52">
        <w:rPr>
          <w:sz w:val="22"/>
          <w:szCs w:val="22"/>
          <w:lang w:val="en-GB"/>
        </w:rPr>
        <w:t>uture s</w:t>
      </w:r>
      <w:r w:rsidR="0046203A">
        <w:rPr>
          <w:sz w:val="22"/>
          <w:szCs w:val="22"/>
          <w:lang w:val="en-GB"/>
        </w:rPr>
        <w:t xml:space="preserve">tudies with larger study samples are needed to appropriately investigate the association between use of neighbourhood resources and neighbourhood characteristics. </w:t>
      </w:r>
      <w:r>
        <w:rPr>
          <w:sz w:val="22"/>
          <w:szCs w:val="22"/>
          <w:lang w:val="en-GB"/>
        </w:rPr>
        <w:t>Moreover, longitudinal, prospective studies are needed to investigate the causal relationships of perceptions of neighbourhood cohesion and neighbourhood problems and objectively measured neighbourhood deprivation with the use of neighbourhood resources by older adults with and without LLOA.</w:t>
      </w:r>
    </w:p>
    <w:p w:rsidR="00FB0D8B" w:rsidRPr="003104E6" w:rsidRDefault="00533DCE" w:rsidP="003104E6">
      <w:pPr>
        <w:spacing w:line="480" w:lineRule="auto"/>
        <w:ind w:firstLine="708"/>
        <w:jc w:val="both"/>
        <w:rPr>
          <w:sz w:val="22"/>
          <w:szCs w:val="22"/>
          <w:highlight w:val="yellow"/>
          <w:lang w:val="en-GB"/>
        </w:rPr>
      </w:pPr>
      <w:r w:rsidRPr="00015396">
        <w:rPr>
          <w:sz w:val="22"/>
          <w:szCs w:val="22"/>
          <w:lang w:val="en-GB"/>
        </w:rPr>
        <w:t xml:space="preserve">In conclusion, </w:t>
      </w:r>
      <w:r>
        <w:rPr>
          <w:sz w:val="22"/>
          <w:szCs w:val="22"/>
          <w:lang w:val="en-GB"/>
        </w:rPr>
        <w:t xml:space="preserve">the </w:t>
      </w:r>
      <w:r w:rsidRPr="00015396">
        <w:rPr>
          <w:sz w:val="22"/>
          <w:szCs w:val="22"/>
          <w:lang w:val="en-GB"/>
        </w:rPr>
        <w:t xml:space="preserve">results </w:t>
      </w:r>
      <w:r>
        <w:rPr>
          <w:sz w:val="22"/>
          <w:szCs w:val="22"/>
          <w:lang w:val="en-GB"/>
        </w:rPr>
        <w:t xml:space="preserve">of the current study </w:t>
      </w:r>
      <w:r w:rsidRPr="00015396">
        <w:rPr>
          <w:sz w:val="22"/>
          <w:szCs w:val="22"/>
          <w:lang w:val="en-GB"/>
        </w:rPr>
        <w:t>provide</w:t>
      </w:r>
      <w:r>
        <w:rPr>
          <w:sz w:val="22"/>
          <w:szCs w:val="22"/>
          <w:lang w:val="en-GB"/>
        </w:rPr>
        <w:t xml:space="preserve"> limited </w:t>
      </w:r>
      <w:r w:rsidR="00F23DBC">
        <w:rPr>
          <w:sz w:val="22"/>
          <w:szCs w:val="22"/>
          <w:lang w:val="en-GB"/>
        </w:rPr>
        <w:t xml:space="preserve">supportive </w:t>
      </w:r>
      <w:r w:rsidRPr="00015396">
        <w:rPr>
          <w:sz w:val="22"/>
          <w:szCs w:val="22"/>
          <w:lang w:val="en-GB"/>
        </w:rPr>
        <w:t>evidence for the</w:t>
      </w:r>
      <w:r>
        <w:rPr>
          <w:sz w:val="22"/>
          <w:szCs w:val="22"/>
          <w:lang w:val="en-GB"/>
        </w:rPr>
        <w:t xml:space="preserve"> </w:t>
      </w:r>
      <w:r>
        <w:rPr>
          <w:sz w:val="22"/>
          <w:szCs w:val="22"/>
          <w:lang w:val="en-US"/>
        </w:rPr>
        <w:t>environmental docility h</w:t>
      </w:r>
      <w:r w:rsidRPr="00431861">
        <w:rPr>
          <w:sz w:val="22"/>
          <w:szCs w:val="22"/>
          <w:lang w:val="en-US"/>
        </w:rPr>
        <w:t>ypothesis</w:t>
      </w:r>
      <w:r w:rsidRPr="00015396">
        <w:rPr>
          <w:sz w:val="22"/>
          <w:szCs w:val="22"/>
          <w:lang w:val="en-GB"/>
        </w:rPr>
        <w:t xml:space="preserve">. </w:t>
      </w:r>
      <w:r w:rsidR="005B51D5">
        <w:rPr>
          <w:sz w:val="22"/>
          <w:szCs w:val="22"/>
          <w:lang w:val="en-GB"/>
        </w:rPr>
        <w:t xml:space="preserve">Regardless of LLOA, perceived neighbourhood cohesion and objective neighbourhood deprivation were not significantly associated with use of resources by older adults. </w:t>
      </w:r>
      <w:r w:rsidR="00E029FF" w:rsidRPr="003104E6">
        <w:rPr>
          <w:sz w:val="22"/>
          <w:szCs w:val="22"/>
          <w:lang w:val="en-GB"/>
        </w:rPr>
        <w:t xml:space="preserve">The perception of more neighbourhood problems seems </w:t>
      </w:r>
      <w:r w:rsidR="005B51D5">
        <w:rPr>
          <w:sz w:val="22"/>
          <w:szCs w:val="22"/>
          <w:lang w:val="en-GB"/>
        </w:rPr>
        <w:t xml:space="preserve">only </w:t>
      </w:r>
      <w:r w:rsidR="00E029FF" w:rsidRPr="003104E6">
        <w:rPr>
          <w:sz w:val="22"/>
          <w:szCs w:val="22"/>
          <w:lang w:val="en-GB"/>
        </w:rPr>
        <w:t xml:space="preserve">to hinder older adults with LLOA to make use of </w:t>
      </w:r>
      <w:r w:rsidR="00E029FF" w:rsidRPr="003104E6">
        <w:rPr>
          <w:sz w:val="22"/>
          <w:szCs w:val="22"/>
          <w:lang w:val="en-GB"/>
        </w:rPr>
        <w:lastRenderedPageBreak/>
        <w:t>public transport</w:t>
      </w:r>
      <w:r w:rsidR="00867EDD">
        <w:rPr>
          <w:sz w:val="22"/>
          <w:szCs w:val="22"/>
          <w:lang w:val="en-GB"/>
        </w:rPr>
        <w:t xml:space="preserve"> facilities, but not </w:t>
      </w:r>
      <w:r w:rsidR="00294111">
        <w:rPr>
          <w:sz w:val="22"/>
          <w:szCs w:val="22"/>
          <w:lang w:val="en-GB"/>
        </w:rPr>
        <w:t xml:space="preserve">of </w:t>
      </w:r>
      <w:r w:rsidR="00867EDD">
        <w:rPr>
          <w:sz w:val="22"/>
          <w:szCs w:val="22"/>
          <w:lang w:val="en-GB"/>
        </w:rPr>
        <w:t>other neighbourhood resources</w:t>
      </w:r>
      <w:r w:rsidR="00294111">
        <w:rPr>
          <w:sz w:val="22"/>
          <w:szCs w:val="22"/>
          <w:lang w:val="en-GB"/>
        </w:rPr>
        <w:t>.</w:t>
      </w:r>
      <w:r w:rsidR="00E029FF" w:rsidRPr="003104E6">
        <w:rPr>
          <w:sz w:val="22"/>
          <w:szCs w:val="22"/>
          <w:lang w:val="en-GB"/>
        </w:rPr>
        <w:t xml:space="preserve"> Older adults with LLOA may be less able to deal with neighbourhood problems and more challenging environments than those without the condition</w:t>
      </w:r>
      <w:r w:rsidR="00271162">
        <w:rPr>
          <w:sz w:val="22"/>
          <w:szCs w:val="22"/>
          <w:lang w:val="en-GB"/>
        </w:rPr>
        <w:t xml:space="preserve">, and may be therefore more likely to reduce </w:t>
      </w:r>
      <w:r w:rsidR="005B51D5">
        <w:rPr>
          <w:sz w:val="22"/>
          <w:szCs w:val="22"/>
          <w:lang w:val="en-GB"/>
        </w:rPr>
        <w:t>their use of public transport when they perceive more neighbourhood problems.</w:t>
      </w:r>
    </w:p>
    <w:p w:rsidR="0086771D" w:rsidRDefault="0086771D" w:rsidP="00533DCE">
      <w:pPr>
        <w:spacing w:line="480" w:lineRule="auto"/>
        <w:rPr>
          <w:sz w:val="22"/>
          <w:szCs w:val="22"/>
          <w:lang w:val="en-GB"/>
        </w:rPr>
      </w:pPr>
    </w:p>
    <w:p w:rsidR="0086771D" w:rsidRDefault="0086771D" w:rsidP="00533DCE">
      <w:pPr>
        <w:spacing w:line="480" w:lineRule="auto"/>
        <w:rPr>
          <w:sz w:val="22"/>
          <w:szCs w:val="22"/>
          <w:lang w:val="en-GB"/>
        </w:rPr>
      </w:pPr>
    </w:p>
    <w:p w:rsidR="0086771D" w:rsidRDefault="0086771D" w:rsidP="00533DCE">
      <w:pPr>
        <w:spacing w:line="480" w:lineRule="auto"/>
        <w:rPr>
          <w:sz w:val="22"/>
          <w:szCs w:val="22"/>
          <w:lang w:val="en-GB"/>
        </w:rPr>
      </w:pPr>
    </w:p>
    <w:p w:rsidR="005B7F52" w:rsidRDefault="005B7F52" w:rsidP="00E149A2">
      <w:pPr>
        <w:spacing w:line="480" w:lineRule="auto"/>
        <w:jc w:val="both"/>
        <w:rPr>
          <w:b/>
          <w:sz w:val="22"/>
          <w:szCs w:val="22"/>
          <w:lang w:val="en-GB"/>
        </w:rPr>
      </w:pPr>
    </w:p>
    <w:p w:rsidR="00F23DBC" w:rsidRDefault="00F23DBC">
      <w:pPr>
        <w:rPr>
          <w:b/>
          <w:sz w:val="22"/>
          <w:szCs w:val="22"/>
          <w:lang w:val="en-GB"/>
        </w:rPr>
      </w:pPr>
      <w:r>
        <w:rPr>
          <w:b/>
          <w:sz w:val="22"/>
          <w:szCs w:val="22"/>
          <w:lang w:val="en-GB"/>
        </w:rPr>
        <w:br w:type="page"/>
      </w:r>
    </w:p>
    <w:p w:rsidR="00D059EC" w:rsidRPr="004243BE" w:rsidRDefault="00A752C2" w:rsidP="00E149A2">
      <w:pPr>
        <w:spacing w:line="480" w:lineRule="auto"/>
        <w:jc w:val="both"/>
        <w:rPr>
          <w:b/>
          <w:sz w:val="22"/>
          <w:szCs w:val="22"/>
          <w:lang w:val="en-GB"/>
        </w:rPr>
      </w:pPr>
      <w:r w:rsidRPr="004243BE">
        <w:rPr>
          <w:b/>
          <w:sz w:val="22"/>
          <w:szCs w:val="22"/>
          <w:lang w:val="en-GB"/>
        </w:rPr>
        <w:lastRenderedPageBreak/>
        <w:t xml:space="preserve">References </w:t>
      </w:r>
    </w:p>
    <w:p w:rsidR="00EC5331" w:rsidRDefault="008000AD" w:rsidP="00EC5331">
      <w:pPr>
        <w:spacing w:line="480" w:lineRule="auto"/>
        <w:jc w:val="both"/>
        <w:rPr>
          <w:sz w:val="22"/>
          <w:szCs w:val="22"/>
          <w:lang w:val="en-GB"/>
        </w:rPr>
      </w:pPr>
      <w:r>
        <w:rPr>
          <w:sz w:val="22"/>
          <w:szCs w:val="22"/>
          <w:lang w:val="en-GB"/>
        </w:rPr>
        <w:t>[</w:t>
      </w:r>
      <w:r w:rsidR="00A44227" w:rsidRPr="004243BE">
        <w:rPr>
          <w:sz w:val="22"/>
          <w:szCs w:val="22"/>
          <w:lang w:val="en-GB"/>
        </w:rPr>
        <w:t>1</w:t>
      </w:r>
      <w:r>
        <w:rPr>
          <w:sz w:val="22"/>
          <w:szCs w:val="22"/>
          <w:lang w:val="en-GB"/>
        </w:rPr>
        <w:t>]</w:t>
      </w:r>
      <w:r w:rsidR="00A44227" w:rsidRPr="004243BE">
        <w:rPr>
          <w:sz w:val="22"/>
          <w:szCs w:val="22"/>
          <w:lang w:val="en-GB"/>
        </w:rPr>
        <w:t xml:space="preserve"> </w:t>
      </w:r>
      <w:proofErr w:type="spellStart"/>
      <w:r w:rsidR="006B6DBD" w:rsidRPr="004243BE">
        <w:rPr>
          <w:sz w:val="22"/>
          <w:szCs w:val="22"/>
          <w:lang w:val="en-GB"/>
        </w:rPr>
        <w:t>Hovbrandt</w:t>
      </w:r>
      <w:proofErr w:type="spellEnd"/>
      <w:r w:rsidR="006B6DBD" w:rsidRPr="004243BE">
        <w:rPr>
          <w:sz w:val="22"/>
          <w:szCs w:val="22"/>
          <w:lang w:val="en-GB"/>
        </w:rPr>
        <w:t xml:space="preserve"> P, </w:t>
      </w:r>
      <w:proofErr w:type="spellStart"/>
      <w:r w:rsidR="006B6DBD" w:rsidRPr="004243BE">
        <w:rPr>
          <w:sz w:val="22"/>
          <w:szCs w:val="22"/>
          <w:lang w:val="en-GB"/>
        </w:rPr>
        <w:t>Ståhl</w:t>
      </w:r>
      <w:proofErr w:type="spellEnd"/>
      <w:r w:rsidR="006B6DBD" w:rsidRPr="004243BE">
        <w:rPr>
          <w:sz w:val="22"/>
          <w:szCs w:val="22"/>
          <w:lang w:val="en-GB"/>
        </w:rPr>
        <w:t xml:space="preserve"> A, </w:t>
      </w:r>
      <w:proofErr w:type="spellStart"/>
      <w:r w:rsidR="006B6DBD" w:rsidRPr="004243BE">
        <w:rPr>
          <w:sz w:val="22"/>
          <w:szCs w:val="22"/>
          <w:lang w:val="en-GB"/>
        </w:rPr>
        <w:t>Iwarsson</w:t>
      </w:r>
      <w:proofErr w:type="spellEnd"/>
      <w:r w:rsidR="006B6DBD" w:rsidRPr="004243BE">
        <w:rPr>
          <w:sz w:val="22"/>
          <w:szCs w:val="22"/>
          <w:lang w:val="en-GB"/>
        </w:rPr>
        <w:t xml:space="preserve"> S, </w:t>
      </w:r>
      <w:r w:rsidR="00EC5331">
        <w:rPr>
          <w:sz w:val="22"/>
          <w:szCs w:val="22"/>
          <w:lang w:val="en-GB"/>
        </w:rPr>
        <w:t>et al</w:t>
      </w:r>
      <w:r w:rsidR="000A5CCD">
        <w:rPr>
          <w:sz w:val="22"/>
          <w:szCs w:val="22"/>
          <w:lang w:val="en-GB"/>
        </w:rPr>
        <w:t xml:space="preserve"> (2007) </w:t>
      </w:r>
      <w:r w:rsidR="006B6DBD" w:rsidRPr="004243BE">
        <w:rPr>
          <w:sz w:val="22"/>
          <w:szCs w:val="22"/>
          <w:lang w:val="en-GB"/>
        </w:rPr>
        <w:t xml:space="preserve">Very old people’s use of the pedestrian environment: </w:t>
      </w:r>
    </w:p>
    <w:p w:rsidR="006B6DBD" w:rsidRPr="000A5CCD" w:rsidRDefault="006B6DBD" w:rsidP="00EC5331">
      <w:pPr>
        <w:spacing w:line="480" w:lineRule="auto"/>
        <w:ind w:left="708"/>
        <w:jc w:val="both"/>
        <w:rPr>
          <w:sz w:val="22"/>
          <w:szCs w:val="22"/>
          <w:lang w:val="en-US"/>
        </w:rPr>
      </w:pPr>
      <w:r w:rsidRPr="004243BE">
        <w:rPr>
          <w:sz w:val="22"/>
          <w:szCs w:val="22"/>
          <w:lang w:val="en-GB"/>
        </w:rPr>
        <w:t xml:space="preserve">functional limitations, frequency of activity and environmental demands. </w:t>
      </w:r>
      <w:proofErr w:type="spellStart"/>
      <w:r w:rsidR="00AB63B6" w:rsidRPr="00ED2511">
        <w:rPr>
          <w:sz w:val="22"/>
          <w:szCs w:val="22"/>
          <w:lang w:val="en-US"/>
        </w:rPr>
        <w:t>Eur</w:t>
      </w:r>
      <w:proofErr w:type="spellEnd"/>
      <w:r w:rsidR="00AB63B6" w:rsidRPr="00ED2511">
        <w:rPr>
          <w:sz w:val="22"/>
          <w:szCs w:val="22"/>
          <w:lang w:val="en-US"/>
        </w:rPr>
        <w:t xml:space="preserve"> J Ageing</w:t>
      </w:r>
      <w:r w:rsidR="000252F8" w:rsidRPr="00ED2511">
        <w:rPr>
          <w:sz w:val="22"/>
          <w:szCs w:val="22"/>
          <w:lang w:val="en-US"/>
        </w:rPr>
        <w:t>.</w:t>
      </w:r>
      <w:r w:rsidR="00AB63B6" w:rsidRPr="00ED2511">
        <w:rPr>
          <w:sz w:val="22"/>
          <w:szCs w:val="22"/>
          <w:lang w:val="en-US"/>
        </w:rPr>
        <w:t xml:space="preserve"> </w:t>
      </w:r>
      <w:r w:rsidR="00AB63B6" w:rsidRPr="000A5CCD">
        <w:rPr>
          <w:sz w:val="22"/>
          <w:szCs w:val="22"/>
          <w:lang w:val="en-US"/>
        </w:rPr>
        <w:t>4:</w:t>
      </w:r>
      <w:r w:rsidRPr="000A5CCD">
        <w:rPr>
          <w:sz w:val="22"/>
          <w:szCs w:val="22"/>
          <w:lang w:val="en-US"/>
        </w:rPr>
        <w:t>201-</w:t>
      </w:r>
      <w:r w:rsidR="00C24BF3" w:rsidRPr="000A5CCD">
        <w:rPr>
          <w:sz w:val="22"/>
          <w:szCs w:val="22"/>
          <w:lang w:val="en-US"/>
        </w:rPr>
        <w:t>2</w:t>
      </w:r>
      <w:r w:rsidRPr="000A5CCD">
        <w:rPr>
          <w:sz w:val="22"/>
          <w:szCs w:val="22"/>
          <w:lang w:val="en-US"/>
        </w:rPr>
        <w:t xml:space="preserve">11. </w:t>
      </w:r>
    </w:p>
    <w:p w:rsidR="00EC5331" w:rsidRDefault="008000AD" w:rsidP="00EC5331">
      <w:pPr>
        <w:spacing w:line="480" w:lineRule="auto"/>
        <w:jc w:val="both"/>
        <w:rPr>
          <w:sz w:val="22"/>
          <w:szCs w:val="22"/>
          <w:lang w:val="en-GB"/>
        </w:rPr>
      </w:pPr>
      <w:r w:rsidRPr="000A5CCD">
        <w:rPr>
          <w:sz w:val="22"/>
          <w:szCs w:val="22"/>
          <w:lang w:val="en-US"/>
        </w:rPr>
        <w:t>[</w:t>
      </w:r>
      <w:r w:rsidR="00A44227" w:rsidRPr="000A5CCD">
        <w:rPr>
          <w:sz w:val="22"/>
          <w:szCs w:val="22"/>
          <w:lang w:val="en-US"/>
        </w:rPr>
        <w:t>2</w:t>
      </w:r>
      <w:r w:rsidRPr="000A5CCD">
        <w:rPr>
          <w:sz w:val="22"/>
          <w:szCs w:val="22"/>
          <w:lang w:val="en-US"/>
        </w:rPr>
        <w:t>]</w:t>
      </w:r>
      <w:r w:rsidR="00A44227" w:rsidRPr="000A5CCD">
        <w:rPr>
          <w:sz w:val="22"/>
          <w:szCs w:val="22"/>
          <w:lang w:val="en-US"/>
        </w:rPr>
        <w:t xml:space="preserve"> </w:t>
      </w:r>
      <w:proofErr w:type="spellStart"/>
      <w:r w:rsidR="006B6DBD" w:rsidRPr="000A5CCD">
        <w:rPr>
          <w:sz w:val="22"/>
          <w:szCs w:val="22"/>
          <w:lang w:val="en-US"/>
        </w:rPr>
        <w:t>Rantakokko</w:t>
      </w:r>
      <w:proofErr w:type="spellEnd"/>
      <w:r w:rsidR="006B6DBD" w:rsidRPr="000A5CCD">
        <w:rPr>
          <w:sz w:val="22"/>
          <w:szCs w:val="22"/>
          <w:lang w:val="en-US"/>
        </w:rPr>
        <w:t xml:space="preserve"> M, </w:t>
      </w:r>
      <w:proofErr w:type="spellStart"/>
      <w:r w:rsidR="006B6DBD" w:rsidRPr="000A5CCD">
        <w:rPr>
          <w:sz w:val="22"/>
          <w:szCs w:val="22"/>
          <w:lang w:val="en-US"/>
        </w:rPr>
        <w:t>Iwarsson</w:t>
      </w:r>
      <w:proofErr w:type="spellEnd"/>
      <w:r w:rsidR="006B6DBD" w:rsidRPr="000A5CCD">
        <w:rPr>
          <w:sz w:val="22"/>
          <w:szCs w:val="22"/>
          <w:lang w:val="en-US"/>
        </w:rPr>
        <w:t xml:space="preserve"> S, </w:t>
      </w:r>
      <w:proofErr w:type="spellStart"/>
      <w:r w:rsidR="006B6DBD" w:rsidRPr="000A5CCD">
        <w:rPr>
          <w:sz w:val="22"/>
          <w:szCs w:val="22"/>
          <w:lang w:val="en-US"/>
        </w:rPr>
        <w:t>Kauppinen</w:t>
      </w:r>
      <w:proofErr w:type="spellEnd"/>
      <w:r w:rsidR="006B6DBD" w:rsidRPr="000A5CCD">
        <w:rPr>
          <w:sz w:val="22"/>
          <w:szCs w:val="22"/>
          <w:lang w:val="en-US"/>
        </w:rPr>
        <w:t xml:space="preserve"> M,</w:t>
      </w:r>
      <w:r w:rsidR="00EC5331" w:rsidRPr="000A5CCD">
        <w:rPr>
          <w:sz w:val="22"/>
          <w:szCs w:val="22"/>
          <w:lang w:val="en-US"/>
        </w:rPr>
        <w:t xml:space="preserve"> et al</w:t>
      </w:r>
      <w:r w:rsidR="000A5CCD" w:rsidRPr="000A5CCD">
        <w:rPr>
          <w:sz w:val="22"/>
          <w:szCs w:val="22"/>
          <w:lang w:val="en-US"/>
        </w:rPr>
        <w:t xml:space="preserve"> (2010)</w:t>
      </w:r>
      <w:r w:rsidR="006B6DBD" w:rsidRPr="000A5CCD">
        <w:rPr>
          <w:sz w:val="22"/>
          <w:szCs w:val="22"/>
          <w:lang w:val="en-US"/>
        </w:rPr>
        <w:t xml:space="preserve"> </w:t>
      </w:r>
      <w:r w:rsidR="006B6DBD" w:rsidRPr="004243BE">
        <w:rPr>
          <w:sz w:val="22"/>
          <w:szCs w:val="22"/>
          <w:lang w:val="en-GB"/>
        </w:rPr>
        <w:t xml:space="preserve">Quality of life and barriers in the urban outdoor </w:t>
      </w:r>
    </w:p>
    <w:p w:rsidR="006B6DBD" w:rsidRPr="004243BE" w:rsidRDefault="006B6DBD" w:rsidP="00EC5331">
      <w:pPr>
        <w:spacing w:line="480" w:lineRule="auto"/>
        <w:ind w:firstLine="708"/>
        <w:jc w:val="both"/>
        <w:rPr>
          <w:sz w:val="22"/>
          <w:szCs w:val="22"/>
          <w:lang w:val="en-GB"/>
        </w:rPr>
      </w:pPr>
      <w:r w:rsidRPr="004243BE">
        <w:rPr>
          <w:sz w:val="22"/>
          <w:szCs w:val="22"/>
          <w:lang w:val="en-GB"/>
        </w:rPr>
        <w:t xml:space="preserve">environment in </w:t>
      </w:r>
      <w:r w:rsidR="00AB63B6">
        <w:rPr>
          <w:sz w:val="22"/>
          <w:szCs w:val="22"/>
          <w:lang w:val="en-GB"/>
        </w:rPr>
        <w:t xml:space="preserve">old age. J Am </w:t>
      </w:r>
      <w:proofErr w:type="spellStart"/>
      <w:r w:rsidR="00AB63B6">
        <w:rPr>
          <w:sz w:val="22"/>
          <w:szCs w:val="22"/>
          <w:lang w:val="en-GB"/>
        </w:rPr>
        <w:t>Geriatr</w:t>
      </w:r>
      <w:proofErr w:type="spellEnd"/>
      <w:r w:rsidR="00AB63B6">
        <w:rPr>
          <w:sz w:val="22"/>
          <w:szCs w:val="22"/>
          <w:lang w:val="en-GB"/>
        </w:rPr>
        <w:t xml:space="preserve"> Soc</w:t>
      </w:r>
      <w:r w:rsidR="000252F8">
        <w:rPr>
          <w:sz w:val="22"/>
          <w:szCs w:val="22"/>
          <w:lang w:val="en-GB"/>
        </w:rPr>
        <w:t>.</w:t>
      </w:r>
      <w:r w:rsidR="00AB63B6">
        <w:rPr>
          <w:sz w:val="22"/>
          <w:szCs w:val="22"/>
          <w:lang w:val="en-GB"/>
        </w:rPr>
        <w:t xml:space="preserve"> 58:</w:t>
      </w:r>
      <w:r w:rsidRPr="004243BE">
        <w:rPr>
          <w:sz w:val="22"/>
          <w:szCs w:val="22"/>
          <w:lang w:val="en-GB"/>
        </w:rPr>
        <w:t>2154-</w:t>
      </w:r>
      <w:r w:rsidR="00C24BF3">
        <w:rPr>
          <w:sz w:val="22"/>
          <w:szCs w:val="22"/>
          <w:lang w:val="en-GB"/>
        </w:rPr>
        <w:t>215</w:t>
      </w:r>
      <w:r w:rsidRPr="004243BE">
        <w:rPr>
          <w:sz w:val="22"/>
          <w:szCs w:val="22"/>
          <w:lang w:val="en-GB"/>
        </w:rPr>
        <w:t>9.</w:t>
      </w:r>
    </w:p>
    <w:p w:rsidR="000A5CCD" w:rsidRDefault="008000AD" w:rsidP="00EC5331">
      <w:pPr>
        <w:spacing w:line="480" w:lineRule="auto"/>
        <w:jc w:val="both"/>
        <w:rPr>
          <w:sz w:val="22"/>
          <w:szCs w:val="22"/>
          <w:lang w:val="en-GB"/>
        </w:rPr>
      </w:pPr>
      <w:r>
        <w:rPr>
          <w:sz w:val="22"/>
          <w:szCs w:val="22"/>
          <w:lang w:val="en-GB"/>
        </w:rPr>
        <w:t>[</w:t>
      </w:r>
      <w:r w:rsidR="00A44227" w:rsidRPr="004243BE">
        <w:rPr>
          <w:sz w:val="22"/>
          <w:szCs w:val="22"/>
          <w:lang w:val="en-GB"/>
        </w:rPr>
        <w:t>3</w:t>
      </w:r>
      <w:r>
        <w:rPr>
          <w:sz w:val="22"/>
          <w:szCs w:val="22"/>
          <w:lang w:val="en-GB"/>
        </w:rPr>
        <w:t>]</w:t>
      </w:r>
      <w:r w:rsidR="00A44227" w:rsidRPr="004243BE">
        <w:rPr>
          <w:sz w:val="22"/>
          <w:szCs w:val="22"/>
          <w:lang w:val="en-GB"/>
        </w:rPr>
        <w:t xml:space="preserve"> </w:t>
      </w:r>
      <w:proofErr w:type="spellStart"/>
      <w:r w:rsidR="006B6DBD" w:rsidRPr="004243BE">
        <w:rPr>
          <w:sz w:val="22"/>
          <w:szCs w:val="22"/>
          <w:lang w:val="en-GB"/>
        </w:rPr>
        <w:t>Ståhl</w:t>
      </w:r>
      <w:proofErr w:type="spellEnd"/>
      <w:r w:rsidR="006B6DBD" w:rsidRPr="004243BE">
        <w:rPr>
          <w:sz w:val="22"/>
          <w:szCs w:val="22"/>
          <w:lang w:val="en-GB"/>
        </w:rPr>
        <w:t xml:space="preserve"> A, </w:t>
      </w:r>
      <w:proofErr w:type="spellStart"/>
      <w:r w:rsidR="006B6DBD" w:rsidRPr="004243BE">
        <w:rPr>
          <w:sz w:val="22"/>
          <w:szCs w:val="22"/>
          <w:lang w:val="en-GB"/>
        </w:rPr>
        <w:t>Carlsson</w:t>
      </w:r>
      <w:proofErr w:type="spellEnd"/>
      <w:r w:rsidR="006B6DBD" w:rsidRPr="004243BE">
        <w:rPr>
          <w:sz w:val="22"/>
          <w:szCs w:val="22"/>
          <w:lang w:val="en-GB"/>
        </w:rPr>
        <w:t xml:space="preserve"> G, </w:t>
      </w:r>
      <w:proofErr w:type="spellStart"/>
      <w:r w:rsidR="006B6DBD" w:rsidRPr="004243BE">
        <w:rPr>
          <w:sz w:val="22"/>
          <w:szCs w:val="22"/>
          <w:lang w:val="en-GB"/>
        </w:rPr>
        <w:t>Hovbrandt</w:t>
      </w:r>
      <w:proofErr w:type="spellEnd"/>
      <w:r w:rsidR="006B6DBD" w:rsidRPr="004243BE">
        <w:rPr>
          <w:sz w:val="22"/>
          <w:szCs w:val="22"/>
          <w:lang w:val="en-GB"/>
        </w:rPr>
        <w:t xml:space="preserve"> P,</w:t>
      </w:r>
      <w:r w:rsidR="00EC5331">
        <w:rPr>
          <w:sz w:val="22"/>
          <w:szCs w:val="22"/>
          <w:lang w:val="en-GB"/>
        </w:rPr>
        <w:t xml:space="preserve"> et al</w:t>
      </w:r>
      <w:r w:rsidR="000A5CCD">
        <w:rPr>
          <w:sz w:val="22"/>
          <w:szCs w:val="22"/>
          <w:lang w:val="en-GB"/>
        </w:rPr>
        <w:t xml:space="preserve"> (2008) </w:t>
      </w:r>
      <w:r w:rsidR="006B6DBD" w:rsidRPr="004243BE">
        <w:rPr>
          <w:sz w:val="22"/>
          <w:szCs w:val="22"/>
          <w:lang w:val="en-GB"/>
        </w:rPr>
        <w:t>‘Let’s go for a walk!: identification and</w:t>
      </w:r>
      <w:r w:rsidR="00824892">
        <w:rPr>
          <w:sz w:val="22"/>
          <w:szCs w:val="22"/>
          <w:lang w:val="en-GB"/>
        </w:rPr>
        <w:t xml:space="preserve"> </w:t>
      </w:r>
      <w:r w:rsidR="006B6DBD" w:rsidRPr="004243BE">
        <w:rPr>
          <w:sz w:val="22"/>
          <w:szCs w:val="22"/>
          <w:lang w:val="en-GB"/>
        </w:rPr>
        <w:t xml:space="preserve">prioritization </w:t>
      </w:r>
    </w:p>
    <w:p w:rsidR="006B6DBD" w:rsidRPr="004243BE" w:rsidRDefault="006B6DBD" w:rsidP="000A5CCD">
      <w:pPr>
        <w:spacing w:line="480" w:lineRule="auto"/>
        <w:ind w:left="708"/>
        <w:jc w:val="both"/>
        <w:rPr>
          <w:sz w:val="22"/>
          <w:szCs w:val="22"/>
          <w:lang w:val="en-GB"/>
        </w:rPr>
      </w:pPr>
      <w:r w:rsidRPr="004243BE">
        <w:rPr>
          <w:sz w:val="22"/>
          <w:szCs w:val="22"/>
          <w:lang w:val="en-GB"/>
        </w:rPr>
        <w:t>of accessibility and safety measures involving elderly people in a resident</w:t>
      </w:r>
      <w:r w:rsidR="00AB63B6">
        <w:rPr>
          <w:sz w:val="22"/>
          <w:szCs w:val="22"/>
          <w:lang w:val="en-GB"/>
        </w:rPr>
        <w:t xml:space="preserve">ial area. </w:t>
      </w:r>
      <w:proofErr w:type="spellStart"/>
      <w:r w:rsidR="00AB63B6">
        <w:rPr>
          <w:sz w:val="22"/>
          <w:szCs w:val="22"/>
          <w:lang w:val="en-GB"/>
        </w:rPr>
        <w:t>Eur</w:t>
      </w:r>
      <w:proofErr w:type="spellEnd"/>
      <w:r w:rsidR="00AB63B6">
        <w:rPr>
          <w:sz w:val="22"/>
          <w:szCs w:val="22"/>
          <w:lang w:val="en-GB"/>
        </w:rPr>
        <w:t xml:space="preserve"> J Ageing</w:t>
      </w:r>
      <w:r w:rsidR="000252F8">
        <w:rPr>
          <w:sz w:val="22"/>
          <w:szCs w:val="22"/>
          <w:lang w:val="en-GB"/>
        </w:rPr>
        <w:t>.</w:t>
      </w:r>
      <w:r w:rsidR="00AB63B6">
        <w:rPr>
          <w:sz w:val="22"/>
          <w:szCs w:val="22"/>
          <w:lang w:val="en-GB"/>
        </w:rPr>
        <w:t xml:space="preserve"> 5:</w:t>
      </w:r>
      <w:r w:rsidRPr="004243BE">
        <w:rPr>
          <w:sz w:val="22"/>
          <w:szCs w:val="22"/>
          <w:lang w:val="en-GB"/>
        </w:rPr>
        <w:t>265-</w:t>
      </w:r>
      <w:r w:rsidR="00C24BF3">
        <w:rPr>
          <w:sz w:val="22"/>
          <w:szCs w:val="22"/>
          <w:lang w:val="en-GB"/>
        </w:rPr>
        <w:t>2</w:t>
      </w:r>
      <w:r w:rsidRPr="004243BE">
        <w:rPr>
          <w:sz w:val="22"/>
          <w:szCs w:val="22"/>
          <w:lang w:val="en-GB"/>
        </w:rPr>
        <w:t>73.</w:t>
      </w:r>
    </w:p>
    <w:p w:rsidR="00824892" w:rsidRDefault="008000AD" w:rsidP="00824892">
      <w:pPr>
        <w:shd w:val="clear" w:color="auto" w:fill="FFFFFF"/>
        <w:spacing w:line="480" w:lineRule="auto"/>
        <w:jc w:val="both"/>
        <w:rPr>
          <w:sz w:val="22"/>
          <w:szCs w:val="22"/>
          <w:lang w:val="en-GB"/>
        </w:rPr>
      </w:pPr>
      <w:r>
        <w:rPr>
          <w:sz w:val="22"/>
          <w:szCs w:val="22"/>
          <w:lang w:val="en-GB"/>
        </w:rPr>
        <w:t>[</w:t>
      </w:r>
      <w:r w:rsidR="00503316">
        <w:rPr>
          <w:sz w:val="22"/>
          <w:szCs w:val="22"/>
          <w:lang w:val="en-GB"/>
        </w:rPr>
        <w:t>4</w:t>
      </w:r>
      <w:r>
        <w:rPr>
          <w:sz w:val="22"/>
          <w:szCs w:val="22"/>
          <w:lang w:val="en-GB"/>
        </w:rPr>
        <w:t>]</w:t>
      </w:r>
      <w:r w:rsidR="00503316">
        <w:rPr>
          <w:sz w:val="22"/>
          <w:szCs w:val="22"/>
          <w:lang w:val="en-GB"/>
        </w:rPr>
        <w:t xml:space="preserve"> Fisher KJ, Li F, Michael Y,</w:t>
      </w:r>
      <w:r w:rsidR="00EC5331">
        <w:rPr>
          <w:sz w:val="22"/>
          <w:szCs w:val="22"/>
          <w:lang w:val="en-GB"/>
        </w:rPr>
        <w:t xml:space="preserve"> et al</w:t>
      </w:r>
      <w:r w:rsidR="000A5CCD">
        <w:rPr>
          <w:sz w:val="22"/>
          <w:szCs w:val="22"/>
          <w:lang w:val="en-GB"/>
        </w:rPr>
        <w:t xml:space="preserve"> (2004)</w:t>
      </w:r>
      <w:r w:rsidR="00503316">
        <w:rPr>
          <w:sz w:val="22"/>
          <w:szCs w:val="22"/>
          <w:lang w:val="en-GB"/>
        </w:rPr>
        <w:t xml:space="preserve"> </w:t>
      </w:r>
      <w:proofErr w:type="spellStart"/>
      <w:r w:rsidR="00503316">
        <w:rPr>
          <w:sz w:val="22"/>
          <w:szCs w:val="22"/>
          <w:lang w:val="en-GB"/>
        </w:rPr>
        <w:t>Neighborhood</w:t>
      </w:r>
      <w:proofErr w:type="spellEnd"/>
      <w:r w:rsidR="00503316">
        <w:rPr>
          <w:sz w:val="22"/>
          <w:szCs w:val="22"/>
          <w:lang w:val="en-GB"/>
        </w:rPr>
        <w:t xml:space="preserve">-level influences on physical activity among </w:t>
      </w:r>
    </w:p>
    <w:p w:rsidR="006E71FE" w:rsidRDefault="00503316" w:rsidP="00824892">
      <w:pPr>
        <w:shd w:val="clear" w:color="auto" w:fill="FFFFFF"/>
        <w:spacing w:line="480" w:lineRule="auto"/>
        <w:ind w:firstLine="708"/>
        <w:jc w:val="both"/>
        <w:rPr>
          <w:sz w:val="22"/>
          <w:szCs w:val="22"/>
          <w:lang w:val="en-GB"/>
        </w:rPr>
      </w:pPr>
      <w:r>
        <w:rPr>
          <w:sz w:val="22"/>
          <w:szCs w:val="22"/>
          <w:lang w:val="en-GB"/>
        </w:rPr>
        <w:t>older adults: A multilevel analysis. J Aging Phys Act</w:t>
      </w:r>
      <w:r w:rsidR="000252F8">
        <w:rPr>
          <w:sz w:val="22"/>
          <w:szCs w:val="22"/>
          <w:lang w:val="en-GB"/>
        </w:rPr>
        <w:t>.</w:t>
      </w:r>
      <w:r>
        <w:rPr>
          <w:sz w:val="22"/>
          <w:szCs w:val="22"/>
          <w:lang w:val="en-GB"/>
        </w:rPr>
        <w:t xml:space="preserve"> 12:45-63.</w:t>
      </w:r>
    </w:p>
    <w:p w:rsidR="000A5CCD" w:rsidRDefault="008000AD" w:rsidP="000A5CCD">
      <w:pPr>
        <w:shd w:val="clear" w:color="auto" w:fill="FFFFFF"/>
        <w:spacing w:line="480" w:lineRule="auto"/>
        <w:jc w:val="both"/>
        <w:rPr>
          <w:sz w:val="22"/>
          <w:szCs w:val="22"/>
          <w:lang w:val="en-GB"/>
        </w:rPr>
      </w:pPr>
      <w:r>
        <w:rPr>
          <w:sz w:val="22"/>
          <w:szCs w:val="22"/>
          <w:lang w:val="en-GB"/>
        </w:rPr>
        <w:t>[</w:t>
      </w:r>
      <w:r w:rsidR="006E71FE">
        <w:rPr>
          <w:sz w:val="22"/>
          <w:szCs w:val="22"/>
          <w:lang w:val="en-GB"/>
        </w:rPr>
        <w:t>5</w:t>
      </w:r>
      <w:r>
        <w:rPr>
          <w:sz w:val="22"/>
          <w:szCs w:val="22"/>
          <w:lang w:val="en-GB"/>
        </w:rPr>
        <w:t>]</w:t>
      </w:r>
      <w:r w:rsidR="00DF2329" w:rsidRPr="004243BE">
        <w:rPr>
          <w:sz w:val="22"/>
          <w:szCs w:val="22"/>
          <w:lang w:val="en-GB"/>
        </w:rPr>
        <w:t xml:space="preserve"> </w:t>
      </w:r>
      <w:r w:rsidR="006B6DBD" w:rsidRPr="004243BE">
        <w:rPr>
          <w:sz w:val="22"/>
          <w:szCs w:val="22"/>
          <w:lang w:val="en-GB"/>
        </w:rPr>
        <w:t>Giles-</w:t>
      </w:r>
      <w:proofErr w:type="spellStart"/>
      <w:r w:rsidR="006B6DBD" w:rsidRPr="004243BE">
        <w:rPr>
          <w:sz w:val="22"/>
          <w:szCs w:val="22"/>
          <w:lang w:val="en-GB"/>
        </w:rPr>
        <w:t>Corti</w:t>
      </w:r>
      <w:proofErr w:type="spellEnd"/>
      <w:r w:rsidR="006B6DBD" w:rsidRPr="004243BE">
        <w:rPr>
          <w:sz w:val="22"/>
          <w:szCs w:val="22"/>
          <w:lang w:val="en-GB"/>
        </w:rPr>
        <w:t xml:space="preserve"> B, Broomhall MH, </w:t>
      </w:r>
      <w:proofErr w:type="spellStart"/>
      <w:r w:rsidR="006B6DBD" w:rsidRPr="004243BE">
        <w:rPr>
          <w:sz w:val="22"/>
          <w:szCs w:val="22"/>
          <w:lang w:val="en-GB"/>
        </w:rPr>
        <w:t>Knuiman</w:t>
      </w:r>
      <w:proofErr w:type="spellEnd"/>
      <w:r w:rsidR="006B6DBD" w:rsidRPr="004243BE">
        <w:rPr>
          <w:sz w:val="22"/>
          <w:szCs w:val="22"/>
          <w:lang w:val="en-GB"/>
        </w:rPr>
        <w:t xml:space="preserve"> M, </w:t>
      </w:r>
      <w:r w:rsidR="0043339C">
        <w:rPr>
          <w:sz w:val="22"/>
          <w:szCs w:val="22"/>
          <w:lang w:val="en-GB"/>
        </w:rPr>
        <w:t>et al</w:t>
      </w:r>
      <w:r w:rsidR="000A5CCD">
        <w:rPr>
          <w:sz w:val="22"/>
          <w:szCs w:val="22"/>
          <w:lang w:val="en-GB"/>
        </w:rPr>
        <w:t xml:space="preserve"> (2005)</w:t>
      </w:r>
      <w:r w:rsidR="006B6DBD" w:rsidRPr="004243BE">
        <w:rPr>
          <w:sz w:val="22"/>
          <w:szCs w:val="22"/>
          <w:lang w:val="en-GB"/>
        </w:rPr>
        <w:t xml:space="preserve"> Increasing walking: how important is distance </w:t>
      </w:r>
    </w:p>
    <w:p w:rsidR="006B6DBD" w:rsidRPr="004243BE" w:rsidRDefault="006B6DBD" w:rsidP="000A5CCD">
      <w:pPr>
        <w:shd w:val="clear" w:color="auto" w:fill="FFFFFF"/>
        <w:spacing w:line="480" w:lineRule="auto"/>
        <w:ind w:firstLine="708"/>
        <w:jc w:val="both"/>
        <w:rPr>
          <w:sz w:val="22"/>
          <w:szCs w:val="22"/>
          <w:lang w:val="en-GB"/>
        </w:rPr>
      </w:pPr>
      <w:r w:rsidRPr="004243BE">
        <w:rPr>
          <w:sz w:val="22"/>
          <w:szCs w:val="22"/>
          <w:lang w:val="en-GB"/>
        </w:rPr>
        <w:t>to, attractiveness, and size of public open</w:t>
      </w:r>
      <w:r w:rsidR="00170226">
        <w:rPr>
          <w:sz w:val="22"/>
          <w:szCs w:val="22"/>
          <w:lang w:val="en-GB"/>
        </w:rPr>
        <w:t xml:space="preserve"> space? Am J </w:t>
      </w:r>
      <w:proofErr w:type="spellStart"/>
      <w:r w:rsidR="00170226">
        <w:rPr>
          <w:sz w:val="22"/>
          <w:szCs w:val="22"/>
          <w:lang w:val="en-GB"/>
        </w:rPr>
        <w:t>Prev</w:t>
      </w:r>
      <w:proofErr w:type="spellEnd"/>
      <w:r w:rsidR="00170226">
        <w:rPr>
          <w:sz w:val="22"/>
          <w:szCs w:val="22"/>
          <w:lang w:val="en-GB"/>
        </w:rPr>
        <w:t xml:space="preserve"> Med</w:t>
      </w:r>
      <w:r w:rsidR="000252F8">
        <w:rPr>
          <w:sz w:val="22"/>
          <w:szCs w:val="22"/>
          <w:lang w:val="en-GB"/>
        </w:rPr>
        <w:t>.</w:t>
      </w:r>
      <w:r w:rsidR="000A5CCD">
        <w:rPr>
          <w:sz w:val="22"/>
          <w:szCs w:val="22"/>
          <w:lang w:val="en-GB"/>
        </w:rPr>
        <w:t xml:space="preserve"> </w:t>
      </w:r>
      <w:r w:rsidR="00AB63B6">
        <w:rPr>
          <w:sz w:val="22"/>
          <w:szCs w:val="22"/>
          <w:lang w:val="en-GB"/>
        </w:rPr>
        <w:t>28:</w:t>
      </w:r>
      <w:r w:rsidRPr="004243BE">
        <w:rPr>
          <w:sz w:val="22"/>
          <w:szCs w:val="22"/>
          <w:lang w:val="en-GB"/>
        </w:rPr>
        <w:t>169-</w:t>
      </w:r>
      <w:r w:rsidR="00C24BF3">
        <w:rPr>
          <w:sz w:val="22"/>
          <w:szCs w:val="22"/>
          <w:lang w:val="en-GB"/>
        </w:rPr>
        <w:t>1</w:t>
      </w:r>
      <w:r w:rsidRPr="004243BE">
        <w:rPr>
          <w:sz w:val="22"/>
          <w:szCs w:val="22"/>
          <w:lang w:val="en-GB"/>
        </w:rPr>
        <w:t>76.</w:t>
      </w:r>
    </w:p>
    <w:p w:rsidR="000A5CCD" w:rsidRDefault="000A5CCD" w:rsidP="00824892">
      <w:pPr>
        <w:spacing w:line="480" w:lineRule="auto"/>
        <w:jc w:val="both"/>
        <w:rPr>
          <w:sz w:val="22"/>
          <w:szCs w:val="22"/>
          <w:lang w:val="en-GB"/>
        </w:rPr>
      </w:pPr>
      <w:r>
        <w:rPr>
          <w:sz w:val="22"/>
          <w:szCs w:val="22"/>
          <w:lang w:val="en-GB"/>
        </w:rPr>
        <w:t xml:space="preserve">[6] Hand C (2015) </w:t>
      </w:r>
      <w:r w:rsidR="00EA0C84">
        <w:rPr>
          <w:sz w:val="22"/>
          <w:szCs w:val="22"/>
          <w:lang w:val="en-GB"/>
        </w:rPr>
        <w:t xml:space="preserve">Associations between neighbourhood characteristics and community mobility in older </w:t>
      </w:r>
    </w:p>
    <w:p w:rsidR="00EA0C84" w:rsidRPr="004243BE" w:rsidRDefault="000A5CCD" w:rsidP="000A5CCD">
      <w:pPr>
        <w:spacing w:line="480" w:lineRule="auto"/>
        <w:ind w:left="708"/>
        <w:jc w:val="both"/>
        <w:rPr>
          <w:sz w:val="22"/>
          <w:szCs w:val="22"/>
          <w:lang w:val="en-GB"/>
        </w:rPr>
      </w:pPr>
      <w:r>
        <w:rPr>
          <w:sz w:val="22"/>
          <w:szCs w:val="22"/>
          <w:lang w:val="en-GB"/>
        </w:rPr>
        <w:t xml:space="preserve">Adults </w:t>
      </w:r>
      <w:r w:rsidR="00EA0C84">
        <w:rPr>
          <w:sz w:val="22"/>
          <w:szCs w:val="22"/>
          <w:lang w:val="en-GB"/>
        </w:rPr>
        <w:t xml:space="preserve">with chronic health conditions. </w:t>
      </w:r>
      <w:proofErr w:type="spellStart"/>
      <w:r w:rsidR="00EA0C84" w:rsidRPr="004243BE">
        <w:rPr>
          <w:sz w:val="22"/>
          <w:szCs w:val="22"/>
          <w:lang w:val="en-GB"/>
        </w:rPr>
        <w:t>Disabil</w:t>
      </w:r>
      <w:proofErr w:type="spellEnd"/>
      <w:r w:rsidR="00EA0C84" w:rsidRPr="004243BE">
        <w:rPr>
          <w:sz w:val="22"/>
          <w:szCs w:val="22"/>
          <w:lang w:val="en-GB"/>
        </w:rPr>
        <w:t xml:space="preserve"> </w:t>
      </w:r>
      <w:proofErr w:type="spellStart"/>
      <w:r w:rsidR="00EA0C84" w:rsidRPr="004243BE">
        <w:rPr>
          <w:sz w:val="22"/>
          <w:szCs w:val="22"/>
          <w:lang w:val="en-GB"/>
        </w:rPr>
        <w:t>Rehabil</w:t>
      </w:r>
      <w:proofErr w:type="spellEnd"/>
      <w:r>
        <w:rPr>
          <w:sz w:val="22"/>
          <w:szCs w:val="22"/>
          <w:lang w:val="en-GB"/>
        </w:rPr>
        <w:t xml:space="preserve">. </w:t>
      </w:r>
      <w:proofErr w:type="spellStart"/>
      <w:r w:rsidR="00B90E4D">
        <w:rPr>
          <w:sz w:val="22"/>
          <w:szCs w:val="22"/>
          <w:lang w:val="en-GB"/>
        </w:rPr>
        <w:t>doi</w:t>
      </w:r>
      <w:proofErr w:type="spellEnd"/>
      <w:r w:rsidR="00B90E4D">
        <w:rPr>
          <w:sz w:val="22"/>
          <w:szCs w:val="22"/>
          <w:lang w:val="en-GB"/>
        </w:rPr>
        <w:t>:</w:t>
      </w:r>
      <w:r>
        <w:rPr>
          <w:sz w:val="22"/>
          <w:szCs w:val="22"/>
          <w:lang w:val="en-GB"/>
        </w:rPr>
        <w:t xml:space="preserve"> </w:t>
      </w:r>
      <w:r w:rsidR="00B90E4D">
        <w:rPr>
          <w:sz w:val="22"/>
          <w:szCs w:val="22"/>
          <w:lang w:val="en-GB"/>
        </w:rPr>
        <w:t>10.3109/09638288.2015.1107638.</w:t>
      </w:r>
    </w:p>
    <w:p w:rsidR="000A5CCD" w:rsidRDefault="008000AD" w:rsidP="00824892">
      <w:pPr>
        <w:spacing w:line="480" w:lineRule="auto"/>
        <w:jc w:val="both"/>
        <w:rPr>
          <w:sz w:val="22"/>
          <w:szCs w:val="22"/>
          <w:lang w:val="en-GB"/>
        </w:rPr>
      </w:pPr>
      <w:r>
        <w:rPr>
          <w:sz w:val="22"/>
          <w:szCs w:val="22"/>
          <w:lang w:val="en-GB"/>
        </w:rPr>
        <w:t>[</w:t>
      </w:r>
      <w:r w:rsidR="005E4662">
        <w:rPr>
          <w:sz w:val="22"/>
          <w:szCs w:val="22"/>
          <w:lang w:val="en-GB"/>
        </w:rPr>
        <w:t>7</w:t>
      </w:r>
      <w:r>
        <w:rPr>
          <w:sz w:val="22"/>
          <w:szCs w:val="22"/>
          <w:lang w:val="en-GB"/>
        </w:rPr>
        <w:t>]</w:t>
      </w:r>
      <w:r w:rsidR="00562D49" w:rsidRPr="004243BE">
        <w:rPr>
          <w:sz w:val="22"/>
          <w:szCs w:val="22"/>
          <w:lang w:val="en-GB"/>
        </w:rPr>
        <w:t xml:space="preserve"> </w:t>
      </w:r>
      <w:proofErr w:type="spellStart"/>
      <w:r w:rsidR="000A5CCD">
        <w:rPr>
          <w:sz w:val="22"/>
          <w:szCs w:val="22"/>
          <w:lang w:val="en-GB"/>
        </w:rPr>
        <w:t>Humpel</w:t>
      </w:r>
      <w:proofErr w:type="spellEnd"/>
      <w:r w:rsidR="000A5CCD">
        <w:rPr>
          <w:sz w:val="22"/>
          <w:szCs w:val="22"/>
          <w:lang w:val="en-GB"/>
        </w:rPr>
        <w:t xml:space="preserve"> N, Owen N, Leslie E (2002)</w:t>
      </w:r>
      <w:r w:rsidR="003101B7" w:rsidRPr="004243BE">
        <w:rPr>
          <w:sz w:val="22"/>
          <w:szCs w:val="22"/>
          <w:lang w:val="en-GB"/>
        </w:rPr>
        <w:t xml:space="preserve"> Environmental factors associated with adults’ participation in </w:t>
      </w:r>
    </w:p>
    <w:p w:rsidR="00562D49" w:rsidRPr="004243BE" w:rsidRDefault="003101B7" w:rsidP="000A5CCD">
      <w:pPr>
        <w:spacing w:line="480" w:lineRule="auto"/>
        <w:ind w:firstLine="708"/>
        <w:jc w:val="both"/>
        <w:rPr>
          <w:sz w:val="22"/>
          <w:szCs w:val="22"/>
          <w:lang w:val="en-GB"/>
        </w:rPr>
      </w:pPr>
      <w:r w:rsidRPr="004243BE">
        <w:rPr>
          <w:sz w:val="22"/>
          <w:szCs w:val="22"/>
          <w:lang w:val="en-GB"/>
        </w:rPr>
        <w:t>physical activity: a review.</w:t>
      </w:r>
      <w:r w:rsidR="009B292F" w:rsidRPr="004243BE">
        <w:rPr>
          <w:sz w:val="22"/>
          <w:szCs w:val="22"/>
          <w:lang w:val="en-GB"/>
        </w:rPr>
        <w:t xml:space="preserve"> Am J </w:t>
      </w:r>
      <w:proofErr w:type="spellStart"/>
      <w:r w:rsidR="009B292F" w:rsidRPr="004243BE">
        <w:rPr>
          <w:sz w:val="22"/>
          <w:szCs w:val="22"/>
          <w:lang w:val="en-GB"/>
        </w:rPr>
        <w:t>Prev</w:t>
      </w:r>
      <w:proofErr w:type="spellEnd"/>
      <w:r w:rsidR="009B292F" w:rsidRPr="004243BE">
        <w:rPr>
          <w:sz w:val="22"/>
          <w:szCs w:val="22"/>
          <w:lang w:val="en-GB"/>
        </w:rPr>
        <w:t xml:space="preserve"> Med</w:t>
      </w:r>
      <w:r w:rsidR="00C24BF3">
        <w:rPr>
          <w:sz w:val="22"/>
          <w:szCs w:val="22"/>
          <w:lang w:val="en-GB"/>
        </w:rPr>
        <w:t>.</w:t>
      </w:r>
      <w:r w:rsidR="009B292F" w:rsidRPr="004243BE">
        <w:rPr>
          <w:sz w:val="22"/>
          <w:szCs w:val="22"/>
          <w:lang w:val="en-GB"/>
        </w:rPr>
        <w:t xml:space="preserve"> 22:188-</w:t>
      </w:r>
      <w:r w:rsidR="00C24BF3">
        <w:rPr>
          <w:sz w:val="22"/>
          <w:szCs w:val="22"/>
          <w:lang w:val="en-GB"/>
        </w:rPr>
        <w:t>1</w:t>
      </w:r>
      <w:r w:rsidR="009B292F" w:rsidRPr="004243BE">
        <w:rPr>
          <w:sz w:val="22"/>
          <w:szCs w:val="22"/>
          <w:lang w:val="en-GB"/>
        </w:rPr>
        <w:t>99.</w:t>
      </w:r>
    </w:p>
    <w:p w:rsidR="00EC5331" w:rsidRDefault="008000AD" w:rsidP="00EC5331">
      <w:pPr>
        <w:spacing w:line="480" w:lineRule="auto"/>
        <w:jc w:val="both"/>
        <w:rPr>
          <w:sz w:val="22"/>
          <w:szCs w:val="22"/>
          <w:lang w:val="en-GB"/>
        </w:rPr>
      </w:pPr>
      <w:r w:rsidRPr="000A5CCD">
        <w:rPr>
          <w:sz w:val="22"/>
          <w:szCs w:val="22"/>
          <w:lang w:val="en-US"/>
        </w:rPr>
        <w:t>[</w:t>
      </w:r>
      <w:r w:rsidR="005E4662" w:rsidRPr="000A5CCD">
        <w:rPr>
          <w:sz w:val="22"/>
          <w:szCs w:val="22"/>
          <w:lang w:val="en-US"/>
        </w:rPr>
        <w:t>8</w:t>
      </w:r>
      <w:r w:rsidRPr="000A5CCD">
        <w:rPr>
          <w:sz w:val="22"/>
          <w:szCs w:val="22"/>
          <w:lang w:val="en-US"/>
        </w:rPr>
        <w:t>]</w:t>
      </w:r>
      <w:r w:rsidR="009E5DD0" w:rsidRPr="000A5CCD">
        <w:rPr>
          <w:sz w:val="22"/>
          <w:szCs w:val="22"/>
          <w:lang w:val="en-US"/>
        </w:rPr>
        <w:t xml:space="preserve"> </w:t>
      </w:r>
      <w:proofErr w:type="spellStart"/>
      <w:r w:rsidR="006B6DBD" w:rsidRPr="000A5CCD">
        <w:rPr>
          <w:sz w:val="22"/>
          <w:szCs w:val="22"/>
          <w:lang w:val="en-US"/>
        </w:rPr>
        <w:t>Humpel</w:t>
      </w:r>
      <w:proofErr w:type="spellEnd"/>
      <w:r w:rsidR="006B6DBD" w:rsidRPr="000A5CCD">
        <w:rPr>
          <w:sz w:val="22"/>
          <w:szCs w:val="22"/>
          <w:lang w:val="en-US"/>
        </w:rPr>
        <w:t xml:space="preserve"> N, Owen N, Iverson D,</w:t>
      </w:r>
      <w:r w:rsidR="00EC5331" w:rsidRPr="000A5CCD">
        <w:rPr>
          <w:sz w:val="22"/>
          <w:szCs w:val="22"/>
          <w:lang w:val="en-US"/>
        </w:rPr>
        <w:t xml:space="preserve"> et al</w:t>
      </w:r>
      <w:r w:rsidR="000A5CCD" w:rsidRPr="000A5CCD">
        <w:rPr>
          <w:sz w:val="22"/>
          <w:szCs w:val="22"/>
          <w:lang w:val="en-US"/>
        </w:rPr>
        <w:t xml:space="preserve"> (2004) </w:t>
      </w:r>
      <w:r w:rsidR="006B6DBD" w:rsidRPr="004243BE">
        <w:rPr>
          <w:sz w:val="22"/>
          <w:szCs w:val="22"/>
          <w:lang w:val="en-GB"/>
        </w:rPr>
        <w:t>Perceived environment attributes, residential</w:t>
      </w:r>
      <w:r w:rsidR="00EC5331">
        <w:rPr>
          <w:sz w:val="22"/>
          <w:szCs w:val="22"/>
          <w:lang w:val="en-GB"/>
        </w:rPr>
        <w:t xml:space="preserve"> </w:t>
      </w:r>
      <w:r w:rsidR="006B6DBD" w:rsidRPr="004243BE">
        <w:rPr>
          <w:sz w:val="22"/>
          <w:szCs w:val="22"/>
          <w:lang w:val="en-GB"/>
        </w:rPr>
        <w:t xml:space="preserve">location, and </w:t>
      </w:r>
    </w:p>
    <w:p w:rsidR="006B6DBD" w:rsidRPr="004243BE" w:rsidRDefault="006B6DBD" w:rsidP="00EC5331">
      <w:pPr>
        <w:spacing w:line="480" w:lineRule="auto"/>
        <w:ind w:firstLine="708"/>
        <w:jc w:val="both"/>
        <w:rPr>
          <w:sz w:val="22"/>
          <w:szCs w:val="22"/>
          <w:lang w:val="en-GB"/>
        </w:rPr>
      </w:pPr>
      <w:r w:rsidRPr="004243BE">
        <w:rPr>
          <w:sz w:val="22"/>
          <w:szCs w:val="22"/>
          <w:lang w:val="en-GB"/>
        </w:rPr>
        <w:t>walking for particula</w:t>
      </w:r>
      <w:r w:rsidR="00AB63B6">
        <w:rPr>
          <w:sz w:val="22"/>
          <w:szCs w:val="22"/>
          <w:lang w:val="en-GB"/>
        </w:rPr>
        <w:t xml:space="preserve">r purposes. Am J </w:t>
      </w:r>
      <w:proofErr w:type="spellStart"/>
      <w:r w:rsidR="00AB63B6">
        <w:rPr>
          <w:sz w:val="22"/>
          <w:szCs w:val="22"/>
          <w:lang w:val="en-GB"/>
        </w:rPr>
        <w:t>Prev</w:t>
      </w:r>
      <w:proofErr w:type="spellEnd"/>
      <w:r w:rsidR="00AB63B6">
        <w:rPr>
          <w:sz w:val="22"/>
          <w:szCs w:val="22"/>
          <w:lang w:val="en-GB"/>
        </w:rPr>
        <w:t xml:space="preserve"> Med</w:t>
      </w:r>
      <w:r w:rsidR="00C24BF3">
        <w:rPr>
          <w:sz w:val="22"/>
          <w:szCs w:val="22"/>
          <w:lang w:val="en-GB"/>
        </w:rPr>
        <w:t>.</w:t>
      </w:r>
      <w:r w:rsidR="00AB63B6">
        <w:rPr>
          <w:sz w:val="22"/>
          <w:szCs w:val="22"/>
          <w:lang w:val="en-GB"/>
        </w:rPr>
        <w:t xml:space="preserve"> 26:</w:t>
      </w:r>
      <w:r w:rsidRPr="004243BE">
        <w:rPr>
          <w:sz w:val="22"/>
          <w:szCs w:val="22"/>
          <w:lang w:val="en-GB"/>
        </w:rPr>
        <w:t>119-</w:t>
      </w:r>
      <w:r w:rsidR="00C24BF3">
        <w:rPr>
          <w:sz w:val="22"/>
          <w:szCs w:val="22"/>
          <w:lang w:val="en-GB"/>
        </w:rPr>
        <w:t>1</w:t>
      </w:r>
      <w:r w:rsidRPr="004243BE">
        <w:rPr>
          <w:sz w:val="22"/>
          <w:szCs w:val="22"/>
          <w:lang w:val="en-GB"/>
        </w:rPr>
        <w:t>25.</w:t>
      </w:r>
    </w:p>
    <w:p w:rsidR="000A5CCD" w:rsidRDefault="008000AD" w:rsidP="00FA23AC">
      <w:pPr>
        <w:spacing w:line="480" w:lineRule="auto"/>
        <w:jc w:val="both"/>
        <w:rPr>
          <w:color w:val="000000"/>
          <w:sz w:val="22"/>
          <w:szCs w:val="22"/>
          <w:lang w:val="en-US"/>
        </w:rPr>
      </w:pPr>
      <w:r>
        <w:rPr>
          <w:sz w:val="22"/>
          <w:szCs w:val="22"/>
          <w:lang w:val="en-GB"/>
        </w:rPr>
        <w:t>[</w:t>
      </w:r>
      <w:r w:rsidR="005E4662">
        <w:rPr>
          <w:sz w:val="22"/>
          <w:szCs w:val="22"/>
          <w:lang w:val="en-GB"/>
        </w:rPr>
        <w:t>9</w:t>
      </w:r>
      <w:r>
        <w:rPr>
          <w:sz w:val="22"/>
          <w:szCs w:val="22"/>
          <w:lang w:val="en-GB"/>
        </w:rPr>
        <w:t>]</w:t>
      </w:r>
      <w:r w:rsidR="003101B7" w:rsidRPr="004243BE">
        <w:rPr>
          <w:sz w:val="22"/>
          <w:szCs w:val="22"/>
          <w:lang w:val="en-GB"/>
        </w:rPr>
        <w:t xml:space="preserve"> </w:t>
      </w:r>
      <w:r w:rsidR="000A5CCD">
        <w:rPr>
          <w:color w:val="000000"/>
          <w:sz w:val="22"/>
          <w:szCs w:val="22"/>
          <w:lang w:val="en-US"/>
        </w:rPr>
        <w:t xml:space="preserve">Leslie E, </w:t>
      </w:r>
      <w:proofErr w:type="spellStart"/>
      <w:r w:rsidR="000A5CCD">
        <w:rPr>
          <w:color w:val="000000"/>
          <w:sz w:val="22"/>
          <w:szCs w:val="22"/>
          <w:lang w:val="en-US"/>
        </w:rPr>
        <w:t>Cerin</w:t>
      </w:r>
      <w:proofErr w:type="spellEnd"/>
      <w:r w:rsidR="000A5CCD">
        <w:rPr>
          <w:color w:val="000000"/>
          <w:sz w:val="22"/>
          <w:szCs w:val="22"/>
          <w:lang w:val="en-US"/>
        </w:rPr>
        <w:t xml:space="preserve"> E, Kremer P (2010)</w:t>
      </w:r>
      <w:r w:rsidR="003101B7" w:rsidRPr="004243BE">
        <w:rPr>
          <w:color w:val="000000"/>
          <w:sz w:val="22"/>
          <w:szCs w:val="22"/>
          <w:lang w:val="en-US"/>
        </w:rPr>
        <w:t xml:space="preserve"> Perceived </w:t>
      </w:r>
      <w:proofErr w:type="spellStart"/>
      <w:r w:rsidR="003101B7" w:rsidRPr="004243BE">
        <w:rPr>
          <w:color w:val="000000"/>
          <w:sz w:val="22"/>
          <w:szCs w:val="22"/>
          <w:lang w:val="en-US"/>
        </w:rPr>
        <w:t>neighbourhood</w:t>
      </w:r>
      <w:proofErr w:type="spellEnd"/>
      <w:r w:rsidR="003101B7" w:rsidRPr="004243BE">
        <w:rPr>
          <w:color w:val="000000"/>
          <w:sz w:val="22"/>
          <w:szCs w:val="22"/>
          <w:lang w:val="en-US"/>
        </w:rPr>
        <w:t xml:space="preserve"> environment and park use as mediators of </w:t>
      </w:r>
    </w:p>
    <w:p w:rsidR="003101B7" w:rsidRPr="004243BE" w:rsidRDefault="003101B7" w:rsidP="000A5CCD">
      <w:pPr>
        <w:spacing w:line="480" w:lineRule="auto"/>
        <w:ind w:firstLine="708"/>
        <w:jc w:val="both"/>
        <w:rPr>
          <w:color w:val="000000"/>
          <w:sz w:val="22"/>
          <w:szCs w:val="22"/>
          <w:lang w:val="en-US"/>
        </w:rPr>
      </w:pPr>
      <w:r w:rsidRPr="004243BE">
        <w:rPr>
          <w:color w:val="000000"/>
          <w:sz w:val="22"/>
          <w:szCs w:val="22"/>
          <w:lang w:val="en-US"/>
        </w:rPr>
        <w:t>the effect of area socio-economic status on walking behaviors. J Phys Act Health</w:t>
      </w:r>
      <w:r w:rsidR="00C24BF3">
        <w:rPr>
          <w:color w:val="000000"/>
          <w:sz w:val="22"/>
          <w:szCs w:val="22"/>
          <w:lang w:val="en-US"/>
        </w:rPr>
        <w:t>.</w:t>
      </w:r>
      <w:r w:rsidRPr="004243BE">
        <w:rPr>
          <w:color w:val="000000"/>
          <w:sz w:val="22"/>
          <w:szCs w:val="22"/>
          <w:lang w:val="en-US"/>
        </w:rPr>
        <w:t xml:space="preserve"> 7:802-</w:t>
      </w:r>
      <w:r w:rsidR="00C24BF3">
        <w:rPr>
          <w:color w:val="000000"/>
          <w:sz w:val="22"/>
          <w:szCs w:val="22"/>
          <w:lang w:val="en-US"/>
        </w:rPr>
        <w:t>8</w:t>
      </w:r>
      <w:r w:rsidRPr="004243BE">
        <w:rPr>
          <w:color w:val="000000"/>
          <w:sz w:val="22"/>
          <w:szCs w:val="22"/>
          <w:lang w:val="en-US"/>
        </w:rPr>
        <w:t>10.</w:t>
      </w:r>
    </w:p>
    <w:p w:rsidR="000A5CCD" w:rsidRDefault="008000AD" w:rsidP="00FA23AC">
      <w:pPr>
        <w:spacing w:line="480" w:lineRule="auto"/>
        <w:jc w:val="both"/>
        <w:rPr>
          <w:sz w:val="22"/>
          <w:szCs w:val="22"/>
          <w:lang w:val="en-US"/>
        </w:rPr>
      </w:pPr>
      <w:r>
        <w:rPr>
          <w:sz w:val="22"/>
          <w:szCs w:val="22"/>
          <w:lang w:val="en-US"/>
        </w:rPr>
        <w:t>[</w:t>
      </w:r>
      <w:r w:rsidR="005E4662">
        <w:rPr>
          <w:sz w:val="22"/>
          <w:szCs w:val="22"/>
          <w:lang w:val="en-US"/>
        </w:rPr>
        <w:t>10</w:t>
      </w:r>
      <w:r>
        <w:rPr>
          <w:sz w:val="22"/>
          <w:szCs w:val="22"/>
          <w:lang w:val="en-US"/>
        </w:rPr>
        <w:t>]</w:t>
      </w:r>
      <w:r w:rsidR="000A5CCD">
        <w:rPr>
          <w:sz w:val="22"/>
          <w:szCs w:val="22"/>
          <w:lang w:val="en-US"/>
        </w:rPr>
        <w:t xml:space="preserve"> Li Y, Kao D, </w:t>
      </w:r>
      <w:proofErr w:type="spellStart"/>
      <w:r w:rsidR="000A5CCD">
        <w:rPr>
          <w:sz w:val="22"/>
          <w:szCs w:val="22"/>
          <w:lang w:val="en-US"/>
        </w:rPr>
        <w:t>Dinh</w:t>
      </w:r>
      <w:proofErr w:type="spellEnd"/>
      <w:r w:rsidR="000A5CCD">
        <w:rPr>
          <w:sz w:val="22"/>
          <w:szCs w:val="22"/>
          <w:lang w:val="en-US"/>
        </w:rPr>
        <w:t xml:space="preserve"> TQ (2014)</w:t>
      </w:r>
      <w:r w:rsidR="007F0788">
        <w:rPr>
          <w:sz w:val="22"/>
          <w:szCs w:val="22"/>
          <w:lang w:val="en-US"/>
        </w:rPr>
        <w:t xml:space="preserve"> Correlates of Neighborhood Environment With Walking Among Older </w:t>
      </w:r>
    </w:p>
    <w:p w:rsidR="00503316" w:rsidRDefault="007F0788" w:rsidP="000A5CCD">
      <w:pPr>
        <w:spacing w:line="480" w:lineRule="auto"/>
        <w:ind w:firstLine="708"/>
        <w:jc w:val="both"/>
        <w:rPr>
          <w:sz w:val="22"/>
          <w:szCs w:val="22"/>
          <w:lang w:val="en-US"/>
        </w:rPr>
      </w:pPr>
      <w:r>
        <w:rPr>
          <w:sz w:val="22"/>
          <w:szCs w:val="22"/>
          <w:lang w:val="en-US"/>
        </w:rPr>
        <w:t xml:space="preserve">Asian </w:t>
      </w:r>
      <w:r w:rsidR="00AB63B6">
        <w:rPr>
          <w:sz w:val="22"/>
          <w:szCs w:val="22"/>
          <w:lang w:val="en-US"/>
        </w:rPr>
        <w:t>Americans. J Aging Health</w:t>
      </w:r>
      <w:r w:rsidR="00C24BF3">
        <w:rPr>
          <w:sz w:val="22"/>
          <w:szCs w:val="22"/>
          <w:lang w:val="en-US"/>
        </w:rPr>
        <w:t>.</w:t>
      </w:r>
      <w:r w:rsidR="000A5CCD">
        <w:rPr>
          <w:sz w:val="22"/>
          <w:szCs w:val="22"/>
          <w:lang w:val="en-US"/>
        </w:rPr>
        <w:t xml:space="preserve"> </w:t>
      </w:r>
      <w:r>
        <w:rPr>
          <w:sz w:val="22"/>
          <w:szCs w:val="22"/>
          <w:lang w:val="en-US"/>
        </w:rPr>
        <w:t>1-18.</w:t>
      </w:r>
    </w:p>
    <w:p w:rsidR="000A5CCD" w:rsidRDefault="008000AD" w:rsidP="00273BE5">
      <w:pPr>
        <w:spacing w:line="480" w:lineRule="auto"/>
        <w:jc w:val="both"/>
        <w:rPr>
          <w:sz w:val="22"/>
          <w:szCs w:val="22"/>
          <w:lang w:val="en-US"/>
        </w:rPr>
      </w:pPr>
      <w:r w:rsidRPr="00581309">
        <w:rPr>
          <w:sz w:val="22"/>
          <w:szCs w:val="22"/>
          <w:lang w:val="en-US"/>
        </w:rPr>
        <w:t>[</w:t>
      </w:r>
      <w:r w:rsidR="005E4662" w:rsidRPr="00581309">
        <w:rPr>
          <w:sz w:val="22"/>
          <w:szCs w:val="22"/>
          <w:lang w:val="en-US"/>
        </w:rPr>
        <w:t>11</w:t>
      </w:r>
      <w:r w:rsidRPr="00581309">
        <w:rPr>
          <w:sz w:val="22"/>
          <w:szCs w:val="22"/>
          <w:lang w:val="en-US"/>
        </w:rPr>
        <w:t>]</w:t>
      </w:r>
      <w:r w:rsidR="007F0788" w:rsidRPr="00581309">
        <w:rPr>
          <w:sz w:val="22"/>
          <w:szCs w:val="22"/>
          <w:lang w:val="en-US"/>
        </w:rPr>
        <w:t xml:space="preserve"> Owen N, </w:t>
      </w:r>
      <w:proofErr w:type="spellStart"/>
      <w:r w:rsidR="007F0788" w:rsidRPr="00581309">
        <w:rPr>
          <w:sz w:val="22"/>
          <w:szCs w:val="22"/>
          <w:lang w:val="en-US"/>
        </w:rPr>
        <w:t>Humpel</w:t>
      </w:r>
      <w:proofErr w:type="spellEnd"/>
      <w:r w:rsidR="007F0788" w:rsidRPr="00581309">
        <w:rPr>
          <w:sz w:val="22"/>
          <w:szCs w:val="22"/>
          <w:lang w:val="en-US"/>
        </w:rPr>
        <w:t xml:space="preserve"> N, Leslie E,</w:t>
      </w:r>
      <w:r w:rsidR="00273BE5" w:rsidRPr="00581309">
        <w:rPr>
          <w:sz w:val="22"/>
          <w:szCs w:val="22"/>
          <w:lang w:val="en-US"/>
        </w:rPr>
        <w:t xml:space="preserve"> et al</w:t>
      </w:r>
      <w:r w:rsidR="000A5CCD">
        <w:rPr>
          <w:sz w:val="22"/>
          <w:szCs w:val="22"/>
          <w:lang w:val="en-US"/>
        </w:rPr>
        <w:t xml:space="preserve"> (2004)</w:t>
      </w:r>
      <w:r w:rsidR="007F0788" w:rsidRPr="00581309">
        <w:rPr>
          <w:sz w:val="22"/>
          <w:szCs w:val="22"/>
          <w:lang w:val="en-US"/>
        </w:rPr>
        <w:t xml:space="preserve"> </w:t>
      </w:r>
      <w:r w:rsidR="007F0788">
        <w:rPr>
          <w:sz w:val="22"/>
          <w:szCs w:val="22"/>
          <w:lang w:val="en-US"/>
        </w:rPr>
        <w:t>Understanding environmental influences on</w:t>
      </w:r>
      <w:r w:rsidR="00273BE5">
        <w:rPr>
          <w:sz w:val="22"/>
          <w:szCs w:val="22"/>
          <w:lang w:val="en-US"/>
        </w:rPr>
        <w:t xml:space="preserve"> </w:t>
      </w:r>
      <w:r w:rsidR="007F0788">
        <w:rPr>
          <w:sz w:val="22"/>
          <w:szCs w:val="22"/>
          <w:lang w:val="en-US"/>
        </w:rPr>
        <w:t xml:space="preserve">walking; </w:t>
      </w:r>
    </w:p>
    <w:p w:rsidR="007F0788" w:rsidRDefault="007F0788" w:rsidP="000A5CCD">
      <w:pPr>
        <w:spacing w:line="480" w:lineRule="auto"/>
        <w:ind w:firstLine="708"/>
        <w:jc w:val="both"/>
        <w:rPr>
          <w:sz w:val="22"/>
          <w:szCs w:val="22"/>
          <w:lang w:val="en-US"/>
        </w:rPr>
      </w:pPr>
      <w:r>
        <w:rPr>
          <w:sz w:val="22"/>
          <w:szCs w:val="22"/>
          <w:lang w:val="en-US"/>
        </w:rPr>
        <w:t>Review and resea</w:t>
      </w:r>
      <w:r w:rsidR="00AB63B6">
        <w:rPr>
          <w:sz w:val="22"/>
          <w:szCs w:val="22"/>
          <w:lang w:val="en-US"/>
        </w:rPr>
        <w:t xml:space="preserve">rch agenda. Am J </w:t>
      </w:r>
      <w:proofErr w:type="spellStart"/>
      <w:r w:rsidR="00AB63B6">
        <w:rPr>
          <w:sz w:val="22"/>
          <w:szCs w:val="22"/>
          <w:lang w:val="en-US"/>
        </w:rPr>
        <w:t>Prev</w:t>
      </w:r>
      <w:proofErr w:type="spellEnd"/>
      <w:r w:rsidR="00AB63B6">
        <w:rPr>
          <w:sz w:val="22"/>
          <w:szCs w:val="22"/>
          <w:lang w:val="en-US"/>
        </w:rPr>
        <w:t xml:space="preserve"> Med</w:t>
      </w:r>
      <w:r w:rsidR="00C24BF3">
        <w:rPr>
          <w:sz w:val="22"/>
          <w:szCs w:val="22"/>
          <w:lang w:val="en-US"/>
        </w:rPr>
        <w:t>.</w:t>
      </w:r>
      <w:r w:rsidR="000A5CCD">
        <w:rPr>
          <w:sz w:val="22"/>
          <w:szCs w:val="22"/>
          <w:lang w:val="en-US"/>
        </w:rPr>
        <w:t xml:space="preserve"> </w:t>
      </w:r>
      <w:r w:rsidR="00AB63B6">
        <w:rPr>
          <w:sz w:val="22"/>
          <w:szCs w:val="22"/>
          <w:lang w:val="en-US"/>
        </w:rPr>
        <w:t>27:</w:t>
      </w:r>
      <w:r>
        <w:rPr>
          <w:sz w:val="22"/>
          <w:szCs w:val="22"/>
          <w:lang w:val="en-US"/>
        </w:rPr>
        <w:t>67-76.</w:t>
      </w:r>
    </w:p>
    <w:p w:rsidR="00273BE5" w:rsidRDefault="008000AD" w:rsidP="00273BE5">
      <w:pPr>
        <w:spacing w:line="480" w:lineRule="auto"/>
        <w:jc w:val="both"/>
        <w:rPr>
          <w:sz w:val="22"/>
          <w:szCs w:val="22"/>
          <w:lang w:val="en-US"/>
        </w:rPr>
      </w:pPr>
      <w:r w:rsidRPr="000A5CCD">
        <w:rPr>
          <w:sz w:val="22"/>
          <w:szCs w:val="22"/>
          <w:lang w:val="en-US"/>
        </w:rPr>
        <w:t>[</w:t>
      </w:r>
      <w:r w:rsidR="005E4662" w:rsidRPr="000A5CCD">
        <w:rPr>
          <w:sz w:val="22"/>
          <w:szCs w:val="22"/>
          <w:lang w:val="en-US"/>
        </w:rPr>
        <w:t>12</w:t>
      </w:r>
      <w:r w:rsidRPr="000A5CCD">
        <w:rPr>
          <w:sz w:val="22"/>
          <w:szCs w:val="22"/>
          <w:lang w:val="en-US"/>
        </w:rPr>
        <w:t>]</w:t>
      </w:r>
      <w:r w:rsidR="003101B7" w:rsidRPr="000A5CCD">
        <w:rPr>
          <w:sz w:val="22"/>
          <w:szCs w:val="22"/>
          <w:lang w:val="en-US"/>
        </w:rPr>
        <w:t xml:space="preserve"> </w:t>
      </w:r>
      <w:r w:rsidR="006B6DBD" w:rsidRPr="000A5CCD">
        <w:rPr>
          <w:sz w:val="22"/>
          <w:szCs w:val="22"/>
          <w:lang w:val="en-US"/>
        </w:rPr>
        <w:t xml:space="preserve">Rosenberg DE, Huang DL, </w:t>
      </w:r>
      <w:proofErr w:type="spellStart"/>
      <w:r w:rsidR="006B6DBD" w:rsidRPr="000A5CCD">
        <w:rPr>
          <w:sz w:val="22"/>
          <w:szCs w:val="22"/>
          <w:lang w:val="en-US"/>
        </w:rPr>
        <w:t>Simonovich</w:t>
      </w:r>
      <w:proofErr w:type="spellEnd"/>
      <w:r w:rsidR="006B6DBD" w:rsidRPr="000A5CCD">
        <w:rPr>
          <w:sz w:val="22"/>
          <w:szCs w:val="22"/>
          <w:lang w:val="en-US"/>
        </w:rPr>
        <w:t xml:space="preserve"> SD,</w:t>
      </w:r>
      <w:r w:rsidR="00273BE5" w:rsidRPr="000A5CCD">
        <w:rPr>
          <w:sz w:val="22"/>
          <w:szCs w:val="22"/>
          <w:lang w:val="en-US"/>
        </w:rPr>
        <w:t xml:space="preserve"> et al</w:t>
      </w:r>
      <w:r w:rsidR="000A5CCD">
        <w:rPr>
          <w:sz w:val="22"/>
          <w:szCs w:val="22"/>
          <w:lang w:val="en-US"/>
        </w:rPr>
        <w:t xml:space="preserve"> (2012)</w:t>
      </w:r>
      <w:r w:rsidR="006B6DBD" w:rsidRPr="000A5CCD">
        <w:rPr>
          <w:sz w:val="22"/>
          <w:szCs w:val="22"/>
          <w:lang w:val="en-US"/>
        </w:rPr>
        <w:t xml:space="preserve"> </w:t>
      </w:r>
      <w:r w:rsidR="003101B7" w:rsidRPr="004243BE">
        <w:rPr>
          <w:sz w:val="22"/>
          <w:szCs w:val="22"/>
          <w:lang w:val="en-US"/>
        </w:rPr>
        <w:t xml:space="preserve">Outdoor built environment barriers and </w:t>
      </w:r>
    </w:p>
    <w:p w:rsidR="007F0788" w:rsidRDefault="003101B7" w:rsidP="00273BE5">
      <w:pPr>
        <w:spacing w:line="480" w:lineRule="auto"/>
        <w:ind w:left="708"/>
        <w:jc w:val="both"/>
        <w:rPr>
          <w:sz w:val="22"/>
          <w:szCs w:val="22"/>
          <w:lang w:val="en-US"/>
        </w:rPr>
      </w:pPr>
      <w:r w:rsidRPr="004243BE">
        <w:rPr>
          <w:sz w:val="22"/>
          <w:szCs w:val="22"/>
          <w:lang w:val="en-US"/>
        </w:rPr>
        <w:t xml:space="preserve">facilitators to activity among midlife and older adults with mobility disabilities. </w:t>
      </w:r>
      <w:r w:rsidRPr="004243BE">
        <w:rPr>
          <w:sz w:val="22"/>
          <w:szCs w:val="22"/>
          <w:lang w:val="en-GB"/>
        </w:rPr>
        <w:t>The Gerontologist</w:t>
      </w:r>
      <w:r w:rsidR="00C24BF3">
        <w:rPr>
          <w:sz w:val="22"/>
          <w:szCs w:val="22"/>
          <w:lang w:val="en-GB"/>
        </w:rPr>
        <w:t>.</w:t>
      </w:r>
      <w:r w:rsidRPr="004243BE">
        <w:rPr>
          <w:sz w:val="22"/>
          <w:szCs w:val="22"/>
          <w:lang w:val="en-GB"/>
        </w:rPr>
        <w:t xml:space="preserve"> 53:268-</w:t>
      </w:r>
      <w:r w:rsidR="00C24BF3">
        <w:rPr>
          <w:sz w:val="22"/>
          <w:szCs w:val="22"/>
          <w:lang w:val="en-GB"/>
        </w:rPr>
        <w:t>2</w:t>
      </w:r>
      <w:r w:rsidRPr="004243BE">
        <w:rPr>
          <w:sz w:val="22"/>
          <w:szCs w:val="22"/>
          <w:lang w:val="en-GB"/>
        </w:rPr>
        <w:t>79.</w:t>
      </w:r>
    </w:p>
    <w:p w:rsidR="00EA0C84" w:rsidRDefault="00EA0C84">
      <w:pPr>
        <w:rPr>
          <w:sz w:val="22"/>
          <w:szCs w:val="22"/>
          <w:lang w:val="en-US"/>
        </w:rPr>
      </w:pPr>
      <w:r>
        <w:rPr>
          <w:sz w:val="22"/>
          <w:szCs w:val="22"/>
          <w:lang w:val="en-US"/>
        </w:rPr>
        <w:br w:type="page"/>
      </w:r>
    </w:p>
    <w:p w:rsidR="000A5CCD" w:rsidRDefault="008000AD" w:rsidP="000A5CCD">
      <w:pPr>
        <w:spacing w:line="480" w:lineRule="auto"/>
        <w:jc w:val="both"/>
        <w:rPr>
          <w:sz w:val="22"/>
          <w:szCs w:val="22"/>
          <w:lang w:val="en-GB"/>
        </w:rPr>
      </w:pPr>
      <w:r>
        <w:rPr>
          <w:sz w:val="22"/>
          <w:szCs w:val="22"/>
          <w:lang w:val="en-US"/>
        </w:rPr>
        <w:lastRenderedPageBreak/>
        <w:t>[</w:t>
      </w:r>
      <w:r w:rsidR="005E4662">
        <w:rPr>
          <w:sz w:val="22"/>
          <w:szCs w:val="22"/>
          <w:lang w:val="en-US"/>
        </w:rPr>
        <w:t>13</w:t>
      </w:r>
      <w:r>
        <w:rPr>
          <w:sz w:val="22"/>
          <w:szCs w:val="22"/>
          <w:lang w:val="en-US"/>
        </w:rPr>
        <w:t>]</w:t>
      </w:r>
      <w:r w:rsidR="002C72AD" w:rsidRPr="004243BE">
        <w:rPr>
          <w:sz w:val="22"/>
          <w:szCs w:val="22"/>
          <w:lang w:val="en-GB"/>
        </w:rPr>
        <w:t xml:space="preserve"> </w:t>
      </w:r>
      <w:proofErr w:type="spellStart"/>
      <w:r w:rsidR="002C72AD" w:rsidRPr="004243BE">
        <w:rPr>
          <w:sz w:val="22"/>
          <w:szCs w:val="22"/>
          <w:lang w:val="en-GB"/>
        </w:rPr>
        <w:t>Wennberg</w:t>
      </w:r>
      <w:proofErr w:type="spellEnd"/>
      <w:r w:rsidR="002C72AD" w:rsidRPr="004243BE">
        <w:rPr>
          <w:sz w:val="22"/>
          <w:szCs w:val="22"/>
          <w:lang w:val="en-GB"/>
        </w:rPr>
        <w:t xml:space="preserve"> H, </w:t>
      </w:r>
      <w:proofErr w:type="spellStart"/>
      <w:r w:rsidR="002C72AD" w:rsidRPr="004243BE">
        <w:rPr>
          <w:sz w:val="22"/>
          <w:szCs w:val="22"/>
          <w:lang w:val="en-GB"/>
        </w:rPr>
        <w:t>Ståhl</w:t>
      </w:r>
      <w:proofErr w:type="spellEnd"/>
      <w:r w:rsidR="002C72AD" w:rsidRPr="004243BE">
        <w:rPr>
          <w:sz w:val="22"/>
          <w:szCs w:val="22"/>
          <w:lang w:val="en-GB"/>
        </w:rPr>
        <w:t xml:space="preserve"> A, </w:t>
      </w:r>
      <w:proofErr w:type="spellStart"/>
      <w:r w:rsidR="002C72AD" w:rsidRPr="004243BE">
        <w:rPr>
          <w:sz w:val="22"/>
          <w:szCs w:val="22"/>
          <w:lang w:val="en-GB"/>
        </w:rPr>
        <w:t>Hydén</w:t>
      </w:r>
      <w:proofErr w:type="spellEnd"/>
      <w:r w:rsidR="000A5CCD">
        <w:rPr>
          <w:sz w:val="22"/>
          <w:szCs w:val="22"/>
          <w:lang w:val="en-GB"/>
        </w:rPr>
        <w:t xml:space="preserve"> C (2009)</w:t>
      </w:r>
      <w:r w:rsidR="002C72AD" w:rsidRPr="004243BE">
        <w:rPr>
          <w:sz w:val="22"/>
          <w:szCs w:val="22"/>
          <w:lang w:val="en-GB"/>
        </w:rPr>
        <w:t xml:space="preserve"> Older pedestrians’ perceptions of the outdoor environment in a </w:t>
      </w:r>
    </w:p>
    <w:p w:rsidR="00C1503A" w:rsidRPr="004243BE" w:rsidRDefault="002C72AD" w:rsidP="000A5CCD">
      <w:pPr>
        <w:spacing w:line="480" w:lineRule="auto"/>
        <w:ind w:firstLine="708"/>
        <w:jc w:val="both"/>
        <w:rPr>
          <w:sz w:val="22"/>
          <w:szCs w:val="22"/>
          <w:lang w:val="en-GB"/>
        </w:rPr>
      </w:pPr>
      <w:r w:rsidRPr="004243BE">
        <w:rPr>
          <w:sz w:val="22"/>
          <w:szCs w:val="22"/>
          <w:lang w:val="en-GB"/>
        </w:rPr>
        <w:t xml:space="preserve">year-round perspective. </w:t>
      </w:r>
      <w:proofErr w:type="spellStart"/>
      <w:r w:rsidRPr="004243BE">
        <w:rPr>
          <w:sz w:val="22"/>
          <w:szCs w:val="22"/>
          <w:lang w:val="en-GB"/>
        </w:rPr>
        <w:t>Eur</w:t>
      </w:r>
      <w:proofErr w:type="spellEnd"/>
      <w:r w:rsidRPr="004243BE">
        <w:rPr>
          <w:sz w:val="22"/>
          <w:szCs w:val="22"/>
          <w:lang w:val="en-GB"/>
        </w:rPr>
        <w:t xml:space="preserve"> J Ageing</w:t>
      </w:r>
      <w:r w:rsidR="00C24BF3">
        <w:rPr>
          <w:sz w:val="22"/>
          <w:szCs w:val="22"/>
          <w:lang w:val="en-GB"/>
        </w:rPr>
        <w:t>.</w:t>
      </w:r>
      <w:r w:rsidR="000A5CCD">
        <w:rPr>
          <w:sz w:val="22"/>
          <w:szCs w:val="22"/>
          <w:lang w:val="en-GB"/>
        </w:rPr>
        <w:t xml:space="preserve"> </w:t>
      </w:r>
      <w:r w:rsidRPr="004243BE">
        <w:rPr>
          <w:sz w:val="22"/>
          <w:szCs w:val="22"/>
          <w:lang w:val="en-GB"/>
        </w:rPr>
        <w:t>6:277-</w:t>
      </w:r>
      <w:r w:rsidR="00C24BF3">
        <w:rPr>
          <w:sz w:val="22"/>
          <w:szCs w:val="22"/>
          <w:lang w:val="en-GB"/>
        </w:rPr>
        <w:t>2</w:t>
      </w:r>
      <w:r w:rsidRPr="004243BE">
        <w:rPr>
          <w:sz w:val="22"/>
          <w:szCs w:val="22"/>
          <w:lang w:val="en-GB"/>
        </w:rPr>
        <w:t>90.</w:t>
      </w:r>
    </w:p>
    <w:p w:rsidR="000A5CCD" w:rsidRDefault="008000AD" w:rsidP="00273BE5">
      <w:pPr>
        <w:spacing w:line="480" w:lineRule="auto"/>
        <w:jc w:val="both"/>
        <w:rPr>
          <w:sz w:val="22"/>
          <w:szCs w:val="22"/>
          <w:lang w:val="en-GB"/>
        </w:rPr>
      </w:pPr>
      <w:r>
        <w:rPr>
          <w:sz w:val="22"/>
          <w:szCs w:val="22"/>
          <w:lang w:val="en-GB"/>
        </w:rPr>
        <w:t>[</w:t>
      </w:r>
      <w:r w:rsidR="00780383" w:rsidRPr="004243BE">
        <w:rPr>
          <w:sz w:val="22"/>
          <w:szCs w:val="22"/>
          <w:lang w:val="en-GB"/>
        </w:rPr>
        <w:t>1</w:t>
      </w:r>
      <w:r w:rsidR="005E4662">
        <w:rPr>
          <w:sz w:val="22"/>
          <w:szCs w:val="22"/>
          <w:lang w:val="en-GB"/>
        </w:rPr>
        <w:t>4</w:t>
      </w:r>
      <w:r>
        <w:rPr>
          <w:sz w:val="22"/>
          <w:szCs w:val="22"/>
          <w:lang w:val="en-GB"/>
        </w:rPr>
        <w:t>]</w:t>
      </w:r>
      <w:r w:rsidR="0017217A" w:rsidRPr="004243BE">
        <w:rPr>
          <w:sz w:val="22"/>
          <w:szCs w:val="22"/>
          <w:lang w:val="en-GB"/>
        </w:rPr>
        <w:t xml:space="preserve"> </w:t>
      </w:r>
      <w:r w:rsidR="006B6DBD" w:rsidRPr="004243BE">
        <w:rPr>
          <w:sz w:val="22"/>
          <w:szCs w:val="22"/>
          <w:lang w:val="en-GB"/>
        </w:rPr>
        <w:t xml:space="preserve">Shumway-Cook A, </w:t>
      </w:r>
      <w:proofErr w:type="spellStart"/>
      <w:r w:rsidR="006B6DBD" w:rsidRPr="004243BE">
        <w:rPr>
          <w:sz w:val="22"/>
          <w:szCs w:val="22"/>
          <w:lang w:val="en-GB"/>
        </w:rPr>
        <w:t>Patla</w:t>
      </w:r>
      <w:proofErr w:type="spellEnd"/>
      <w:r w:rsidR="006B6DBD" w:rsidRPr="004243BE">
        <w:rPr>
          <w:sz w:val="22"/>
          <w:szCs w:val="22"/>
          <w:lang w:val="en-GB"/>
        </w:rPr>
        <w:t xml:space="preserve"> A, Stewart A,</w:t>
      </w:r>
      <w:r w:rsidR="00273BE5">
        <w:rPr>
          <w:sz w:val="22"/>
          <w:szCs w:val="22"/>
          <w:lang w:val="en-GB"/>
        </w:rPr>
        <w:t xml:space="preserve"> et al</w:t>
      </w:r>
      <w:r w:rsidR="000A5CCD">
        <w:rPr>
          <w:sz w:val="22"/>
          <w:szCs w:val="22"/>
          <w:lang w:val="en-GB"/>
        </w:rPr>
        <w:t xml:space="preserve"> (2003)</w:t>
      </w:r>
      <w:r w:rsidR="009E5DD0" w:rsidRPr="004243BE">
        <w:rPr>
          <w:sz w:val="22"/>
          <w:szCs w:val="22"/>
          <w:lang w:val="en-GB"/>
        </w:rPr>
        <w:t xml:space="preserve"> </w:t>
      </w:r>
      <w:r w:rsidR="002F7097" w:rsidRPr="004243BE">
        <w:rPr>
          <w:sz w:val="22"/>
          <w:szCs w:val="22"/>
          <w:lang w:val="en-GB"/>
        </w:rPr>
        <w:t xml:space="preserve">Environmental components of mobility disability </w:t>
      </w:r>
    </w:p>
    <w:p w:rsidR="0017217A" w:rsidRPr="004243BE" w:rsidRDefault="002F7097" w:rsidP="000A5CCD">
      <w:pPr>
        <w:spacing w:line="480" w:lineRule="auto"/>
        <w:ind w:firstLine="708"/>
        <w:jc w:val="both"/>
        <w:rPr>
          <w:sz w:val="22"/>
          <w:szCs w:val="22"/>
          <w:lang w:val="en-GB"/>
        </w:rPr>
      </w:pPr>
      <w:r w:rsidRPr="004243BE">
        <w:rPr>
          <w:sz w:val="22"/>
          <w:szCs w:val="22"/>
          <w:lang w:val="en-GB"/>
        </w:rPr>
        <w:t>in community-living old</w:t>
      </w:r>
      <w:r w:rsidR="005C2AFC" w:rsidRPr="004243BE">
        <w:rPr>
          <w:sz w:val="22"/>
          <w:szCs w:val="22"/>
          <w:lang w:val="en-GB"/>
        </w:rPr>
        <w:t xml:space="preserve">er persons. J Am </w:t>
      </w:r>
      <w:proofErr w:type="spellStart"/>
      <w:r w:rsidR="005C2AFC" w:rsidRPr="004243BE">
        <w:rPr>
          <w:sz w:val="22"/>
          <w:szCs w:val="22"/>
          <w:lang w:val="en-GB"/>
        </w:rPr>
        <w:t>Geriatr</w:t>
      </w:r>
      <w:proofErr w:type="spellEnd"/>
      <w:r w:rsidR="005C2AFC" w:rsidRPr="004243BE">
        <w:rPr>
          <w:sz w:val="22"/>
          <w:szCs w:val="22"/>
          <w:lang w:val="en-GB"/>
        </w:rPr>
        <w:t xml:space="preserve"> Soc</w:t>
      </w:r>
      <w:r w:rsidR="00C24BF3">
        <w:rPr>
          <w:sz w:val="22"/>
          <w:szCs w:val="22"/>
          <w:lang w:val="en-GB"/>
        </w:rPr>
        <w:t>.</w:t>
      </w:r>
      <w:r w:rsidR="005C2AFC" w:rsidRPr="004243BE">
        <w:rPr>
          <w:sz w:val="22"/>
          <w:szCs w:val="22"/>
          <w:lang w:val="en-GB"/>
        </w:rPr>
        <w:t xml:space="preserve"> </w:t>
      </w:r>
      <w:r w:rsidRPr="004243BE">
        <w:rPr>
          <w:sz w:val="22"/>
          <w:szCs w:val="22"/>
          <w:lang w:val="en-GB"/>
        </w:rPr>
        <w:t>51:393-</w:t>
      </w:r>
      <w:r w:rsidR="00C24BF3">
        <w:rPr>
          <w:sz w:val="22"/>
          <w:szCs w:val="22"/>
          <w:lang w:val="en-GB"/>
        </w:rPr>
        <w:t>3</w:t>
      </w:r>
      <w:r w:rsidRPr="004243BE">
        <w:rPr>
          <w:sz w:val="22"/>
          <w:szCs w:val="22"/>
          <w:lang w:val="en-GB"/>
        </w:rPr>
        <w:t>98.</w:t>
      </w:r>
    </w:p>
    <w:p w:rsidR="00FA23AC" w:rsidRDefault="008000AD" w:rsidP="00FA23AC">
      <w:pPr>
        <w:spacing w:line="480" w:lineRule="auto"/>
        <w:jc w:val="both"/>
        <w:rPr>
          <w:sz w:val="22"/>
          <w:szCs w:val="22"/>
          <w:lang w:val="en-GB"/>
        </w:rPr>
      </w:pPr>
      <w:r>
        <w:rPr>
          <w:sz w:val="22"/>
          <w:szCs w:val="22"/>
          <w:lang w:val="en-GB"/>
        </w:rPr>
        <w:t>[</w:t>
      </w:r>
      <w:r w:rsidR="007F0788" w:rsidRPr="004243BE">
        <w:rPr>
          <w:sz w:val="22"/>
          <w:szCs w:val="22"/>
          <w:lang w:val="en-GB"/>
        </w:rPr>
        <w:t>1</w:t>
      </w:r>
      <w:r w:rsidR="005E4662">
        <w:rPr>
          <w:sz w:val="22"/>
          <w:szCs w:val="22"/>
          <w:lang w:val="en-GB"/>
        </w:rPr>
        <w:t>5</w:t>
      </w:r>
      <w:r>
        <w:rPr>
          <w:sz w:val="22"/>
          <w:szCs w:val="22"/>
          <w:lang w:val="en-GB"/>
        </w:rPr>
        <w:t>]</w:t>
      </w:r>
      <w:r w:rsidR="000A5CCD">
        <w:rPr>
          <w:sz w:val="22"/>
          <w:szCs w:val="22"/>
          <w:lang w:val="en-GB"/>
        </w:rPr>
        <w:t xml:space="preserve"> Brooks PM (2002)</w:t>
      </w:r>
      <w:r w:rsidR="007F0788" w:rsidRPr="004243BE">
        <w:rPr>
          <w:sz w:val="22"/>
          <w:szCs w:val="22"/>
          <w:lang w:val="en-GB"/>
        </w:rPr>
        <w:t xml:space="preserve"> </w:t>
      </w:r>
      <w:bookmarkStart w:id="1" w:name="OLE_LINK9"/>
      <w:r w:rsidR="007F0788" w:rsidRPr="004243BE">
        <w:rPr>
          <w:sz w:val="22"/>
          <w:szCs w:val="22"/>
          <w:lang w:val="en-GB"/>
        </w:rPr>
        <w:t xml:space="preserve">Impact of osteoarthritis on individuals and society: how much disability? Social </w:t>
      </w:r>
    </w:p>
    <w:p w:rsidR="007F0788" w:rsidRPr="004243BE" w:rsidRDefault="007F0788" w:rsidP="00FA23AC">
      <w:pPr>
        <w:spacing w:line="480" w:lineRule="auto"/>
        <w:ind w:firstLine="708"/>
        <w:jc w:val="both"/>
        <w:rPr>
          <w:sz w:val="22"/>
          <w:szCs w:val="22"/>
          <w:lang w:val="en-GB"/>
        </w:rPr>
      </w:pPr>
      <w:r w:rsidRPr="004243BE">
        <w:rPr>
          <w:sz w:val="22"/>
          <w:szCs w:val="22"/>
          <w:lang w:val="en-GB"/>
        </w:rPr>
        <w:t>consequences and health economic implication</w:t>
      </w:r>
      <w:bookmarkEnd w:id="1"/>
      <w:r w:rsidRPr="004243BE">
        <w:rPr>
          <w:sz w:val="22"/>
          <w:szCs w:val="22"/>
          <w:lang w:val="en-GB"/>
        </w:rPr>
        <w:t xml:space="preserve">. </w:t>
      </w:r>
      <w:proofErr w:type="spellStart"/>
      <w:r w:rsidRPr="004243BE">
        <w:rPr>
          <w:bCs/>
          <w:color w:val="000000"/>
          <w:sz w:val="22"/>
          <w:szCs w:val="22"/>
          <w:shd w:val="clear" w:color="auto" w:fill="FFFFFF"/>
          <w:lang w:val="en-GB"/>
        </w:rPr>
        <w:t>Curr</w:t>
      </w:r>
      <w:proofErr w:type="spellEnd"/>
      <w:r w:rsidRPr="004243BE">
        <w:rPr>
          <w:bCs/>
          <w:color w:val="000000"/>
          <w:sz w:val="22"/>
          <w:szCs w:val="22"/>
          <w:shd w:val="clear" w:color="auto" w:fill="FFFFFF"/>
          <w:lang w:val="en-GB"/>
        </w:rPr>
        <w:t xml:space="preserve"> </w:t>
      </w:r>
      <w:proofErr w:type="spellStart"/>
      <w:r w:rsidRPr="004243BE">
        <w:rPr>
          <w:bCs/>
          <w:color w:val="000000"/>
          <w:sz w:val="22"/>
          <w:szCs w:val="22"/>
          <w:shd w:val="clear" w:color="auto" w:fill="FFFFFF"/>
          <w:lang w:val="en-GB"/>
        </w:rPr>
        <w:t>Opin</w:t>
      </w:r>
      <w:proofErr w:type="spellEnd"/>
      <w:r w:rsidRPr="004243BE">
        <w:rPr>
          <w:bCs/>
          <w:color w:val="000000"/>
          <w:sz w:val="22"/>
          <w:szCs w:val="22"/>
          <w:shd w:val="clear" w:color="auto" w:fill="FFFFFF"/>
          <w:lang w:val="en-GB"/>
        </w:rPr>
        <w:t xml:space="preserve"> </w:t>
      </w:r>
      <w:proofErr w:type="spellStart"/>
      <w:r w:rsidRPr="004243BE">
        <w:rPr>
          <w:bCs/>
          <w:color w:val="000000"/>
          <w:sz w:val="22"/>
          <w:szCs w:val="22"/>
          <w:shd w:val="clear" w:color="auto" w:fill="FFFFFF"/>
          <w:lang w:val="en-GB"/>
        </w:rPr>
        <w:t>Rheumatol</w:t>
      </w:r>
      <w:proofErr w:type="spellEnd"/>
      <w:r w:rsidR="00C24BF3">
        <w:rPr>
          <w:bCs/>
          <w:color w:val="000000"/>
          <w:sz w:val="22"/>
          <w:szCs w:val="22"/>
          <w:shd w:val="clear" w:color="auto" w:fill="FFFFFF"/>
          <w:lang w:val="en-GB"/>
        </w:rPr>
        <w:t>.</w:t>
      </w:r>
      <w:r w:rsidR="00AB63B6">
        <w:rPr>
          <w:sz w:val="22"/>
          <w:szCs w:val="22"/>
          <w:lang w:val="en-GB"/>
        </w:rPr>
        <w:t xml:space="preserve"> 14:</w:t>
      </w:r>
      <w:r w:rsidRPr="004243BE">
        <w:rPr>
          <w:sz w:val="22"/>
          <w:szCs w:val="22"/>
          <w:lang w:val="en-GB"/>
        </w:rPr>
        <w:t>573-</w:t>
      </w:r>
      <w:r w:rsidR="00C24BF3">
        <w:rPr>
          <w:sz w:val="22"/>
          <w:szCs w:val="22"/>
          <w:lang w:val="en-GB"/>
        </w:rPr>
        <w:t>5</w:t>
      </w:r>
      <w:r w:rsidRPr="004243BE">
        <w:rPr>
          <w:sz w:val="22"/>
          <w:szCs w:val="22"/>
          <w:lang w:val="en-GB"/>
        </w:rPr>
        <w:t xml:space="preserve">77. </w:t>
      </w:r>
    </w:p>
    <w:p w:rsidR="000A5CCD" w:rsidRDefault="008000AD" w:rsidP="00FA23AC">
      <w:pPr>
        <w:spacing w:line="480" w:lineRule="auto"/>
        <w:jc w:val="both"/>
        <w:rPr>
          <w:sz w:val="22"/>
          <w:szCs w:val="22"/>
          <w:lang w:val="en-GB"/>
        </w:rPr>
      </w:pPr>
      <w:r>
        <w:rPr>
          <w:sz w:val="22"/>
          <w:szCs w:val="22"/>
          <w:lang w:val="en-GB"/>
        </w:rPr>
        <w:t>[</w:t>
      </w:r>
      <w:r w:rsidR="006E71FE">
        <w:rPr>
          <w:sz w:val="22"/>
          <w:szCs w:val="22"/>
          <w:lang w:val="en-GB"/>
        </w:rPr>
        <w:t>1</w:t>
      </w:r>
      <w:r w:rsidR="005E4662">
        <w:rPr>
          <w:sz w:val="22"/>
          <w:szCs w:val="22"/>
          <w:lang w:val="en-GB"/>
        </w:rPr>
        <w:t>6</w:t>
      </w:r>
      <w:r>
        <w:rPr>
          <w:sz w:val="22"/>
          <w:szCs w:val="22"/>
          <w:lang w:val="en-GB"/>
        </w:rPr>
        <w:t>]</w:t>
      </w:r>
      <w:r w:rsidR="00271BEB">
        <w:rPr>
          <w:sz w:val="22"/>
          <w:szCs w:val="22"/>
          <w:lang w:val="en-GB"/>
        </w:rPr>
        <w:t xml:space="preserve"> Peat G, </w:t>
      </w:r>
      <w:proofErr w:type="spellStart"/>
      <w:r w:rsidR="00271BEB">
        <w:rPr>
          <w:sz w:val="22"/>
          <w:szCs w:val="22"/>
          <w:lang w:val="en-GB"/>
        </w:rPr>
        <w:t>McCarney</w:t>
      </w:r>
      <w:proofErr w:type="spellEnd"/>
      <w:r w:rsidR="000A5CCD">
        <w:rPr>
          <w:sz w:val="22"/>
          <w:szCs w:val="22"/>
          <w:lang w:val="en-GB"/>
        </w:rPr>
        <w:t xml:space="preserve"> R, Croft P (2001)</w:t>
      </w:r>
      <w:r w:rsidR="00271BEB">
        <w:rPr>
          <w:sz w:val="22"/>
          <w:szCs w:val="22"/>
          <w:lang w:val="en-GB"/>
        </w:rPr>
        <w:t xml:space="preserve"> Knee pain and osteoarthritis in older adults: a review of </w:t>
      </w:r>
    </w:p>
    <w:p w:rsidR="00271BEB" w:rsidRDefault="00271BEB" w:rsidP="000A5CCD">
      <w:pPr>
        <w:spacing w:line="480" w:lineRule="auto"/>
        <w:ind w:firstLine="708"/>
        <w:jc w:val="both"/>
        <w:rPr>
          <w:sz w:val="22"/>
          <w:szCs w:val="22"/>
          <w:lang w:val="en-GB"/>
        </w:rPr>
      </w:pPr>
      <w:r>
        <w:rPr>
          <w:sz w:val="22"/>
          <w:szCs w:val="22"/>
          <w:lang w:val="en-GB"/>
        </w:rPr>
        <w:t>community burden and current use of pri</w:t>
      </w:r>
      <w:r w:rsidR="00736E74">
        <w:rPr>
          <w:sz w:val="22"/>
          <w:szCs w:val="22"/>
          <w:lang w:val="en-GB"/>
        </w:rPr>
        <w:t>mary care. Ann Rheum Dis</w:t>
      </w:r>
      <w:r w:rsidR="00C24BF3">
        <w:rPr>
          <w:sz w:val="22"/>
          <w:szCs w:val="22"/>
          <w:lang w:val="en-GB"/>
        </w:rPr>
        <w:t>.</w:t>
      </w:r>
      <w:r w:rsidR="00AB63B6">
        <w:rPr>
          <w:sz w:val="22"/>
          <w:szCs w:val="22"/>
          <w:lang w:val="en-GB"/>
        </w:rPr>
        <w:t xml:space="preserve"> 60:91-</w:t>
      </w:r>
      <w:r w:rsidR="00C24BF3">
        <w:rPr>
          <w:sz w:val="22"/>
          <w:szCs w:val="22"/>
          <w:lang w:val="en-GB"/>
        </w:rPr>
        <w:t>9</w:t>
      </w:r>
      <w:r>
        <w:rPr>
          <w:sz w:val="22"/>
          <w:szCs w:val="22"/>
          <w:lang w:val="en-GB"/>
        </w:rPr>
        <w:t>7.</w:t>
      </w:r>
    </w:p>
    <w:p w:rsidR="00894B7D" w:rsidRPr="004243BE" w:rsidRDefault="008000AD" w:rsidP="003321A5">
      <w:pPr>
        <w:spacing w:line="480" w:lineRule="auto"/>
        <w:jc w:val="both"/>
        <w:rPr>
          <w:sz w:val="22"/>
          <w:szCs w:val="22"/>
          <w:lang w:val="en-US"/>
        </w:rPr>
      </w:pPr>
      <w:r>
        <w:rPr>
          <w:sz w:val="22"/>
          <w:szCs w:val="22"/>
          <w:lang w:val="en-US"/>
        </w:rPr>
        <w:t>[</w:t>
      </w:r>
      <w:r w:rsidR="00894B7D" w:rsidRPr="004243BE">
        <w:rPr>
          <w:sz w:val="22"/>
          <w:szCs w:val="22"/>
          <w:lang w:val="en-US"/>
        </w:rPr>
        <w:t>1</w:t>
      </w:r>
      <w:r w:rsidR="005E4662">
        <w:rPr>
          <w:sz w:val="22"/>
          <w:szCs w:val="22"/>
          <w:lang w:val="en-US"/>
        </w:rPr>
        <w:t>7</w:t>
      </w:r>
      <w:r>
        <w:rPr>
          <w:sz w:val="22"/>
          <w:szCs w:val="22"/>
          <w:lang w:val="en-US"/>
        </w:rPr>
        <w:t>]</w:t>
      </w:r>
      <w:r w:rsidR="00894B7D" w:rsidRPr="004243BE">
        <w:rPr>
          <w:sz w:val="22"/>
          <w:szCs w:val="22"/>
          <w:lang w:val="en-US"/>
        </w:rPr>
        <w:t xml:space="preserve"> Lawton MP</w:t>
      </w:r>
      <w:r w:rsidR="000E5160">
        <w:rPr>
          <w:sz w:val="22"/>
          <w:szCs w:val="22"/>
          <w:lang w:val="en-US"/>
        </w:rPr>
        <w:t xml:space="preserve"> (1986)</w:t>
      </w:r>
      <w:r w:rsidR="00894B7D" w:rsidRPr="004243BE">
        <w:rPr>
          <w:sz w:val="22"/>
          <w:szCs w:val="22"/>
          <w:lang w:val="en-US"/>
        </w:rPr>
        <w:t xml:space="preserve"> Environment and aging. </w:t>
      </w:r>
      <w:r w:rsidR="00170226">
        <w:rPr>
          <w:sz w:val="22"/>
          <w:szCs w:val="22"/>
          <w:lang w:val="en-US"/>
        </w:rPr>
        <w:t>Center for the Study of Aging</w:t>
      </w:r>
      <w:r w:rsidR="000E5160">
        <w:rPr>
          <w:sz w:val="22"/>
          <w:szCs w:val="22"/>
          <w:lang w:val="en-US"/>
        </w:rPr>
        <w:t xml:space="preserve">, </w:t>
      </w:r>
      <w:r w:rsidR="000E5160" w:rsidRPr="004243BE">
        <w:rPr>
          <w:sz w:val="22"/>
          <w:szCs w:val="22"/>
          <w:lang w:val="en-US"/>
        </w:rPr>
        <w:t>Albany, NY</w:t>
      </w:r>
      <w:r w:rsidR="000E5160">
        <w:rPr>
          <w:sz w:val="22"/>
          <w:szCs w:val="22"/>
          <w:lang w:val="en-US"/>
        </w:rPr>
        <w:t>.</w:t>
      </w:r>
      <w:r w:rsidR="00894B7D" w:rsidRPr="004243BE">
        <w:rPr>
          <w:sz w:val="22"/>
          <w:szCs w:val="22"/>
          <w:lang w:val="en-US"/>
        </w:rPr>
        <w:t xml:space="preserve"> </w:t>
      </w:r>
    </w:p>
    <w:p w:rsidR="000E5160" w:rsidRPr="00ED2511" w:rsidRDefault="008000AD" w:rsidP="000E5160">
      <w:pPr>
        <w:spacing w:line="480" w:lineRule="auto"/>
        <w:jc w:val="both"/>
        <w:rPr>
          <w:sz w:val="22"/>
          <w:szCs w:val="22"/>
        </w:rPr>
      </w:pPr>
      <w:r>
        <w:rPr>
          <w:sz w:val="22"/>
          <w:szCs w:val="22"/>
          <w:lang w:val="en-US"/>
        </w:rPr>
        <w:t>[</w:t>
      </w:r>
      <w:r w:rsidR="0008440F" w:rsidRPr="004243BE">
        <w:rPr>
          <w:sz w:val="22"/>
          <w:szCs w:val="22"/>
          <w:lang w:val="en-US"/>
        </w:rPr>
        <w:t>1</w:t>
      </w:r>
      <w:r w:rsidR="005E4662">
        <w:rPr>
          <w:sz w:val="22"/>
          <w:szCs w:val="22"/>
          <w:lang w:val="en-US"/>
        </w:rPr>
        <w:t>8</w:t>
      </w:r>
      <w:r>
        <w:rPr>
          <w:sz w:val="22"/>
          <w:szCs w:val="22"/>
          <w:lang w:val="en-US"/>
        </w:rPr>
        <w:t>]</w:t>
      </w:r>
      <w:r w:rsidR="00486AD9" w:rsidRPr="004243BE">
        <w:rPr>
          <w:sz w:val="22"/>
          <w:szCs w:val="22"/>
          <w:lang w:val="en-US"/>
        </w:rPr>
        <w:t xml:space="preserve"> Lawton MP, </w:t>
      </w:r>
      <w:proofErr w:type="spellStart"/>
      <w:r w:rsidR="00894B7D" w:rsidRPr="004243BE">
        <w:rPr>
          <w:sz w:val="22"/>
          <w:szCs w:val="22"/>
          <w:lang w:val="en-US"/>
        </w:rPr>
        <w:t>Nahemow</w:t>
      </w:r>
      <w:proofErr w:type="spellEnd"/>
      <w:r w:rsidR="00486AD9" w:rsidRPr="004243BE">
        <w:rPr>
          <w:sz w:val="22"/>
          <w:szCs w:val="22"/>
          <w:lang w:val="en-US"/>
        </w:rPr>
        <w:t xml:space="preserve"> L</w:t>
      </w:r>
      <w:r w:rsidR="000E5160">
        <w:rPr>
          <w:sz w:val="22"/>
          <w:szCs w:val="22"/>
          <w:lang w:val="en-US"/>
        </w:rPr>
        <w:t xml:space="preserve"> (1973)</w:t>
      </w:r>
      <w:r w:rsidR="00894B7D" w:rsidRPr="004243BE">
        <w:rPr>
          <w:sz w:val="22"/>
          <w:szCs w:val="22"/>
          <w:lang w:val="en-US"/>
        </w:rPr>
        <w:t xml:space="preserve"> Ecology and the aging process. </w:t>
      </w:r>
      <w:r w:rsidR="00894B7D" w:rsidRPr="00ED2511">
        <w:rPr>
          <w:sz w:val="22"/>
          <w:szCs w:val="22"/>
        </w:rPr>
        <w:t xml:space="preserve">In: C. Eisendorfer, M.P. Lawton </w:t>
      </w:r>
    </w:p>
    <w:p w:rsidR="000E5160" w:rsidRPr="00FA23AC" w:rsidRDefault="000E5160" w:rsidP="009341C2">
      <w:pPr>
        <w:spacing w:line="480" w:lineRule="auto"/>
        <w:ind w:left="708"/>
        <w:jc w:val="both"/>
        <w:rPr>
          <w:sz w:val="22"/>
          <w:szCs w:val="22"/>
          <w:lang w:val="en-US"/>
        </w:rPr>
      </w:pPr>
      <w:r>
        <w:rPr>
          <w:sz w:val="22"/>
          <w:szCs w:val="22"/>
          <w:lang w:val="en-GB"/>
        </w:rPr>
        <w:t>(</w:t>
      </w:r>
      <w:proofErr w:type="spellStart"/>
      <w:r>
        <w:rPr>
          <w:sz w:val="22"/>
          <w:szCs w:val="22"/>
          <w:lang w:val="en-GB"/>
        </w:rPr>
        <w:t>eds</w:t>
      </w:r>
      <w:proofErr w:type="spellEnd"/>
      <w:r>
        <w:rPr>
          <w:sz w:val="22"/>
          <w:szCs w:val="22"/>
          <w:lang w:val="en-GB"/>
        </w:rPr>
        <w:t xml:space="preserve">) </w:t>
      </w:r>
      <w:proofErr w:type="spellStart"/>
      <w:r w:rsidR="00894B7D" w:rsidRPr="004243BE">
        <w:rPr>
          <w:sz w:val="22"/>
          <w:szCs w:val="22"/>
          <w:lang w:val="en-GB"/>
        </w:rPr>
        <w:t>Th</w:t>
      </w:r>
      <w:proofErr w:type="spellEnd"/>
      <w:r w:rsidR="00894B7D" w:rsidRPr="004243BE">
        <w:rPr>
          <w:sz w:val="22"/>
          <w:szCs w:val="22"/>
          <w:lang w:val="en-US"/>
        </w:rPr>
        <w:t>e</w:t>
      </w:r>
      <w:r>
        <w:rPr>
          <w:sz w:val="22"/>
          <w:szCs w:val="22"/>
          <w:lang w:val="en-US"/>
        </w:rPr>
        <w:t xml:space="preserve"> </w:t>
      </w:r>
      <w:r w:rsidR="00894B7D" w:rsidRPr="004243BE">
        <w:rPr>
          <w:sz w:val="22"/>
          <w:szCs w:val="22"/>
          <w:lang w:val="en-US"/>
        </w:rPr>
        <w:t xml:space="preserve">psychology of adult development and aging. </w:t>
      </w:r>
      <w:r w:rsidR="00542E34" w:rsidRPr="004243BE">
        <w:rPr>
          <w:sz w:val="22"/>
          <w:szCs w:val="22"/>
          <w:lang w:val="en-US"/>
        </w:rPr>
        <w:t>A</w:t>
      </w:r>
      <w:r w:rsidR="00CD5C0D">
        <w:rPr>
          <w:sz w:val="22"/>
          <w:szCs w:val="22"/>
          <w:lang w:val="en-US"/>
        </w:rPr>
        <w:t>merican Psychiatry Association</w:t>
      </w:r>
      <w:r>
        <w:rPr>
          <w:sz w:val="22"/>
          <w:szCs w:val="22"/>
          <w:lang w:val="en-US"/>
        </w:rPr>
        <w:t xml:space="preserve">, </w:t>
      </w:r>
      <w:r w:rsidRPr="004243BE">
        <w:rPr>
          <w:sz w:val="22"/>
          <w:szCs w:val="22"/>
          <w:lang w:val="en-US"/>
        </w:rPr>
        <w:t>Washington,</w:t>
      </w:r>
      <w:r>
        <w:rPr>
          <w:sz w:val="22"/>
          <w:szCs w:val="22"/>
          <w:lang w:val="en-US"/>
        </w:rPr>
        <w:t xml:space="preserve"> DC.</w:t>
      </w:r>
      <w:r w:rsidR="00CD5C0D">
        <w:rPr>
          <w:sz w:val="22"/>
          <w:szCs w:val="22"/>
          <w:lang w:val="en-US"/>
        </w:rPr>
        <w:t xml:space="preserve"> </w:t>
      </w:r>
    </w:p>
    <w:p w:rsidR="00170226" w:rsidRDefault="008000AD" w:rsidP="00170226">
      <w:pPr>
        <w:autoSpaceDE w:val="0"/>
        <w:autoSpaceDN w:val="0"/>
        <w:adjustRightInd w:val="0"/>
        <w:spacing w:line="480" w:lineRule="auto"/>
        <w:jc w:val="both"/>
        <w:rPr>
          <w:noProof/>
          <w:sz w:val="22"/>
          <w:szCs w:val="22"/>
          <w:lang w:val="en-US"/>
        </w:rPr>
      </w:pPr>
      <w:r>
        <w:rPr>
          <w:sz w:val="22"/>
          <w:szCs w:val="22"/>
          <w:lang w:val="en-US"/>
        </w:rPr>
        <w:t>[</w:t>
      </w:r>
      <w:r w:rsidR="009D6DDC" w:rsidRPr="004243BE">
        <w:rPr>
          <w:sz w:val="22"/>
          <w:szCs w:val="22"/>
          <w:lang w:val="en-US"/>
        </w:rPr>
        <w:t>1</w:t>
      </w:r>
      <w:r w:rsidR="005E4662">
        <w:rPr>
          <w:sz w:val="22"/>
          <w:szCs w:val="22"/>
          <w:lang w:val="en-US"/>
        </w:rPr>
        <w:t>9</w:t>
      </w:r>
      <w:r>
        <w:rPr>
          <w:sz w:val="22"/>
          <w:szCs w:val="22"/>
          <w:lang w:val="en-US"/>
        </w:rPr>
        <w:t>]</w:t>
      </w:r>
      <w:r w:rsidR="009D6DDC" w:rsidRPr="004243BE">
        <w:rPr>
          <w:sz w:val="22"/>
          <w:szCs w:val="22"/>
          <w:lang w:val="en-US"/>
        </w:rPr>
        <w:t xml:space="preserve"> </w:t>
      </w:r>
      <w:r w:rsidR="000A5CCD">
        <w:rPr>
          <w:noProof/>
          <w:sz w:val="22"/>
          <w:szCs w:val="22"/>
          <w:lang w:val="en-US"/>
        </w:rPr>
        <w:t>Clarke P, Nieuwenhuijsen ER (2009)</w:t>
      </w:r>
      <w:r w:rsidR="009D6DDC" w:rsidRPr="004243BE">
        <w:rPr>
          <w:noProof/>
          <w:sz w:val="22"/>
          <w:szCs w:val="22"/>
          <w:lang w:val="en-US"/>
        </w:rPr>
        <w:t xml:space="preserve"> </w:t>
      </w:r>
      <w:r w:rsidR="009D6DDC" w:rsidRPr="004243BE">
        <w:rPr>
          <w:noProof/>
          <w:sz w:val="22"/>
          <w:szCs w:val="22"/>
          <w:lang w:val="en-NZ"/>
        </w:rPr>
        <w:t xml:space="preserve">Environments for healthy ageing: A critical review. </w:t>
      </w:r>
      <w:r w:rsidR="009D6DDC" w:rsidRPr="004243BE">
        <w:rPr>
          <w:noProof/>
          <w:sz w:val="22"/>
          <w:szCs w:val="22"/>
          <w:lang w:val="en-US"/>
        </w:rPr>
        <w:t>Maturitas</w:t>
      </w:r>
      <w:r w:rsidR="00C24BF3">
        <w:rPr>
          <w:noProof/>
          <w:sz w:val="22"/>
          <w:szCs w:val="22"/>
          <w:lang w:val="en-US"/>
        </w:rPr>
        <w:t>.</w:t>
      </w:r>
      <w:r w:rsidR="009D6DDC" w:rsidRPr="004243BE">
        <w:rPr>
          <w:noProof/>
          <w:sz w:val="22"/>
          <w:szCs w:val="22"/>
          <w:lang w:val="en-US"/>
        </w:rPr>
        <w:t xml:space="preserve"> </w:t>
      </w:r>
    </w:p>
    <w:p w:rsidR="009D6DDC" w:rsidRPr="004243BE" w:rsidRDefault="00305275" w:rsidP="00170226">
      <w:pPr>
        <w:autoSpaceDE w:val="0"/>
        <w:autoSpaceDN w:val="0"/>
        <w:adjustRightInd w:val="0"/>
        <w:spacing w:line="480" w:lineRule="auto"/>
        <w:ind w:firstLine="708"/>
        <w:jc w:val="both"/>
        <w:rPr>
          <w:noProof/>
          <w:sz w:val="22"/>
          <w:szCs w:val="22"/>
          <w:lang w:val="en-US"/>
        </w:rPr>
      </w:pPr>
      <w:r>
        <w:rPr>
          <w:noProof/>
          <w:sz w:val="22"/>
          <w:szCs w:val="22"/>
          <w:lang w:val="en-US"/>
        </w:rPr>
        <w:t>64:</w:t>
      </w:r>
      <w:r w:rsidR="009D6DDC" w:rsidRPr="004243BE">
        <w:rPr>
          <w:noProof/>
          <w:sz w:val="22"/>
          <w:szCs w:val="22"/>
          <w:lang w:val="en-US"/>
        </w:rPr>
        <w:t>14-</w:t>
      </w:r>
      <w:r w:rsidR="00C24BF3">
        <w:rPr>
          <w:noProof/>
          <w:sz w:val="22"/>
          <w:szCs w:val="22"/>
          <w:lang w:val="en-US"/>
        </w:rPr>
        <w:t>1</w:t>
      </w:r>
      <w:r w:rsidR="009D6DDC" w:rsidRPr="004243BE">
        <w:rPr>
          <w:noProof/>
          <w:sz w:val="22"/>
          <w:szCs w:val="22"/>
          <w:lang w:val="en-US"/>
        </w:rPr>
        <w:t>9.</w:t>
      </w:r>
      <w:r w:rsidR="009D6DDC" w:rsidRPr="004243BE">
        <w:rPr>
          <w:noProof/>
          <w:sz w:val="22"/>
          <w:szCs w:val="22"/>
          <w:lang w:val="en-US"/>
        </w:rPr>
        <w:tab/>
      </w:r>
    </w:p>
    <w:p w:rsidR="008000AD" w:rsidRDefault="008000AD" w:rsidP="00FA23AC">
      <w:pPr>
        <w:spacing w:line="480" w:lineRule="auto"/>
        <w:jc w:val="both"/>
        <w:rPr>
          <w:sz w:val="22"/>
          <w:szCs w:val="22"/>
          <w:lang w:val="en-GB"/>
        </w:rPr>
      </w:pPr>
      <w:r>
        <w:rPr>
          <w:sz w:val="22"/>
          <w:szCs w:val="22"/>
          <w:lang w:val="en-US"/>
        </w:rPr>
        <w:t>[</w:t>
      </w:r>
      <w:r w:rsidR="005E4662">
        <w:rPr>
          <w:sz w:val="22"/>
          <w:szCs w:val="22"/>
          <w:lang w:val="en-US"/>
        </w:rPr>
        <w:t>20</w:t>
      </w:r>
      <w:r>
        <w:rPr>
          <w:sz w:val="22"/>
          <w:szCs w:val="22"/>
          <w:lang w:val="en-US"/>
        </w:rPr>
        <w:t>]</w:t>
      </w:r>
      <w:r w:rsidR="003F796E" w:rsidRPr="004243BE">
        <w:rPr>
          <w:sz w:val="22"/>
          <w:szCs w:val="22"/>
          <w:lang w:val="en-GB"/>
        </w:rPr>
        <w:t xml:space="preserve"> </w:t>
      </w:r>
      <w:proofErr w:type="spellStart"/>
      <w:r w:rsidR="003F796E" w:rsidRPr="004243BE">
        <w:rPr>
          <w:sz w:val="22"/>
          <w:szCs w:val="22"/>
          <w:lang w:val="en-GB"/>
        </w:rPr>
        <w:t>Iwarsson</w:t>
      </w:r>
      <w:proofErr w:type="spellEnd"/>
      <w:r w:rsidR="003F796E" w:rsidRPr="004243BE">
        <w:rPr>
          <w:sz w:val="22"/>
          <w:szCs w:val="22"/>
          <w:lang w:val="en-GB"/>
        </w:rPr>
        <w:t xml:space="preserve"> S, </w:t>
      </w:r>
      <w:proofErr w:type="spellStart"/>
      <w:r w:rsidR="003F796E" w:rsidRPr="004243BE">
        <w:rPr>
          <w:sz w:val="22"/>
          <w:szCs w:val="22"/>
          <w:lang w:val="en-GB"/>
        </w:rPr>
        <w:t>Ståhl</w:t>
      </w:r>
      <w:proofErr w:type="spellEnd"/>
      <w:r w:rsidR="003F796E" w:rsidRPr="004243BE">
        <w:rPr>
          <w:sz w:val="22"/>
          <w:szCs w:val="22"/>
          <w:lang w:val="en-GB"/>
        </w:rPr>
        <w:t xml:space="preserve"> A</w:t>
      </w:r>
      <w:r w:rsidR="000A5CCD">
        <w:rPr>
          <w:sz w:val="22"/>
          <w:szCs w:val="22"/>
          <w:lang w:val="en-GB"/>
        </w:rPr>
        <w:t xml:space="preserve"> (2003)</w:t>
      </w:r>
      <w:r w:rsidR="003F796E" w:rsidRPr="004243BE">
        <w:rPr>
          <w:sz w:val="22"/>
          <w:szCs w:val="22"/>
          <w:lang w:val="en-GB"/>
        </w:rPr>
        <w:t xml:space="preserve"> Accessibility, usability and universal design-positioning and definition of </w:t>
      </w:r>
    </w:p>
    <w:p w:rsidR="003F796E" w:rsidRPr="004243BE" w:rsidRDefault="003F796E" w:rsidP="008000AD">
      <w:pPr>
        <w:spacing w:line="480" w:lineRule="auto"/>
        <w:ind w:firstLine="708"/>
        <w:jc w:val="both"/>
        <w:rPr>
          <w:sz w:val="22"/>
          <w:szCs w:val="22"/>
          <w:lang w:val="en-GB"/>
        </w:rPr>
      </w:pPr>
      <w:r w:rsidRPr="004243BE">
        <w:rPr>
          <w:sz w:val="22"/>
          <w:szCs w:val="22"/>
          <w:lang w:val="en-GB"/>
        </w:rPr>
        <w:t xml:space="preserve">concepts describing person-environment relationships. </w:t>
      </w:r>
      <w:proofErr w:type="spellStart"/>
      <w:r w:rsidRPr="004243BE">
        <w:rPr>
          <w:sz w:val="22"/>
          <w:szCs w:val="22"/>
          <w:lang w:val="en-GB"/>
        </w:rPr>
        <w:t>Disabil</w:t>
      </w:r>
      <w:proofErr w:type="spellEnd"/>
      <w:r w:rsidRPr="004243BE">
        <w:rPr>
          <w:sz w:val="22"/>
          <w:szCs w:val="22"/>
          <w:lang w:val="en-GB"/>
        </w:rPr>
        <w:t xml:space="preserve"> </w:t>
      </w:r>
      <w:proofErr w:type="spellStart"/>
      <w:r w:rsidRPr="004243BE">
        <w:rPr>
          <w:sz w:val="22"/>
          <w:szCs w:val="22"/>
          <w:lang w:val="en-GB"/>
        </w:rPr>
        <w:t>Rehabil</w:t>
      </w:r>
      <w:proofErr w:type="spellEnd"/>
      <w:r w:rsidR="00C24BF3">
        <w:rPr>
          <w:sz w:val="22"/>
          <w:szCs w:val="22"/>
          <w:lang w:val="en-GB"/>
        </w:rPr>
        <w:t>.</w:t>
      </w:r>
      <w:r w:rsidRPr="004243BE">
        <w:rPr>
          <w:sz w:val="22"/>
          <w:szCs w:val="22"/>
          <w:lang w:val="en-GB"/>
        </w:rPr>
        <w:t xml:space="preserve"> 25:57-66.</w:t>
      </w:r>
    </w:p>
    <w:p w:rsidR="008000AD" w:rsidRDefault="008000AD" w:rsidP="00FA23AC">
      <w:pPr>
        <w:spacing w:line="480" w:lineRule="auto"/>
        <w:jc w:val="both"/>
        <w:rPr>
          <w:sz w:val="22"/>
          <w:szCs w:val="22"/>
          <w:lang w:val="en-GB"/>
        </w:rPr>
      </w:pPr>
      <w:r>
        <w:rPr>
          <w:sz w:val="22"/>
          <w:szCs w:val="22"/>
          <w:lang w:val="en-GB"/>
        </w:rPr>
        <w:t>[</w:t>
      </w:r>
      <w:r w:rsidR="00927AA6">
        <w:rPr>
          <w:sz w:val="22"/>
          <w:szCs w:val="22"/>
          <w:lang w:val="en-GB"/>
        </w:rPr>
        <w:t>2</w:t>
      </w:r>
      <w:r w:rsidR="005E4662">
        <w:rPr>
          <w:sz w:val="22"/>
          <w:szCs w:val="22"/>
          <w:lang w:val="en-GB"/>
        </w:rPr>
        <w:t>1</w:t>
      </w:r>
      <w:r>
        <w:rPr>
          <w:sz w:val="22"/>
          <w:szCs w:val="22"/>
          <w:lang w:val="en-GB"/>
        </w:rPr>
        <w:t>]</w:t>
      </w:r>
      <w:r w:rsidR="000A5CCD">
        <w:rPr>
          <w:sz w:val="22"/>
          <w:szCs w:val="22"/>
          <w:lang w:val="en-GB"/>
        </w:rPr>
        <w:t xml:space="preserve"> Buckner JC (1988)</w:t>
      </w:r>
      <w:r w:rsidR="00927AA6" w:rsidRPr="00B2709B">
        <w:rPr>
          <w:sz w:val="22"/>
          <w:szCs w:val="22"/>
          <w:lang w:val="en-GB"/>
        </w:rPr>
        <w:t xml:space="preserve"> The development of an instrument to measure neighbourhood cohesion. Am J </w:t>
      </w:r>
    </w:p>
    <w:p w:rsidR="00927AA6" w:rsidRPr="00B2709B" w:rsidRDefault="00927AA6" w:rsidP="008000AD">
      <w:pPr>
        <w:spacing w:line="480" w:lineRule="auto"/>
        <w:ind w:firstLine="708"/>
        <w:jc w:val="both"/>
        <w:rPr>
          <w:sz w:val="22"/>
          <w:szCs w:val="22"/>
          <w:lang w:val="en-GB"/>
        </w:rPr>
      </w:pPr>
      <w:r w:rsidRPr="00B2709B">
        <w:rPr>
          <w:sz w:val="22"/>
          <w:szCs w:val="22"/>
          <w:lang w:val="en-GB"/>
        </w:rPr>
        <w:t>Community Psychol</w:t>
      </w:r>
      <w:r w:rsidR="00C24BF3">
        <w:rPr>
          <w:sz w:val="22"/>
          <w:szCs w:val="22"/>
          <w:lang w:val="en-GB"/>
        </w:rPr>
        <w:t>.</w:t>
      </w:r>
      <w:r w:rsidRPr="00B2709B">
        <w:rPr>
          <w:sz w:val="22"/>
          <w:szCs w:val="22"/>
          <w:lang w:val="en-GB"/>
        </w:rPr>
        <w:t xml:space="preserve"> 16:771-</w:t>
      </w:r>
      <w:r w:rsidR="00C24BF3">
        <w:rPr>
          <w:sz w:val="22"/>
          <w:szCs w:val="22"/>
          <w:lang w:val="en-GB"/>
        </w:rPr>
        <w:t>7</w:t>
      </w:r>
      <w:r w:rsidRPr="00B2709B">
        <w:rPr>
          <w:sz w:val="22"/>
          <w:szCs w:val="22"/>
          <w:lang w:val="en-GB"/>
        </w:rPr>
        <w:t>91.</w:t>
      </w:r>
    </w:p>
    <w:p w:rsidR="00FA23AC" w:rsidRDefault="008000AD" w:rsidP="00FA23AC">
      <w:pPr>
        <w:spacing w:line="480" w:lineRule="auto"/>
        <w:jc w:val="both"/>
        <w:rPr>
          <w:sz w:val="22"/>
          <w:szCs w:val="22"/>
          <w:lang w:val="en-GB"/>
        </w:rPr>
      </w:pPr>
      <w:r w:rsidRPr="00581309">
        <w:rPr>
          <w:sz w:val="22"/>
          <w:szCs w:val="22"/>
          <w:lang w:val="en-US"/>
        </w:rPr>
        <w:t>[</w:t>
      </w:r>
      <w:r w:rsidR="005E4662" w:rsidRPr="00581309">
        <w:rPr>
          <w:sz w:val="22"/>
          <w:szCs w:val="22"/>
          <w:lang w:val="en-US"/>
        </w:rPr>
        <w:t>22</w:t>
      </w:r>
      <w:r w:rsidRPr="00581309">
        <w:rPr>
          <w:sz w:val="22"/>
          <w:szCs w:val="22"/>
          <w:lang w:val="en-US"/>
        </w:rPr>
        <w:t>]</w:t>
      </w:r>
      <w:r w:rsidR="00927AA6" w:rsidRPr="00581309">
        <w:rPr>
          <w:sz w:val="22"/>
          <w:szCs w:val="22"/>
          <w:lang w:val="en-US"/>
        </w:rPr>
        <w:t xml:space="preserve"> </w:t>
      </w:r>
      <w:proofErr w:type="spellStart"/>
      <w:r w:rsidR="00927AA6" w:rsidRPr="00581309">
        <w:rPr>
          <w:sz w:val="22"/>
          <w:szCs w:val="22"/>
          <w:lang w:val="en-US"/>
        </w:rPr>
        <w:t>Lochner</w:t>
      </w:r>
      <w:proofErr w:type="spellEnd"/>
      <w:r w:rsidR="00927AA6" w:rsidRPr="00581309">
        <w:rPr>
          <w:sz w:val="22"/>
          <w:szCs w:val="22"/>
          <w:lang w:val="en-US"/>
        </w:rPr>
        <w:t xml:space="preserve"> K, </w:t>
      </w:r>
      <w:proofErr w:type="spellStart"/>
      <w:r w:rsidR="00927AA6" w:rsidRPr="00581309">
        <w:rPr>
          <w:sz w:val="22"/>
          <w:szCs w:val="22"/>
          <w:lang w:val="en-US"/>
        </w:rPr>
        <w:t>Kawachi</w:t>
      </w:r>
      <w:proofErr w:type="spellEnd"/>
      <w:r w:rsidR="00927AA6" w:rsidRPr="00581309">
        <w:rPr>
          <w:sz w:val="22"/>
          <w:szCs w:val="22"/>
          <w:lang w:val="en-US"/>
        </w:rPr>
        <w:t xml:space="preserve"> K, Kennedy BP</w:t>
      </w:r>
      <w:r w:rsidR="000A5CCD">
        <w:rPr>
          <w:sz w:val="22"/>
          <w:szCs w:val="22"/>
          <w:lang w:val="en-US"/>
        </w:rPr>
        <w:t xml:space="preserve"> (1999)</w:t>
      </w:r>
      <w:r w:rsidR="00927AA6" w:rsidRPr="00581309">
        <w:rPr>
          <w:sz w:val="22"/>
          <w:szCs w:val="22"/>
          <w:lang w:val="en-US"/>
        </w:rPr>
        <w:t xml:space="preserve"> </w:t>
      </w:r>
      <w:r w:rsidR="00927AA6" w:rsidRPr="00E8641F">
        <w:rPr>
          <w:sz w:val="22"/>
          <w:szCs w:val="22"/>
          <w:lang w:val="en-GB"/>
        </w:rPr>
        <w:t>Social capital: a guide to its measurement. Health Place</w:t>
      </w:r>
      <w:r w:rsidR="00C24BF3">
        <w:rPr>
          <w:sz w:val="22"/>
          <w:szCs w:val="22"/>
          <w:lang w:val="en-GB"/>
        </w:rPr>
        <w:t>.</w:t>
      </w:r>
      <w:r w:rsidR="00927AA6" w:rsidRPr="00E8641F">
        <w:rPr>
          <w:sz w:val="22"/>
          <w:szCs w:val="22"/>
          <w:lang w:val="en-GB"/>
        </w:rPr>
        <w:t xml:space="preserve"> </w:t>
      </w:r>
    </w:p>
    <w:p w:rsidR="00927AA6" w:rsidRPr="00E8641F" w:rsidRDefault="00927AA6" w:rsidP="00FA23AC">
      <w:pPr>
        <w:spacing w:line="480" w:lineRule="auto"/>
        <w:ind w:firstLine="708"/>
        <w:jc w:val="both"/>
        <w:rPr>
          <w:sz w:val="22"/>
          <w:szCs w:val="22"/>
          <w:lang w:val="en-GB"/>
        </w:rPr>
      </w:pPr>
      <w:r w:rsidRPr="00E8641F">
        <w:rPr>
          <w:sz w:val="22"/>
          <w:szCs w:val="22"/>
          <w:lang w:val="en-GB"/>
        </w:rPr>
        <w:t>5:259-</w:t>
      </w:r>
      <w:r w:rsidR="00C24BF3">
        <w:rPr>
          <w:sz w:val="22"/>
          <w:szCs w:val="22"/>
          <w:lang w:val="en-GB"/>
        </w:rPr>
        <w:t>2</w:t>
      </w:r>
      <w:r w:rsidRPr="00E8641F">
        <w:rPr>
          <w:sz w:val="22"/>
          <w:szCs w:val="22"/>
          <w:lang w:val="en-GB"/>
        </w:rPr>
        <w:t>70.</w:t>
      </w:r>
    </w:p>
    <w:p w:rsidR="009341C2" w:rsidRDefault="008000AD" w:rsidP="009341C2">
      <w:pPr>
        <w:spacing w:line="480" w:lineRule="auto"/>
        <w:jc w:val="both"/>
        <w:rPr>
          <w:sz w:val="22"/>
          <w:szCs w:val="22"/>
          <w:lang w:val="en-GB"/>
        </w:rPr>
      </w:pPr>
      <w:r>
        <w:rPr>
          <w:sz w:val="22"/>
          <w:szCs w:val="22"/>
          <w:lang w:val="en-GB"/>
        </w:rPr>
        <w:t>[</w:t>
      </w:r>
      <w:r w:rsidR="005E4662">
        <w:rPr>
          <w:sz w:val="22"/>
          <w:szCs w:val="22"/>
          <w:lang w:val="en-GB"/>
        </w:rPr>
        <w:t>23</w:t>
      </w:r>
      <w:r>
        <w:rPr>
          <w:sz w:val="22"/>
          <w:szCs w:val="22"/>
          <w:lang w:val="en-GB"/>
        </w:rPr>
        <w:t>]</w:t>
      </w:r>
      <w:r w:rsidR="00685092" w:rsidRPr="004243BE">
        <w:rPr>
          <w:sz w:val="22"/>
          <w:szCs w:val="22"/>
          <w:lang w:val="en-GB"/>
        </w:rPr>
        <w:t xml:space="preserve"> </w:t>
      </w:r>
      <w:r w:rsidR="009341C2">
        <w:rPr>
          <w:sz w:val="22"/>
          <w:szCs w:val="22"/>
          <w:lang w:val="en-GB"/>
        </w:rPr>
        <w:t xml:space="preserve">Jones A, </w:t>
      </w:r>
      <w:proofErr w:type="spellStart"/>
      <w:r w:rsidR="009341C2">
        <w:rPr>
          <w:sz w:val="22"/>
          <w:szCs w:val="22"/>
          <w:lang w:val="en-GB"/>
        </w:rPr>
        <w:t>Hillsdon</w:t>
      </w:r>
      <w:proofErr w:type="spellEnd"/>
      <w:r w:rsidR="009341C2">
        <w:rPr>
          <w:sz w:val="22"/>
          <w:szCs w:val="22"/>
          <w:lang w:val="en-GB"/>
        </w:rPr>
        <w:t xml:space="preserve">, Coombes E (2009) Greenspace access, use, and physical activity: Understanding </w:t>
      </w:r>
    </w:p>
    <w:p w:rsidR="00E001EC" w:rsidRDefault="009341C2" w:rsidP="009341C2">
      <w:pPr>
        <w:spacing w:line="480" w:lineRule="auto"/>
        <w:ind w:firstLine="708"/>
        <w:jc w:val="both"/>
        <w:rPr>
          <w:sz w:val="22"/>
          <w:szCs w:val="22"/>
          <w:lang w:val="en-GB"/>
        </w:rPr>
      </w:pPr>
      <w:r>
        <w:rPr>
          <w:sz w:val="22"/>
          <w:szCs w:val="22"/>
          <w:lang w:val="en-GB"/>
        </w:rPr>
        <w:t xml:space="preserve">the effects of area deprivation. </w:t>
      </w:r>
      <w:proofErr w:type="spellStart"/>
      <w:r>
        <w:rPr>
          <w:sz w:val="22"/>
          <w:szCs w:val="22"/>
          <w:lang w:val="en-GB"/>
        </w:rPr>
        <w:t>Prev</w:t>
      </w:r>
      <w:proofErr w:type="spellEnd"/>
      <w:r>
        <w:rPr>
          <w:sz w:val="22"/>
          <w:szCs w:val="22"/>
          <w:lang w:val="en-GB"/>
        </w:rPr>
        <w:t xml:space="preserve"> Med. 49:500-505.</w:t>
      </w:r>
    </w:p>
    <w:p w:rsidR="000A5CCD" w:rsidRDefault="008000AD" w:rsidP="00273BE5">
      <w:pPr>
        <w:spacing w:line="480" w:lineRule="auto"/>
        <w:jc w:val="both"/>
        <w:rPr>
          <w:sz w:val="22"/>
          <w:szCs w:val="22"/>
          <w:lang w:val="en-GB"/>
        </w:rPr>
      </w:pPr>
      <w:r w:rsidRPr="000A5CCD">
        <w:rPr>
          <w:sz w:val="22"/>
          <w:szCs w:val="22"/>
          <w:lang w:val="en-US"/>
        </w:rPr>
        <w:t>[</w:t>
      </w:r>
      <w:r w:rsidR="005E4662" w:rsidRPr="000A5CCD">
        <w:rPr>
          <w:sz w:val="22"/>
          <w:szCs w:val="22"/>
          <w:lang w:val="en-US"/>
        </w:rPr>
        <w:t>24</w:t>
      </w:r>
      <w:r w:rsidRPr="000A5CCD">
        <w:rPr>
          <w:sz w:val="22"/>
          <w:szCs w:val="22"/>
          <w:lang w:val="en-US"/>
        </w:rPr>
        <w:t>]</w:t>
      </w:r>
      <w:r w:rsidR="00927AA6" w:rsidRPr="000A5CCD">
        <w:rPr>
          <w:sz w:val="22"/>
          <w:szCs w:val="22"/>
          <w:lang w:val="en-US"/>
        </w:rPr>
        <w:t xml:space="preserve"> Van der Pas S, Schaap LA, Castell MV</w:t>
      </w:r>
      <w:r w:rsidR="00273BE5" w:rsidRPr="000A5CCD">
        <w:rPr>
          <w:sz w:val="22"/>
          <w:szCs w:val="22"/>
          <w:lang w:val="en-US"/>
        </w:rPr>
        <w:t>,</w:t>
      </w:r>
      <w:r w:rsidR="000A5CCD">
        <w:rPr>
          <w:sz w:val="22"/>
          <w:szCs w:val="22"/>
          <w:lang w:val="en-US"/>
        </w:rPr>
        <w:t xml:space="preserve"> et al (2016)</w:t>
      </w:r>
      <w:r w:rsidR="00927AA6" w:rsidRPr="000A5CCD">
        <w:rPr>
          <w:sz w:val="22"/>
          <w:szCs w:val="22"/>
          <w:lang w:val="en-US"/>
        </w:rPr>
        <w:t xml:space="preserve"> </w:t>
      </w:r>
      <w:r w:rsidR="00927AA6" w:rsidRPr="004243BE">
        <w:rPr>
          <w:sz w:val="22"/>
          <w:szCs w:val="22"/>
          <w:lang w:val="en-GB"/>
        </w:rPr>
        <w:t xml:space="preserve">Availability and use of the neighbourhood </w:t>
      </w:r>
    </w:p>
    <w:p w:rsidR="00927AA6" w:rsidRPr="004243BE" w:rsidRDefault="00927AA6" w:rsidP="000A5CCD">
      <w:pPr>
        <w:spacing w:line="480" w:lineRule="auto"/>
        <w:ind w:left="708"/>
        <w:jc w:val="both"/>
        <w:rPr>
          <w:sz w:val="22"/>
          <w:szCs w:val="22"/>
          <w:lang w:val="en-GB"/>
        </w:rPr>
      </w:pPr>
      <w:r w:rsidRPr="004243BE">
        <w:rPr>
          <w:sz w:val="22"/>
          <w:szCs w:val="22"/>
          <w:lang w:val="en-GB"/>
        </w:rPr>
        <w:t>environment by older people with osteoarthritis: Results from the European Project on Ost</w:t>
      </w:r>
      <w:r w:rsidR="00305275">
        <w:rPr>
          <w:sz w:val="22"/>
          <w:szCs w:val="22"/>
          <w:lang w:val="en-GB"/>
        </w:rPr>
        <w:t>eoarthritis. Health Place</w:t>
      </w:r>
      <w:r w:rsidR="00C24BF3">
        <w:rPr>
          <w:sz w:val="22"/>
          <w:szCs w:val="22"/>
          <w:lang w:val="en-GB"/>
        </w:rPr>
        <w:t>.</w:t>
      </w:r>
      <w:r w:rsidR="00305275">
        <w:rPr>
          <w:sz w:val="22"/>
          <w:szCs w:val="22"/>
          <w:lang w:val="en-GB"/>
        </w:rPr>
        <w:t xml:space="preserve"> 2016;37:</w:t>
      </w:r>
      <w:r w:rsidRPr="004243BE">
        <w:rPr>
          <w:sz w:val="22"/>
          <w:szCs w:val="22"/>
          <w:lang w:val="en-GB"/>
        </w:rPr>
        <w:t>1-7.</w:t>
      </w:r>
    </w:p>
    <w:p w:rsidR="000A5CCD" w:rsidRPr="00ED2511" w:rsidRDefault="008000AD" w:rsidP="000A5CCD">
      <w:pPr>
        <w:spacing w:line="480" w:lineRule="auto"/>
        <w:jc w:val="both"/>
        <w:rPr>
          <w:sz w:val="22"/>
          <w:szCs w:val="22"/>
          <w:lang w:val="en-US"/>
        </w:rPr>
      </w:pPr>
      <w:r>
        <w:rPr>
          <w:sz w:val="22"/>
          <w:szCs w:val="22"/>
          <w:lang w:val="en-GB"/>
        </w:rPr>
        <w:t>[</w:t>
      </w:r>
      <w:r w:rsidR="005E4662">
        <w:rPr>
          <w:sz w:val="22"/>
          <w:szCs w:val="22"/>
          <w:lang w:val="en-GB"/>
        </w:rPr>
        <w:t>25</w:t>
      </w:r>
      <w:r>
        <w:rPr>
          <w:sz w:val="22"/>
          <w:szCs w:val="22"/>
          <w:lang w:val="en-GB"/>
        </w:rPr>
        <w:t>]</w:t>
      </w:r>
      <w:r w:rsidR="00927AA6" w:rsidRPr="004243BE">
        <w:rPr>
          <w:sz w:val="22"/>
          <w:szCs w:val="22"/>
          <w:lang w:val="en-GB"/>
        </w:rPr>
        <w:t xml:space="preserve"> Syddall HE, Sayer AA, Dennison EM,</w:t>
      </w:r>
      <w:r w:rsidR="00273BE5">
        <w:rPr>
          <w:sz w:val="22"/>
          <w:szCs w:val="22"/>
          <w:lang w:val="en-GB"/>
        </w:rPr>
        <w:t xml:space="preserve"> et al</w:t>
      </w:r>
      <w:r w:rsidR="000A5CCD">
        <w:rPr>
          <w:sz w:val="22"/>
          <w:szCs w:val="22"/>
          <w:lang w:val="en-GB"/>
        </w:rPr>
        <w:t xml:space="preserve"> (2005)</w:t>
      </w:r>
      <w:r w:rsidR="00927AA6" w:rsidRPr="004243BE">
        <w:rPr>
          <w:sz w:val="22"/>
          <w:szCs w:val="22"/>
          <w:lang w:val="en-GB"/>
        </w:rPr>
        <w:t xml:space="preserve"> Cohort profile: The </w:t>
      </w:r>
      <w:r w:rsidR="00273BE5">
        <w:rPr>
          <w:sz w:val="22"/>
          <w:szCs w:val="22"/>
          <w:lang w:val="en-GB"/>
        </w:rPr>
        <w:t>H</w:t>
      </w:r>
      <w:r w:rsidR="00927AA6" w:rsidRPr="004243BE">
        <w:rPr>
          <w:sz w:val="22"/>
          <w:szCs w:val="22"/>
          <w:lang w:val="en-GB"/>
        </w:rPr>
        <w:t xml:space="preserve">ertfordshire cohort study. </w:t>
      </w:r>
      <w:proofErr w:type="spellStart"/>
      <w:r w:rsidR="00305275" w:rsidRPr="00ED2511">
        <w:rPr>
          <w:sz w:val="22"/>
          <w:szCs w:val="22"/>
          <w:lang w:val="en-US"/>
        </w:rPr>
        <w:t>Int</w:t>
      </w:r>
      <w:proofErr w:type="spellEnd"/>
      <w:r w:rsidR="00305275" w:rsidRPr="00ED2511">
        <w:rPr>
          <w:sz w:val="22"/>
          <w:szCs w:val="22"/>
          <w:lang w:val="en-US"/>
        </w:rPr>
        <w:t xml:space="preserve"> </w:t>
      </w:r>
    </w:p>
    <w:p w:rsidR="00927AA6" w:rsidRPr="00ED2511" w:rsidRDefault="00305275" w:rsidP="000A5CCD">
      <w:pPr>
        <w:spacing w:line="480" w:lineRule="auto"/>
        <w:ind w:firstLine="708"/>
        <w:jc w:val="both"/>
        <w:rPr>
          <w:sz w:val="22"/>
          <w:szCs w:val="22"/>
          <w:lang w:val="en-US"/>
        </w:rPr>
      </w:pPr>
      <w:r w:rsidRPr="00ED2511">
        <w:rPr>
          <w:sz w:val="22"/>
          <w:szCs w:val="22"/>
          <w:lang w:val="en-US"/>
        </w:rPr>
        <w:t xml:space="preserve">J </w:t>
      </w:r>
      <w:proofErr w:type="spellStart"/>
      <w:r w:rsidRPr="00ED2511">
        <w:rPr>
          <w:sz w:val="22"/>
          <w:szCs w:val="22"/>
          <w:lang w:val="en-US"/>
        </w:rPr>
        <w:t>Epidemiol</w:t>
      </w:r>
      <w:proofErr w:type="spellEnd"/>
      <w:r w:rsidR="00C24BF3" w:rsidRPr="00ED2511">
        <w:rPr>
          <w:sz w:val="22"/>
          <w:szCs w:val="22"/>
          <w:lang w:val="en-US"/>
        </w:rPr>
        <w:t>.</w:t>
      </w:r>
      <w:r w:rsidRPr="00ED2511">
        <w:rPr>
          <w:sz w:val="22"/>
          <w:szCs w:val="22"/>
          <w:lang w:val="en-US"/>
        </w:rPr>
        <w:t xml:space="preserve"> 2005;34:</w:t>
      </w:r>
      <w:r w:rsidR="00927AA6" w:rsidRPr="00ED2511">
        <w:rPr>
          <w:sz w:val="22"/>
          <w:szCs w:val="22"/>
          <w:lang w:val="en-US"/>
        </w:rPr>
        <w:t>1234-</w:t>
      </w:r>
      <w:r w:rsidR="00C24BF3" w:rsidRPr="00ED2511">
        <w:rPr>
          <w:sz w:val="22"/>
          <w:szCs w:val="22"/>
          <w:lang w:val="en-US"/>
        </w:rPr>
        <w:t>12</w:t>
      </w:r>
      <w:r w:rsidR="00927AA6" w:rsidRPr="00ED2511">
        <w:rPr>
          <w:sz w:val="22"/>
          <w:szCs w:val="22"/>
          <w:lang w:val="en-US"/>
        </w:rPr>
        <w:t>42.</w:t>
      </w:r>
    </w:p>
    <w:p w:rsidR="00EA0C84" w:rsidRPr="00ED2511" w:rsidRDefault="00EA0C84">
      <w:pPr>
        <w:rPr>
          <w:sz w:val="22"/>
          <w:szCs w:val="22"/>
          <w:lang w:val="en-US"/>
        </w:rPr>
      </w:pPr>
      <w:r w:rsidRPr="00ED2511">
        <w:rPr>
          <w:sz w:val="22"/>
          <w:szCs w:val="22"/>
          <w:lang w:val="en-US"/>
        </w:rPr>
        <w:br w:type="page"/>
      </w:r>
    </w:p>
    <w:p w:rsidR="000A5CCD" w:rsidRDefault="008000AD" w:rsidP="00273BE5">
      <w:pPr>
        <w:spacing w:line="480" w:lineRule="auto"/>
        <w:jc w:val="both"/>
        <w:rPr>
          <w:sz w:val="22"/>
          <w:szCs w:val="22"/>
          <w:lang w:val="en-GB"/>
        </w:rPr>
      </w:pPr>
      <w:r w:rsidRPr="000A5CCD">
        <w:rPr>
          <w:sz w:val="22"/>
          <w:szCs w:val="22"/>
          <w:lang w:val="en-US"/>
        </w:rPr>
        <w:lastRenderedPageBreak/>
        <w:t>[</w:t>
      </w:r>
      <w:r w:rsidR="009D6DDC" w:rsidRPr="000A5CCD">
        <w:rPr>
          <w:sz w:val="22"/>
          <w:szCs w:val="22"/>
          <w:lang w:val="en-US"/>
        </w:rPr>
        <w:t>2</w:t>
      </w:r>
      <w:r w:rsidR="005E4662" w:rsidRPr="000A5CCD">
        <w:rPr>
          <w:sz w:val="22"/>
          <w:szCs w:val="22"/>
          <w:lang w:val="en-US"/>
        </w:rPr>
        <w:t>6</w:t>
      </w:r>
      <w:r w:rsidRPr="000A5CCD">
        <w:rPr>
          <w:sz w:val="22"/>
          <w:szCs w:val="22"/>
          <w:lang w:val="en-US"/>
        </w:rPr>
        <w:t>]</w:t>
      </w:r>
      <w:r w:rsidR="00841F1C" w:rsidRPr="000A5CCD">
        <w:rPr>
          <w:sz w:val="22"/>
          <w:szCs w:val="22"/>
          <w:lang w:val="en-US"/>
        </w:rPr>
        <w:t xml:space="preserve"> </w:t>
      </w:r>
      <w:r w:rsidR="005534BC" w:rsidRPr="000A5CCD">
        <w:rPr>
          <w:sz w:val="22"/>
          <w:szCs w:val="22"/>
          <w:lang w:val="en-US"/>
        </w:rPr>
        <w:t xml:space="preserve">Van der Pas S, Schaap LA, Castell MV, </w:t>
      </w:r>
      <w:r w:rsidR="009E5DD0" w:rsidRPr="000A5CCD">
        <w:rPr>
          <w:sz w:val="22"/>
          <w:szCs w:val="22"/>
          <w:lang w:val="en-US"/>
        </w:rPr>
        <w:t>et al</w:t>
      </w:r>
      <w:r w:rsidR="000A5CCD" w:rsidRPr="000A5CCD">
        <w:rPr>
          <w:sz w:val="22"/>
          <w:szCs w:val="22"/>
          <w:lang w:val="en-US"/>
        </w:rPr>
        <w:t xml:space="preserve"> (2013)</w:t>
      </w:r>
      <w:r w:rsidR="009E5DD0" w:rsidRPr="000A5CCD">
        <w:rPr>
          <w:sz w:val="22"/>
          <w:szCs w:val="22"/>
          <w:lang w:val="en-US"/>
        </w:rPr>
        <w:t xml:space="preserve"> </w:t>
      </w:r>
      <w:r w:rsidR="00841F1C" w:rsidRPr="004243BE">
        <w:rPr>
          <w:sz w:val="22"/>
          <w:szCs w:val="22"/>
          <w:lang w:val="en-GB"/>
        </w:rPr>
        <w:t xml:space="preserve">European project on osteoarthritis: design of a </w:t>
      </w:r>
    </w:p>
    <w:p w:rsidR="00841F1C" w:rsidRPr="004243BE" w:rsidRDefault="00841F1C" w:rsidP="000A5CCD">
      <w:pPr>
        <w:spacing w:line="480" w:lineRule="auto"/>
        <w:ind w:left="708"/>
        <w:jc w:val="both"/>
        <w:rPr>
          <w:sz w:val="22"/>
          <w:szCs w:val="22"/>
          <w:lang w:val="en-GB"/>
        </w:rPr>
      </w:pPr>
      <w:r w:rsidRPr="004243BE">
        <w:rPr>
          <w:sz w:val="22"/>
          <w:szCs w:val="22"/>
          <w:lang w:val="en-GB"/>
        </w:rPr>
        <w:t xml:space="preserve">six-cohort study on the personal and societal burden of osteoarthritis in an older European population. BMC </w:t>
      </w:r>
      <w:proofErr w:type="spellStart"/>
      <w:r w:rsidRPr="004243BE">
        <w:rPr>
          <w:sz w:val="22"/>
          <w:szCs w:val="22"/>
          <w:lang w:val="en-GB"/>
        </w:rPr>
        <w:t>Musculoskelet</w:t>
      </w:r>
      <w:proofErr w:type="spellEnd"/>
      <w:r w:rsidRPr="004243BE">
        <w:rPr>
          <w:sz w:val="22"/>
          <w:szCs w:val="22"/>
          <w:lang w:val="en-GB"/>
        </w:rPr>
        <w:t xml:space="preserve"> </w:t>
      </w:r>
      <w:proofErr w:type="spellStart"/>
      <w:r w:rsidRPr="004243BE">
        <w:rPr>
          <w:sz w:val="22"/>
          <w:szCs w:val="22"/>
          <w:lang w:val="en-GB"/>
        </w:rPr>
        <w:t>Disord</w:t>
      </w:r>
      <w:proofErr w:type="spellEnd"/>
      <w:r w:rsidR="000A5CCD">
        <w:rPr>
          <w:sz w:val="22"/>
          <w:szCs w:val="22"/>
          <w:lang w:val="en-GB"/>
        </w:rPr>
        <w:t xml:space="preserve">. </w:t>
      </w:r>
      <w:r w:rsidRPr="004243BE">
        <w:rPr>
          <w:sz w:val="22"/>
          <w:szCs w:val="22"/>
          <w:lang w:val="en-GB"/>
        </w:rPr>
        <w:t>14:138.</w:t>
      </w:r>
    </w:p>
    <w:p w:rsidR="000E5160" w:rsidRDefault="008000AD" w:rsidP="000E5160">
      <w:pPr>
        <w:spacing w:line="480" w:lineRule="auto"/>
        <w:jc w:val="both"/>
        <w:rPr>
          <w:sz w:val="22"/>
          <w:szCs w:val="22"/>
          <w:lang w:val="en-GB"/>
        </w:rPr>
      </w:pPr>
      <w:r>
        <w:rPr>
          <w:sz w:val="22"/>
          <w:szCs w:val="22"/>
          <w:lang w:val="en-GB"/>
        </w:rPr>
        <w:t>[</w:t>
      </w:r>
      <w:r w:rsidR="0047718C">
        <w:rPr>
          <w:sz w:val="22"/>
          <w:szCs w:val="22"/>
          <w:lang w:val="en-GB"/>
        </w:rPr>
        <w:t>2</w:t>
      </w:r>
      <w:r w:rsidR="005E4662">
        <w:rPr>
          <w:sz w:val="22"/>
          <w:szCs w:val="22"/>
          <w:lang w:val="en-GB"/>
        </w:rPr>
        <w:t>7</w:t>
      </w:r>
      <w:r>
        <w:rPr>
          <w:sz w:val="22"/>
          <w:szCs w:val="22"/>
          <w:lang w:val="en-GB"/>
        </w:rPr>
        <w:t>]</w:t>
      </w:r>
      <w:r w:rsidR="003A7FA8" w:rsidRPr="004243BE">
        <w:rPr>
          <w:sz w:val="22"/>
          <w:szCs w:val="22"/>
          <w:lang w:val="en-GB"/>
        </w:rPr>
        <w:t xml:space="preserve"> </w:t>
      </w:r>
      <w:r w:rsidR="005534BC" w:rsidRPr="004243BE">
        <w:rPr>
          <w:sz w:val="22"/>
          <w:szCs w:val="22"/>
          <w:lang w:val="en-GB"/>
        </w:rPr>
        <w:t>McLennan D, Barnes H, Noble M,</w:t>
      </w:r>
      <w:r w:rsidR="00273BE5">
        <w:rPr>
          <w:sz w:val="22"/>
          <w:szCs w:val="22"/>
          <w:lang w:val="en-GB"/>
        </w:rPr>
        <w:t xml:space="preserve"> et al</w:t>
      </w:r>
      <w:r w:rsidR="005534BC" w:rsidRPr="004243BE">
        <w:rPr>
          <w:sz w:val="22"/>
          <w:szCs w:val="22"/>
          <w:lang w:val="en-GB"/>
        </w:rPr>
        <w:t xml:space="preserve"> </w:t>
      </w:r>
      <w:r w:rsidR="000E5160">
        <w:rPr>
          <w:sz w:val="22"/>
          <w:szCs w:val="22"/>
          <w:lang w:val="en-GB"/>
        </w:rPr>
        <w:t xml:space="preserve">(2011) </w:t>
      </w:r>
      <w:r w:rsidR="003A7FA8" w:rsidRPr="004243BE">
        <w:rPr>
          <w:sz w:val="22"/>
          <w:szCs w:val="22"/>
          <w:lang w:val="en-GB"/>
        </w:rPr>
        <w:t>The Engli</w:t>
      </w:r>
      <w:r w:rsidR="000E5160">
        <w:rPr>
          <w:sz w:val="22"/>
          <w:szCs w:val="22"/>
          <w:lang w:val="en-GB"/>
        </w:rPr>
        <w:t xml:space="preserve">sh Indices of Deprivation 2010. </w:t>
      </w:r>
      <w:r w:rsidR="003A7FA8" w:rsidRPr="004243BE">
        <w:rPr>
          <w:sz w:val="22"/>
          <w:szCs w:val="22"/>
          <w:lang w:val="en-GB"/>
        </w:rPr>
        <w:t xml:space="preserve">Department </w:t>
      </w:r>
    </w:p>
    <w:p w:rsidR="003A7FA8" w:rsidRPr="004243BE" w:rsidRDefault="003A7FA8" w:rsidP="000E5160">
      <w:pPr>
        <w:spacing w:line="480" w:lineRule="auto"/>
        <w:ind w:firstLine="708"/>
        <w:jc w:val="both"/>
        <w:rPr>
          <w:sz w:val="22"/>
          <w:szCs w:val="22"/>
          <w:lang w:val="en-GB"/>
        </w:rPr>
      </w:pPr>
      <w:r w:rsidRPr="004243BE">
        <w:rPr>
          <w:sz w:val="22"/>
          <w:szCs w:val="22"/>
          <w:lang w:val="en-GB"/>
        </w:rPr>
        <w:t>for Communities and Local Government</w:t>
      </w:r>
      <w:r w:rsidR="000E5160">
        <w:rPr>
          <w:sz w:val="22"/>
          <w:szCs w:val="22"/>
          <w:lang w:val="en-GB"/>
        </w:rPr>
        <w:t>, London.</w:t>
      </w:r>
    </w:p>
    <w:p w:rsidR="000E5160" w:rsidRDefault="008000AD" w:rsidP="000E5160">
      <w:pPr>
        <w:spacing w:line="480" w:lineRule="auto"/>
        <w:jc w:val="both"/>
        <w:rPr>
          <w:sz w:val="22"/>
          <w:szCs w:val="22"/>
          <w:lang w:val="en-GB"/>
        </w:rPr>
      </w:pPr>
      <w:r>
        <w:rPr>
          <w:sz w:val="22"/>
          <w:szCs w:val="22"/>
          <w:lang w:val="en-GB"/>
        </w:rPr>
        <w:t>[</w:t>
      </w:r>
      <w:r w:rsidR="005E4662">
        <w:rPr>
          <w:sz w:val="22"/>
          <w:szCs w:val="22"/>
          <w:lang w:val="en-GB"/>
        </w:rPr>
        <w:t>28</w:t>
      </w:r>
      <w:r>
        <w:rPr>
          <w:sz w:val="22"/>
          <w:szCs w:val="22"/>
          <w:lang w:val="en-GB"/>
        </w:rPr>
        <w:t>]</w:t>
      </w:r>
      <w:r w:rsidR="003A7FA8" w:rsidRPr="004243BE">
        <w:rPr>
          <w:sz w:val="22"/>
          <w:szCs w:val="22"/>
          <w:lang w:val="en-GB"/>
        </w:rPr>
        <w:t xml:space="preserve"> </w:t>
      </w:r>
      <w:r w:rsidR="005534BC" w:rsidRPr="004243BE">
        <w:rPr>
          <w:sz w:val="22"/>
          <w:szCs w:val="22"/>
          <w:lang w:val="en-GB"/>
        </w:rPr>
        <w:t>Noble M, McLennan D, Wilkinson D,</w:t>
      </w:r>
      <w:r w:rsidR="00273BE5">
        <w:rPr>
          <w:sz w:val="22"/>
          <w:szCs w:val="22"/>
          <w:lang w:val="en-GB"/>
        </w:rPr>
        <w:t xml:space="preserve"> et al</w:t>
      </w:r>
      <w:r w:rsidR="000E5160">
        <w:rPr>
          <w:sz w:val="22"/>
          <w:szCs w:val="22"/>
          <w:lang w:val="en-GB"/>
        </w:rPr>
        <w:t xml:space="preserve"> (2008)</w:t>
      </w:r>
      <w:r w:rsidR="005534BC" w:rsidRPr="004243BE">
        <w:rPr>
          <w:sz w:val="22"/>
          <w:szCs w:val="22"/>
          <w:lang w:val="en-GB"/>
        </w:rPr>
        <w:t xml:space="preserve"> </w:t>
      </w:r>
      <w:r w:rsidR="003A7FA8" w:rsidRPr="004243BE">
        <w:rPr>
          <w:sz w:val="22"/>
          <w:szCs w:val="22"/>
          <w:lang w:val="en-GB"/>
        </w:rPr>
        <w:t xml:space="preserve">The English Indices of Deprivation 2007. </w:t>
      </w:r>
    </w:p>
    <w:p w:rsidR="003A7FA8" w:rsidRPr="004243BE" w:rsidRDefault="003A7FA8" w:rsidP="000E5160">
      <w:pPr>
        <w:spacing w:line="480" w:lineRule="auto"/>
        <w:ind w:firstLine="708"/>
        <w:jc w:val="both"/>
        <w:rPr>
          <w:sz w:val="22"/>
          <w:szCs w:val="22"/>
          <w:lang w:val="en-GB"/>
        </w:rPr>
      </w:pPr>
      <w:r w:rsidRPr="004243BE">
        <w:rPr>
          <w:sz w:val="22"/>
          <w:szCs w:val="22"/>
          <w:lang w:val="en-GB"/>
        </w:rPr>
        <w:t>Department for Communities and Local Government</w:t>
      </w:r>
      <w:r w:rsidR="000E5160">
        <w:rPr>
          <w:sz w:val="22"/>
          <w:szCs w:val="22"/>
          <w:lang w:val="en-GB"/>
        </w:rPr>
        <w:t>, London.</w:t>
      </w:r>
    </w:p>
    <w:p w:rsidR="009F2498" w:rsidRDefault="00B270C0" w:rsidP="00B270C0">
      <w:pPr>
        <w:spacing w:line="480" w:lineRule="auto"/>
        <w:jc w:val="both"/>
        <w:rPr>
          <w:sz w:val="22"/>
          <w:szCs w:val="22"/>
          <w:lang w:val="en-GB"/>
        </w:rPr>
      </w:pPr>
      <w:r>
        <w:rPr>
          <w:sz w:val="22"/>
          <w:szCs w:val="22"/>
          <w:lang w:val="en-GB"/>
        </w:rPr>
        <w:t xml:space="preserve">[29] </w:t>
      </w:r>
      <w:r w:rsidRPr="00B270C0">
        <w:rPr>
          <w:sz w:val="22"/>
          <w:szCs w:val="22"/>
          <w:lang w:val="en-GB"/>
        </w:rPr>
        <w:t>Hertfordshire Local Information System (</w:t>
      </w:r>
      <w:proofErr w:type="spellStart"/>
      <w:r w:rsidRPr="00B270C0">
        <w:rPr>
          <w:sz w:val="22"/>
          <w:szCs w:val="22"/>
          <w:lang w:val="en-GB"/>
        </w:rPr>
        <w:t>HertsLIS</w:t>
      </w:r>
      <w:proofErr w:type="spellEnd"/>
      <w:r w:rsidRPr="00B270C0">
        <w:rPr>
          <w:sz w:val="22"/>
          <w:szCs w:val="22"/>
          <w:lang w:val="en-GB"/>
        </w:rPr>
        <w:t xml:space="preserve">). </w:t>
      </w:r>
      <w:r w:rsidR="009F2498">
        <w:rPr>
          <w:sz w:val="22"/>
          <w:szCs w:val="22"/>
          <w:lang w:val="en-GB"/>
        </w:rPr>
        <w:t xml:space="preserve">Super Output Areas (SOAs). </w:t>
      </w:r>
      <w:r w:rsidRPr="00B270C0">
        <w:rPr>
          <w:sz w:val="22"/>
          <w:szCs w:val="22"/>
          <w:lang w:val="en-GB"/>
        </w:rPr>
        <w:t xml:space="preserve">Geography – </w:t>
      </w:r>
    </w:p>
    <w:p w:rsidR="00B270C0" w:rsidRPr="00B270C0" w:rsidRDefault="00B270C0" w:rsidP="009F2498">
      <w:pPr>
        <w:spacing w:line="480" w:lineRule="auto"/>
        <w:ind w:left="708"/>
        <w:jc w:val="both"/>
        <w:rPr>
          <w:sz w:val="22"/>
          <w:szCs w:val="22"/>
          <w:lang w:val="en-GB"/>
        </w:rPr>
      </w:pPr>
      <w:r w:rsidRPr="00B270C0">
        <w:rPr>
          <w:sz w:val="22"/>
          <w:szCs w:val="22"/>
          <w:lang w:val="en-GB"/>
        </w:rPr>
        <w:t>Standard Geographies – S</w:t>
      </w:r>
      <w:r>
        <w:rPr>
          <w:sz w:val="22"/>
          <w:szCs w:val="22"/>
          <w:lang w:val="en-GB"/>
        </w:rPr>
        <w:t>uper Output Areas (S</w:t>
      </w:r>
      <w:r w:rsidRPr="00B270C0">
        <w:rPr>
          <w:sz w:val="22"/>
          <w:szCs w:val="22"/>
          <w:lang w:val="en-GB"/>
        </w:rPr>
        <w:t>OAs</w:t>
      </w:r>
      <w:r>
        <w:rPr>
          <w:sz w:val="22"/>
          <w:szCs w:val="22"/>
          <w:lang w:val="en-GB"/>
        </w:rPr>
        <w:t>)</w:t>
      </w:r>
      <w:r w:rsidRPr="00B270C0">
        <w:rPr>
          <w:sz w:val="22"/>
          <w:szCs w:val="22"/>
          <w:lang w:val="en-GB"/>
        </w:rPr>
        <w:t>.</w:t>
      </w:r>
      <w:r>
        <w:rPr>
          <w:sz w:val="22"/>
          <w:szCs w:val="22"/>
          <w:lang w:val="en-GB"/>
        </w:rPr>
        <w:t xml:space="preserve"> </w:t>
      </w:r>
      <w:r w:rsidRPr="00B270C0">
        <w:rPr>
          <w:sz w:val="22"/>
          <w:szCs w:val="22"/>
          <w:lang w:val="en-GB"/>
        </w:rPr>
        <w:t>Hertfordshire Local Information System (</w:t>
      </w:r>
      <w:proofErr w:type="spellStart"/>
      <w:r w:rsidRPr="00B270C0">
        <w:rPr>
          <w:sz w:val="22"/>
          <w:szCs w:val="22"/>
          <w:lang w:val="en-GB"/>
        </w:rPr>
        <w:t>HertLIS</w:t>
      </w:r>
      <w:proofErr w:type="spellEnd"/>
      <w:r w:rsidRPr="00B270C0">
        <w:rPr>
          <w:sz w:val="22"/>
          <w:szCs w:val="22"/>
          <w:lang w:val="en-GB"/>
        </w:rPr>
        <w:t>). http://www.hertslis.org/geog/standgeog/soa/. Accessed: August, 2016.</w:t>
      </w:r>
    </w:p>
    <w:p w:rsidR="000E5160" w:rsidRDefault="008000AD" w:rsidP="00FA23AC">
      <w:pPr>
        <w:spacing w:line="480" w:lineRule="auto"/>
        <w:jc w:val="both"/>
        <w:rPr>
          <w:sz w:val="22"/>
          <w:szCs w:val="22"/>
          <w:lang w:val="en-GB"/>
        </w:rPr>
      </w:pPr>
      <w:r>
        <w:rPr>
          <w:sz w:val="22"/>
          <w:szCs w:val="22"/>
          <w:lang w:val="en-GB"/>
        </w:rPr>
        <w:t>[</w:t>
      </w:r>
      <w:r w:rsidR="00F26AA1">
        <w:rPr>
          <w:sz w:val="22"/>
          <w:szCs w:val="22"/>
          <w:lang w:val="en-GB"/>
        </w:rPr>
        <w:t>30</w:t>
      </w:r>
      <w:r>
        <w:rPr>
          <w:sz w:val="22"/>
          <w:szCs w:val="22"/>
          <w:lang w:val="en-GB"/>
        </w:rPr>
        <w:t>]</w:t>
      </w:r>
      <w:r w:rsidR="000E5160">
        <w:rPr>
          <w:sz w:val="22"/>
          <w:szCs w:val="22"/>
          <w:lang w:val="en-GB"/>
        </w:rPr>
        <w:t xml:space="preserve"> </w:t>
      </w:r>
      <w:proofErr w:type="spellStart"/>
      <w:r w:rsidR="000E5160">
        <w:rPr>
          <w:sz w:val="22"/>
          <w:szCs w:val="22"/>
          <w:lang w:val="en-GB"/>
        </w:rPr>
        <w:t>Keysor</w:t>
      </w:r>
      <w:proofErr w:type="spellEnd"/>
      <w:r w:rsidR="000E5160">
        <w:rPr>
          <w:sz w:val="22"/>
          <w:szCs w:val="22"/>
          <w:lang w:val="en-GB"/>
        </w:rPr>
        <w:t xml:space="preserve"> JJ, </w:t>
      </w:r>
      <w:proofErr w:type="spellStart"/>
      <w:r w:rsidR="000E5160">
        <w:rPr>
          <w:sz w:val="22"/>
          <w:szCs w:val="22"/>
          <w:lang w:val="en-GB"/>
        </w:rPr>
        <w:t>Jette</w:t>
      </w:r>
      <w:proofErr w:type="spellEnd"/>
      <w:r w:rsidR="000E5160">
        <w:rPr>
          <w:sz w:val="22"/>
          <w:szCs w:val="22"/>
          <w:lang w:val="en-GB"/>
        </w:rPr>
        <w:t xml:space="preserve"> AM, Haley SM (2005)</w:t>
      </w:r>
      <w:r w:rsidR="00405AC4" w:rsidRPr="004243BE">
        <w:rPr>
          <w:sz w:val="22"/>
          <w:szCs w:val="22"/>
          <w:lang w:val="en-GB"/>
        </w:rPr>
        <w:t xml:space="preserve"> Development of the home and community environment </w:t>
      </w:r>
    </w:p>
    <w:p w:rsidR="00405AC4" w:rsidRPr="004243BE" w:rsidRDefault="00405AC4" w:rsidP="000E5160">
      <w:pPr>
        <w:spacing w:line="480" w:lineRule="auto"/>
        <w:ind w:firstLine="708"/>
        <w:jc w:val="both"/>
        <w:rPr>
          <w:sz w:val="22"/>
          <w:szCs w:val="22"/>
          <w:lang w:val="en-GB"/>
        </w:rPr>
      </w:pPr>
      <w:r w:rsidRPr="004243BE">
        <w:rPr>
          <w:sz w:val="22"/>
          <w:szCs w:val="22"/>
          <w:lang w:val="en-GB"/>
        </w:rPr>
        <w:t xml:space="preserve">Instrument. J </w:t>
      </w:r>
      <w:proofErr w:type="spellStart"/>
      <w:r w:rsidRPr="004243BE">
        <w:rPr>
          <w:sz w:val="22"/>
          <w:szCs w:val="22"/>
          <w:lang w:val="en-GB"/>
        </w:rPr>
        <w:t>Rehabil</w:t>
      </w:r>
      <w:proofErr w:type="spellEnd"/>
      <w:r w:rsidRPr="004243BE">
        <w:rPr>
          <w:sz w:val="22"/>
          <w:szCs w:val="22"/>
          <w:lang w:val="en-GB"/>
        </w:rPr>
        <w:t xml:space="preserve"> Med</w:t>
      </w:r>
      <w:r w:rsidR="00C24BF3">
        <w:rPr>
          <w:sz w:val="22"/>
          <w:szCs w:val="22"/>
          <w:lang w:val="en-GB"/>
        </w:rPr>
        <w:t>.</w:t>
      </w:r>
      <w:r w:rsidRPr="004243BE">
        <w:rPr>
          <w:sz w:val="22"/>
          <w:szCs w:val="22"/>
          <w:lang w:val="en-GB"/>
        </w:rPr>
        <w:t xml:space="preserve"> 37:37-44.</w:t>
      </w:r>
    </w:p>
    <w:p w:rsidR="000E5160" w:rsidRDefault="008000AD" w:rsidP="00273BE5">
      <w:pPr>
        <w:spacing w:line="480" w:lineRule="auto"/>
        <w:jc w:val="both"/>
        <w:rPr>
          <w:sz w:val="22"/>
          <w:szCs w:val="22"/>
          <w:lang w:val="en-GB"/>
        </w:rPr>
      </w:pPr>
      <w:r>
        <w:rPr>
          <w:sz w:val="22"/>
          <w:szCs w:val="22"/>
          <w:lang w:val="en-GB"/>
        </w:rPr>
        <w:t>[</w:t>
      </w:r>
      <w:r w:rsidR="00F26AA1">
        <w:rPr>
          <w:sz w:val="22"/>
          <w:szCs w:val="22"/>
          <w:lang w:val="en-GB"/>
        </w:rPr>
        <w:t>31</w:t>
      </w:r>
      <w:r>
        <w:rPr>
          <w:sz w:val="22"/>
          <w:szCs w:val="22"/>
          <w:lang w:val="en-GB"/>
        </w:rPr>
        <w:t>]</w:t>
      </w:r>
      <w:r w:rsidR="00405AC4" w:rsidRPr="004243BE">
        <w:rPr>
          <w:sz w:val="22"/>
          <w:szCs w:val="22"/>
          <w:lang w:val="en-GB"/>
        </w:rPr>
        <w:t xml:space="preserve"> </w:t>
      </w:r>
      <w:r w:rsidR="005534BC" w:rsidRPr="004243BE">
        <w:rPr>
          <w:sz w:val="22"/>
          <w:szCs w:val="22"/>
          <w:lang w:val="en-GB"/>
        </w:rPr>
        <w:t xml:space="preserve">White DK, </w:t>
      </w:r>
      <w:proofErr w:type="spellStart"/>
      <w:r w:rsidR="005534BC" w:rsidRPr="004243BE">
        <w:rPr>
          <w:sz w:val="22"/>
          <w:szCs w:val="22"/>
          <w:lang w:val="en-GB"/>
        </w:rPr>
        <w:t>Jette</w:t>
      </w:r>
      <w:proofErr w:type="spellEnd"/>
      <w:r w:rsidR="005534BC" w:rsidRPr="004243BE">
        <w:rPr>
          <w:sz w:val="22"/>
          <w:szCs w:val="22"/>
          <w:lang w:val="en-GB"/>
        </w:rPr>
        <w:t xml:space="preserve"> AM, </w:t>
      </w:r>
      <w:proofErr w:type="spellStart"/>
      <w:r w:rsidR="005534BC" w:rsidRPr="004243BE">
        <w:rPr>
          <w:sz w:val="22"/>
          <w:szCs w:val="22"/>
          <w:lang w:val="en-GB"/>
        </w:rPr>
        <w:t>LaValley</w:t>
      </w:r>
      <w:proofErr w:type="spellEnd"/>
      <w:r w:rsidR="005534BC" w:rsidRPr="004243BE">
        <w:rPr>
          <w:sz w:val="22"/>
          <w:szCs w:val="22"/>
          <w:lang w:val="en-GB"/>
        </w:rPr>
        <w:t xml:space="preserve"> MP, </w:t>
      </w:r>
      <w:r w:rsidR="000E5160">
        <w:rPr>
          <w:sz w:val="22"/>
          <w:szCs w:val="22"/>
          <w:lang w:val="en-GB"/>
        </w:rPr>
        <w:t>et al (2010)</w:t>
      </w:r>
      <w:r w:rsidR="009E5DD0" w:rsidRPr="004243BE">
        <w:rPr>
          <w:sz w:val="22"/>
          <w:szCs w:val="22"/>
          <w:lang w:val="en-GB"/>
        </w:rPr>
        <w:t xml:space="preserve"> </w:t>
      </w:r>
      <w:r w:rsidR="00405AC4" w:rsidRPr="004243BE">
        <w:rPr>
          <w:sz w:val="22"/>
          <w:szCs w:val="22"/>
          <w:lang w:val="en-GB"/>
        </w:rPr>
        <w:t>Are features of the</w:t>
      </w:r>
      <w:r w:rsidR="00273BE5">
        <w:rPr>
          <w:sz w:val="22"/>
          <w:szCs w:val="22"/>
          <w:lang w:val="en-GB"/>
        </w:rPr>
        <w:t xml:space="preserve"> </w:t>
      </w:r>
      <w:r w:rsidR="00405AC4" w:rsidRPr="004243BE">
        <w:rPr>
          <w:sz w:val="22"/>
          <w:szCs w:val="22"/>
          <w:lang w:val="en-GB"/>
        </w:rPr>
        <w:t xml:space="preserve">neighbourhood environment </w:t>
      </w:r>
    </w:p>
    <w:p w:rsidR="00405AC4" w:rsidRPr="004243BE" w:rsidRDefault="00405AC4" w:rsidP="000E5160">
      <w:pPr>
        <w:spacing w:line="480" w:lineRule="auto"/>
        <w:ind w:firstLine="708"/>
        <w:jc w:val="both"/>
        <w:rPr>
          <w:sz w:val="22"/>
          <w:szCs w:val="22"/>
          <w:lang w:val="en-GB"/>
        </w:rPr>
      </w:pPr>
      <w:r w:rsidRPr="004243BE">
        <w:rPr>
          <w:sz w:val="22"/>
          <w:szCs w:val="22"/>
          <w:lang w:val="en-GB"/>
        </w:rPr>
        <w:t xml:space="preserve">associated with disability in older adults? </w:t>
      </w:r>
      <w:proofErr w:type="spellStart"/>
      <w:r w:rsidRPr="004243BE">
        <w:rPr>
          <w:sz w:val="22"/>
          <w:szCs w:val="22"/>
          <w:lang w:val="en-GB"/>
        </w:rPr>
        <w:t>Disabil</w:t>
      </w:r>
      <w:proofErr w:type="spellEnd"/>
      <w:r w:rsidRPr="004243BE">
        <w:rPr>
          <w:sz w:val="22"/>
          <w:szCs w:val="22"/>
          <w:lang w:val="en-GB"/>
        </w:rPr>
        <w:t xml:space="preserve"> </w:t>
      </w:r>
      <w:proofErr w:type="spellStart"/>
      <w:r w:rsidRPr="004243BE">
        <w:rPr>
          <w:sz w:val="22"/>
          <w:szCs w:val="22"/>
          <w:lang w:val="en-GB"/>
        </w:rPr>
        <w:t>Rehabil</w:t>
      </w:r>
      <w:proofErr w:type="spellEnd"/>
      <w:r w:rsidR="00C24BF3">
        <w:rPr>
          <w:sz w:val="22"/>
          <w:szCs w:val="22"/>
          <w:lang w:val="en-GB"/>
        </w:rPr>
        <w:t>.</w:t>
      </w:r>
      <w:r w:rsidRPr="004243BE">
        <w:rPr>
          <w:sz w:val="22"/>
          <w:szCs w:val="22"/>
          <w:lang w:val="en-GB"/>
        </w:rPr>
        <w:t xml:space="preserve"> 32:638-</w:t>
      </w:r>
      <w:r w:rsidR="00C24BF3">
        <w:rPr>
          <w:sz w:val="22"/>
          <w:szCs w:val="22"/>
          <w:lang w:val="en-GB"/>
        </w:rPr>
        <w:t>6</w:t>
      </w:r>
      <w:r w:rsidRPr="004243BE">
        <w:rPr>
          <w:sz w:val="22"/>
          <w:szCs w:val="22"/>
          <w:lang w:val="en-GB"/>
        </w:rPr>
        <w:t>45.</w:t>
      </w:r>
    </w:p>
    <w:p w:rsidR="000E5160" w:rsidRDefault="008000AD" w:rsidP="00FA23AC">
      <w:pPr>
        <w:spacing w:line="480" w:lineRule="auto"/>
        <w:jc w:val="both"/>
        <w:rPr>
          <w:sz w:val="22"/>
          <w:szCs w:val="22"/>
          <w:lang w:val="en-GB"/>
        </w:rPr>
      </w:pPr>
      <w:r>
        <w:rPr>
          <w:sz w:val="22"/>
          <w:szCs w:val="22"/>
          <w:lang w:val="en-GB"/>
        </w:rPr>
        <w:t>[</w:t>
      </w:r>
      <w:r w:rsidR="00F26AA1">
        <w:rPr>
          <w:sz w:val="22"/>
          <w:szCs w:val="22"/>
          <w:lang w:val="en-GB"/>
        </w:rPr>
        <w:t>32</w:t>
      </w:r>
      <w:r>
        <w:rPr>
          <w:sz w:val="22"/>
          <w:szCs w:val="22"/>
          <w:lang w:val="en-GB"/>
        </w:rPr>
        <w:t>]</w:t>
      </w:r>
      <w:r w:rsidR="000E5160">
        <w:rPr>
          <w:sz w:val="22"/>
          <w:szCs w:val="22"/>
          <w:lang w:val="en-GB"/>
        </w:rPr>
        <w:t xml:space="preserve"> McCulloch A (2003)</w:t>
      </w:r>
      <w:r w:rsidR="0077524C" w:rsidRPr="004243BE">
        <w:rPr>
          <w:sz w:val="22"/>
          <w:szCs w:val="22"/>
          <w:lang w:val="en-GB"/>
        </w:rPr>
        <w:t xml:space="preserve"> An examination of social capital and social disorganisation in neighbourhoods in </w:t>
      </w:r>
    </w:p>
    <w:p w:rsidR="0077524C" w:rsidRPr="004243BE" w:rsidRDefault="0077524C" w:rsidP="000E5160">
      <w:pPr>
        <w:spacing w:line="480" w:lineRule="auto"/>
        <w:ind w:firstLine="708"/>
        <w:jc w:val="both"/>
        <w:rPr>
          <w:sz w:val="22"/>
          <w:szCs w:val="22"/>
          <w:lang w:val="en-GB"/>
        </w:rPr>
      </w:pPr>
      <w:r w:rsidRPr="004243BE">
        <w:rPr>
          <w:sz w:val="22"/>
          <w:szCs w:val="22"/>
          <w:lang w:val="en-GB"/>
        </w:rPr>
        <w:t xml:space="preserve">the British household panel study. </w:t>
      </w:r>
      <w:proofErr w:type="spellStart"/>
      <w:r w:rsidRPr="004243BE">
        <w:rPr>
          <w:sz w:val="22"/>
          <w:szCs w:val="22"/>
          <w:lang w:val="en-GB"/>
        </w:rPr>
        <w:t>Soc</w:t>
      </w:r>
      <w:proofErr w:type="spellEnd"/>
      <w:r w:rsidRPr="004243BE">
        <w:rPr>
          <w:sz w:val="22"/>
          <w:szCs w:val="22"/>
          <w:lang w:val="en-GB"/>
        </w:rPr>
        <w:t xml:space="preserve"> </w:t>
      </w:r>
      <w:proofErr w:type="spellStart"/>
      <w:r w:rsidRPr="004243BE">
        <w:rPr>
          <w:sz w:val="22"/>
          <w:szCs w:val="22"/>
          <w:lang w:val="en-GB"/>
        </w:rPr>
        <w:t>Sci</w:t>
      </w:r>
      <w:proofErr w:type="spellEnd"/>
      <w:r w:rsidRPr="004243BE">
        <w:rPr>
          <w:sz w:val="22"/>
          <w:szCs w:val="22"/>
          <w:lang w:val="en-GB"/>
        </w:rPr>
        <w:t xml:space="preserve"> Med</w:t>
      </w:r>
      <w:r w:rsidR="00C24BF3">
        <w:rPr>
          <w:sz w:val="22"/>
          <w:szCs w:val="22"/>
          <w:lang w:val="en-GB"/>
        </w:rPr>
        <w:t>.</w:t>
      </w:r>
      <w:r w:rsidRPr="004243BE">
        <w:rPr>
          <w:sz w:val="22"/>
          <w:szCs w:val="22"/>
          <w:lang w:val="en-GB"/>
        </w:rPr>
        <w:t xml:space="preserve"> 56:1425-</w:t>
      </w:r>
      <w:r w:rsidR="00C24BF3">
        <w:rPr>
          <w:sz w:val="22"/>
          <w:szCs w:val="22"/>
          <w:lang w:val="en-GB"/>
        </w:rPr>
        <w:t>14</w:t>
      </w:r>
      <w:r w:rsidRPr="004243BE">
        <w:rPr>
          <w:sz w:val="22"/>
          <w:szCs w:val="22"/>
          <w:lang w:val="en-GB"/>
        </w:rPr>
        <w:t xml:space="preserve">38. </w:t>
      </w:r>
    </w:p>
    <w:p w:rsidR="000E5160" w:rsidRDefault="008000AD" w:rsidP="00FA23AC">
      <w:pPr>
        <w:spacing w:line="480" w:lineRule="auto"/>
        <w:jc w:val="both"/>
        <w:rPr>
          <w:sz w:val="22"/>
          <w:szCs w:val="22"/>
          <w:lang w:val="en-GB"/>
        </w:rPr>
      </w:pPr>
      <w:r>
        <w:rPr>
          <w:sz w:val="22"/>
          <w:szCs w:val="22"/>
          <w:lang w:val="en-GB"/>
        </w:rPr>
        <w:t>[</w:t>
      </w:r>
      <w:r w:rsidR="00F26AA1">
        <w:rPr>
          <w:sz w:val="22"/>
          <w:szCs w:val="22"/>
          <w:lang w:val="en-GB"/>
        </w:rPr>
        <w:t>33</w:t>
      </w:r>
      <w:r>
        <w:rPr>
          <w:sz w:val="22"/>
          <w:szCs w:val="22"/>
          <w:lang w:val="en-GB"/>
        </w:rPr>
        <w:t>]</w:t>
      </w:r>
      <w:r w:rsidR="005D062F" w:rsidRPr="004243BE">
        <w:rPr>
          <w:sz w:val="22"/>
          <w:szCs w:val="22"/>
          <w:lang w:val="en-GB"/>
        </w:rPr>
        <w:t xml:space="preserve"> Gale CR, Dennison EM, Cooper C,</w:t>
      </w:r>
      <w:r w:rsidR="00273BE5">
        <w:rPr>
          <w:sz w:val="22"/>
          <w:szCs w:val="22"/>
          <w:lang w:val="en-GB"/>
        </w:rPr>
        <w:t xml:space="preserve"> et al</w:t>
      </w:r>
      <w:r w:rsidR="000E5160">
        <w:rPr>
          <w:sz w:val="22"/>
          <w:szCs w:val="22"/>
          <w:lang w:val="en-GB"/>
        </w:rPr>
        <w:t xml:space="preserve"> (2011)</w:t>
      </w:r>
      <w:r w:rsidR="005D062F" w:rsidRPr="004243BE">
        <w:rPr>
          <w:sz w:val="22"/>
          <w:szCs w:val="22"/>
          <w:lang w:val="en-GB"/>
        </w:rPr>
        <w:t xml:space="preserve"> Neighbourhood environment and positive mental </w:t>
      </w:r>
    </w:p>
    <w:p w:rsidR="005D062F" w:rsidRPr="000E5160" w:rsidRDefault="005D062F" w:rsidP="000E5160">
      <w:pPr>
        <w:spacing w:line="480" w:lineRule="auto"/>
        <w:ind w:firstLine="708"/>
        <w:jc w:val="both"/>
        <w:rPr>
          <w:sz w:val="22"/>
          <w:szCs w:val="22"/>
          <w:lang w:val="en-GB"/>
        </w:rPr>
      </w:pPr>
      <w:r w:rsidRPr="004243BE">
        <w:rPr>
          <w:sz w:val="22"/>
          <w:szCs w:val="22"/>
          <w:lang w:val="en-GB"/>
        </w:rPr>
        <w:t>health in older people: The Hertfordshire C</w:t>
      </w:r>
      <w:r w:rsidR="00305275">
        <w:rPr>
          <w:sz w:val="22"/>
          <w:szCs w:val="22"/>
          <w:lang w:val="en-GB"/>
        </w:rPr>
        <w:t>ohort Study. Health Place</w:t>
      </w:r>
      <w:r w:rsidR="00C24BF3">
        <w:rPr>
          <w:sz w:val="22"/>
          <w:szCs w:val="22"/>
          <w:lang w:val="en-GB"/>
        </w:rPr>
        <w:t>.</w:t>
      </w:r>
      <w:r w:rsidR="00305275">
        <w:rPr>
          <w:sz w:val="22"/>
          <w:szCs w:val="22"/>
          <w:lang w:val="en-GB"/>
        </w:rPr>
        <w:t xml:space="preserve"> </w:t>
      </w:r>
      <w:r w:rsidR="00305275" w:rsidRPr="00963889">
        <w:rPr>
          <w:sz w:val="22"/>
          <w:szCs w:val="22"/>
          <w:lang w:val="en-US"/>
        </w:rPr>
        <w:t>17:</w:t>
      </w:r>
      <w:r w:rsidRPr="00963889">
        <w:rPr>
          <w:sz w:val="22"/>
          <w:szCs w:val="22"/>
          <w:lang w:val="en-US"/>
        </w:rPr>
        <w:t>867-</w:t>
      </w:r>
      <w:r w:rsidR="00C24BF3" w:rsidRPr="00963889">
        <w:rPr>
          <w:sz w:val="22"/>
          <w:szCs w:val="22"/>
          <w:lang w:val="en-US"/>
        </w:rPr>
        <w:t>8</w:t>
      </w:r>
      <w:r w:rsidRPr="00963889">
        <w:rPr>
          <w:sz w:val="22"/>
          <w:szCs w:val="22"/>
          <w:lang w:val="en-US"/>
        </w:rPr>
        <w:t>74.</w:t>
      </w:r>
    </w:p>
    <w:p w:rsidR="00273BE5" w:rsidRDefault="008000AD" w:rsidP="00273BE5">
      <w:pPr>
        <w:spacing w:line="480" w:lineRule="auto"/>
        <w:jc w:val="both"/>
        <w:rPr>
          <w:sz w:val="22"/>
          <w:szCs w:val="22"/>
          <w:lang w:val="en-GB"/>
        </w:rPr>
      </w:pPr>
      <w:r w:rsidRPr="00581309">
        <w:rPr>
          <w:sz w:val="22"/>
          <w:szCs w:val="22"/>
          <w:lang w:val="en-US"/>
        </w:rPr>
        <w:t>[</w:t>
      </w:r>
      <w:r w:rsidR="00A57A24" w:rsidRPr="00581309">
        <w:rPr>
          <w:sz w:val="22"/>
          <w:szCs w:val="22"/>
          <w:lang w:val="en-US"/>
        </w:rPr>
        <w:t>3</w:t>
      </w:r>
      <w:r w:rsidR="00F26AA1">
        <w:rPr>
          <w:sz w:val="22"/>
          <w:szCs w:val="22"/>
          <w:lang w:val="en-US"/>
        </w:rPr>
        <w:t>4</w:t>
      </w:r>
      <w:r w:rsidRPr="00581309">
        <w:rPr>
          <w:sz w:val="22"/>
          <w:szCs w:val="22"/>
          <w:lang w:val="en-US"/>
        </w:rPr>
        <w:t>]</w:t>
      </w:r>
      <w:r w:rsidR="00A57A24" w:rsidRPr="00581309">
        <w:rPr>
          <w:sz w:val="22"/>
          <w:szCs w:val="22"/>
          <w:lang w:val="en-US"/>
        </w:rPr>
        <w:t xml:space="preserve"> Ali R, </w:t>
      </w:r>
      <w:proofErr w:type="spellStart"/>
      <w:r w:rsidR="00A57A24" w:rsidRPr="00581309">
        <w:rPr>
          <w:sz w:val="22"/>
          <w:szCs w:val="22"/>
          <w:lang w:val="en-US"/>
        </w:rPr>
        <w:t>Binmore</w:t>
      </w:r>
      <w:proofErr w:type="spellEnd"/>
      <w:r w:rsidR="00A57A24" w:rsidRPr="00581309">
        <w:rPr>
          <w:sz w:val="22"/>
          <w:szCs w:val="22"/>
          <w:lang w:val="en-US"/>
        </w:rPr>
        <w:t xml:space="preserve"> R, Dunstan S, et al</w:t>
      </w:r>
      <w:r w:rsidR="000E5160">
        <w:rPr>
          <w:sz w:val="22"/>
          <w:szCs w:val="22"/>
          <w:lang w:val="en-US"/>
        </w:rPr>
        <w:t xml:space="preserve"> (2009)</w:t>
      </w:r>
      <w:r w:rsidR="00A57A24" w:rsidRPr="00581309">
        <w:rPr>
          <w:sz w:val="22"/>
          <w:szCs w:val="22"/>
          <w:lang w:val="en-US"/>
        </w:rPr>
        <w:t xml:space="preserve"> </w:t>
      </w:r>
      <w:r w:rsidR="00A57A24" w:rsidRPr="004243BE">
        <w:rPr>
          <w:sz w:val="22"/>
          <w:szCs w:val="22"/>
          <w:lang w:val="en-GB"/>
        </w:rPr>
        <w:t xml:space="preserve">General Household Survey 2007. Office for National </w:t>
      </w:r>
    </w:p>
    <w:p w:rsidR="00A57A24" w:rsidRDefault="00A57A24" w:rsidP="00273BE5">
      <w:pPr>
        <w:spacing w:line="480" w:lineRule="auto"/>
        <w:ind w:firstLine="708"/>
        <w:jc w:val="both"/>
        <w:rPr>
          <w:sz w:val="22"/>
          <w:szCs w:val="22"/>
          <w:lang w:val="en-GB"/>
        </w:rPr>
      </w:pPr>
      <w:r w:rsidRPr="004243BE">
        <w:rPr>
          <w:sz w:val="22"/>
          <w:szCs w:val="22"/>
          <w:lang w:val="en-GB"/>
        </w:rPr>
        <w:t>Statistics</w:t>
      </w:r>
      <w:r w:rsidR="000E5160">
        <w:rPr>
          <w:sz w:val="22"/>
          <w:szCs w:val="22"/>
          <w:lang w:val="en-GB"/>
        </w:rPr>
        <w:t>, Newport.</w:t>
      </w:r>
    </w:p>
    <w:p w:rsidR="009F2498" w:rsidRDefault="00B270C0" w:rsidP="009F2498">
      <w:pPr>
        <w:spacing w:line="480" w:lineRule="auto"/>
        <w:jc w:val="both"/>
        <w:rPr>
          <w:sz w:val="22"/>
          <w:szCs w:val="22"/>
          <w:lang w:val="en-GB"/>
        </w:rPr>
      </w:pPr>
      <w:r w:rsidRPr="00B270C0">
        <w:rPr>
          <w:sz w:val="22"/>
          <w:szCs w:val="22"/>
          <w:lang w:val="en-GB"/>
        </w:rPr>
        <w:t xml:space="preserve">[35] </w:t>
      </w:r>
      <w:r w:rsidR="004B7215">
        <w:rPr>
          <w:sz w:val="22"/>
          <w:szCs w:val="22"/>
          <w:lang w:val="en-GB"/>
        </w:rPr>
        <w:t>Office for National Statistics</w:t>
      </w:r>
      <w:r w:rsidR="009F2498">
        <w:rPr>
          <w:sz w:val="22"/>
          <w:szCs w:val="22"/>
          <w:lang w:val="en-GB"/>
        </w:rPr>
        <w:t xml:space="preserve"> (ONS) – Neighbourhood Statistics. Super Output Areas. Neighbourhood </w:t>
      </w:r>
    </w:p>
    <w:p w:rsidR="009F2498" w:rsidRDefault="009F2498" w:rsidP="009F2498">
      <w:pPr>
        <w:spacing w:line="480" w:lineRule="auto"/>
        <w:ind w:left="708"/>
        <w:jc w:val="both"/>
        <w:rPr>
          <w:sz w:val="22"/>
          <w:szCs w:val="22"/>
          <w:lang w:val="en-GB"/>
        </w:rPr>
      </w:pPr>
      <w:r>
        <w:rPr>
          <w:sz w:val="22"/>
          <w:szCs w:val="22"/>
          <w:lang w:val="en-GB"/>
        </w:rPr>
        <w:t>Statistics Geography (</w:t>
      </w:r>
      <w:proofErr w:type="spellStart"/>
      <w:r>
        <w:rPr>
          <w:sz w:val="22"/>
          <w:szCs w:val="22"/>
          <w:lang w:val="en-GB"/>
        </w:rPr>
        <w:t>NeSS</w:t>
      </w:r>
      <w:proofErr w:type="spellEnd"/>
      <w:r>
        <w:rPr>
          <w:sz w:val="22"/>
          <w:szCs w:val="22"/>
          <w:lang w:val="en-GB"/>
        </w:rPr>
        <w:t xml:space="preserve"> </w:t>
      </w:r>
      <w:proofErr w:type="spellStart"/>
      <w:r>
        <w:rPr>
          <w:sz w:val="22"/>
          <w:szCs w:val="22"/>
          <w:lang w:val="en-GB"/>
        </w:rPr>
        <w:t>Geograghy</w:t>
      </w:r>
      <w:proofErr w:type="spellEnd"/>
      <w:r>
        <w:rPr>
          <w:sz w:val="22"/>
          <w:szCs w:val="22"/>
          <w:lang w:val="en-GB"/>
        </w:rPr>
        <w:t>) – Super Output Areas Explained. Office for National Statistics – Neighbourhood statistics.</w:t>
      </w:r>
    </w:p>
    <w:p w:rsidR="009F2498" w:rsidRPr="009F2498" w:rsidRDefault="009F2498" w:rsidP="009F2498">
      <w:pPr>
        <w:spacing w:line="480" w:lineRule="auto"/>
        <w:ind w:left="708"/>
        <w:jc w:val="both"/>
        <w:rPr>
          <w:sz w:val="22"/>
          <w:szCs w:val="22"/>
          <w:lang w:val="en-GB"/>
        </w:rPr>
      </w:pPr>
      <w:r w:rsidRPr="00DB6087">
        <w:rPr>
          <w:sz w:val="22"/>
          <w:szCs w:val="22"/>
          <w:lang w:val="en-GB"/>
        </w:rPr>
        <w:t>http://neighbourhood.statistics.gov.uk/dissemination/Info.do?page=nessgeography/superoutputareasexplained/</w:t>
      </w:r>
      <w:r w:rsidRPr="00DB6087">
        <w:rPr>
          <w:sz w:val="22"/>
          <w:szCs w:val="22"/>
          <w:lang w:val="en-US"/>
        </w:rPr>
        <w:t>output-areas-explained.htm</w:t>
      </w:r>
      <w:r>
        <w:rPr>
          <w:sz w:val="22"/>
          <w:szCs w:val="22"/>
          <w:lang w:val="en-US"/>
        </w:rPr>
        <w:t>. Accessed: August, 2016.</w:t>
      </w:r>
    </w:p>
    <w:p w:rsidR="00D345CD" w:rsidRPr="004243BE" w:rsidRDefault="008000AD" w:rsidP="0096314D">
      <w:pPr>
        <w:spacing w:line="480" w:lineRule="auto"/>
        <w:jc w:val="both"/>
        <w:rPr>
          <w:bCs/>
          <w:sz w:val="22"/>
          <w:szCs w:val="22"/>
          <w:lang w:val="en-GB"/>
        </w:rPr>
      </w:pPr>
      <w:r>
        <w:rPr>
          <w:sz w:val="22"/>
          <w:szCs w:val="22"/>
          <w:lang w:val="en-GB"/>
        </w:rPr>
        <w:t>[</w:t>
      </w:r>
      <w:r w:rsidR="00F26AA1">
        <w:rPr>
          <w:sz w:val="22"/>
          <w:szCs w:val="22"/>
          <w:lang w:val="en-GB"/>
        </w:rPr>
        <w:t>36</w:t>
      </w:r>
      <w:r>
        <w:rPr>
          <w:sz w:val="22"/>
          <w:szCs w:val="22"/>
          <w:lang w:val="en-GB"/>
        </w:rPr>
        <w:t>]</w:t>
      </w:r>
      <w:r w:rsidR="000E5160">
        <w:rPr>
          <w:sz w:val="22"/>
          <w:szCs w:val="22"/>
          <w:lang w:val="en-GB"/>
        </w:rPr>
        <w:t xml:space="preserve"> Altman RD (1991) </w:t>
      </w:r>
      <w:r w:rsidR="00D345CD" w:rsidRPr="004243BE">
        <w:rPr>
          <w:sz w:val="22"/>
          <w:szCs w:val="22"/>
          <w:lang w:val="en-GB"/>
        </w:rPr>
        <w:t>Classification of Disease: Osteoarthritis</w:t>
      </w:r>
      <w:r w:rsidR="00D345CD" w:rsidRPr="000E5160">
        <w:rPr>
          <w:sz w:val="22"/>
          <w:szCs w:val="22"/>
          <w:lang w:val="en-GB"/>
        </w:rPr>
        <w:t>.</w:t>
      </w:r>
      <w:r w:rsidR="00D345CD" w:rsidRPr="004243BE">
        <w:rPr>
          <w:sz w:val="22"/>
          <w:szCs w:val="22"/>
          <w:lang w:val="en-GB"/>
        </w:rPr>
        <w:t xml:space="preserve"> </w:t>
      </w:r>
      <w:proofErr w:type="spellStart"/>
      <w:r w:rsidR="00305275">
        <w:rPr>
          <w:color w:val="000000"/>
          <w:sz w:val="22"/>
          <w:szCs w:val="22"/>
          <w:shd w:val="clear" w:color="auto" w:fill="FFFFFF"/>
          <w:lang w:val="en-GB"/>
        </w:rPr>
        <w:t>Semin</w:t>
      </w:r>
      <w:proofErr w:type="spellEnd"/>
      <w:r w:rsidR="00305275">
        <w:rPr>
          <w:color w:val="000000"/>
          <w:sz w:val="22"/>
          <w:szCs w:val="22"/>
          <w:shd w:val="clear" w:color="auto" w:fill="FFFFFF"/>
          <w:lang w:val="en-GB"/>
        </w:rPr>
        <w:t xml:space="preserve"> Arthritis Rheum</w:t>
      </w:r>
      <w:r w:rsidR="00C24BF3">
        <w:rPr>
          <w:color w:val="000000"/>
          <w:sz w:val="22"/>
          <w:szCs w:val="22"/>
          <w:shd w:val="clear" w:color="auto" w:fill="FFFFFF"/>
          <w:lang w:val="en-GB"/>
        </w:rPr>
        <w:t>.</w:t>
      </w:r>
      <w:r w:rsidR="00305275">
        <w:rPr>
          <w:color w:val="000000"/>
          <w:sz w:val="22"/>
          <w:szCs w:val="22"/>
          <w:shd w:val="clear" w:color="auto" w:fill="FFFFFF"/>
          <w:lang w:val="en-GB"/>
        </w:rPr>
        <w:t xml:space="preserve"> 20:</w:t>
      </w:r>
      <w:r w:rsidR="00D345CD" w:rsidRPr="004243BE">
        <w:rPr>
          <w:color w:val="000000"/>
          <w:sz w:val="22"/>
          <w:szCs w:val="22"/>
          <w:shd w:val="clear" w:color="auto" w:fill="FFFFFF"/>
          <w:lang w:val="en-GB"/>
        </w:rPr>
        <w:t>40-</w:t>
      </w:r>
      <w:r w:rsidR="00C24BF3">
        <w:rPr>
          <w:color w:val="000000"/>
          <w:sz w:val="22"/>
          <w:szCs w:val="22"/>
          <w:shd w:val="clear" w:color="auto" w:fill="FFFFFF"/>
          <w:lang w:val="en-GB"/>
        </w:rPr>
        <w:t>4</w:t>
      </w:r>
      <w:r w:rsidR="00D345CD" w:rsidRPr="004243BE">
        <w:rPr>
          <w:color w:val="000000"/>
          <w:sz w:val="22"/>
          <w:szCs w:val="22"/>
          <w:shd w:val="clear" w:color="auto" w:fill="FFFFFF"/>
          <w:lang w:val="en-GB"/>
        </w:rPr>
        <w:t>7.</w:t>
      </w:r>
    </w:p>
    <w:p w:rsidR="00833E12" w:rsidRDefault="00600776" w:rsidP="00170226">
      <w:pPr>
        <w:spacing w:line="480" w:lineRule="auto"/>
        <w:jc w:val="both"/>
        <w:rPr>
          <w:sz w:val="22"/>
          <w:szCs w:val="22"/>
          <w:lang w:val="en-GB"/>
        </w:rPr>
      </w:pPr>
      <w:r>
        <w:rPr>
          <w:sz w:val="22"/>
          <w:szCs w:val="22"/>
          <w:lang w:val="en-GB"/>
        </w:rPr>
        <w:t>[3</w:t>
      </w:r>
      <w:r w:rsidR="00F26AA1">
        <w:rPr>
          <w:sz w:val="22"/>
          <w:szCs w:val="22"/>
          <w:lang w:val="en-GB"/>
        </w:rPr>
        <w:t>7</w:t>
      </w:r>
      <w:r>
        <w:rPr>
          <w:sz w:val="22"/>
          <w:szCs w:val="22"/>
          <w:lang w:val="en-GB"/>
        </w:rPr>
        <w:t xml:space="preserve">] Pearson E, Windsor T, Crisp DA, et al (2012) Neighbourhood characteristics and ageing well – A </w:t>
      </w:r>
    </w:p>
    <w:p w:rsidR="008A65BA" w:rsidRDefault="00600776" w:rsidP="00833E12">
      <w:pPr>
        <w:spacing w:line="480" w:lineRule="auto"/>
        <w:ind w:left="708"/>
        <w:jc w:val="both"/>
        <w:rPr>
          <w:sz w:val="22"/>
          <w:szCs w:val="22"/>
          <w:lang w:val="en-GB"/>
        </w:rPr>
      </w:pPr>
      <w:r>
        <w:rPr>
          <w:sz w:val="22"/>
          <w:szCs w:val="22"/>
          <w:lang w:val="en-GB"/>
        </w:rPr>
        <w:t>survey of older Australian adults. National Seniors Productive Ageing Centre (NSPAC) Research Monograph 2. National Sen</w:t>
      </w:r>
      <w:r w:rsidR="00833E12">
        <w:rPr>
          <w:sz w:val="22"/>
          <w:szCs w:val="22"/>
          <w:lang w:val="en-GB"/>
        </w:rPr>
        <w:t>iors Productive Ageing Centre, Canberra.</w:t>
      </w:r>
    </w:p>
    <w:p w:rsidR="00170226" w:rsidRPr="00AE2652" w:rsidRDefault="008000AD" w:rsidP="00170226">
      <w:pPr>
        <w:spacing w:line="480" w:lineRule="auto"/>
        <w:jc w:val="both"/>
        <w:rPr>
          <w:sz w:val="22"/>
          <w:szCs w:val="22"/>
          <w:lang w:val="en-US"/>
        </w:rPr>
      </w:pPr>
      <w:r>
        <w:rPr>
          <w:sz w:val="22"/>
          <w:szCs w:val="22"/>
          <w:lang w:val="en-GB"/>
        </w:rPr>
        <w:lastRenderedPageBreak/>
        <w:t>[</w:t>
      </w:r>
      <w:r w:rsidR="000C60E4" w:rsidRPr="004243BE">
        <w:rPr>
          <w:sz w:val="22"/>
          <w:szCs w:val="22"/>
          <w:lang w:val="en-GB"/>
        </w:rPr>
        <w:t>3</w:t>
      </w:r>
      <w:r w:rsidR="00F26AA1">
        <w:rPr>
          <w:sz w:val="22"/>
          <w:szCs w:val="22"/>
          <w:lang w:val="en-GB"/>
        </w:rPr>
        <w:t>8</w:t>
      </w:r>
      <w:r>
        <w:rPr>
          <w:sz w:val="22"/>
          <w:szCs w:val="22"/>
          <w:lang w:val="en-GB"/>
        </w:rPr>
        <w:t>]</w:t>
      </w:r>
      <w:r w:rsidR="000E5160">
        <w:rPr>
          <w:sz w:val="22"/>
          <w:szCs w:val="22"/>
          <w:lang w:val="en-GB"/>
        </w:rPr>
        <w:t xml:space="preserve"> </w:t>
      </w:r>
      <w:proofErr w:type="spellStart"/>
      <w:r w:rsidR="000E5160">
        <w:rPr>
          <w:sz w:val="22"/>
          <w:szCs w:val="22"/>
          <w:lang w:val="en-GB"/>
        </w:rPr>
        <w:t>Zigmond</w:t>
      </w:r>
      <w:proofErr w:type="spellEnd"/>
      <w:r w:rsidR="000E5160">
        <w:rPr>
          <w:sz w:val="22"/>
          <w:szCs w:val="22"/>
          <w:lang w:val="en-GB"/>
        </w:rPr>
        <w:t xml:space="preserve"> A, </w:t>
      </w:r>
      <w:proofErr w:type="spellStart"/>
      <w:r w:rsidR="000E5160">
        <w:rPr>
          <w:sz w:val="22"/>
          <w:szCs w:val="22"/>
          <w:lang w:val="en-GB"/>
        </w:rPr>
        <w:t>Snaith</w:t>
      </w:r>
      <w:proofErr w:type="spellEnd"/>
      <w:r w:rsidR="000E5160">
        <w:rPr>
          <w:sz w:val="22"/>
          <w:szCs w:val="22"/>
          <w:lang w:val="en-GB"/>
        </w:rPr>
        <w:t xml:space="preserve"> R (1983)</w:t>
      </w:r>
      <w:r w:rsidR="000C60E4" w:rsidRPr="004243BE">
        <w:rPr>
          <w:sz w:val="22"/>
          <w:szCs w:val="22"/>
          <w:lang w:val="en-GB"/>
        </w:rPr>
        <w:t xml:space="preserve"> The Hospital Anxiety and Depress</w:t>
      </w:r>
      <w:r w:rsidR="00305275">
        <w:rPr>
          <w:sz w:val="22"/>
          <w:szCs w:val="22"/>
          <w:lang w:val="en-GB"/>
        </w:rPr>
        <w:t xml:space="preserve">ion Scale. </w:t>
      </w:r>
      <w:proofErr w:type="spellStart"/>
      <w:r w:rsidR="00305275" w:rsidRPr="00AE2652">
        <w:rPr>
          <w:sz w:val="22"/>
          <w:szCs w:val="22"/>
          <w:lang w:val="en-US"/>
        </w:rPr>
        <w:t>Acta</w:t>
      </w:r>
      <w:proofErr w:type="spellEnd"/>
      <w:r w:rsidR="00305275" w:rsidRPr="00AE2652">
        <w:rPr>
          <w:sz w:val="22"/>
          <w:szCs w:val="22"/>
          <w:lang w:val="en-US"/>
        </w:rPr>
        <w:t xml:space="preserve"> </w:t>
      </w:r>
      <w:proofErr w:type="spellStart"/>
      <w:r w:rsidR="00305275" w:rsidRPr="00AE2652">
        <w:rPr>
          <w:sz w:val="22"/>
          <w:szCs w:val="22"/>
          <w:lang w:val="en-US"/>
        </w:rPr>
        <w:t>Psychiatr</w:t>
      </w:r>
      <w:proofErr w:type="spellEnd"/>
      <w:r w:rsidR="00305275" w:rsidRPr="00AE2652">
        <w:rPr>
          <w:sz w:val="22"/>
          <w:szCs w:val="22"/>
          <w:lang w:val="en-US"/>
        </w:rPr>
        <w:t xml:space="preserve"> Scand</w:t>
      </w:r>
      <w:r w:rsidR="00C24BF3" w:rsidRPr="00AE2652">
        <w:rPr>
          <w:sz w:val="22"/>
          <w:szCs w:val="22"/>
          <w:lang w:val="en-US"/>
        </w:rPr>
        <w:t>.</w:t>
      </w:r>
      <w:r w:rsidR="00170226" w:rsidRPr="00AE2652">
        <w:rPr>
          <w:sz w:val="22"/>
          <w:szCs w:val="22"/>
          <w:lang w:val="en-US"/>
        </w:rPr>
        <w:t xml:space="preserve"> </w:t>
      </w:r>
    </w:p>
    <w:p w:rsidR="00A33DF3" w:rsidRPr="000E5160" w:rsidRDefault="000C60E4" w:rsidP="00170226">
      <w:pPr>
        <w:spacing w:line="480" w:lineRule="auto"/>
        <w:ind w:firstLine="708"/>
        <w:jc w:val="both"/>
        <w:rPr>
          <w:sz w:val="22"/>
          <w:szCs w:val="22"/>
          <w:lang w:val="en-US"/>
        </w:rPr>
      </w:pPr>
      <w:r w:rsidRPr="000E5160">
        <w:rPr>
          <w:sz w:val="22"/>
          <w:szCs w:val="22"/>
          <w:lang w:val="en-US"/>
        </w:rPr>
        <w:t>67:361-</w:t>
      </w:r>
      <w:r w:rsidR="00C24BF3" w:rsidRPr="000E5160">
        <w:rPr>
          <w:sz w:val="22"/>
          <w:szCs w:val="22"/>
          <w:lang w:val="en-US"/>
        </w:rPr>
        <w:t>3</w:t>
      </w:r>
      <w:r w:rsidRPr="000E5160">
        <w:rPr>
          <w:sz w:val="22"/>
          <w:szCs w:val="22"/>
          <w:lang w:val="en-US"/>
        </w:rPr>
        <w:t>70.</w:t>
      </w:r>
    </w:p>
    <w:p w:rsidR="000E5160" w:rsidRDefault="008000AD" w:rsidP="00273BE5">
      <w:pPr>
        <w:spacing w:line="480" w:lineRule="auto"/>
        <w:jc w:val="both"/>
        <w:rPr>
          <w:sz w:val="22"/>
          <w:szCs w:val="22"/>
          <w:lang w:val="en-US"/>
        </w:rPr>
      </w:pPr>
      <w:r w:rsidRPr="000E5160">
        <w:rPr>
          <w:sz w:val="22"/>
          <w:szCs w:val="22"/>
          <w:lang w:val="en-US"/>
        </w:rPr>
        <w:t>[</w:t>
      </w:r>
      <w:r w:rsidR="008A65BA">
        <w:rPr>
          <w:sz w:val="22"/>
          <w:szCs w:val="22"/>
          <w:lang w:val="en-US"/>
        </w:rPr>
        <w:t>3</w:t>
      </w:r>
      <w:r w:rsidR="00F26AA1">
        <w:rPr>
          <w:sz w:val="22"/>
          <w:szCs w:val="22"/>
          <w:lang w:val="en-US"/>
        </w:rPr>
        <w:t>9</w:t>
      </w:r>
      <w:r w:rsidRPr="000E5160">
        <w:rPr>
          <w:sz w:val="22"/>
          <w:szCs w:val="22"/>
          <w:lang w:val="en-US"/>
        </w:rPr>
        <w:t>]</w:t>
      </w:r>
      <w:r w:rsidR="00877F0B" w:rsidRPr="000E5160">
        <w:rPr>
          <w:sz w:val="22"/>
          <w:szCs w:val="22"/>
          <w:lang w:val="en-US"/>
        </w:rPr>
        <w:t xml:space="preserve"> </w:t>
      </w:r>
      <w:proofErr w:type="spellStart"/>
      <w:r w:rsidR="004243BE" w:rsidRPr="000E5160">
        <w:rPr>
          <w:sz w:val="22"/>
          <w:szCs w:val="22"/>
          <w:lang w:val="en-US"/>
        </w:rPr>
        <w:t>Stel</w:t>
      </w:r>
      <w:proofErr w:type="spellEnd"/>
      <w:r w:rsidR="004243BE" w:rsidRPr="000E5160">
        <w:rPr>
          <w:sz w:val="22"/>
          <w:szCs w:val="22"/>
          <w:lang w:val="en-US"/>
        </w:rPr>
        <w:t xml:space="preserve"> VS, Smit JH, </w:t>
      </w:r>
      <w:proofErr w:type="spellStart"/>
      <w:r w:rsidR="004243BE" w:rsidRPr="000E5160">
        <w:rPr>
          <w:sz w:val="22"/>
          <w:szCs w:val="22"/>
          <w:lang w:val="en-US"/>
        </w:rPr>
        <w:t>Pluijm</w:t>
      </w:r>
      <w:proofErr w:type="spellEnd"/>
      <w:r w:rsidR="004243BE" w:rsidRPr="000E5160">
        <w:rPr>
          <w:sz w:val="22"/>
          <w:szCs w:val="22"/>
          <w:lang w:val="en-US"/>
        </w:rPr>
        <w:t xml:space="preserve"> SM,</w:t>
      </w:r>
      <w:r w:rsidR="00273BE5" w:rsidRPr="000E5160">
        <w:rPr>
          <w:sz w:val="22"/>
          <w:szCs w:val="22"/>
          <w:lang w:val="en-US"/>
        </w:rPr>
        <w:t xml:space="preserve"> et al</w:t>
      </w:r>
      <w:r w:rsidR="000E5160" w:rsidRPr="000E5160">
        <w:rPr>
          <w:sz w:val="22"/>
          <w:szCs w:val="22"/>
          <w:lang w:val="en-US"/>
        </w:rPr>
        <w:t xml:space="preserve"> (2004)</w:t>
      </w:r>
      <w:r w:rsidR="0067618A" w:rsidRPr="000E5160">
        <w:rPr>
          <w:sz w:val="22"/>
          <w:szCs w:val="22"/>
          <w:lang w:val="en-US"/>
        </w:rPr>
        <w:t xml:space="preserve"> </w:t>
      </w:r>
      <w:r w:rsidR="00877F0B" w:rsidRPr="004243BE">
        <w:rPr>
          <w:sz w:val="22"/>
          <w:szCs w:val="22"/>
          <w:lang w:val="en-US"/>
        </w:rPr>
        <w:t xml:space="preserve">Comparison of the LASA Physical </w:t>
      </w:r>
      <w:r w:rsidR="002220B2" w:rsidRPr="004243BE">
        <w:rPr>
          <w:sz w:val="22"/>
          <w:szCs w:val="22"/>
          <w:lang w:val="en-US"/>
        </w:rPr>
        <w:t>Activity</w:t>
      </w:r>
      <w:r w:rsidR="00877F0B" w:rsidRPr="004243BE">
        <w:rPr>
          <w:sz w:val="22"/>
          <w:szCs w:val="22"/>
          <w:lang w:val="en-US"/>
        </w:rPr>
        <w:t xml:space="preserve"> Questionnaire </w:t>
      </w:r>
    </w:p>
    <w:p w:rsidR="00877F0B" w:rsidRPr="004243BE" w:rsidRDefault="00877F0B" w:rsidP="000E5160">
      <w:pPr>
        <w:spacing w:line="480" w:lineRule="auto"/>
        <w:ind w:firstLine="708"/>
        <w:jc w:val="both"/>
        <w:rPr>
          <w:sz w:val="22"/>
          <w:szCs w:val="22"/>
          <w:lang w:val="en-US"/>
        </w:rPr>
      </w:pPr>
      <w:r w:rsidRPr="004243BE">
        <w:rPr>
          <w:sz w:val="22"/>
          <w:szCs w:val="22"/>
          <w:lang w:val="en-US"/>
        </w:rPr>
        <w:t xml:space="preserve">with a 7-day diary and pedometer. </w:t>
      </w:r>
      <w:r w:rsidRPr="004243BE">
        <w:rPr>
          <w:sz w:val="22"/>
          <w:szCs w:val="22"/>
          <w:lang w:val="en-GB"/>
        </w:rPr>
        <w:t xml:space="preserve">J </w:t>
      </w:r>
      <w:proofErr w:type="spellStart"/>
      <w:r w:rsidRPr="004243BE">
        <w:rPr>
          <w:sz w:val="22"/>
          <w:szCs w:val="22"/>
          <w:lang w:val="en-GB"/>
        </w:rPr>
        <w:t>Clin</w:t>
      </w:r>
      <w:proofErr w:type="spellEnd"/>
      <w:r w:rsidRPr="004243BE">
        <w:rPr>
          <w:sz w:val="22"/>
          <w:szCs w:val="22"/>
          <w:lang w:val="en-GB"/>
        </w:rPr>
        <w:t xml:space="preserve"> </w:t>
      </w:r>
      <w:proofErr w:type="spellStart"/>
      <w:r w:rsidRPr="004243BE">
        <w:rPr>
          <w:sz w:val="22"/>
          <w:szCs w:val="22"/>
          <w:lang w:val="en-GB"/>
        </w:rPr>
        <w:t>Epidemiol</w:t>
      </w:r>
      <w:proofErr w:type="spellEnd"/>
      <w:r w:rsidR="00C24BF3">
        <w:rPr>
          <w:sz w:val="22"/>
          <w:szCs w:val="22"/>
          <w:lang w:val="en-GB"/>
        </w:rPr>
        <w:t>.</w:t>
      </w:r>
      <w:r w:rsidRPr="004243BE">
        <w:rPr>
          <w:sz w:val="22"/>
          <w:szCs w:val="22"/>
          <w:lang w:val="en-GB"/>
        </w:rPr>
        <w:t xml:space="preserve"> 57:252-</w:t>
      </w:r>
      <w:r w:rsidR="00C24BF3">
        <w:rPr>
          <w:sz w:val="22"/>
          <w:szCs w:val="22"/>
          <w:lang w:val="en-GB"/>
        </w:rPr>
        <w:t>2</w:t>
      </w:r>
      <w:r w:rsidRPr="004243BE">
        <w:rPr>
          <w:sz w:val="22"/>
          <w:szCs w:val="22"/>
          <w:lang w:val="en-GB"/>
        </w:rPr>
        <w:t>58.</w:t>
      </w:r>
    </w:p>
    <w:p w:rsidR="000E5160" w:rsidRPr="004243BE" w:rsidRDefault="008000AD" w:rsidP="000E5160">
      <w:pPr>
        <w:spacing w:line="480" w:lineRule="auto"/>
        <w:jc w:val="both"/>
        <w:rPr>
          <w:sz w:val="22"/>
          <w:szCs w:val="22"/>
          <w:lang w:val="en-GB"/>
        </w:rPr>
      </w:pPr>
      <w:r>
        <w:rPr>
          <w:sz w:val="22"/>
          <w:szCs w:val="22"/>
          <w:lang w:val="en-US"/>
        </w:rPr>
        <w:t>[</w:t>
      </w:r>
      <w:r w:rsidR="00F26AA1">
        <w:rPr>
          <w:sz w:val="22"/>
          <w:szCs w:val="22"/>
          <w:lang w:val="en-US"/>
        </w:rPr>
        <w:t>40</w:t>
      </w:r>
      <w:r>
        <w:rPr>
          <w:sz w:val="22"/>
          <w:szCs w:val="22"/>
          <w:lang w:val="en-US"/>
        </w:rPr>
        <w:t>]</w:t>
      </w:r>
      <w:r w:rsidR="00C24BF3">
        <w:rPr>
          <w:sz w:val="22"/>
          <w:szCs w:val="22"/>
          <w:lang w:val="en-GB"/>
        </w:rPr>
        <w:t xml:space="preserve"> Aiken</w:t>
      </w:r>
      <w:r w:rsidR="0043339C">
        <w:rPr>
          <w:sz w:val="22"/>
          <w:szCs w:val="22"/>
          <w:lang w:val="en-GB"/>
        </w:rPr>
        <w:t xml:space="preserve"> L</w:t>
      </w:r>
      <w:r w:rsidR="009D4DA4">
        <w:rPr>
          <w:sz w:val="22"/>
          <w:szCs w:val="22"/>
          <w:lang w:val="en-GB"/>
        </w:rPr>
        <w:t>S</w:t>
      </w:r>
      <w:r w:rsidR="0043339C">
        <w:rPr>
          <w:sz w:val="22"/>
          <w:szCs w:val="22"/>
          <w:lang w:val="en-GB"/>
        </w:rPr>
        <w:t xml:space="preserve">, </w:t>
      </w:r>
      <w:r w:rsidR="00C24BF3">
        <w:rPr>
          <w:sz w:val="22"/>
          <w:szCs w:val="22"/>
          <w:lang w:val="en-GB"/>
        </w:rPr>
        <w:t>West</w:t>
      </w:r>
      <w:r w:rsidR="009D4DA4">
        <w:rPr>
          <w:sz w:val="22"/>
          <w:szCs w:val="22"/>
          <w:lang w:val="en-GB"/>
        </w:rPr>
        <w:t xml:space="preserve"> S</w:t>
      </w:r>
      <w:r w:rsidR="000E5160">
        <w:rPr>
          <w:sz w:val="22"/>
          <w:szCs w:val="22"/>
          <w:lang w:val="en-GB"/>
        </w:rPr>
        <w:t>G (1991)</w:t>
      </w:r>
      <w:r w:rsidR="008F48D7" w:rsidRPr="004243BE">
        <w:rPr>
          <w:sz w:val="22"/>
          <w:szCs w:val="22"/>
          <w:lang w:val="en-GB"/>
        </w:rPr>
        <w:t xml:space="preserve"> Multiple regression: Testing and Interpreting Interactions. </w:t>
      </w:r>
    </w:p>
    <w:p w:rsidR="008F48D7" w:rsidRPr="004243BE" w:rsidRDefault="0067618A" w:rsidP="000E5160">
      <w:pPr>
        <w:spacing w:line="480" w:lineRule="auto"/>
        <w:ind w:firstLine="708"/>
        <w:jc w:val="both"/>
        <w:rPr>
          <w:sz w:val="22"/>
          <w:szCs w:val="22"/>
          <w:lang w:val="en-GB"/>
        </w:rPr>
      </w:pPr>
      <w:r w:rsidRPr="004243BE">
        <w:rPr>
          <w:sz w:val="22"/>
          <w:szCs w:val="22"/>
          <w:lang w:val="en-GB"/>
        </w:rPr>
        <w:t xml:space="preserve">SAGE Publications, </w:t>
      </w:r>
      <w:proofErr w:type="spellStart"/>
      <w:r w:rsidRPr="004243BE">
        <w:rPr>
          <w:sz w:val="22"/>
          <w:szCs w:val="22"/>
          <w:lang w:val="en-GB"/>
        </w:rPr>
        <w:t>Inc</w:t>
      </w:r>
      <w:proofErr w:type="spellEnd"/>
      <w:r w:rsidR="000E5160">
        <w:rPr>
          <w:sz w:val="22"/>
          <w:szCs w:val="22"/>
          <w:lang w:val="en-GB"/>
        </w:rPr>
        <w:t>, Thousand</w:t>
      </w:r>
      <w:r w:rsidR="000E5160" w:rsidRPr="004243BE">
        <w:rPr>
          <w:sz w:val="22"/>
          <w:szCs w:val="22"/>
          <w:lang w:val="en-GB"/>
        </w:rPr>
        <w:t xml:space="preserve"> Oaks, </w:t>
      </w:r>
      <w:r w:rsidR="000E5160">
        <w:rPr>
          <w:sz w:val="22"/>
          <w:szCs w:val="22"/>
          <w:lang w:val="en-GB"/>
        </w:rPr>
        <w:t>CA.</w:t>
      </w:r>
    </w:p>
    <w:p w:rsidR="00FA23AC" w:rsidRDefault="008000AD" w:rsidP="00FA23AC">
      <w:pPr>
        <w:spacing w:line="480" w:lineRule="auto"/>
        <w:jc w:val="both"/>
        <w:rPr>
          <w:sz w:val="22"/>
          <w:szCs w:val="22"/>
          <w:lang w:val="en-GB"/>
        </w:rPr>
      </w:pPr>
      <w:r>
        <w:rPr>
          <w:sz w:val="22"/>
          <w:szCs w:val="22"/>
          <w:lang w:val="en-GB"/>
        </w:rPr>
        <w:t>[</w:t>
      </w:r>
      <w:r w:rsidR="00F26AA1">
        <w:rPr>
          <w:sz w:val="22"/>
          <w:szCs w:val="22"/>
          <w:lang w:val="en-GB"/>
        </w:rPr>
        <w:t>41</w:t>
      </w:r>
      <w:r>
        <w:rPr>
          <w:sz w:val="22"/>
          <w:szCs w:val="22"/>
          <w:lang w:val="en-GB"/>
        </w:rPr>
        <w:t>]</w:t>
      </w:r>
      <w:r w:rsidR="00956CEB" w:rsidRPr="004243BE">
        <w:rPr>
          <w:sz w:val="22"/>
          <w:szCs w:val="22"/>
          <w:lang w:val="en-GB"/>
        </w:rPr>
        <w:t xml:space="preserve"> </w:t>
      </w:r>
      <w:r w:rsidR="004243BE" w:rsidRPr="004243BE">
        <w:rPr>
          <w:sz w:val="22"/>
          <w:szCs w:val="22"/>
          <w:lang w:val="en-GB"/>
        </w:rPr>
        <w:t xml:space="preserve">Martin KR, </w:t>
      </w:r>
      <w:proofErr w:type="spellStart"/>
      <w:r w:rsidR="004243BE" w:rsidRPr="004243BE">
        <w:rPr>
          <w:sz w:val="22"/>
          <w:szCs w:val="22"/>
          <w:lang w:val="en-GB"/>
        </w:rPr>
        <w:t>Schoter</w:t>
      </w:r>
      <w:proofErr w:type="spellEnd"/>
      <w:r w:rsidR="004243BE" w:rsidRPr="004243BE">
        <w:rPr>
          <w:sz w:val="22"/>
          <w:szCs w:val="22"/>
          <w:lang w:val="en-GB"/>
        </w:rPr>
        <w:t xml:space="preserve"> B, Woodard J,</w:t>
      </w:r>
      <w:r w:rsidR="00273BE5">
        <w:rPr>
          <w:sz w:val="22"/>
          <w:szCs w:val="22"/>
          <w:lang w:val="en-GB"/>
        </w:rPr>
        <w:t xml:space="preserve"> et al</w:t>
      </w:r>
      <w:r w:rsidR="000E5160">
        <w:rPr>
          <w:sz w:val="22"/>
          <w:szCs w:val="22"/>
          <w:lang w:val="en-GB"/>
        </w:rPr>
        <w:t xml:space="preserve"> (2012)</w:t>
      </w:r>
      <w:r w:rsidR="00956CEB" w:rsidRPr="004243BE">
        <w:rPr>
          <w:sz w:val="22"/>
          <w:szCs w:val="22"/>
          <w:lang w:val="en-GB"/>
        </w:rPr>
        <w:t xml:space="preserve"> What community resources do older community-</w:t>
      </w:r>
    </w:p>
    <w:p w:rsidR="005E4662" w:rsidRPr="00581309" w:rsidRDefault="00956CEB" w:rsidP="00833E12">
      <w:pPr>
        <w:spacing w:line="480" w:lineRule="auto"/>
        <w:ind w:left="708"/>
        <w:jc w:val="both"/>
        <w:rPr>
          <w:sz w:val="22"/>
          <w:szCs w:val="22"/>
          <w:lang w:val="en-US"/>
        </w:rPr>
      </w:pPr>
      <w:r w:rsidRPr="004243BE">
        <w:rPr>
          <w:sz w:val="22"/>
          <w:szCs w:val="22"/>
          <w:lang w:val="en-GB"/>
        </w:rPr>
        <w:t xml:space="preserve">dwelling adults use to manage their osteoarthritis? A formative examination. J </w:t>
      </w:r>
      <w:proofErr w:type="spellStart"/>
      <w:r w:rsidRPr="004243BE">
        <w:rPr>
          <w:sz w:val="22"/>
          <w:szCs w:val="22"/>
          <w:lang w:val="en-GB"/>
        </w:rPr>
        <w:t>Appl</w:t>
      </w:r>
      <w:proofErr w:type="spellEnd"/>
      <w:r w:rsidRPr="004243BE">
        <w:rPr>
          <w:sz w:val="22"/>
          <w:szCs w:val="22"/>
          <w:lang w:val="en-GB"/>
        </w:rPr>
        <w:t xml:space="preserve"> </w:t>
      </w:r>
      <w:proofErr w:type="spellStart"/>
      <w:r w:rsidRPr="004243BE">
        <w:rPr>
          <w:sz w:val="22"/>
          <w:szCs w:val="22"/>
          <w:lang w:val="en-GB"/>
        </w:rPr>
        <w:t>Gerontol</w:t>
      </w:r>
      <w:proofErr w:type="spellEnd"/>
      <w:r w:rsidR="00C24BF3">
        <w:rPr>
          <w:sz w:val="22"/>
          <w:szCs w:val="22"/>
          <w:lang w:val="en-GB"/>
        </w:rPr>
        <w:t>.</w:t>
      </w:r>
      <w:r w:rsidRPr="004243BE">
        <w:rPr>
          <w:sz w:val="22"/>
          <w:szCs w:val="22"/>
          <w:lang w:val="en-GB"/>
        </w:rPr>
        <w:t xml:space="preserve"> 1:661-</w:t>
      </w:r>
      <w:r w:rsidR="00C24BF3">
        <w:rPr>
          <w:sz w:val="22"/>
          <w:szCs w:val="22"/>
          <w:lang w:val="en-GB"/>
        </w:rPr>
        <w:t>6</w:t>
      </w:r>
      <w:r w:rsidRPr="004243BE">
        <w:rPr>
          <w:sz w:val="22"/>
          <w:szCs w:val="22"/>
          <w:lang w:val="en-GB"/>
        </w:rPr>
        <w:t>84.</w:t>
      </w:r>
    </w:p>
    <w:p w:rsidR="000E5160" w:rsidRDefault="008000AD" w:rsidP="00273BE5">
      <w:pPr>
        <w:spacing w:line="480" w:lineRule="auto"/>
        <w:jc w:val="both"/>
        <w:rPr>
          <w:sz w:val="22"/>
          <w:szCs w:val="22"/>
          <w:lang w:val="en-GB"/>
        </w:rPr>
      </w:pPr>
      <w:r w:rsidRPr="00581309">
        <w:rPr>
          <w:sz w:val="22"/>
          <w:szCs w:val="22"/>
          <w:lang w:val="en-US"/>
        </w:rPr>
        <w:t>[</w:t>
      </w:r>
      <w:r w:rsidR="00F26AA1">
        <w:rPr>
          <w:sz w:val="22"/>
          <w:szCs w:val="22"/>
          <w:lang w:val="en-US"/>
        </w:rPr>
        <w:t>42</w:t>
      </w:r>
      <w:r w:rsidRPr="00581309">
        <w:rPr>
          <w:sz w:val="22"/>
          <w:szCs w:val="22"/>
          <w:lang w:val="en-US"/>
        </w:rPr>
        <w:t>]</w:t>
      </w:r>
      <w:r w:rsidR="0096314D" w:rsidRPr="00581309">
        <w:rPr>
          <w:sz w:val="22"/>
          <w:szCs w:val="22"/>
          <w:lang w:val="en-US"/>
        </w:rPr>
        <w:t xml:space="preserve"> </w:t>
      </w:r>
      <w:proofErr w:type="spellStart"/>
      <w:r w:rsidR="0096314D" w:rsidRPr="00581309">
        <w:rPr>
          <w:sz w:val="22"/>
          <w:szCs w:val="22"/>
          <w:lang w:val="en-US"/>
        </w:rPr>
        <w:t>Levasseur</w:t>
      </w:r>
      <w:proofErr w:type="spellEnd"/>
      <w:r w:rsidR="0096314D" w:rsidRPr="00581309">
        <w:rPr>
          <w:sz w:val="22"/>
          <w:szCs w:val="22"/>
          <w:lang w:val="en-US"/>
        </w:rPr>
        <w:t xml:space="preserve"> M,</w:t>
      </w:r>
      <w:r w:rsidR="000E5160">
        <w:rPr>
          <w:sz w:val="22"/>
          <w:szCs w:val="22"/>
          <w:lang w:val="en-US"/>
        </w:rPr>
        <w:t xml:space="preserve"> </w:t>
      </w:r>
      <w:proofErr w:type="spellStart"/>
      <w:r w:rsidR="000E5160">
        <w:rPr>
          <w:sz w:val="22"/>
          <w:szCs w:val="22"/>
          <w:lang w:val="en-US"/>
        </w:rPr>
        <w:t>Généreux</w:t>
      </w:r>
      <w:proofErr w:type="spellEnd"/>
      <w:r w:rsidR="000E5160">
        <w:rPr>
          <w:sz w:val="22"/>
          <w:szCs w:val="22"/>
          <w:lang w:val="en-US"/>
        </w:rPr>
        <w:t xml:space="preserve"> M, </w:t>
      </w:r>
      <w:proofErr w:type="spellStart"/>
      <w:r w:rsidR="000E5160">
        <w:rPr>
          <w:sz w:val="22"/>
          <w:szCs w:val="22"/>
          <w:lang w:val="en-US"/>
        </w:rPr>
        <w:t>Bruneau</w:t>
      </w:r>
      <w:proofErr w:type="spellEnd"/>
      <w:r w:rsidR="000E5160">
        <w:rPr>
          <w:sz w:val="22"/>
          <w:szCs w:val="22"/>
          <w:lang w:val="en-US"/>
        </w:rPr>
        <w:t xml:space="preserve"> J-F, et al (2015)</w:t>
      </w:r>
      <w:r w:rsidR="0096314D" w:rsidRPr="00581309">
        <w:rPr>
          <w:sz w:val="22"/>
          <w:szCs w:val="22"/>
          <w:lang w:val="en-US"/>
        </w:rPr>
        <w:t xml:space="preserve"> </w:t>
      </w:r>
      <w:r w:rsidR="0096314D" w:rsidRPr="0096314D">
        <w:rPr>
          <w:sz w:val="22"/>
          <w:szCs w:val="22"/>
          <w:lang w:val="en-GB"/>
        </w:rPr>
        <w:t xml:space="preserve">Importance of proximity to resources, social </w:t>
      </w:r>
    </w:p>
    <w:p w:rsidR="0096314D" w:rsidRPr="0096314D" w:rsidRDefault="0096314D" w:rsidP="000E5160">
      <w:pPr>
        <w:spacing w:line="480" w:lineRule="auto"/>
        <w:ind w:left="708"/>
        <w:jc w:val="both"/>
        <w:rPr>
          <w:sz w:val="22"/>
          <w:szCs w:val="22"/>
          <w:lang w:val="en-GB"/>
        </w:rPr>
      </w:pPr>
      <w:r w:rsidRPr="0096314D">
        <w:rPr>
          <w:sz w:val="22"/>
          <w:szCs w:val="22"/>
          <w:lang w:val="en-GB"/>
        </w:rPr>
        <w:t>support, transportation and neighbourhood security for mobility and social participation in older adults: results from a scoping study. BMC Public Health</w:t>
      </w:r>
      <w:r w:rsidR="00C24BF3">
        <w:rPr>
          <w:sz w:val="22"/>
          <w:szCs w:val="22"/>
          <w:lang w:val="en-GB"/>
        </w:rPr>
        <w:t>.</w:t>
      </w:r>
      <w:r w:rsidRPr="0096314D">
        <w:rPr>
          <w:sz w:val="22"/>
          <w:szCs w:val="22"/>
          <w:lang w:val="en-GB"/>
        </w:rPr>
        <w:t xml:space="preserve"> 23:503.</w:t>
      </w:r>
    </w:p>
    <w:p w:rsidR="000E5160" w:rsidRDefault="008000AD" w:rsidP="00FA23AC">
      <w:pPr>
        <w:spacing w:line="480" w:lineRule="auto"/>
        <w:jc w:val="both"/>
        <w:rPr>
          <w:sz w:val="22"/>
          <w:szCs w:val="22"/>
          <w:lang w:val="en-GB"/>
        </w:rPr>
      </w:pPr>
      <w:r>
        <w:rPr>
          <w:sz w:val="22"/>
          <w:szCs w:val="22"/>
          <w:lang w:val="en-GB"/>
        </w:rPr>
        <w:t>[</w:t>
      </w:r>
      <w:r w:rsidR="008A65BA">
        <w:rPr>
          <w:sz w:val="22"/>
          <w:szCs w:val="22"/>
          <w:lang w:val="en-GB"/>
        </w:rPr>
        <w:t>4</w:t>
      </w:r>
      <w:r w:rsidR="00F26AA1">
        <w:rPr>
          <w:sz w:val="22"/>
          <w:szCs w:val="22"/>
          <w:lang w:val="en-GB"/>
        </w:rPr>
        <w:t>3</w:t>
      </w:r>
      <w:r>
        <w:rPr>
          <w:sz w:val="22"/>
          <w:szCs w:val="22"/>
          <w:lang w:val="en-GB"/>
        </w:rPr>
        <w:t>]</w:t>
      </w:r>
      <w:r w:rsidR="000B4B8B" w:rsidRPr="004243BE">
        <w:rPr>
          <w:sz w:val="22"/>
          <w:szCs w:val="22"/>
          <w:lang w:val="en-GB"/>
        </w:rPr>
        <w:t xml:space="preserve"> </w:t>
      </w:r>
      <w:proofErr w:type="spellStart"/>
      <w:r w:rsidR="004243BE" w:rsidRPr="004243BE">
        <w:rPr>
          <w:sz w:val="22"/>
          <w:szCs w:val="22"/>
          <w:lang w:val="en-GB"/>
        </w:rPr>
        <w:t>Wilki</w:t>
      </w:r>
      <w:r w:rsidR="000E5160">
        <w:rPr>
          <w:sz w:val="22"/>
          <w:szCs w:val="22"/>
          <w:lang w:val="en-GB"/>
        </w:rPr>
        <w:t>e</w:t>
      </w:r>
      <w:proofErr w:type="spellEnd"/>
      <w:r w:rsidR="000E5160">
        <w:rPr>
          <w:sz w:val="22"/>
          <w:szCs w:val="22"/>
          <w:lang w:val="en-GB"/>
        </w:rPr>
        <w:t xml:space="preserve"> R, Peat G, Thomas E, Croft P (2007) </w:t>
      </w:r>
      <w:r w:rsidR="000B4B8B" w:rsidRPr="004243BE">
        <w:rPr>
          <w:sz w:val="22"/>
          <w:szCs w:val="22"/>
          <w:lang w:val="en-GB"/>
        </w:rPr>
        <w:t xml:space="preserve">Factors associated with restricted mobility outside the </w:t>
      </w:r>
    </w:p>
    <w:p w:rsidR="00A00E11" w:rsidRDefault="000B4B8B" w:rsidP="000E5160">
      <w:pPr>
        <w:spacing w:line="480" w:lineRule="auto"/>
        <w:ind w:left="708"/>
        <w:jc w:val="both"/>
        <w:rPr>
          <w:sz w:val="22"/>
          <w:szCs w:val="22"/>
          <w:lang w:val="en-GB"/>
        </w:rPr>
      </w:pPr>
      <w:r w:rsidRPr="004243BE">
        <w:rPr>
          <w:sz w:val="22"/>
          <w:szCs w:val="22"/>
          <w:lang w:val="en-GB"/>
        </w:rPr>
        <w:t xml:space="preserve">home in community-dwelling adults ages fifty years and older with knee pain: An example of use of the </w:t>
      </w:r>
      <w:r w:rsidR="00543122" w:rsidRPr="004243BE">
        <w:rPr>
          <w:sz w:val="22"/>
          <w:szCs w:val="22"/>
          <w:lang w:val="en-GB"/>
        </w:rPr>
        <w:t>International</w:t>
      </w:r>
      <w:r w:rsidRPr="004243BE">
        <w:rPr>
          <w:sz w:val="22"/>
          <w:szCs w:val="22"/>
          <w:lang w:val="en-GB"/>
        </w:rPr>
        <w:t xml:space="preserve"> Classification of Functioning to investigate participation restriction. Arthritis Care Res. 57:</w:t>
      </w:r>
      <w:r w:rsidR="0040387E" w:rsidRPr="004243BE">
        <w:rPr>
          <w:sz w:val="22"/>
          <w:szCs w:val="22"/>
          <w:lang w:val="en-GB"/>
        </w:rPr>
        <w:t>1381-</w:t>
      </w:r>
      <w:r w:rsidR="00C24BF3">
        <w:rPr>
          <w:sz w:val="22"/>
          <w:szCs w:val="22"/>
          <w:lang w:val="en-GB"/>
        </w:rPr>
        <w:t>13</w:t>
      </w:r>
      <w:r w:rsidRPr="004243BE">
        <w:rPr>
          <w:sz w:val="22"/>
          <w:szCs w:val="22"/>
          <w:lang w:val="en-GB"/>
        </w:rPr>
        <w:t>89.</w:t>
      </w:r>
    </w:p>
    <w:p w:rsidR="00A00E11" w:rsidRDefault="00A00E11" w:rsidP="00FA23AC">
      <w:pPr>
        <w:spacing w:line="480" w:lineRule="auto"/>
        <w:ind w:left="708"/>
        <w:jc w:val="both"/>
        <w:rPr>
          <w:sz w:val="22"/>
          <w:szCs w:val="22"/>
          <w:lang w:val="en-GB"/>
        </w:rPr>
        <w:sectPr w:rsidR="00A00E11" w:rsidSect="00CB5DB3">
          <w:pgSz w:w="11906" w:h="16838"/>
          <w:pgMar w:top="993" w:right="1133" w:bottom="851" w:left="1276" w:header="708" w:footer="708" w:gutter="0"/>
          <w:cols w:space="708"/>
          <w:docGrid w:linePitch="360"/>
        </w:sectPr>
      </w:pPr>
    </w:p>
    <w:p w:rsidR="00A00E11" w:rsidRPr="008E289E" w:rsidRDefault="00A00E11" w:rsidP="00A00E11">
      <w:pPr>
        <w:spacing w:line="360" w:lineRule="auto"/>
        <w:rPr>
          <w:b/>
          <w:lang w:val="en-GB"/>
        </w:rPr>
      </w:pPr>
      <w:r w:rsidRPr="008E289E">
        <w:rPr>
          <w:b/>
          <w:lang w:val="en-GB"/>
        </w:rPr>
        <w:lastRenderedPageBreak/>
        <w:t>Table 1: Characteristics of the study sample, stratified by presence of lower limb osteoarthritis.</w:t>
      </w:r>
      <w:r>
        <w:rPr>
          <w:b/>
          <w:lang w:val="en-GB"/>
        </w:rPr>
        <w:t xml:space="preserve"> </w:t>
      </w:r>
      <w:r w:rsidRPr="008E289E">
        <w:rPr>
          <w:b/>
          <w:vertAlign w:val="superscript"/>
          <w:lang w:val="en-GB"/>
        </w:rPr>
        <w:t>a</w:t>
      </w:r>
    </w:p>
    <w:tbl>
      <w:tblPr>
        <w:tblStyle w:val="TableGrid"/>
        <w:tblpPr w:leftFromText="141" w:rightFromText="141" w:vertAnchor="page" w:horzAnchor="margin" w:tblpXSpec="center" w:tblpY="2078"/>
        <w:tblW w:w="15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4"/>
        <w:gridCol w:w="547"/>
        <w:gridCol w:w="2457"/>
        <w:gridCol w:w="546"/>
        <w:gridCol w:w="2384"/>
        <w:gridCol w:w="546"/>
        <w:gridCol w:w="2390"/>
        <w:gridCol w:w="1872"/>
      </w:tblGrid>
      <w:tr w:rsidR="00A00E11" w:rsidRPr="008E289E" w:rsidTr="00963889">
        <w:tc>
          <w:tcPr>
            <w:tcW w:w="4864" w:type="dxa"/>
            <w:tcBorders>
              <w:top w:val="single" w:sz="4" w:space="0" w:color="auto"/>
              <w:bottom w:val="single" w:sz="4" w:space="0" w:color="auto"/>
            </w:tcBorders>
          </w:tcPr>
          <w:p w:rsidR="00A00E11" w:rsidRPr="008E289E" w:rsidRDefault="00A00E11" w:rsidP="00963889">
            <w:pPr>
              <w:spacing w:line="360" w:lineRule="auto"/>
              <w:jc w:val="center"/>
              <w:rPr>
                <w:sz w:val="22"/>
                <w:szCs w:val="22"/>
                <w:lang w:val="en-GB"/>
              </w:rPr>
            </w:pPr>
          </w:p>
        </w:tc>
        <w:tc>
          <w:tcPr>
            <w:tcW w:w="3004" w:type="dxa"/>
            <w:gridSpan w:val="2"/>
            <w:tcBorders>
              <w:top w:val="single" w:sz="4" w:space="0" w:color="auto"/>
              <w:bottom w:val="single" w:sz="4" w:space="0" w:color="auto"/>
            </w:tcBorders>
          </w:tcPr>
          <w:p w:rsidR="00A00E11" w:rsidRPr="008E289E" w:rsidRDefault="00A00E11" w:rsidP="00963889">
            <w:pPr>
              <w:spacing w:line="360" w:lineRule="auto"/>
              <w:jc w:val="center"/>
              <w:rPr>
                <w:b/>
                <w:sz w:val="22"/>
                <w:szCs w:val="22"/>
                <w:lang w:val="en-GB"/>
              </w:rPr>
            </w:pPr>
            <w:r w:rsidRPr="008E289E">
              <w:rPr>
                <w:b/>
                <w:sz w:val="22"/>
                <w:szCs w:val="22"/>
                <w:lang w:val="en-GB"/>
              </w:rPr>
              <w:t xml:space="preserve">All participants </w:t>
            </w:r>
          </w:p>
          <w:p w:rsidR="00A00E11" w:rsidRPr="008E289E" w:rsidRDefault="00A00E11" w:rsidP="00963889">
            <w:pPr>
              <w:spacing w:line="360" w:lineRule="auto"/>
              <w:jc w:val="center"/>
              <w:rPr>
                <w:b/>
                <w:sz w:val="22"/>
                <w:szCs w:val="22"/>
                <w:lang w:val="en-GB"/>
              </w:rPr>
            </w:pPr>
            <w:r w:rsidRPr="008E289E">
              <w:rPr>
                <w:b/>
                <w:sz w:val="22"/>
                <w:szCs w:val="22"/>
                <w:lang w:val="en-GB"/>
              </w:rPr>
              <w:t>(n=401)</w:t>
            </w:r>
          </w:p>
        </w:tc>
        <w:tc>
          <w:tcPr>
            <w:tcW w:w="2930" w:type="dxa"/>
            <w:gridSpan w:val="2"/>
            <w:tcBorders>
              <w:top w:val="single" w:sz="4" w:space="0" w:color="auto"/>
              <w:bottom w:val="single" w:sz="4" w:space="0" w:color="auto"/>
            </w:tcBorders>
          </w:tcPr>
          <w:p w:rsidR="00A00E11" w:rsidRPr="008E289E" w:rsidRDefault="00A00E11" w:rsidP="00963889">
            <w:pPr>
              <w:spacing w:line="360" w:lineRule="auto"/>
              <w:jc w:val="center"/>
              <w:rPr>
                <w:b/>
                <w:sz w:val="22"/>
                <w:szCs w:val="22"/>
                <w:lang w:val="en-GB"/>
              </w:rPr>
            </w:pPr>
            <w:r w:rsidRPr="008E289E">
              <w:rPr>
                <w:b/>
                <w:sz w:val="22"/>
                <w:szCs w:val="22"/>
                <w:lang w:val="en-GB"/>
              </w:rPr>
              <w:t>Participants with LLOA (n=74)</w:t>
            </w:r>
          </w:p>
        </w:tc>
        <w:tc>
          <w:tcPr>
            <w:tcW w:w="2936" w:type="dxa"/>
            <w:gridSpan w:val="2"/>
            <w:tcBorders>
              <w:top w:val="single" w:sz="4" w:space="0" w:color="auto"/>
              <w:bottom w:val="single" w:sz="4" w:space="0" w:color="auto"/>
            </w:tcBorders>
          </w:tcPr>
          <w:p w:rsidR="00A00E11" w:rsidRPr="008E289E" w:rsidRDefault="00A00E11" w:rsidP="00963889">
            <w:pPr>
              <w:spacing w:line="360" w:lineRule="auto"/>
              <w:jc w:val="center"/>
              <w:rPr>
                <w:b/>
                <w:sz w:val="22"/>
                <w:szCs w:val="22"/>
                <w:lang w:val="en-GB"/>
              </w:rPr>
            </w:pPr>
            <w:r w:rsidRPr="008E289E">
              <w:rPr>
                <w:b/>
                <w:sz w:val="22"/>
                <w:szCs w:val="22"/>
                <w:lang w:val="en-GB"/>
              </w:rPr>
              <w:t xml:space="preserve">Participants without LLOA </w:t>
            </w:r>
          </w:p>
          <w:p w:rsidR="00A00E11" w:rsidRPr="008E289E" w:rsidRDefault="00A00E11" w:rsidP="00963889">
            <w:pPr>
              <w:spacing w:line="360" w:lineRule="auto"/>
              <w:jc w:val="center"/>
              <w:rPr>
                <w:b/>
                <w:sz w:val="22"/>
                <w:szCs w:val="22"/>
                <w:lang w:val="en-GB"/>
              </w:rPr>
            </w:pPr>
            <w:r w:rsidRPr="008E289E">
              <w:rPr>
                <w:b/>
                <w:sz w:val="22"/>
                <w:szCs w:val="22"/>
                <w:lang w:val="en-GB"/>
              </w:rPr>
              <w:t>(n=327)</w:t>
            </w:r>
          </w:p>
        </w:tc>
        <w:tc>
          <w:tcPr>
            <w:tcW w:w="1872" w:type="dxa"/>
            <w:tcBorders>
              <w:top w:val="single" w:sz="4" w:space="0" w:color="auto"/>
              <w:bottom w:val="single" w:sz="4" w:space="0" w:color="auto"/>
            </w:tcBorders>
          </w:tcPr>
          <w:p w:rsidR="00A00E11" w:rsidRPr="008E289E" w:rsidRDefault="00A00E11" w:rsidP="00963889">
            <w:pPr>
              <w:spacing w:line="360" w:lineRule="auto"/>
              <w:jc w:val="center"/>
              <w:rPr>
                <w:b/>
                <w:sz w:val="22"/>
                <w:szCs w:val="22"/>
                <w:vertAlign w:val="superscript"/>
                <w:lang w:val="en-GB"/>
              </w:rPr>
            </w:pPr>
            <w:r w:rsidRPr="008E289E">
              <w:rPr>
                <w:b/>
                <w:sz w:val="22"/>
                <w:szCs w:val="22"/>
                <w:lang w:val="en-GB"/>
              </w:rPr>
              <w:t xml:space="preserve">p-value </w:t>
            </w:r>
            <w:r w:rsidRPr="008E289E">
              <w:rPr>
                <w:b/>
                <w:sz w:val="22"/>
                <w:szCs w:val="22"/>
                <w:vertAlign w:val="superscript"/>
                <w:lang w:val="en-GB"/>
              </w:rPr>
              <w:t>b</w:t>
            </w:r>
          </w:p>
        </w:tc>
      </w:tr>
      <w:tr w:rsidR="00A00E11" w:rsidRPr="008E289E" w:rsidTr="00963889">
        <w:tc>
          <w:tcPr>
            <w:tcW w:w="4864" w:type="dxa"/>
            <w:tcBorders>
              <w:top w:val="single" w:sz="4" w:space="0" w:color="auto"/>
              <w:bottom w:val="single" w:sz="4" w:space="0" w:color="auto"/>
            </w:tcBorders>
          </w:tcPr>
          <w:p w:rsidR="00A00E11" w:rsidRPr="008E289E" w:rsidRDefault="00A00E11" w:rsidP="00963889">
            <w:pPr>
              <w:spacing w:line="360" w:lineRule="auto"/>
              <w:jc w:val="center"/>
              <w:rPr>
                <w:sz w:val="22"/>
                <w:szCs w:val="22"/>
                <w:lang w:val="en-GB"/>
              </w:rPr>
            </w:pPr>
          </w:p>
        </w:tc>
        <w:tc>
          <w:tcPr>
            <w:tcW w:w="547" w:type="dxa"/>
            <w:tcBorders>
              <w:top w:val="single" w:sz="4" w:space="0" w:color="auto"/>
              <w:bottom w:val="single" w:sz="4" w:space="0" w:color="auto"/>
            </w:tcBorders>
          </w:tcPr>
          <w:p w:rsidR="00A00E11" w:rsidRPr="008E289E" w:rsidRDefault="00A00E11" w:rsidP="00963889">
            <w:pPr>
              <w:spacing w:line="360" w:lineRule="auto"/>
              <w:jc w:val="center"/>
              <w:rPr>
                <w:sz w:val="22"/>
                <w:szCs w:val="22"/>
                <w:lang w:val="en-GB"/>
              </w:rPr>
            </w:pPr>
            <w:r w:rsidRPr="008E289E">
              <w:rPr>
                <w:sz w:val="22"/>
                <w:szCs w:val="22"/>
                <w:lang w:val="en-GB"/>
              </w:rPr>
              <w:t>n</w:t>
            </w:r>
          </w:p>
        </w:tc>
        <w:tc>
          <w:tcPr>
            <w:tcW w:w="2457" w:type="dxa"/>
            <w:tcBorders>
              <w:top w:val="single" w:sz="4" w:space="0" w:color="auto"/>
              <w:bottom w:val="single" w:sz="4" w:space="0" w:color="auto"/>
            </w:tcBorders>
          </w:tcPr>
          <w:p w:rsidR="00A00E11" w:rsidRPr="008E289E" w:rsidRDefault="00A00E11" w:rsidP="00963889">
            <w:pPr>
              <w:spacing w:line="360" w:lineRule="auto"/>
              <w:jc w:val="center"/>
              <w:rPr>
                <w:sz w:val="22"/>
                <w:szCs w:val="22"/>
                <w:lang w:val="en-GB"/>
              </w:rPr>
            </w:pPr>
          </w:p>
        </w:tc>
        <w:tc>
          <w:tcPr>
            <w:tcW w:w="546" w:type="dxa"/>
            <w:tcBorders>
              <w:top w:val="single" w:sz="4" w:space="0" w:color="auto"/>
              <w:bottom w:val="single" w:sz="4" w:space="0" w:color="auto"/>
            </w:tcBorders>
          </w:tcPr>
          <w:p w:rsidR="00A00E11" w:rsidRPr="008E289E" w:rsidRDefault="00A00E11" w:rsidP="00963889">
            <w:pPr>
              <w:spacing w:line="360" w:lineRule="auto"/>
              <w:jc w:val="center"/>
              <w:rPr>
                <w:sz w:val="22"/>
                <w:szCs w:val="22"/>
                <w:lang w:val="en-GB"/>
              </w:rPr>
            </w:pPr>
            <w:r w:rsidRPr="008E289E">
              <w:rPr>
                <w:sz w:val="22"/>
                <w:szCs w:val="22"/>
                <w:lang w:val="en-GB"/>
              </w:rPr>
              <w:t>n</w:t>
            </w:r>
          </w:p>
        </w:tc>
        <w:tc>
          <w:tcPr>
            <w:tcW w:w="2384" w:type="dxa"/>
            <w:tcBorders>
              <w:top w:val="single" w:sz="4" w:space="0" w:color="auto"/>
              <w:bottom w:val="single" w:sz="4" w:space="0" w:color="auto"/>
            </w:tcBorders>
          </w:tcPr>
          <w:p w:rsidR="00A00E11" w:rsidRPr="008E289E" w:rsidRDefault="00A00E11" w:rsidP="00963889">
            <w:pPr>
              <w:spacing w:line="360" w:lineRule="auto"/>
              <w:jc w:val="center"/>
              <w:rPr>
                <w:sz w:val="22"/>
                <w:szCs w:val="22"/>
                <w:lang w:val="en-GB"/>
              </w:rPr>
            </w:pPr>
          </w:p>
        </w:tc>
        <w:tc>
          <w:tcPr>
            <w:tcW w:w="546" w:type="dxa"/>
            <w:tcBorders>
              <w:top w:val="single" w:sz="4" w:space="0" w:color="auto"/>
              <w:bottom w:val="single" w:sz="4" w:space="0" w:color="auto"/>
            </w:tcBorders>
          </w:tcPr>
          <w:p w:rsidR="00A00E11" w:rsidRPr="008E289E" w:rsidRDefault="00A00E11" w:rsidP="00963889">
            <w:pPr>
              <w:spacing w:line="360" w:lineRule="auto"/>
              <w:jc w:val="center"/>
              <w:rPr>
                <w:sz w:val="22"/>
                <w:szCs w:val="22"/>
                <w:lang w:val="en-GB"/>
              </w:rPr>
            </w:pPr>
            <w:r w:rsidRPr="008E289E">
              <w:rPr>
                <w:sz w:val="22"/>
                <w:szCs w:val="22"/>
                <w:lang w:val="en-GB"/>
              </w:rPr>
              <w:t>n</w:t>
            </w:r>
          </w:p>
        </w:tc>
        <w:tc>
          <w:tcPr>
            <w:tcW w:w="2390" w:type="dxa"/>
            <w:tcBorders>
              <w:top w:val="single" w:sz="4" w:space="0" w:color="auto"/>
              <w:bottom w:val="single" w:sz="4" w:space="0" w:color="auto"/>
            </w:tcBorders>
          </w:tcPr>
          <w:p w:rsidR="00A00E11" w:rsidRPr="008E289E" w:rsidRDefault="00A00E11" w:rsidP="00963889">
            <w:pPr>
              <w:spacing w:line="360" w:lineRule="auto"/>
              <w:jc w:val="center"/>
              <w:rPr>
                <w:sz w:val="22"/>
                <w:szCs w:val="22"/>
                <w:lang w:val="en-GB"/>
              </w:rPr>
            </w:pPr>
          </w:p>
        </w:tc>
        <w:tc>
          <w:tcPr>
            <w:tcW w:w="1872" w:type="dxa"/>
            <w:tcBorders>
              <w:top w:val="single" w:sz="4" w:space="0" w:color="auto"/>
              <w:bottom w:val="single" w:sz="4" w:space="0" w:color="auto"/>
            </w:tcBorders>
          </w:tcPr>
          <w:p w:rsidR="00A00E11" w:rsidRPr="008E289E" w:rsidRDefault="00A00E11" w:rsidP="00963889">
            <w:pPr>
              <w:spacing w:line="360" w:lineRule="auto"/>
              <w:jc w:val="center"/>
              <w:rPr>
                <w:sz w:val="22"/>
                <w:szCs w:val="22"/>
                <w:lang w:val="en-GB"/>
              </w:rPr>
            </w:pPr>
          </w:p>
        </w:tc>
      </w:tr>
      <w:tr w:rsidR="00A00E11" w:rsidRPr="008E289E" w:rsidTr="00963889">
        <w:tc>
          <w:tcPr>
            <w:tcW w:w="4864" w:type="dxa"/>
            <w:tcBorders>
              <w:top w:val="single" w:sz="4" w:space="0" w:color="auto"/>
            </w:tcBorders>
          </w:tcPr>
          <w:p w:rsidR="00A00E11" w:rsidRPr="008E289E" w:rsidRDefault="00A00E11" w:rsidP="00963889">
            <w:pPr>
              <w:spacing w:line="360" w:lineRule="auto"/>
              <w:jc w:val="both"/>
              <w:rPr>
                <w:b/>
                <w:sz w:val="22"/>
                <w:szCs w:val="22"/>
                <w:lang w:val="en-GB"/>
              </w:rPr>
            </w:pPr>
            <w:r w:rsidRPr="008E289E">
              <w:rPr>
                <w:b/>
                <w:sz w:val="22"/>
                <w:szCs w:val="22"/>
                <w:lang w:val="en-GB"/>
              </w:rPr>
              <w:t>Characteristics</w:t>
            </w:r>
          </w:p>
        </w:tc>
        <w:tc>
          <w:tcPr>
            <w:tcW w:w="547" w:type="dxa"/>
            <w:tcBorders>
              <w:top w:val="single" w:sz="4" w:space="0" w:color="auto"/>
            </w:tcBorders>
          </w:tcPr>
          <w:p w:rsidR="00A00E11" w:rsidRPr="008E289E" w:rsidRDefault="00A00E11" w:rsidP="00963889">
            <w:pPr>
              <w:spacing w:line="360" w:lineRule="auto"/>
              <w:jc w:val="center"/>
              <w:rPr>
                <w:sz w:val="22"/>
                <w:szCs w:val="22"/>
                <w:lang w:val="en-GB"/>
              </w:rPr>
            </w:pPr>
          </w:p>
        </w:tc>
        <w:tc>
          <w:tcPr>
            <w:tcW w:w="2457" w:type="dxa"/>
            <w:tcBorders>
              <w:top w:val="single" w:sz="4" w:space="0" w:color="auto"/>
            </w:tcBorders>
          </w:tcPr>
          <w:p w:rsidR="00A00E11" w:rsidRPr="008E289E" w:rsidRDefault="00A00E11" w:rsidP="00963889">
            <w:pPr>
              <w:spacing w:line="360" w:lineRule="auto"/>
              <w:jc w:val="center"/>
              <w:rPr>
                <w:sz w:val="22"/>
                <w:szCs w:val="22"/>
                <w:lang w:val="en-GB"/>
              </w:rPr>
            </w:pPr>
          </w:p>
        </w:tc>
        <w:tc>
          <w:tcPr>
            <w:tcW w:w="546" w:type="dxa"/>
            <w:tcBorders>
              <w:top w:val="single" w:sz="4" w:space="0" w:color="auto"/>
            </w:tcBorders>
          </w:tcPr>
          <w:p w:rsidR="00A00E11" w:rsidRPr="008E289E" w:rsidRDefault="00A00E11" w:rsidP="00963889">
            <w:pPr>
              <w:spacing w:line="360" w:lineRule="auto"/>
              <w:jc w:val="center"/>
              <w:rPr>
                <w:sz w:val="22"/>
                <w:szCs w:val="22"/>
                <w:lang w:val="en-GB"/>
              </w:rPr>
            </w:pPr>
          </w:p>
        </w:tc>
        <w:tc>
          <w:tcPr>
            <w:tcW w:w="2384" w:type="dxa"/>
            <w:tcBorders>
              <w:top w:val="single" w:sz="4" w:space="0" w:color="auto"/>
            </w:tcBorders>
          </w:tcPr>
          <w:p w:rsidR="00A00E11" w:rsidRPr="008E289E" w:rsidRDefault="00A00E11" w:rsidP="00963889">
            <w:pPr>
              <w:spacing w:line="360" w:lineRule="auto"/>
              <w:jc w:val="center"/>
              <w:rPr>
                <w:sz w:val="22"/>
                <w:szCs w:val="22"/>
                <w:lang w:val="en-GB"/>
              </w:rPr>
            </w:pPr>
          </w:p>
        </w:tc>
        <w:tc>
          <w:tcPr>
            <w:tcW w:w="546" w:type="dxa"/>
            <w:tcBorders>
              <w:top w:val="single" w:sz="4" w:space="0" w:color="auto"/>
            </w:tcBorders>
          </w:tcPr>
          <w:p w:rsidR="00A00E11" w:rsidRPr="008E289E" w:rsidRDefault="00A00E11" w:rsidP="00963889">
            <w:pPr>
              <w:spacing w:line="360" w:lineRule="auto"/>
              <w:jc w:val="center"/>
              <w:rPr>
                <w:sz w:val="22"/>
                <w:szCs w:val="22"/>
                <w:lang w:val="en-GB"/>
              </w:rPr>
            </w:pPr>
          </w:p>
        </w:tc>
        <w:tc>
          <w:tcPr>
            <w:tcW w:w="2390" w:type="dxa"/>
            <w:tcBorders>
              <w:top w:val="single" w:sz="4" w:space="0" w:color="auto"/>
            </w:tcBorders>
          </w:tcPr>
          <w:p w:rsidR="00A00E11" w:rsidRPr="008E289E" w:rsidRDefault="00A00E11" w:rsidP="00963889">
            <w:pPr>
              <w:spacing w:line="360" w:lineRule="auto"/>
              <w:jc w:val="center"/>
              <w:rPr>
                <w:sz w:val="22"/>
                <w:szCs w:val="22"/>
                <w:lang w:val="en-GB"/>
              </w:rPr>
            </w:pPr>
          </w:p>
        </w:tc>
        <w:tc>
          <w:tcPr>
            <w:tcW w:w="1872" w:type="dxa"/>
            <w:tcBorders>
              <w:top w:val="single" w:sz="4" w:space="0" w:color="auto"/>
            </w:tcBorders>
          </w:tcPr>
          <w:p w:rsidR="00A00E11" w:rsidRPr="008E289E" w:rsidRDefault="00A00E11" w:rsidP="00963889">
            <w:pPr>
              <w:spacing w:line="360" w:lineRule="auto"/>
              <w:jc w:val="center"/>
              <w:rPr>
                <w:sz w:val="22"/>
                <w:szCs w:val="22"/>
                <w:lang w:val="en-GB"/>
              </w:rPr>
            </w:pPr>
          </w:p>
        </w:tc>
      </w:tr>
      <w:tr w:rsidR="00A00E11" w:rsidRPr="008E289E" w:rsidTr="00963889">
        <w:tc>
          <w:tcPr>
            <w:tcW w:w="4864" w:type="dxa"/>
          </w:tcPr>
          <w:p w:rsidR="00A00E11" w:rsidRPr="008E289E" w:rsidRDefault="00A00E11" w:rsidP="00963889">
            <w:pPr>
              <w:spacing w:line="360" w:lineRule="auto"/>
              <w:jc w:val="both"/>
              <w:rPr>
                <w:sz w:val="22"/>
                <w:szCs w:val="22"/>
                <w:lang w:val="en-GB"/>
              </w:rPr>
            </w:pPr>
            <w:r w:rsidRPr="008E289E">
              <w:rPr>
                <w:sz w:val="22"/>
                <w:szCs w:val="22"/>
                <w:lang w:val="en-GB"/>
              </w:rPr>
              <w:t>Age in years (Mean (SD))</w:t>
            </w:r>
          </w:p>
        </w:tc>
        <w:tc>
          <w:tcPr>
            <w:tcW w:w="547" w:type="dxa"/>
          </w:tcPr>
          <w:p w:rsidR="00A00E11" w:rsidRPr="008E289E" w:rsidRDefault="00A00E11" w:rsidP="00963889">
            <w:pPr>
              <w:spacing w:line="360" w:lineRule="auto"/>
              <w:jc w:val="center"/>
              <w:rPr>
                <w:sz w:val="22"/>
                <w:szCs w:val="22"/>
                <w:lang w:val="en-GB"/>
              </w:rPr>
            </w:pPr>
            <w:r w:rsidRPr="008E289E">
              <w:rPr>
                <w:sz w:val="22"/>
                <w:szCs w:val="22"/>
                <w:lang w:val="en-GB"/>
              </w:rPr>
              <w:t>401</w:t>
            </w:r>
          </w:p>
        </w:tc>
        <w:tc>
          <w:tcPr>
            <w:tcW w:w="2457" w:type="dxa"/>
          </w:tcPr>
          <w:p w:rsidR="00A00E11" w:rsidRPr="008E289E" w:rsidRDefault="00A00E11" w:rsidP="00963889">
            <w:pPr>
              <w:spacing w:line="360" w:lineRule="auto"/>
              <w:jc w:val="center"/>
              <w:rPr>
                <w:sz w:val="22"/>
                <w:szCs w:val="22"/>
                <w:lang w:val="en-GB"/>
              </w:rPr>
            </w:pPr>
            <w:r w:rsidRPr="008E289E">
              <w:rPr>
                <w:sz w:val="22"/>
                <w:szCs w:val="22"/>
                <w:lang w:val="en-GB"/>
              </w:rPr>
              <w:t>75.2 (2.6)</w:t>
            </w:r>
          </w:p>
        </w:tc>
        <w:tc>
          <w:tcPr>
            <w:tcW w:w="546" w:type="dxa"/>
          </w:tcPr>
          <w:p w:rsidR="00A00E11" w:rsidRPr="008E289E" w:rsidRDefault="00A00E11" w:rsidP="00963889">
            <w:pPr>
              <w:spacing w:line="360" w:lineRule="auto"/>
              <w:jc w:val="center"/>
              <w:rPr>
                <w:sz w:val="22"/>
                <w:szCs w:val="22"/>
                <w:lang w:val="en-GB"/>
              </w:rPr>
            </w:pPr>
            <w:r w:rsidRPr="008E289E">
              <w:rPr>
                <w:sz w:val="22"/>
                <w:szCs w:val="22"/>
                <w:lang w:val="en-GB"/>
              </w:rPr>
              <w:t>74</w:t>
            </w:r>
          </w:p>
        </w:tc>
        <w:tc>
          <w:tcPr>
            <w:tcW w:w="2384" w:type="dxa"/>
          </w:tcPr>
          <w:p w:rsidR="00A00E11" w:rsidRPr="008E289E" w:rsidRDefault="00A00E11" w:rsidP="00963889">
            <w:pPr>
              <w:spacing w:line="360" w:lineRule="auto"/>
              <w:jc w:val="center"/>
              <w:rPr>
                <w:sz w:val="22"/>
                <w:szCs w:val="22"/>
                <w:lang w:val="en-GB"/>
              </w:rPr>
            </w:pPr>
            <w:r w:rsidRPr="008E289E">
              <w:rPr>
                <w:sz w:val="22"/>
                <w:szCs w:val="22"/>
                <w:lang w:val="en-GB"/>
              </w:rPr>
              <w:t>75.1 (2.8)</w:t>
            </w:r>
          </w:p>
        </w:tc>
        <w:tc>
          <w:tcPr>
            <w:tcW w:w="546" w:type="dxa"/>
          </w:tcPr>
          <w:p w:rsidR="00A00E11" w:rsidRPr="008E289E" w:rsidRDefault="00A00E11" w:rsidP="00963889">
            <w:pPr>
              <w:spacing w:line="360" w:lineRule="auto"/>
              <w:jc w:val="center"/>
              <w:rPr>
                <w:sz w:val="22"/>
                <w:szCs w:val="22"/>
                <w:lang w:val="en-GB"/>
              </w:rPr>
            </w:pPr>
            <w:r w:rsidRPr="008E289E">
              <w:rPr>
                <w:sz w:val="22"/>
                <w:szCs w:val="22"/>
                <w:lang w:val="en-GB"/>
              </w:rPr>
              <w:t>327</w:t>
            </w:r>
          </w:p>
        </w:tc>
        <w:tc>
          <w:tcPr>
            <w:tcW w:w="2390" w:type="dxa"/>
          </w:tcPr>
          <w:p w:rsidR="00A00E11" w:rsidRPr="008E289E" w:rsidRDefault="00A00E11" w:rsidP="00963889">
            <w:pPr>
              <w:spacing w:line="360" w:lineRule="auto"/>
              <w:jc w:val="center"/>
              <w:rPr>
                <w:sz w:val="22"/>
                <w:szCs w:val="22"/>
                <w:lang w:val="en-GB"/>
              </w:rPr>
            </w:pPr>
            <w:r w:rsidRPr="008E289E">
              <w:rPr>
                <w:sz w:val="22"/>
                <w:szCs w:val="22"/>
                <w:lang w:val="en-GB"/>
              </w:rPr>
              <w:t>75.2 (2.5)</w:t>
            </w:r>
          </w:p>
        </w:tc>
        <w:tc>
          <w:tcPr>
            <w:tcW w:w="1872" w:type="dxa"/>
          </w:tcPr>
          <w:p w:rsidR="00A00E11" w:rsidRPr="008E289E" w:rsidRDefault="00A00E11" w:rsidP="00963889">
            <w:pPr>
              <w:spacing w:line="360" w:lineRule="auto"/>
              <w:jc w:val="center"/>
              <w:rPr>
                <w:sz w:val="22"/>
                <w:szCs w:val="22"/>
                <w:lang w:val="en-GB"/>
              </w:rPr>
            </w:pPr>
            <w:r w:rsidRPr="008E289E">
              <w:rPr>
                <w:sz w:val="22"/>
                <w:szCs w:val="22"/>
                <w:lang w:val="en-GB"/>
              </w:rPr>
              <w:t>0.63</w:t>
            </w:r>
          </w:p>
        </w:tc>
      </w:tr>
      <w:tr w:rsidR="00A00E11" w:rsidRPr="008E289E" w:rsidTr="00963889">
        <w:tc>
          <w:tcPr>
            <w:tcW w:w="4864" w:type="dxa"/>
          </w:tcPr>
          <w:p w:rsidR="00A00E11" w:rsidRPr="008E289E" w:rsidRDefault="00A00E11" w:rsidP="00963889">
            <w:pPr>
              <w:spacing w:line="360" w:lineRule="auto"/>
              <w:jc w:val="both"/>
              <w:rPr>
                <w:sz w:val="22"/>
                <w:szCs w:val="22"/>
                <w:lang w:val="en-GB"/>
              </w:rPr>
            </w:pPr>
            <w:r w:rsidRPr="008E289E">
              <w:rPr>
                <w:sz w:val="22"/>
                <w:szCs w:val="22"/>
                <w:lang w:val="en-GB"/>
              </w:rPr>
              <w:t>Sex (female) (n (%))</w:t>
            </w:r>
          </w:p>
        </w:tc>
        <w:tc>
          <w:tcPr>
            <w:tcW w:w="547" w:type="dxa"/>
          </w:tcPr>
          <w:p w:rsidR="00A00E11" w:rsidRPr="008E289E" w:rsidRDefault="00A00E11" w:rsidP="00963889">
            <w:pPr>
              <w:spacing w:line="360" w:lineRule="auto"/>
              <w:jc w:val="center"/>
              <w:rPr>
                <w:sz w:val="22"/>
                <w:szCs w:val="22"/>
                <w:lang w:val="en-GB"/>
              </w:rPr>
            </w:pPr>
            <w:r w:rsidRPr="008E289E">
              <w:rPr>
                <w:sz w:val="22"/>
                <w:szCs w:val="22"/>
                <w:lang w:val="en-GB"/>
              </w:rPr>
              <w:t>401</w:t>
            </w:r>
          </w:p>
        </w:tc>
        <w:tc>
          <w:tcPr>
            <w:tcW w:w="2457" w:type="dxa"/>
          </w:tcPr>
          <w:p w:rsidR="00A00E11" w:rsidRPr="008E289E" w:rsidRDefault="00A00E11" w:rsidP="00963889">
            <w:pPr>
              <w:spacing w:line="360" w:lineRule="auto"/>
              <w:jc w:val="center"/>
              <w:rPr>
                <w:sz w:val="22"/>
                <w:szCs w:val="22"/>
                <w:lang w:val="en-GB"/>
              </w:rPr>
            </w:pPr>
            <w:r w:rsidRPr="008E289E">
              <w:rPr>
                <w:sz w:val="22"/>
                <w:szCs w:val="22"/>
                <w:lang w:val="en-GB"/>
              </w:rPr>
              <w:t>202 (50.4)</w:t>
            </w:r>
          </w:p>
        </w:tc>
        <w:tc>
          <w:tcPr>
            <w:tcW w:w="546" w:type="dxa"/>
          </w:tcPr>
          <w:p w:rsidR="00A00E11" w:rsidRPr="008E289E" w:rsidRDefault="00A00E11" w:rsidP="00963889">
            <w:pPr>
              <w:spacing w:line="360" w:lineRule="auto"/>
              <w:jc w:val="center"/>
              <w:rPr>
                <w:sz w:val="22"/>
                <w:szCs w:val="22"/>
                <w:lang w:val="en-GB"/>
              </w:rPr>
            </w:pPr>
            <w:r w:rsidRPr="008E289E">
              <w:rPr>
                <w:sz w:val="22"/>
                <w:szCs w:val="22"/>
                <w:lang w:val="en-GB"/>
              </w:rPr>
              <w:t>74</w:t>
            </w:r>
          </w:p>
        </w:tc>
        <w:tc>
          <w:tcPr>
            <w:tcW w:w="2384" w:type="dxa"/>
          </w:tcPr>
          <w:p w:rsidR="00A00E11" w:rsidRPr="008E289E" w:rsidRDefault="00A00E11" w:rsidP="00963889">
            <w:pPr>
              <w:spacing w:line="360" w:lineRule="auto"/>
              <w:jc w:val="center"/>
              <w:rPr>
                <w:sz w:val="22"/>
                <w:szCs w:val="22"/>
                <w:lang w:val="en-GB"/>
              </w:rPr>
            </w:pPr>
            <w:r w:rsidRPr="008E289E">
              <w:rPr>
                <w:sz w:val="22"/>
                <w:szCs w:val="22"/>
                <w:lang w:val="en-GB"/>
              </w:rPr>
              <w:t>46 (62.2)</w:t>
            </w:r>
          </w:p>
        </w:tc>
        <w:tc>
          <w:tcPr>
            <w:tcW w:w="546" w:type="dxa"/>
          </w:tcPr>
          <w:p w:rsidR="00A00E11" w:rsidRPr="008E289E" w:rsidRDefault="00A00E11" w:rsidP="00963889">
            <w:pPr>
              <w:spacing w:line="360" w:lineRule="auto"/>
              <w:jc w:val="center"/>
              <w:rPr>
                <w:sz w:val="22"/>
                <w:szCs w:val="22"/>
                <w:lang w:val="en-GB"/>
              </w:rPr>
            </w:pPr>
            <w:r w:rsidRPr="008E289E">
              <w:rPr>
                <w:sz w:val="22"/>
                <w:szCs w:val="22"/>
                <w:lang w:val="en-GB"/>
              </w:rPr>
              <w:t>327</w:t>
            </w:r>
          </w:p>
        </w:tc>
        <w:tc>
          <w:tcPr>
            <w:tcW w:w="2390" w:type="dxa"/>
          </w:tcPr>
          <w:p w:rsidR="00A00E11" w:rsidRPr="008E289E" w:rsidRDefault="00A00E11" w:rsidP="00963889">
            <w:pPr>
              <w:spacing w:line="360" w:lineRule="auto"/>
              <w:jc w:val="center"/>
              <w:rPr>
                <w:sz w:val="22"/>
                <w:szCs w:val="22"/>
                <w:lang w:val="en-GB"/>
              </w:rPr>
            </w:pPr>
            <w:r w:rsidRPr="008E289E">
              <w:rPr>
                <w:sz w:val="22"/>
                <w:szCs w:val="22"/>
                <w:lang w:val="en-GB"/>
              </w:rPr>
              <w:t>156 (47.7)</w:t>
            </w:r>
          </w:p>
        </w:tc>
        <w:tc>
          <w:tcPr>
            <w:tcW w:w="1872" w:type="dxa"/>
          </w:tcPr>
          <w:p w:rsidR="00A00E11" w:rsidRPr="008E289E" w:rsidRDefault="00A00E11" w:rsidP="00963889">
            <w:pPr>
              <w:spacing w:line="360" w:lineRule="auto"/>
              <w:jc w:val="center"/>
              <w:rPr>
                <w:sz w:val="22"/>
                <w:szCs w:val="22"/>
                <w:lang w:val="en-GB"/>
              </w:rPr>
            </w:pPr>
            <w:r w:rsidRPr="008E289E">
              <w:rPr>
                <w:sz w:val="22"/>
                <w:szCs w:val="22"/>
                <w:lang w:val="en-GB"/>
              </w:rPr>
              <w:t>0.03</w:t>
            </w:r>
          </w:p>
        </w:tc>
      </w:tr>
      <w:tr w:rsidR="00A00E11" w:rsidRPr="008E289E" w:rsidTr="00963889">
        <w:tc>
          <w:tcPr>
            <w:tcW w:w="4864" w:type="dxa"/>
          </w:tcPr>
          <w:p w:rsidR="00A00E11" w:rsidRPr="008E289E" w:rsidRDefault="00A00E11" w:rsidP="00963889">
            <w:pPr>
              <w:spacing w:line="360" w:lineRule="auto"/>
              <w:jc w:val="both"/>
              <w:rPr>
                <w:sz w:val="22"/>
                <w:szCs w:val="22"/>
                <w:lang w:val="en-GB"/>
              </w:rPr>
            </w:pPr>
            <w:r w:rsidRPr="008E289E">
              <w:rPr>
                <w:sz w:val="22"/>
                <w:szCs w:val="22"/>
                <w:lang w:val="en-GB"/>
              </w:rPr>
              <w:t>Partner status (yes) (n (%))</w:t>
            </w:r>
          </w:p>
        </w:tc>
        <w:tc>
          <w:tcPr>
            <w:tcW w:w="547" w:type="dxa"/>
          </w:tcPr>
          <w:p w:rsidR="00A00E11" w:rsidRPr="008E289E" w:rsidRDefault="00A00E11" w:rsidP="00963889">
            <w:pPr>
              <w:spacing w:line="360" w:lineRule="auto"/>
              <w:jc w:val="center"/>
              <w:rPr>
                <w:sz w:val="22"/>
                <w:szCs w:val="22"/>
                <w:lang w:val="en-GB"/>
              </w:rPr>
            </w:pPr>
            <w:r w:rsidRPr="008E289E">
              <w:rPr>
                <w:sz w:val="22"/>
                <w:szCs w:val="22"/>
                <w:lang w:val="en-GB"/>
              </w:rPr>
              <w:t>401</w:t>
            </w:r>
          </w:p>
        </w:tc>
        <w:tc>
          <w:tcPr>
            <w:tcW w:w="2457" w:type="dxa"/>
          </w:tcPr>
          <w:p w:rsidR="00A00E11" w:rsidRPr="008E289E" w:rsidRDefault="00A00E11" w:rsidP="00963889">
            <w:pPr>
              <w:spacing w:line="360" w:lineRule="auto"/>
              <w:jc w:val="center"/>
              <w:rPr>
                <w:sz w:val="22"/>
                <w:szCs w:val="22"/>
                <w:lang w:val="en-GB"/>
              </w:rPr>
            </w:pPr>
            <w:r w:rsidRPr="008E289E">
              <w:rPr>
                <w:sz w:val="22"/>
                <w:szCs w:val="22"/>
                <w:lang w:val="en-GB"/>
              </w:rPr>
              <w:t>279 (69.6)</w:t>
            </w:r>
          </w:p>
        </w:tc>
        <w:tc>
          <w:tcPr>
            <w:tcW w:w="546" w:type="dxa"/>
          </w:tcPr>
          <w:p w:rsidR="00A00E11" w:rsidRPr="008E289E" w:rsidRDefault="00A00E11" w:rsidP="00963889">
            <w:pPr>
              <w:spacing w:line="360" w:lineRule="auto"/>
              <w:jc w:val="center"/>
              <w:rPr>
                <w:sz w:val="22"/>
                <w:szCs w:val="22"/>
                <w:lang w:val="en-GB"/>
              </w:rPr>
            </w:pPr>
            <w:r w:rsidRPr="008E289E">
              <w:rPr>
                <w:sz w:val="22"/>
                <w:szCs w:val="22"/>
                <w:lang w:val="en-GB"/>
              </w:rPr>
              <w:t>74</w:t>
            </w:r>
          </w:p>
        </w:tc>
        <w:tc>
          <w:tcPr>
            <w:tcW w:w="2384" w:type="dxa"/>
          </w:tcPr>
          <w:p w:rsidR="00A00E11" w:rsidRPr="008E289E" w:rsidRDefault="00A00E11" w:rsidP="00963889">
            <w:pPr>
              <w:spacing w:line="360" w:lineRule="auto"/>
              <w:jc w:val="center"/>
              <w:rPr>
                <w:sz w:val="22"/>
                <w:szCs w:val="22"/>
                <w:lang w:val="en-GB"/>
              </w:rPr>
            </w:pPr>
            <w:r w:rsidRPr="008E289E">
              <w:rPr>
                <w:sz w:val="22"/>
                <w:szCs w:val="22"/>
                <w:lang w:val="en-GB"/>
              </w:rPr>
              <w:t>51 (68.9)</w:t>
            </w:r>
          </w:p>
        </w:tc>
        <w:tc>
          <w:tcPr>
            <w:tcW w:w="546" w:type="dxa"/>
          </w:tcPr>
          <w:p w:rsidR="00A00E11" w:rsidRPr="008E289E" w:rsidRDefault="00A00E11" w:rsidP="00963889">
            <w:pPr>
              <w:spacing w:line="360" w:lineRule="auto"/>
              <w:jc w:val="center"/>
              <w:rPr>
                <w:sz w:val="22"/>
                <w:szCs w:val="22"/>
                <w:lang w:val="en-GB"/>
              </w:rPr>
            </w:pPr>
            <w:r w:rsidRPr="008E289E">
              <w:rPr>
                <w:sz w:val="22"/>
                <w:szCs w:val="22"/>
                <w:lang w:val="en-GB"/>
              </w:rPr>
              <w:t>327</w:t>
            </w:r>
          </w:p>
        </w:tc>
        <w:tc>
          <w:tcPr>
            <w:tcW w:w="2390" w:type="dxa"/>
          </w:tcPr>
          <w:p w:rsidR="00A00E11" w:rsidRPr="008E289E" w:rsidRDefault="00A00E11" w:rsidP="00963889">
            <w:pPr>
              <w:spacing w:line="360" w:lineRule="auto"/>
              <w:jc w:val="center"/>
              <w:rPr>
                <w:sz w:val="22"/>
                <w:szCs w:val="22"/>
                <w:lang w:val="en-GB"/>
              </w:rPr>
            </w:pPr>
            <w:r w:rsidRPr="008E289E">
              <w:rPr>
                <w:sz w:val="22"/>
                <w:szCs w:val="22"/>
                <w:lang w:val="en-GB"/>
              </w:rPr>
              <w:t>228 (69.7)</w:t>
            </w:r>
          </w:p>
        </w:tc>
        <w:tc>
          <w:tcPr>
            <w:tcW w:w="1872" w:type="dxa"/>
          </w:tcPr>
          <w:p w:rsidR="00A00E11" w:rsidRPr="008E289E" w:rsidRDefault="00A00E11" w:rsidP="00963889">
            <w:pPr>
              <w:spacing w:line="360" w:lineRule="auto"/>
              <w:jc w:val="center"/>
              <w:rPr>
                <w:sz w:val="22"/>
                <w:szCs w:val="22"/>
                <w:lang w:val="en-GB"/>
              </w:rPr>
            </w:pPr>
            <w:r w:rsidRPr="008E289E">
              <w:rPr>
                <w:sz w:val="22"/>
                <w:szCs w:val="22"/>
                <w:lang w:val="en-GB"/>
              </w:rPr>
              <w:t>0.89</w:t>
            </w:r>
          </w:p>
        </w:tc>
      </w:tr>
      <w:tr w:rsidR="00A00E11" w:rsidRPr="008E289E" w:rsidTr="00963889">
        <w:tc>
          <w:tcPr>
            <w:tcW w:w="4864" w:type="dxa"/>
          </w:tcPr>
          <w:p w:rsidR="00A00E11" w:rsidRPr="008E289E" w:rsidRDefault="00A00E11" w:rsidP="00963889">
            <w:pPr>
              <w:spacing w:line="360" w:lineRule="auto"/>
              <w:jc w:val="both"/>
              <w:rPr>
                <w:sz w:val="22"/>
                <w:szCs w:val="22"/>
                <w:lang w:val="en-GB"/>
              </w:rPr>
            </w:pPr>
            <w:r w:rsidRPr="008E289E">
              <w:rPr>
                <w:sz w:val="22"/>
                <w:szCs w:val="22"/>
                <w:lang w:val="en-GB"/>
              </w:rPr>
              <w:t>Education (≥ secondary education) (n (%))</w:t>
            </w:r>
          </w:p>
        </w:tc>
        <w:tc>
          <w:tcPr>
            <w:tcW w:w="547" w:type="dxa"/>
          </w:tcPr>
          <w:p w:rsidR="00A00E11" w:rsidRPr="008E289E" w:rsidRDefault="00A00E11" w:rsidP="00963889">
            <w:pPr>
              <w:spacing w:line="360" w:lineRule="auto"/>
              <w:jc w:val="center"/>
              <w:rPr>
                <w:sz w:val="22"/>
                <w:szCs w:val="22"/>
                <w:lang w:val="en-GB"/>
              </w:rPr>
            </w:pPr>
            <w:r w:rsidRPr="008E289E">
              <w:rPr>
                <w:sz w:val="22"/>
                <w:szCs w:val="22"/>
                <w:lang w:val="en-GB"/>
              </w:rPr>
              <w:t>401</w:t>
            </w:r>
          </w:p>
        </w:tc>
        <w:tc>
          <w:tcPr>
            <w:tcW w:w="2457" w:type="dxa"/>
          </w:tcPr>
          <w:p w:rsidR="00A00E11" w:rsidRPr="008E289E" w:rsidRDefault="00A00E11" w:rsidP="00963889">
            <w:pPr>
              <w:spacing w:line="360" w:lineRule="auto"/>
              <w:jc w:val="center"/>
              <w:rPr>
                <w:sz w:val="22"/>
                <w:szCs w:val="22"/>
                <w:lang w:val="en-GB"/>
              </w:rPr>
            </w:pPr>
            <w:r w:rsidRPr="008E289E">
              <w:rPr>
                <w:sz w:val="22"/>
                <w:szCs w:val="22"/>
                <w:lang w:val="en-GB"/>
              </w:rPr>
              <w:t>322 (80.3)</w:t>
            </w:r>
          </w:p>
        </w:tc>
        <w:tc>
          <w:tcPr>
            <w:tcW w:w="546" w:type="dxa"/>
          </w:tcPr>
          <w:p w:rsidR="00A00E11" w:rsidRPr="008E289E" w:rsidRDefault="00A00E11" w:rsidP="00963889">
            <w:pPr>
              <w:spacing w:line="360" w:lineRule="auto"/>
              <w:jc w:val="center"/>
              <w:rPr>
                <w:sz w:val="22"/>
                <w:szCs w:val="22"/>
                <w:lang w:val="en-GB"/>
              </w:rPr>
            </w:pPr>
            <w:r w:rsidRPr="008E289E">
              <w:rPr>
                <w:sz w:val="22"/>
                <w:szCs w:val="22"/>
                <w:lang w:val="en-GB"/>
              </w:rPr>
              <w:t>74</w:t>
            </w:r>
          </w:p>
        </w:tc>
        <w:tc>
          <w:tcPr>
            <w:tcW w:w="2384" w:type="dxa"/>
          </w:tcPr>
          <w:p w:rsidR="00A00E11" w:rsidRPr="008E289E" w:rsidRDefault="00A00E11" w:rsidP="00963889">
            <w:pPr>
              <w:spacing w:line="360" w:lineRule="auto"/>
              <w:jc w:val="center"/>
              <w:rPr>
                <w:sz w:val="22"/>
                <w:szCs w:val="22"/>
                <w:lang w:val="en-GB"/>
              </w:rPr>
            </w:pPr>
            <w:r w:rsidRPr="008E289E">
              <w:rPr>
                <w:sz w:val="22"/>
                <w:szCs w:val="22"/>
                <w:lang w:val="en-GB"/>
              </w:rPr>
              <w:t>53 (71.6)</w:t>
            </w:r>
          </w:p>
        </w:tc>
        <w:tc>
          <w:tcPr>
            <w:tcW w:w="546" w:type="dxa"/>
          </w:tcPr>
          <w:p w:rsidR="00A00E11" w:rsidRPr="008E289E" w:rsidRDefault="00A00E11" w:rsidP="00963889">
            <w:pPr>
              <w:spacing w:line="360" w:lineRule="auto"/>
              <w:jc w:val="center"/>
              <w:rPr>
                <w:sz w:val="22"/>
                <w:szCs w:val="22"/>
                <w:lang w:val="en-GB"/>
              </w:rPr>
            </w:pPr>
            <w:r w:rsidRPr="008E289E">
              <w:rPr>
                <w:sz w:val="22"/>
                <w:szCs w:val="22"/>
                <w:lang w:val="en-GB"/>
              </w:rPr>
              <w:t>327</w:t>
            </w:r>
          </w:p>
        </w:tc>
        <w:tc>
          <w:tcPr>
            <w:tcW w:w="2390" w:type="dxa"/>
          </w:tcPr>
          <w:p w:rsidR="00A00E11" w:rsidRPr="008E289E" w:rsidRDefault="00A00E11" w:rsidP="00963889">
            <w:pPr>
              <w:spacing w:line="360" w:lineRule="auto"/>
              <w:jc w:val="center"/>
              <w:rPr>
                <w:sz w:val="22"/>
                <w:szCs w:val="22"/>
                <w:lang w:val="en-GB"/>
              </w:rPr>
            </w:pPr>
            <w:r w:rsidRPr="008E289E">
              <w:rPr>
                <w:sz w:val="22"/>
                <w:szCs w:val="22"/>
                <w:lang w:val="en-GB"/>
              </w:rPr>
              <w:t>269 (83.5)</w:t>
            </w:r>
          </w:p>
        </w:tc>
        <w:tc>
          <w:tcPr>
            <w:tcW w:w="1872" w:type="dxa"/>
          </w:tcPr>
          <w:p w:rsidR="00A00E11" w:rsidRPr="008E289E" w:rsidRDefault="00A00E11" w:rsidP="00963889">
            <w:pPr>
              <w:spacing w:line="360" w:lineRule="auto"/>
              <w:jc w:val="center"/>
              <w:rPr>
                <w:sz w:val="22"/>
                <w:szCs w:val="22"/>
                <w:lang w:val="en-GB"/>
              </w:rPr>
            </w:pPr>
            <w:r w:rsidRPr="008E289E">
              <w:rPr>
                <w:sz w:val="22"/>
                <w:szCs w:val="22"/>
                <w:lang w:val="en-GB"/>
              </w:rPr>
              <w:t>0.04</w:t>
            </w:r>
          </w:p>
        </w:tc>
      </w:tr>
      <w:tr w:rsidR="00A00E11" w:rsidRPr="008E289E" w:rsidTr="00963889">
        <w:tc>
          <w:tcPr>
            <w:tcW w:w="4864" w:type="dxa"/>
          </w:tcPr>
          <w:p w:rsidR="00A00E11" w:rsidRPr="008E289E" w:rsidRDefault="00A00E11" w:rsidP="00963889">
            <w:pPr>
              <w:spacing w:line="360" w:lineRule="auto"/>
              <w:jc w:val="both"/>
              <w:rPr>
                <w:sz w:val="22"/>
                <w:szCs w:val="22"/>
                <w:lang w:val="en-GB"/>
              </w:rPr>
            </w:pPr>
            <w:r w:rsidRPr="008E289E">
              <w:rPr>
                <w:sz w:val="22"/>
                <w:szCs w:val="22"/>
                <w:lang w:val="en-GB"/>
              </w:rPr>
              <w:t>Number of chronic diseases (n (%))</w:t>
            </w:r>
          </w:p>
          <w:p w:rsidR="00A00E11" w:rsidRPr="008E289E" w:rsidRDefault="00A00E11" w:rsidP="00963889">
            <w:pPr>
              <w:spacing w:line="360" w:lineRule="auto"/>
              <w:jc w:val="both"/>
              <w:rPr>
                <w:sz w:val="22"/>
                <w:szCs w:val="22"/>
                <w:lang w:val="en-GB"/>
              </w:rPr>
            </w:pPr>
            <w:r w:rsidRPr="008E289E">
              <w:rPr>
                <w:sz w:val="22"/>
                <w:szCs w:val="22"/>
                <w:lang w:val="en-GB"/>
              </w:rPr>
              <w:t xml:space="preserve">   0</w:t>
            </w:r>
          </w:p>
          <w:p w:rsidR="00A00E11" w:rsidRPr="008E289E" w:rsidRDefault="00A00E11" w:rsidP="00963889">
            <w:pPr>
              <w:spacing w:line="360" w:lineRule="auto"/>
              <w:jc w:val="both"/>
              <w:rPr>
                <w:sz w:val="22"/>
                <w:szCs w:val="22"/>
                <w:lang w:val="en-GB"/>
              </w:rPr>
            </w:pPr>
            <w:r w:rsidRPr="008E289E">
              <w:rPr>
                <w:sz w:val="22"/>
                <w:szCs w:val="22"/>
                <w:lang w:val="en-GB"/>
              </w:rPr>
              <w:t xml:space="preserve">   1</w:t>
            </w:r>
          </w:p>
          <w:p w:rsidR="00A00E11" w:rsidRPr="008E289E" w:rsidRDefault="00A00E11" w:rsidP="00963889">
            <w:pPr>
              <w:spacing w:line="360" w:lineRule="auto"/>
              <w:jc w:val="both"/>
              <w:rPr>
                <w:sz w:val="22"/>
                <w:szCs w:val="22"/>
                <w:lang w:val="en-GB"/>
              </w:rPr>
            </w:pPr>
            <w:r w:rsidRPr="008E289E">
              <w:rPr>
                <w:sz w:val="22"/>
                <w:szCs w:val="22"/>
                <w:lang w:val="en-GB"/>
              </w:rPr>
              <w:t xml:space="preserve">   ≥2</w:t>
            </w:r>
          </w:p>
        </w:tc>
        <w:tc>
          <w:tcPr>
            <w:tcW w:w="547" w:type="dxa"/>
          </w:tcPr>
          <w:p w:rsidR="00A00E11" w:rsidRPr="008E289E" w:rsidRDefault="00A00E11" w:rsidP="00963889">
            <w:pPr>
              <w:spacing w:line="360" w:lineRule="auto"/>
              <w:jc w:val="center"/>
              <w:rPr>
                <w:sz w:val="22"/>
                <w:szCs w:val="22"/>
                <w:lang w:val="en-GB"/>
              </w:rPr>
            </w:pPr>
            <w:r w:rsidRPr="008E289E">
              <w:rPr>
                <w:sz w:val="22"/>
                <w:szCs w:val="22"/>
                <w:lang w:val="en-GB"/>
              </w:rPr>
              <w:t>401</w:t>
            </w:r>
          </w:p>
          <w:p w:rsidR="00A00E11" w:rsidRPr="008E289E" w:rsidRDefault="00A00E11" w:rsidP="00963889">
            <w:pPr>
              <w:spacing w:line="360" w:lineRule="auto"/>
              <w:jc w:val="center"/>
              <w:rPr>
                <w:sz w:val="22"/>
                <w:szCs w:val="22"/>
                <w:lang w:val="en-GB"/>
              </w:rPr>
            </w:pPr>
          </w:p>
        </w:tc>
        <w:tc>
          <w:tcPr>
            <w:tcW w:w="2457" w:type="dxa"/>
          </w:tcPr>
          <w:p w:rsidR="00A00E11" w:rsidRPr="008E289E" w:rsidRDefault="00A00E11" w:rsidP="00963889">
            <w:pPr>
              <w:spacing w:line="360" w:lineRule="auto"/>
              <w:jc w:val="center"/>
              <w:rPr>
                <w:sz w:val="22"/>
                <w:szCs w:val="22"/>
                <w:lang w:val="en-GB"/>
              </w:rPr>
            </w:pPr>
          </w:p>
          <w:p w:rsidR="00A00E11" w:rsidRPr="008E289E" w:rsidRDefault="00A00E11" w:rsidP="00963889">
            <w:pPr>
              <w:spacing w:line="360" w:lineRule="auto"/>
              <w:jc w:val="center"/>
              <w:rPr>
                <w:sz w:val="22"/>
                <w:szCs w:val="22"/>
                <w:lang w:val="en-GB"/>
              </w:rPr>
            </w:pPr>
            <w:r w:rsidRPr="008E289E">
              <w:rPr>
                <w:sz w:val="22"/>
                <w:szCs w:val="22"/>
                <w:lang w:val="en-GB"/>
              </w:rPr>
              <w:t>171 (42.6)</w:t>
            </w:r>
          </w:p>
          <w:p w:rsidR="00A00E11" w:rsidRPr="008E289E" w:rsidRDefault="00A00E11" w:rsidP="00963889">
            <w:pPr>
              <w:spacing w:line="360" w:lineRule="auto"/>
              <w:jc w:val="center"/>
              <w:rPr>
                <w:sz w:val="22"/>
                <w:szCs w:val="22"/>
                <w:lang w:val="en-GB"/>
              </w:rPr>
            </w:pPr>
            <w:r w:rsidRPr="008E289E">
              <w:rPr>
                <w:sz w:val="22"/>
                <w:szCs w:val="22"/>
                <w:lang w:val="en-GB"/>
              </w:rPr>
              <w:t>148 (36.9)</w:t>
            </w:r>
          </w:p>
          <w:p w:rsidR="00A00E11" w:rsidRPr="008E289E" w:rsidRDefault="00A00E11" w:rsidP="00963889">
            <w:pPr>
              <w:spacing w:line="360" w:lineRule="auto"/>
              <w:jc w:val="center"/>
              <w:rPr>
                <w:sz w:val="22"/>
                <w:szCs w:val="22"/>
                <w:lang w:val="en-GB"/>
              </w:rPr>
            </w:pPr>
            <w:r w:rsidRPr="008E289E">
              <w:rPr>
                <w:sz w:val="22"/>
                <w:szCs w:val="22"/>
                <w:lang w:val="en-GB"/>
              </w:rPr>
              <w:t>82 (20.5)</w:t>
            </w:r>
          </w:p>
        </w:tc>
        <w:tc>
          <w:tcPr>
            <w:tcW w:w="546" w:type="dxa"/>
          </w:tcPr>
          <w:p w:rsidR="00A00E11" w:rsidRPr="008E289E" w:rsidRDefault="00A00E11" w:rsidP="00963889">
            <w:pPr>
              <w:spacing w:line="360" w:lineRule="auto"/>
              <w:jc w:val="center"/>
              <w:rPr>
                <w:sz w:val="22"/>
                <w:szCs w:val="22"/>
                <w:lang w:val="en-GB"/>
              </w:rPr>
            </w:pPr>
            <w:r w:rsidRPr="008E289E">
              <w:rPr>
                <w:sz w:val="22"/>
                <w:szCs w:val="22"/>
                <w:lang w:val="en-GB"/>
              </w:rPr>
              <w:t>74</w:t>
            </w:r>
          </w:p>
          <w:p w:rsidR="00A00E11" w:rsidRPr="008E289E" w:rsidRDefault="00A00E11" w:rsidP="00963889">
            <w:pPr>
              <w:spacing w:line="360" w:lineRule="auto"/>
              <w:jc w:val="center"/>
              <w:rPr>
                <w:sz w:val="22"/>
                <w:szCs w:val="22"/>
                <w:lang w:val="en-GB"/>
              </w:rPr>
            </w:pPr>
          </w:p>
        </w:tc>
        <w:tc>
          <w:tcPr>
            <w:tcW w:w="2384" w:type="dxa"/>
          </w:tcPr>
          <w:p w:rsidR="00A00E11" w:rsidRPr="008E289E" w:rsidRDefault="00A00E11" w:rsidP="00963889">
            <w:pPr>
              <w:spacing w:line="360" w:lineRule="auto"/>
              <w:jc w:val="center"/>
              <w:rPr>
                <w:sz w:val="22"/>
                <w:szCs w:val="22"/>
                <w:lang w:val="en-GB"/>
              </w:rPr>
            </w:pPr>
          </w:p>
          <w:p w:rsidR="00A00E11" w:rsidRPr="008E289E" w:rsidRDefault="00A00E11" w:rsidP="00963889">
            <w:pPr>
              <w:spacing w:line="360" w:lineRule="auto"/>
              <w:jc w:val="center"/>
              <w:rPr>
                <w:sz w:val="22"/>
                <w:szCs w:val="22"/>
                <w:lang w:val="en-GB"/>
              </w:rPr>
            </w:pPr>
            <w:r w:rsidRPr="008E289E">
              <w:rPr>
                <w:sz w:val="22"/>
                <w:szCs w:val="22"/>
                <w:lang w:val="en-GB"/>
              </w:rPr>
              <w:t>32 (43.2)</w:t>
            </w:r>
          </w:p>
          <w:p w:rsidR="00A00E11" w:rsidRPr="008E289E" w:rsidRDefault="00A00E11" w:rsidP="00963889">
            <w:pPr>
              <w:spacing w:line="360" w:lineRule="auto"/>
              <w:jc w:val="center"/>
              <w:rPr>
                <w:sz w:val="22"/>
                <w:szCs w:val="22"/>
                <w:lang w:val="en-GB"/>
              </w:rPr>
            </w:pPr>
            <w:r w:rsidRPr="008E289E">
              <w:rPr>
                <w:sz w:val="22"/>
                <w:szCs w:val="22"/>
                <w:lang w:val="en-GB"/>
              </w:rPr>
              <w:t>23 (31.1)</w:t>
            </w:r>
          </w:p>
          <w:p w:rsidR="00A00E11" w:rsidRPr="008E289E" w:rsidRDefault="00A00E11" w:rsidP="00963889">
            <w:pPr>
              <w:spacing w:line="360" w:lineRule="auto"/>
              <w:jc w:val="center"/>
              <w:rPr>
                <w:sz w:val="22"/>
                <w:szCs w:val="22"/>
                <w:lang w:val="en-GB"/>
              </w:rPr>
            </w:pPr>
            <w:r w:rsidRPr="008E289E">
              <w:rPr>
                <w:sz w:val="22"/>
                <w:szCs w:val="22"/>
                <w:lang w:val="en-GB"/>
              </w:rPr>
              <w:t>19 (25.7)</w:t>
            </w:r>
          </w:p>
        </w:tc>
        <w:tc>
          <w:tcPr>
            <w:tcW w:w="546" w:type="dxa"/>
          </w:tcPr>
          <w:p w:rsidR="00A00E11" w:rsidRPr="008E289E" w:rsidRDefault="00A00E11" w:rsidP="00963889">
            <w:pPr>
              <w:spacing w:line="360" w:lineRule="auto"/>
              <w:jc w:val="center"/>
              <w:rPr>
                <w:sz w:val="22"/>
                <w:szCs w:val="22"/>
                <w:lang w:val="en-GB"/>
              </w:rPr>
            </w:pPr>
            <w:r w:rsidRPr="008E289E">
              <w:rPr>
                <w:sz w:val="22"/>
                <w:szCs w:val="22"/>
                <w:lang w:val="en-GB"/>
              </w:rPr>
              <w:t>327</w:t>
            </w:r>
          </w:p>
        </w:tc>
        <w:tc>
          <w:tcPr>
            <w:tcW w:w="2390" w:type="dxa"/>
          </w:tcPr>
          <w:p w:rsidR="00A00E11" w:rsidRPr="008E289E" w:rsidRDefault="00A00E11" w:rsidP="00963889">
            <w:pPr>
              <w:spacing w:line="360" w:lineRule="auto"/>
              <w:jc w:val="center"/>
              <w:rPr>
                <w:sz w:val="22"/>
                <w:szCs w:val="22"/>
                <w:lang w:val="en-GB"/>
              </w:rPr>
            </w:pPr>
          </w:p>
          <w:p w:rsidR="00A00E11" w:rsidRPr="008E289E" w:rsidRDefault="00A00E11" w:rsidP="00963889">
            <w:pPr>
              <w:spacing w:line="360" w:lineRule="auto"/>
              <w:jc w:val="center"/>
              <w:rPr>
                <w:sz w:val="22"/>
                <w:szCs w:val="22"/>
                <w:lang w:val="en-GB"/>
              </w:rPr>
            </w:pPr>
            <w:r w:rsidRPr="008E289E">
              <w:rPr>
                <w:sz w:val="22"/>
                <w:szCs w:val="22"/>
                <w:lang w:val="en-GB"/>
              </w:rPr>
              <w:t>139 (42.5)</w:t>
            </w:r>
          </w:p>
          <w:p w:rsidR="00A00E11" w:rsidRPr="008E289E" w:rsidRDefault="00A00E11" w:rsidP="00963889">
            <w:pPr>
              <w:spacing w:line="360" w:lineRule="auto"/>
              <w:jc w:val="center"/>
              <w:rPr>
                <w:sz w:val="22"/>
                <w:szCs w:val="22"/>
                <w:lang w:val="en-GB"/>
              </w:rPr>
            </w:pPr>
            <w:r w:rsidRPr="008E289E">
              <w:rPr>
                <w:sz w:val="22"/>
                <w:szCs w:val="22"/>
                <w:lang w:val="en-GB"/>
              </w:rPr>
              <w:t>125 (38.2)</w:t>
            </w:r>
          </w:p>
          <w:p w:rsidR="00A00E11" w:rsidRPr="008E289E" w:rsidRDefault="00A00E11" w:rsidP="00963889">
            <w:pPr>
              <w:spacing w:line="360" w:lineRule="auto"/>
              <w:jc w:val="center"/>
              <w:rPr>
                <w:sz w:val="22"/>
                <w:szCs w:val="22"/>
                <w:lang w:val="en-GB"/>
              </w:rPr>
            </w:pPr>
            <w:r w:rsidRPr="008E289E">
              <w:rPr>
                <w:sz w:val="22"/>
                <w:szCs w:val="22"/>
                <w:lang w:val="en-GB"/>
              </w:rPr>
              <w:t>63 (19.3)</w:t>
            </w:r>
          </w:p>
        </w:tc>
        <w:tc>
          <w:tcPr>
            <w:tcW w:w="1872" w:type="dxa"/>
          </w:tcPr>
          <w:p w:rsidR="00A00E11" w:rsidRPr="008E289E" w:rsidRDefault="00A00E11" w:rsidP="00963889">
            <w:pPr>
              <w:spacing w:line="360" w:lineRule="auto"/>
              <w:jc w:val="center"/>
              <w:rPr>
                <w:sz w:val="22"/>
                <w:szCs w:val="22"/>
                <w:lang w:val="en-GB"/>
              </w:rPr>
            </w:pPr>
            <w:r w:rsidRPr="008E289E">
              <w:rPr>
                <w:sz w:val="22"/>
                <w:szCs w:val="22"/>
                <w:lang w:val="en-GB"/>
              </w:rPr>
              <w:t>0.36</w:t>
            </w:r>
          </w:p>
          <w:p w:rsidR="00A00E11" w:rsidRPr="008E289E" w:rsidRDefault="00A00E11" w:rsidP="00963889">
            <w:pPr>
              <w:spacing w:line="360" w:lineRule="auto"/>
              <w:jc w:val="center"/>
              <w:rPr>
                <w:sz w:val="22"/>
                <w:szCs w:val="22"/>
                <w:lang w:val="en-GB"/>
              </w:rPr>
            </w:pPr>
          </w:p>
        </w:tc>
      </w:tr>
      <w:tr w:rsidR="00A00E11" w:rsidRPr="008E289E" w:rsidTr="00963889">
        <w:tc>
          <w:tcPr>
            <w:tcW w:w="4864" w:type="dxa"/>
          </w:tcPr>
          <w:p w:rsidR="00A00E11" w:rsidRPr="008E289E" w:rsidRDefault="00A00E11" w:rsidP="00963889">
            <w:pPr>
              <w:spacing w:line="360" w:lineRule="auto"/>
              <w:jc w:val="both"/>
              <w:rPr>
                <w:sz w:val="22"/>
                <w:szCs w:val="22"/>
                <w:lang w:val="en-GB"/>
              </w:rPr>
            </w:pPr>
            <w:r w:rsidRPr="008E289E">
              <w:rPr>
                <w:sz w:val="22"/>
                <w:szCs w:val="22"/>
                <w:lang w:val="en-GB"/>
              </w:rPr>
              <w:t>Anxiety (HADS-A≥8) (n (%))</w:t>
            </w:r>
          </w:p>
        </w:tc>
        <w:tc>
          <w:tcPr>
            <w:tcW w:w="547" w:type="dxa"/>
          </w:tcPr>
          <w:p w:rsidR="00A00E11" w:rsidRPr="008E289E" w:rsidRDefault="00A00E11" w:rsidP="00963889">
            <w:pPr>
              <w:spacing w:line="360" w:lineRule="auto"/>
              <w:jc w:val="center"/>
              <w:rPr>
                <w:sz w:val="22"/>
                <w:szCs w:val="22"/>
                <w:lang w:val="en-GB"/>
              </w:rPr>
            </w:pPr>
            <w:r w:rsidRPr="008E289E">
              <w:rPr>
                <w:sz w:val="22"/>
                <w:szCs w:val="22"/>
                <w:lang w:val="en-GB"/>
              </w:rPr>
              <w:t>357</w:t>
            </w:r>
          </w:p>
        </w:tc>
        <w:tc>
          <w:tcPr>
            <w:tcW w:w="2457" w:type="dxa"/>
          </w:tcPr>
          <w:p w:rsidR="00A00E11" w:rsidRPr="008E289E" w:rsidRDefault="00A00E11" w:rsidP="00963889">
            <w:pPr>
              <w:spacing w:line="360" w:lineRule="auto"/>
              <w:jc w:val="center"/>
              <w:rPr>
                <w:sz w:val="22"/>
                <w:szCs w:val="22"/>
                <w:lang w:val="en-GB"/>
              </w:rPr>
            </w:pPr>
            <w:r w:rsidRPr="008E289E">
              <w:rPr>
                <w:sz w:val="22"/>
                <w:szCs w:val="22"/>
                <w:lang w:val="en-GB"/>
              </w:rPr>
              <w:t>58 (16.2)</w:t>
            </w:r>
          </w:p>
        </w:tc>
        <w:tc>
          <w:tcPr>
            <w:tcW w:w="546" w:type="dxa"/>
          </w:tcPr>
          <w:p w:rsidR="00A00E11" w:rsidRPr="008E289E" w:rsidRDefault="00A00E11" w:rsidP="00963889">
            <w:pPr>
              <w:spacing w:line="360" w:lineRule="auto"/>
              <w:jc w:val="center"/>
              <w:rPr>
                <w:sz w:val="22"/>
                <w:szCs w:val="22"/>
                <w:lang w:val="en-GB"/>
              </w:rPr>
            </w:pPr>
            <w:r w:rsidRPr="008E289E">
              <w:rPr>
                <w:sz w:val="22"/>
                <w:szCs w:val="22"/>
                <w:lang w:val="en-GB"/>
              </w:rPr>
              <w:t>64</w:t>
            </w:r>
          </w:p>
        </w:tc>
        <w:tc>
          <w:tcPr>
            <w:tcW w:w="2384" w:type="dxa"/>
          </w:tcPr>
          <w:p w:rsidR="00A00E11" w:rsidRPr="008E289E" w:rsidRDefault="00A00E11" w:rsidP="00963889">
            <w:pPr>
              <w:spacing w:line="360" w:lineRule="auto"/>
              <w:jc w:val="center"/>
              <w:rPr>
                <w:sz w:val="22"/>
                <w:szCs w:val="22"/>
                <w:lang w:val="en-GB"/>
              </w:rPr>
            </w:pPr>
            <w:r w:rsidRPr="008E289E">
              <w:rPr>
                <w:sz w:val="22"/>
                <w:szCs w:val="22"/>
                <w:lang w:val="en-GB"/>
              </w:rPr>
              <w:t>16 (25.0)</w:t>
            </w:r>
          </w:p>
        </w:tc>
        <w:tc>
          <w:tcPr>
            <w:tcW w:w="546" w:type="dxa"/>
          </w:tcPr>
          <w:p w:rsidR="00A00E11" w:rsidRPr="008E289E" w:rsidRDefault="00A00E11" w:rsidP="00963889">
            <w:pPr>
              <w:spacing w:line="360" w:lineRule="auto"/>
              <w:jc w:val="center"/>
              <w:rPr>
                <w:sz w:val="22"/>
                <w:szCs w:val="22"/>
                <w:lang w:val="en-GB"/>
              </w:rPr>
            </w:pPr>
            <w:r w:rsidRPr="008E289E">
              <w:rPr>
                <w:sz w:val="22"/>
                <w:szCs w:val="22"/>
                <w:lang w:val="en-GB"/>
              </w:rPr>
              <w:t>293</w:t>
            </w:r>
          </w:p>
        </w:tc>
        <w:tc>
          <w:tcPr>
            <w:tcW w:w="2390" w:type="dxa"/>
          </w:tcPr>
          <w:p w:rsidR="00A00E11" w:rsidRPr="008E289E" w:rsidRDefault="00A00E11" w:rsidP="00963889">
            <w:pPr>
              <w:spacing w:line="360" w:lineRule="auto"/>
              <w:jc w:val="center"/>
              <w:rPr>
                <w:sz w:val="22"/>
                <w:szCs w:val="22"/>
                <w:lang w:val="en-GB"/>
              </w:rPr>
            </w:pPr>
            <w:r w:rsidRPr="008E289E">
              <w:rPr>
                <w:sz w:val="22"/>
                <w:szCs w:val="22"/>
                <w:lang w:val="en-GB"/>
              </w:rPr>
              <w:t>42 (14.3)</w:t>
            </w:r>
          </w:p>
        </w:tc>
        <w:tc>
          <w:tcPr>
            <w:tcW w:w="1872" w:type="dxa"/>
          </w:tcPr>
          <w:p w:rsidR="00A00E11" w:rsidRPr="008E289E" w:rsidRDefault="00A00E11" w:rsidP="00963889">
            <w:pPr>
              <w:spacing w:line="360" w:lineRule="auto"/>
              <w:jc w:val="center"/>
              <w:rPr>
                <w:sz w:val="22"/>
                <w:szCs w:val="22"/>
                <w:lang w:val="en-GB"/>
              </w:rPr>
            </w:pPr>
            <w:r w:rsidRPr="008E289E">
              <w:rPr>
                <w:sz w:val="22"/>
                <w:szCs w:val="22"/>
                <w:lang w:val="en-GB"/>
              </w:rPr>
              <w:t>0.04</w:t>
            </w:r>
          </w:p>
        </w:tc>
      </w:tr>
      <w:tr w:rsidR="00A00E11" w:rsidRPr="008E289E" w:rsidTr="00963889">
        <w:tc>
          <w:tcPr>
            <w:tcW w:w="4864" w:type="dxa"/>
          </w:tcPr>
          <w:p w:rsidR="00A00E11" w:rsidRPr="008E289E" w:rsidRDefault="00A00E11" w:rsidP="00963889">
            <w:pPr>
              <w:spacing w:line="360" w:lineRule="auto"/>
              <w:jc w:val="both"/>
              <w:rPr>
                <w:sz w:val="22"/>
                <w:szCs w:val="22"/>
                <w:lang w:val="en-GB"/>
              </w:rPr>
            </w:pPr>
            <w:r w:rsidRPr="008E289E">
              <w:rPr>
                <w:sz w:val="22"/>
                <w:szCs w:val="22"/>
                <w:lang w:val="en-GB"/>
              </w:rPr>
              <w:t>Depression (HADS-D≥8) (n (%))</w:t>
            </w:r>
          </w:p>
        </w:tc>
        <w:tc>
          <w:tcPr>
            <w:tcW w:w="547" w:type="dxa"/>
          </w:tcPr>
          <w:p w:rsidR="00A00E11" w:rsidRPr="008E289E" w:rsidRDefault="00A00E11" w:rsidP="00963889">
            <w:pPr>
              <w:spacing w:line="360" w:lineRule="auto"/>
              <w:jc w:val="center"/>
              <w:rPr>
                <w:sz w:val="22"/>
                <w:szCs w:val="22"/>
                <w:lang w:val="en-GB"/>
              </w:rPr>
            </w:pPr>
            <w:r w:rsidRPr="008E289E">
              <w:rPr>
                <w:sz w:val="22"/>
                <w:szCs w:val="22"/>
                <w:lang w:val="en-GB"/>
              </w:rPr>
              <w:t>362</w:t>
            </w:r>
          </w:p>
        </w:tc>
        <w:tc>
          <w:tcPr>
            <w:tcW w:w="2457" w:type="dxa"/>
          </w:tcPr>
          <w:p w:rsidR="00A00E11" w:rsidRPr="008E289E" w:rsidRDefault="00A00E11" w:rsidP="00963889">
            <w:pPr>
              <w:spacing w:line="360" w:lineRule="auto"/>
              <w:jc w:val="center"/>
              <w:rPr>
                <w:sz w:val="22"/>
                <w:szCs w:val="22"/>
                <w:lang w:val="en-GB"/>
              </w:rPr>
            </w:pPr>
            <w:r w:rsidRPr="008E289E">
              <w:rPr>
                <w:sz w:val="22"/>
                <w:szCs w:val="22"/>
                <w:lang w:val="en-GB"/>
              </w:rPr>
              <w:t>27 (7.5)</w:t>
            </w:r>
          </w:p>
        </w:tc>
        <w:tc>
          <w:tcPr>
            <w:tcW w:w="546" w:type="dxa"/>
          </w:tcPr>
          <w:p w:rsidR="00A00E11" w:rsidRPr="008E289E" w:rsidRDefault="00A00E11" w:rsidP="00963889">
            <w:pPr>
              <w:spacing w:line="360" w:lineRule="auto"/>
              <w:jc w:val="center"/>
              <w:rPr>
                <w:sz w:val="22"/>
                <w:szCs w:val="22"/>
                <w:lang w:val="en-GB"/>
              </w:rPr>
            </w:pPr>
            <w:r w:rsidRPr="008E289E">
              <w:rPr>
                <w:sz w:val="22"/>
                <w:szCs w:val="22"/>
                <w:lang w:val="en-GB"/>
              </w:rPr>
              <w:t>67</w:t>
            </w:r>
          </w:p>
        </w:tc>
        <w:tc>
          <w:tcPr>
            <w:tcW w:w="2384" w:type="dxa"/>
          </w:tcPr>
          <w:p w:rsidR="00A00E11" w:rsidRPr="008E289E" w:rsidRDefault="00A00E11" w:rsidP="00963889">
            <w:pPr>
              <w:spacing w:line="360" w:lineRule="auto"/>
              <w:jc w:val="center"/>
              <w:rPr>
                <w:sz w:val="22"/>
                <w:szCs w:val="22"/>
                <w:lang w:val="en-GB"/>
              </w:rPr>
            </w:pPr>
            <w:r w:rsidRPr="008E289E">
              <w:rPr>
                <w:sz w:val="22"/>
                <w:szCs w:val="22"/>
                <w:lang w:val="en-GB"/>
              </w:rPr>
              <w:t>13 (19.4)</w:t>
            </w:r>
          </w:p>
        </w:tc>
        <w:tc>
          <w:tcPr>
            <w:tcW w:w="546" w:type="dxa"/>
          </w:tcPr>
          <w:p w:rsidR="00A00E11" w:rsidRPr="008E289E" w:rsidRDefault="00A00E11" w:rsidP="00963889">
            <w:pPr>
              <w:spacing w:line="360" w:lineRule="auto"/>
              <w:jc w:val="center"/>
              <w:rPr>
                <w:sz w:val="22"/>
                <w:szCs w:val="22"/>
                <w:lang w:val="en-GB"/>
              </w:rPr>
            </w:pPr>
            <w:r w:rsidRPr="008E289E">
              <w:rPr>
                <w:sz w:val="22"/>
                <w:szCs w:val="22"/>
                <w:lang w:val="en-GB"/>
              </w:rPr>
              <w:t>295</w:t>
            </w:r>
          </w:p>
        </w:tc>
        <w:tc>
          <w:tcPr>
            <w:tcW w:w="2390" w:type="dxa"/>
          </w:tcPr>
          <w:p w:rsidR="00A00E11" w:rsidRPr="008E289E" w:rsidRDefault="00A00E11" w:rsidP="00963889">
            <w:pPr>
              <w:spacing w:line="360" w:lineRule="auto"/>
              <w:jc w:val="center"/>
              <w:rPr>
                <w:sz w:val="22"/>
                <w:szCs w:val="22"/>
                <w:lang w:val="en-GB"/>
              </w:rPr>
            </w:pPr>
            <w:r w:rsidRPr="008E289E">
              <w:rPr>
                <w:sz w:val="22"/>
                <w:szCs w:val="22"/>
                <w:lang w:val="en-GB"/>
              </w:rPr>
              <w:t>14 (4.7)</w:t>
            </w:r>
          </w:p>
        </w:tc>
        <w:tc>
          <w:tcPr>
            <w:tcW w:w="1872" w:type="dxa"/>
          </w:tcPr>
          <w:p w:rsidR="00A00E11" w:rsidRPr="008E289E" w:rsidRDefault="00A00E11" w:rsidP="00963889">
            <w:pPr>
              <w:spacing w:line="360" w:lineRule="auto"/>
              <w:jc w:val="center"/>
              <w:rPr>
                <w:sz w:val="22"/>
                <w:szCs w:val="22"/>
                <w:lang w:val="en-GB"/>
              </w:rPr>
            </w:pPr>
            <w:r w:rsidRPr="008E289E">
              <w:rPr>
                <w:sz w:val="22"/>
                <w:szCs w:val="22"/>
                <w:lang w:val="en-GB"/>
              </w:rPr>
              <w:t>&lt;0.001</w:t>
            </w:r>
          </w:p>
        </w:tc>
      </w:tr>
      <w:tr w:rsidR="00A00E11" w:rsidRPr="008E289E" w:rsidTr="00963889">
        <w:tc>
          <w:tcPr>
            <w:tcW w:w="4864" w:type="dxa"/>
            <w:tcBorders>
              <w:bottom w:val="single" w:sz="4" w:space="0" w:color="auto"/>
            </w:tcBorders>
          </w:tcPr>
          <w:p w:rsidR="00A00E11" w:rsidRPr="008E289E" w:rsidRDefault="00A00E11" w:rsidP="00963889">
            <w:pPr>
              <w:spacing w:line="360" w:lineRule="auto"/>
              <w:jc w:val="both"/>
              <w:rPr>
                <w:sz w:val="22"/>
                <w:szCs w:val="22"/>
                <w:lang w:val="en-GB"/>
              </w:rPr>
            </w:pPr>
            <w:r w:rsidRPr="008E289E">
              <w:rPr>
                <w:sz w:val="22"/>
                <w:szCs w:val="22"/>
                <w:lang w:val="en-GB"/>
              </w:rPr>
              <w:t>Physical activity (min/day) (Median (IQR))</w:t>
            </w:r>
          </w:p>
        </w:tc>
        <w:tc>
          <w:tcPr>
            <w:tcW w:w="547" w:type="dxa"/>
            <w:tcBorders>
              <w:bottom w:val="single" w:sz="4" w:space="0" w:color="auto"/>
            </w:tcBorders>
          </w:tcPr>
          <w:p w:rsidR="00A00E11" w:rsidRPr="008E289E" w:rsidRDefault="00A00E11" w:rsidP="00963889">
            <w:pPr>
              <w:spacing w:line="360" w:lineRule="auto"/>
              <w:jc w:val="center"/>
              <w:rPr>
                <w:sz w:val="22"/>
                <w:szCs w:val="22"/>
                <w:lang w:val="en-GB"/>
              </w:rPr>
            </w:pPr>
            <w:r w:rsidRPr="008E289E">
              <w:rPr>
                <w:sz w:val="22"/>
                <w:szCs w:val="22"/>
                <w:lang w:val="en-GB"/>
              </w:rPr>
              <w:t>399</w:t>
            </w:r>
          </w:p>
        </w:tc>
        <w:tc>
          <w:tcPr>
            <w:tcW w:w="2457" w:type="dxa"/>
            <w:tcBorders>
              <w:bottom w:val="single" w:sz="4" w:space="0" w:color="auto"/>
            </w:tcBorders>
          </w:tcPr>
          <w:p w:rsidR="00A00E11" w:rsidRPr="008E289E" w:rsidRDefault="00A00E11" w:rsidP="00963889">
            <w:pPr>
              <w:spacing w:line="360" w:lineRule="auto"/>
              <w:jc w:val="center"/>
              <w:rPr>
                <w:sz w:val="22"/>
                <w:szCs w:val="22"/>
                <w:lang w:val="en-GB"/>
              </w:rPr>
            </w:pPr>
            <w:r w:rsidRPr="008E289E">
              <w:rPr>
                <w:sz w:val="22"/>
                <w:szCs w:val="22"/>
                <w:lang w:val="en-GB"/>
              </w:rPr>
              <w:t>192.9 (124.3-282.9)</w:t>
            </w:r>
          </w:p>
        </w:tc>
        <w:tc>
          <w:tcPr>
            <w:tcW w:w="546" w:type="dxa"/>
            <w:tcBorders>
              <w:bottom w:val="single" w:sz="4" w:space="0" w:color="auto"/>
            </w:tcBorders>
          </w:tcPr>
          <w:p w:rsidR="00A00E11" w:rsidRPr="008E289E" w:rsidRDefault="00A00E11" w:rsidP="00963889">
            <w:pPr>
              <w:spacing w:line="360" w:lineRule="auto"/>
              <w:jc w:val="center"/>
              <w:rPr>
                <w:sz w:val="22"/>
                <w:szCs w:val="22"/>
                <w:lang w:val="en-GB"/>
              </w:rPr>
            </w:pPr>
            <w:r w:rsidRPr="008E289E">
              <w:rPr>
                <w:sz w:val="22"/>
                <w:szCs w:val="22"/>
                <w:lang w:val="en-GB"/>
              </w:rPr>
              <w:t>73</w:t>
            </w:r>
          </w:p>
        </w:tc>
        <w:tc>
          <w:tcPr>
            <w:tcW w:w="2384" w:type="dxa"/>
            <w:tcBorders>
              <w:bottom w:val="single" w:sz="4" w:space="0" w:color="auto"/>
            </w:tcBorders>
          </w:tcPr>
          <w:p w:rsidR="00A00E11" w:rsidRPr="008E289E" w:rsidRDefault="00A00E11" w:rsidP="00963889">
            <w:pPr>
              <w:spacing w:line="360" w:lineRule="auto"/>
              <w:jc w:val="center"/>
              <w:rPr>
                <w:sz w:val="22"/>
                <w:szCs w:val="22"/>
                <w:lang w:val="en-GB"/>
              </w:rPr>
            </w:pPr>
            <w:r w:rsidRPr="008E289E">
              <w:rPr>
                <w:sz w:val="22"/>
                <w:szCs w:val="22"/>
                <w:lang w:val="en-GB"/>
              </w:rPr>
              <w:t>171.4 (86.4-225.5)</w:t>
            </w:r>
          </w:p>
        </w:tc>
        <w:tc>
          <w:tcPr>
            <w:tcW w:w="546" w:type="dxa"/>
            <w:tcBorders>
              <w:bottom w:val="single" w:sz="4" w:space="0" w:color="auto"/>
            </w:tcBorders>
          </w:tcPr>
          <w:p w:rsidR="00A00E11" w:rsidRPr="008E289E" w:rsidRDefault="00A00E11" w:rsidP="00963889">
            <w:pPr>
              <w:spacing w:line="360" w:lineRule="auto"/>
              <w:jc w:val="center"/>
              <w:rPr>
                <w:sz w:val="22"/>
                <w:szCs w:val="22"/>
                <w:lang w:val="en-GB"/>
              </w:rPr>
            </w:pPr>
            <w:r w:rsidRPr="008E289E">
              <w:rPr>
                <w:sz w:val="22"/>
                <w:szCs w:val="22"/>
                <w:lang w:val="en-GB"/>
              </w:rPr>
              <w:t>326</w:t>
            </w:r>
          </w:p>
        </w:tc>
        <w:tc>
          <w:tcPr>
            <w:tcW w:w="2390" w:type="dxa"/>
            <w:tcBorders>
              <w:bottom w:val="single" w:sz="4" w:space="0" w:color="auto"/>
            </w:tcBorders>
          </w:tcPr>
          <w:p w:rsidR="00A00E11" w:rsidRPr="008E289E" w:rsidRDefault="00A00E11" w:rsidP="00963889">
            <w:pPr>
              <w:spacing w:line="360" w:lineRule="auto"/>
              <w:jc w:val="center"/>
              <w:rPr>
                <w:sz w:val="22"/>
                <w:szCs w:val="22"/>
                <w:lang w:val="en-GB"/>
              </w:rPr>
            </w:pPr>
            <w:r w:rsidRPr="008E289E">
              <w:rPr>
                <w:sz w:val="22"/>
                <w:szCs w:val="22"/>
                <w:lang w:val="en-GB"/>
              </w:rPr>
              <w:t>197.1 (129.1-287.1)</w:t>
            </w:r>
          </w:p>
        </w:tc>
        <w:tc>
          <w:tcPr>
            <w:tcW w:w="1872" w:type="dxa"/>
            <w:tcBorders>
              <w:bottom w:val="single" w:sz="4" w:space="0" w:color="auto"/>
            </w:tcBorders>
          </w:tcPr>
          <w:p w:rsidR="00A00E11" w:rsidRPr="008E289E" w:rsidRDefault="00A00E11" w:rsidP="00963889">
            <w:pPr>
              <w:spacing w:line="360" w:lineRule="auto"/>
              <w:jc w:val="center"/>
              <w:rPr>
                <w:sz w:val="22"/>
                <w:szCs w:val="22"/>
                <w:lang w:val="en-GB"/>
              </w:rPr>
            </w:pPr>
            <w:r w:rsidRPr="008E289E">
              <w:rPr>
                <w:sz w:val="22"/>
                <w:szCs w:val="22"/>
                <w:lang w:val="en-GB"/>
              </w:rPr>
              <w:t>0.06</w:t>
            </w:r>
          </w:p>
        </w:tc>
      </w:tr>
    </w:tbl>
    <w:p w:rsidR="00A00E11" w:rsidRPr="008E289E" w:rsidRDefault="00A00E11" w:rsidP="00A00E11">
      <w:pPr>
        <w:spacing w:line="360" w:lineRule="auto"/>
        <w:rPr>
          <w:lang w:val="en-GB"/>
        </w:rPr>
      </w:pPr>
    </w:p>
    <w:p w:rsidR="00A00E11" w:rsidRPr="008E289E" w:rsidRDefault="00A00E11" w:rsidP="00A00E11">
      <w:pPr>
        <w:pStyle w:val="NoSpacing"/>
        <w:spacing w:line="480" w:lineRule="auto"/>
        <w:rPr>
          <w:rFonts w:ascii="Times New Roman" w:hAnsi="Times New Roman" w:cs="Times New Roman"/>
          <w:lang w:val="en-US"/>
        </w:rPr>
      </w:pPr>
      <w:proofErr w:type="spellStart"/>
      <w:r w:rsidRPr="008E289E">
        <w:rPr>
          <w:rFonts w:ascii="Times New Roman" w:hAnsi="Times New Roman" w:cs="Times New Roman"/>
          <w:vertAlign w:val="superscript"/>
          <w:lang w:val="en-US"/>
        </w:rPr>
        <w:t>a</w:t>
      </w:r>
      <w:proofErr w:type="spellEnd"/>
      <w:r w:rsidRPr="008E289E">
        <w:rPr>
          <w:rFonts w:ascii="Times New Roman" w:hAnsi="Times New Roman" w:cs="Times New Roman"/>
          <w:vertAlign w:val="superscript"/>
          <w:lang w:val="en-US"/>
        </w:rPr>
        <w:t xml:space="preserve"> </w:t>
      </w:r>
      <w:r w:rsidRPr="008E289E">
        <w:rPr>
          <w:rFonts w:ascii="Times New Roman" w:hAnsi="Times New Roman" w:cs="Times New Roman"/>
          <w:lang w:val="en-US"/>
        </w:rPr>
        <w:t>Abbreviations: HADS-A= Hospital Anxiety Depression Scales – Anxiety; HADS-D= Hospital Anxiety Depression Scales – Depression; IQR=Interquartile range; n= Number; LLOA= Lower limb osteoarthritis.</w:t>
      </w:r>
    </w:p>
    <w:p w:rsidR="00A00E11" w:rsidRPr="008E289E" w:rsidRDefault="00A00E11" w:rsidP="00A00E11">
      <w:pPr>
        <w:pStyle w:val="NoSpacing"/>
        <w:spacing w:line="480" w:lineRule="auto"/>
        <w:rPr>
          <w:rFonts w:ascii="Times New Roman" w:hAnsi="Times New Roman" w:cs="Times New Roman"/>
          <w:lang w:val="en-US"/>
        </w:rPr>
      </w:pPr>
      <w:r w:rsidRPr="008E289E">
        <w:rPr>
          <w:rFonts w:ascii="Times New Roman" w:hAnsi="Times New Roman" w:cs="Times New Roman"/>
          <w:vertAlign w:val="superscript"/>
          <w:lang w:val="en-US"/>
        </w:rPr>
        <w:t xml:space="preserve">b </w:t>
      </w:r>
      <w:r w:rsidRPr="008E289E">
        <w:rPr>
          <w:rFonts w:ascii="Times New Roman" w:hAnsi="Times New Roman" w:cs="Times New Roman"/>
          <w:lang w:val="en-US"/>
        </w:rPr>
        <w:t>p-value of observed differences between groups with and without LLOA.</w:t>
      </w:r>
    </w:p>
    <w:p w:rsidR="006E71FE" w:rsidRPr="00A00E11" w:rsidRDefault="006E71FE" w:rsidP="00FA23AC">
      <w:pPr>
        <w:spacing w:line="480" w:lineRule="auto"/>
        <w:ind w:left="708"/>
        <w:jc w:val="both"/>
        <w:rPr>
          <w:sz w:val="22"/>
          <w:szCs w:val="22"/>
          <w:lang w:val="en-US"/>
        </w:rPr>
      </w:pPr>
    </w:p>
    <w:p w:rsidR="0096314D" w:rsidRDefault="0096314D" w:rsidP="00F43541">
      <w:pPr>
        <w:spacing w:line="480" w:lineRule="auto"/>
        <w:jc w:val="both"/>
        <w:rPr>
          <w:sz w:val="22"/>
          <w:szCs w:val="22"/>
          <w:highlight w:val="yellow"/>
          <w:lang w:val="en-GB"/>
        </w:rPr>
      </w:pPr>
    </w:p>
    <w:p w:rsidR="00A00E11" w:rsidRPr="00C34A65" w:rsidRDefault="00A00E11" w:rsidP="00A00E11">
      <w:pPr>
        <w:rPr>
          <w:b/>
          <w:sz w:val="22"/>
          <w:szCs w:val="22"/>
          <w:lang w:val="en-US"/>
        </w:rPr>
      </w:pPr>
      <w:r w:rsidRPr="00C34A65">
        <w:rPr>
          <w:b/>
          <w:sz w:val="22"/>
          <w:szCs w:val="22"/>
          <w:lang w:val="en-US"/>
        </w:rPr>
        <w:lastRenderedPageBreak/>
        <w:t xml:space="preserve">Table 2: Availability and use of four types of </w:t>
      </w:r>
      <w:proofErr w:type="spellStart"/>
      <w:r w:rsidRPr="00C34A65">
        <w:rPr>
          <w:b/>
          <w:sz w:val="22"/>
          <w:szCs w:val="22"/>
          <w:lang w:val="en-US"/>
        </w:rPr>
        <w:t>neighbourhood</w:t>
      </w:r>
      <w:proofErr w:type="spellEnd"/>
      <w:r w:rsidRPr="00C34A65">
        <w:rPr>
          <w:b/>
          <w:sz w:val="22"/>
          <w:szCs w:val="22"/>
          <w:lang w:val="en-US"/>
        </w:rPr>
        <w:t xml:space="preserve"> resources in the study sample, stratified by the presence of lower limb osteoarthritis.</w:t>
      </w:r>
      <w:r>
        <w:rPr>
          <w:b/>
          <w:sz w:val="22"/>
          <w:szCs w:val="22"/>
          <w:lang w:val="en-US"/>
        </w:rPr>
        <w:t xml:space="preserve"> </w:t>
      </w:r>
      <w:r w:rsidRPr="00C34A65">
        <w:rPr>
          <w:b/>
          <w:sz w:val="22"/>
          <w:szCs w:val="22"/>
          <w:vertAlign w:val="superscript"/>
          <w:lang w:val="en-US"/>
        </w:rPr>
        <w:t>a</w:t>
      </w:r>
      <w:r w:rsidRPr="00C34A65">
        <w:rPr>
          <w:b/>
          <w:sz w:val="22"/>
          <w:szCs w:val="22"/>
          <w:lang w:val="en-US"/>
        </w:rPr>
        <w:t xml:space="preserve">  </w:t>
      </w:r>
    </w:p>
    <w:p w:rsidR="00A00E11" w:rsidRDefault="00A00E11" w:rsidP="00A00E11">
      <w:pPr>
        <w:rPr>
          <w:b/>
          <w:sz w:val="22"/>
          <w:szCs w:val="22"/>
          <w:lang w:val="en-US"/>
        </w:rPr>
      </w:pPr>
    </w:p>
    <w:tbl>
      <w:tblPr>
        <w:tblStyle w:val="TableGrid"/>
        <w:tblpPr w:leftFromText="141" w:rightFromText="141" w:vertAnchor="page" w:horzAnchor="margin" w:tblpY="1981"/>
        <w:tblW w:w="15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4"/>
        <w:gridCol w:w="546"/>
        <w:gridCol w:w="2360"/>
        <w:gridCol w:w="545"/>
        <w:gridCol w:w="2336"/>
        <w:gridCol w:w="546"/>
        <w:gridCol w:w="2302"/>
        <w:gridCol w:w="1231"/>
      </w:tblGrid>
      <w:tr w:rsidR="00A00E11" w:rsidRPr="00C34A65" w:rsidTr="00963889">
        <w:tc>
          <w:tcPr>
            <w:tcW w:w="5592" w:type="dxa"/>
            <w:tcBorders>
              <w:top w:val="single" w:sz="4" w:space="0" w:color="auto"/>
              <w:bottom w:val="single" w:sz="4" w:space="0" w:color="auto"/>
            </w:tcBorders>
          </w:tcPr>
          <w:p w:rsidR="00A00E11" w:rsidRPr="00C34A65" w:rsidRDefault="00A00E11" w:rsidP="00963889">
            <w:pPr>
              <w:spacing w:line="360" w:lineRule="auto"/>
              <w:jc w:val="center"/>
              <w:rPr>
                <w:sz w:val="22"/>
                <w:szCs w:val="22"/>
                <w:lang w:val="en-GB"/>
              </w:rPr>
            </w:pPr>
          </w:p>
        </w:tc>
        <w:tc>
          <w:tcPr>
            <w:tcW w:w="2941" w:type="dxa"/>
            <w:gridSpan w:val="2"/>
            <w:tcBorders>
              <w:top w:val="single" w:sz="4" w:space="0" w:color="auto"/>
              <w:bottom w:val="single" w:sz="4" w:space="0" w:color="auto"/>
            </w:tcBorders>
          </w:tcPr>
          <w:p w:rsidR="00A00E11" w:rsidRPr="00C34A65" w:rsidRDefault="00A00E11" w:rsidP="00963889">
            <w:pPr>
              <w:spacing w:line="360" w:lineRule="auto"/>
              <w:jc w:val="center"/>
              <w:rPr>
                <w:b/>
                <w:sz w:val="22"/>
                <w:szCs w:val="22"/>
                <w:lang w:val="en-GB"/>
              </w:rPr>
            </w:pPr>
            <w:r w:rsidRPr="00C34A65">
              <w:rPr>
                <w:b/>
                <w:sz w:val="22"/>
                <w:szCs w:val="22"/>
                <w:lang w:val="en-GB"/>
              </w:rPr>
              <w:t xml:space="preserve">All participants </w:t>
            </w:r>
          </w:p>
          <w:p w:rsidR="00A00E11" w:rsidRPr="00C34A65" w:rsidRDefault="00A00E11" w:rsidP="00963889">
            <w:pPr>
              <w:spacing w:line="360" w:lineRule="auto"/>
              <w:jc w:val="center"/>
              <w:rPr>
                <w:b/>
                <w:sz w:val="22"/>
                <w:szCs w:val="22"/>
                <w:lang w:val="en-GB"/>
              </w:rPr>
            </w:pPr>
            <w:r w:rsidRPr="00C34A65">
              <w:rPr>
                <w:b/>
                <w:sz w:val="22"/>
                <w:szCs w:val="22"/>
                <w:lang w:val="en-GB"/>
              </w:rPr>
              <w:t>(n=40</w:t>
            </w:r>
            <w:r>
              <w:rPr>
                <w:b/>
                <w:sz w:val="22"/>
                <w:szCs w:val="22"/>
                <w:lang w:val="en-GB"/>
              </w:rPr>
              <w:t>1</w:t>
            </w:r>
            <w:r w:rsidRPr="00C34A65">
              <w:rPr>
                <w:b/>
                <w:sz w:val="22"/>
                <w:szCs w:val="22"/>
                <w:lang w:val="en-GB"/>
              </w:rPr>
              <w:t>)</w:t>
            </w:r>
          </w:p>
        </w:tc>
        <w:tc>
          <w:tcPr>
            <w:tcW w:w="2915" w:type="dxa"/>
            <w:gridSpan w:val="2"/>
            <w:tcBorders>
              <w:top w:val="single" w:sz="4" w:space="0" w:color="auto"/>
              <w:bottom w:val="single" w:sz="4" w:space="0" w:color="auto"/>
            </w:tcBorders>
          </w:tcPr>
          <w:p w:rsidR="00A00E11" w:rsidRPr="00C34A65" w:rsidRDefault="00A00E11" w:rsidP="00963889">
            <w:pPr>
              <w:spacing w:line="360" w:lineRule="auto"/>
              <w:jc w:val="center"/>
              <w:rPr>
                <w:b/>
                <w:sz w:val="22"/>
                <w:szCs w:val="22"/>
                <w:lang w:val="en-GB"/>
              </w:rPr>
            </w:pPr>
            <w:r w:rsidRPr="00C34A65">
              <w:rPr>
                <w:b/>
                <w:sz w:val="22"/>
                <w:szCs w:val="22"/>
                <w:lang w:val="en-GB"/>
              </w:rPr>
              <w:t>Participants with LL</w:t>
            </w:r>
            <w:r>
              <w:rPr>
                <w:b/>
                <w:sz w:val="22"/>
                <w:szCs w:val="22"/>
                <w:lang w:val="en-GB"/>
              </w:rPr>
              <w:t>OA (n=74</w:t>
            </w:r>
            <w:r w:rsidRPr="00C34A65">
              <w:rPr>
                <w:b/>
                <w:sz w:val="22"/>
                <w:szCs w:val="22"/>
                <w:lang w:val="en-GB"/>
              </w:rPr>
              <w:t>)</w:t>
            </w:r>
          </w:p>
        </w:tc>
        <w:tc>
          <w:tcPr>
            <w:tcW w:w="2679" w:type="dxa"/>
            <w:gridSpan w:val="2"/>
            <w:tcBorders>
              <w:top w:val="single" w:sz="4" w:space="0" w:color="auto"/>
              <w:bottom w:val="single" w:sz="4" w:space="0" w:color="auto"/>
            </w:tcBorders>
          </w:tcPr>
          <w:p w:rsidR="00A00E11" w:rsidRPr="00C34A65" w:rsidRDefault="00A00E11" w:rsidP="00963889">
            <w:pPr>
              <w:spacing w:line="360" w:lineRule="auto"/>
              <w:jc w:val="center"/>
              <w:rPr>
                <w:b/>
                <w:sz w:val="22"/>
                <w:szCs w:val="22"/>
                <w:lang w:val="en-GB"/>
              </w:rPr>
            </w:pPr>
            <w:r w:rsidRPr="00C34A65">
              <w:rPr>
                <w:b/>
                <w:sz w:val="22"/>
                <w:szCs w:val="22"/>
                <w:lang w:val="en-GB"/>
              </w:rPr>
              <w:t xml:space="preserve">Participants without LLOA </w:t>
            </w:r>
          </w:p>
          <w:p w:rsidR="00A00E11" w:rsidRPr="00C34A65" w:rsidRDefault="00A00E11" w:rsidP="00963889">
            <w:pPr>
              <w:spacing w:line="360" w:lineRule="auto"/>
              <w:jc w:val="center"/>
              <w:rPr>
                <w:b/>
                <w:sz w:val="22"/>
                <w:szCs w:val="22"/>
                <w:lang w:val="en-GB"/>
              </w:rPr>
            </w:pPr>
            <w:r>
              <w:rPr>
                <w:b/>
                <w:sz w:val="22"/>
                <w:szCs w:val="22"/>
                <w:lang w:val="en-GB"/>
              </w:rPr>
              <w:t>(n=327</w:t>
            </w:r>
            <w:r w:rsidRPr="00C34A65">
              <w:rPr>
                <w:b/>
                <w:sz w:val="22"/>
                <w:szCs w:val="22"/>
                <w:lang w:val="en-GB"/>
              </w:rPr>
              <w:t>)</w:t>
            </w:r>
          </w:p>
        </w:tc>
        <w:tc>
          <w:tcPr>
            <w:tcW w:w="1243" w:type="dxa"/>
            <w:tcBorders>
              <w:top w:val="single" w:sz="4" w:space="0" w:color="auto"/>
              <w:bottom w:val="single" w:sz="4" w:space="0" w:color="auto"/>
            </w:tcBorders>
          </w:tcPr>
          <w:p w:rsidR="00A00E11" w:rsidRPr="00C34A65" w:rsidRDefault="00A00E11" w:rsidP="00963889">
            <w:pPr>
              <w:spacing w:line="360" w:lineRule="auto"/>
              <w:jc w:val="center"/>
              <w:rPr>
                <w:b/>
                <w:sz w:val="22"/>
                <w:szCs w:val="22"/>
                <w:vertAlign w:val="superscript"/>
                <w:lang w:val="en-GB"/>
              </w:rPr>
            </w:pPr>
            <w:r w:rsidRPr="00C34A65">
              <w:rPr>
                <w:b/>
                <w:sz w:val="22"/>
                <w:szCs w:val="22"/>
                <w:lang w:val="en-GB"/>
              </w:rPr>
              <w:t xml:space="preserve">p-value </w:t>
            </w:r>
            <w:r w:rsidRPr="00C34A65">
              <w:rPr>
                <w:b/>
                <w:sz w:val="22"/>
                <w:szCs w:val="22"/>
                <w:vertAlign w:val="superscript"/>
                <w:lang w:val="en-GB"/>
              </w:rPr>
              <w:t>b</w:t>
            </w:r>
          </w:p>
        </w:tc>
      </w:tr>
      <w:tr w:rsidR="00A00E11" w:rsidRPr="00C34A65" w:rsidTr="00963889">
        <w:tc>
          <w:tcPr>
            <w:tcW w:w="5592" w:type="dxa"/>
            <w:tcBorders>
              <w:top w:val="single" w:sz="4" w:space="0" w:color="auto"/>
              <w:bottom w:val="single" w:sz="4" w:space="0" w:color="auto"/>
            </w:tcBorders>
          </w:tcPr>
          <w:p w:rsidR="00A00E11" w:rsidRPr="00C34A65" w:rsidRDefault="00A00E11" w:rsidP="00963889">
            <w:pPr>
              <w:spacing w:line="360" w:lineRule="auto"/>
              <w:jc w:val="center"/>
              <w:rPr>
                <w:sz w:val="22"/>
                <w:szCs w:val="22"/>
                <w:lang w:val="en-GB"/>
              </w:rPr>
            </w:pPr>
          </w:p>
        </w:tc>
        <w:tc>
          <w:tcPr>
            <w:tcW w:w="546" w:type="dxa"/>
            <w:tcBorders>
              <w:top w:val="single" w:sz="4" w:space="0" w:color="auto"/>
              <w:bottom w:val="single" w:sz="4" w:space="0" w:color="auto"/>
            </w:tcBorders>
          </w:tcPr>
          <w:p w:rsidR="00A00E11" w:rsidRPr="00C34A65" w:rsidRDefault="00A00E11" w:rsidP="00963889">
            <w:pPr>
              <w:spacing w:line="360" w:lineRule="auto"/>
              <w:jc w:val="center"/>
              <w:rPr>
                <w:sz w:val="22"/>
                <w:szCs w:val="22"/>
                <w:lang w:val="en-GB"/>
              </w:rPr>
            </w:pPr>
            <w:r w:rsidRPr="00C34A65">
              <w:rPr>
                <w:sz w:val="22"/>
                <w:szCs w:val="22"/>
                <w:lang w:val="en-GB"/>
              </w:rPr>
              <w:t>n</w:t>
            </w:r>
          </w:p>
        </w:tc>
        <w:tc>
          <w:tcPr>
            <w:tcW w:w="2395" w:type="dxa"/>
            <w:tcBorders>
              <w:top w:val="single" w:sz="4" w:space="0" w:color="auto"/>
              <w:bottom w:val="single" w:sz="4" w:space="0" w:color="auto"/>
            </w:tcBorders>
          </w:tcPr>
          <w:p w:rsidR="00A00E11" w:rsidRPr="00C34A65" w:rsidRDefault="00A00E11" w:rsidP="00963889">
            <w:pPr>
              <w:spacing w:line="360" w:lineRule="auto"/>
              <w:jc w:val="center"/>
              <w:rPr>
                <w:sz w:val="22"/>
                <w:szCs w:val="22"/>
                <w:lang w:val="en-GB"/>
              </w:rPr>
            </w:pPr>
          </w:p>
        </w:tc>
        <w:tc>
          <w:tcPr>
            <w:tcW w:w="546" w:type="dxa"/>
            <w:tcBorders>
              <w:top w:val="single" w:sz="4" w:space="0" w:color="auto"/>
              <w:bottom w:val="single" w:sz="4" w:space="0" w:color="auto"/>
            </w:tcBorders>
          </w:tcPr>
          <w:p w:rsidR="00A00E11" w:rsidRPr="00C34A65" w:rsidRDefault="00A00E11" w:rsidP="00963889">
            <w:pPr>
              <w:spacing w:line="360" w:lineRule="auto"/>
              <w:jc w:val="center"/>
              <w:rPr>
                <w:sz w:val="22"/>
                <w:szCs w:val="22"/>
                <w:lang w:val="en-GB"/>
              </w:rPr>
            </w:pPr>
            <w:r w:rsidRPr="00C34A65">
              <w:rPr>
                <w:sz w:val="22"/>
                <w:szCs w:val="22"/>
                <w:lang w:val="en-GB"/>
              </w:rPr>
              <w:t>n</w:t>
            </w:r>
          </w:p>
        </w:tc>
        <w:tc>
          <w:tcPr>
            <w:tcW w:w="2369" w:type="dxa"/>
            <w:tcBorders>
              <w:top w:val="single" w:sz="4" w:space="0" w:color="auto"/>
              <w:bottom w:val="single" w:sz="4" w:space="0" w:color="auto"/>
            </w:tcBorders>
          </w:tcPr>
          <w:p w:rsidR="00A00E11" w:rsidRPr="00C34A65" w:rsidRDefault="00A00E11" w:rsidP="00963889">
            <w:pPr>
              <w:spacing w:line="360" w:lineRule="auto"/>
              <w:jc w:val="center"/>
              <w:rPr>
                <w:sz w:val="22"/>
                <w:szCs w:val="22"/>
                <w:lang w:val="en-GB"/>
              </w:rPr>
            </w:pPr>
          </w:p>
        </w:tc>
        <w:tc>
          <w:tcPr>
            <w:tcW w:w="343" w:type="dxa"/>
            <w:tcBorders>
              <w:top w:val="single" w:sz="4" w:space="0" w:color="auto"/>
              <w:bottom w:val="single" w:sz="4" w:space="0" w:color="auto"/>
            </w:tcBorders>
          </w:tcPr>
          <w:p w:rsidR="00A00E11" w:rsidRPr="00C34A65" w:rsidRDefault="00A00E11" w:rsidP="00963889">
            <w:pPr>
              <w:spacing w:line="360" w:lineRule="auto"/>
              <w:jc w:val="center"/>
              <w:rPr>
                <w:sz w:val="22"/>
                <w:szCs w:val="22"/>
                <w:lang w:val="en-GB"/>
              </w:rPr>
            </w:pPr>
            <w:r w:rsidRPr="00C34A65">
              <w:rPr>
                <w:sz w:val="22"/>
                <w:szCs w:val="22"/>
                <w:lang w:val="en-GB"/>
              </w:rPr>
              <w:t>n</w:t>
            </w:r>
          </w:p>
        </w:tc>
        <w:tc>
          <w:tcPr>
            <w:tcW w:w="2336" w:type="dxa"/>
            <w:tcBorders>
              <w:top w:val="single" w:sz="4" w:space="0" w:color="auto"/>
              <w:bottom w:val="single" w:sz="4" w:space="0" w:color="auto"/>
            </w:tcBorders>
          </w:tcPr>
          <w:p w:rsidR="00A00E11" w:rsidRPr="00C34A65" w:rsidRDefault="00A00E11" w:rsidP="00963889">
            <w:pPr>
              <w:spacing w:line="360" w:lineRule="auto"/>
              <w:jc w:val="center"/>
              <w:rPr>
                <w:sz w:val="22"/>
                <w:szCs w:val="22"/>
                <w:lang w:val="en-GB"/>
              </w:rPr>
            </w:pPr>
          </w:p>
        </w:tc>
        <w:tc>
          <w:tcPr>
            <w:tcW w:w="1243" w:type="dxa"/>
            <w:tcBorders>
              <w:top w:val="single" w:sz="4" w:space="0" w:color="auto"/>
              <w:bottom w:val="single" w:sz="4" w:space="0" w:color="auto"/>
            </w:tcBorders>
          </w:tcPr>
          <w:p w:rsidR="00A00E11" w:rsidRPr="00C34A65" w:rsidRDefault="00A00E11" w:rsidP="00963889">
            <w:pPr>
              <w:spacing w:line="360" w:lineRule="auto"/>
              <w:jc w:val="center"/>
              <w:rPr>
                <w:sz w:val="22"/>
                <w:szCs w:val="22"/>
                <w:lang w:val="en-GB"/>
              </w:rPr>
            </w:pPr>
          </w:p>
        </w:tc>
      </w:tr>
      <w:tr w:rsidR="00A00E11" w:rsidRPr="00C34A65" w:rsidTr="00963889">
        <w:tc>
          <w:tcPr>
            <w:tcW w:w="5592" w:type="dxa"/>
            <w:tcBorders>
              <w:top w:val="single" w:sz="4" w:space="0" w:color="auto"/>
            </w:tcBorders>
          </w:tcPr>
          <w:p w:rsidR="00A00E11" w:rsidRPr="00C34A65" w:rsidRDefault="00A00E11" w:rsidP="00963889">
            <w:pPr>
              <w:spacing w:line="360" w:lineRule="auto"/>
              <w:jc w:val="both"/>
              <w:rPr>
                <w:b/>
                <w:sz w:val="22"/>
                <w:szCs w:val="22"/>
                <w:lang w:val="en-GB"/>
              </w:rPr>
            </w:pPr>
            <w:r w:rsidRPr="00C34A65">
              <w:rPr>
                <w:b/>
                <w:sz w:val="22"/>
                <w:szCs w:val="22"/>
                <w:lang w:val="en-GB"/>
              </w:rPr>
              <w:t>Availability of neighbourhood resources</w:t>
            </w:r>
          </w:p>
        </w:tc>
        <w:tc>
          <w:tcPr>
            <w:tcW w:w="546" w:type="dxa"/>
            <w:tcBorders>
              <w:top w:val="single" w:sz="4" w:space="0" w:color="auto"/>
            </w:tcBorders>
          </w:tcPr>
          <w:p w:rsidR="00A00E11" w:rsidRPr="00C34A65" w:rsidRDefault="00A00E11" w:rsidP="00963889">
            <w:pPr>
              <w:spacing w:line="360" w:lineRule="auto"/>
              <w:jc w:val="center"/>
              <w:rPr>
                <w:sz w:val="22"/>
                <w:szCs w:val="22"/>
                <w:lang w:val="en-GB"/>
              </w:rPr>
            </w:pPr>
          </w:p>
        </w:tc>
        <w:tc>
          <w:tcPr>
            <w:tcW w:w="2395" w:type="dxa"/>
            <w:tcBorders>
              <w:top w:val="single" w:sz="4" w:space="0" w:color="auto"/>
            </w:tcBorders>
          </w:tcPr>
          <w:p w:rsidR="00A00E11" w:rsidRPr="00C34A65" w:rsidRDefault="00A00E11" w:rsidP="00963889">
            <w:pPr>
              <w:spacing w:line="360" w:lineRule="auto"/>
              <w:jc w:val="center"/>
              <w:rPr>
                <w:sz w:val="22"/>
                <w:szCs w:val="22"/>
                <w:lang w:val="en-GB"/>
              </w:rPr>
            </w:pPr>
          </w:p>
        </w:tc>
        <w:tc>
          <w:tcPr>
            <w:tcW w:w="546" w:type="dxa"/>
            <w:tcBorders>
              <w:top w:val="single" w:sz="4" w:space="0" w:color="auto"/>
            </w:tcBorders>
          </w:tcPr>
          <w:p w:rsidR="00A00E11" w:rsidRPr="00C34A65" w:rsidRDefault="00A00E11" w:rsidP="00963889">
            <w:pPr>
              <w:spacing w:line="360" w:lineRule="auto"/>
              <w:jc w:val="center"/>
              <w:rPr>
                <w:sz w:val="22"/>
                <w:szCs w:val="22"/>
                <w:lang w:val="en-GB"/>
              </w:rPr>
            </w:pPr>
          </w:p>
        </w:tc>
        <w:tc>
          <w:tcPr>
            <w:tcW w:w="2369" w:type="dxa"/>
            <w:tcBorders>
              <w:top w:val="single" w:sz="4" w:space="0" w:color="auto"/>
            </w:tcBorders>
          </w:tcPr>
          <w:p w:rsidR="00A00E11" w:rsidRPr="00C34A65" w:rsidRDefault="00A00E11" w:rsidP="00963889">
            <w:pPr>
              <w:spacing w:line="360" w:lineRule="auto"/>
              <w:jc w:val="center"/>
              <w:rPr>
                <w:sz w:val="22"/>
                <w:szCs w:val="22"/>
                <w:lang w:val="en-GB"/>
              </w:rPr>
            </w:pPr>
          </w:p>
        </w:tc>
        <w:tc>
          <w:tcPr>
            <w:tcW w:w="343" w:type="dxa"/>
            <w:tcBorders>
              <w:top w:val="single" w:sz="4" w:space="0" w:color="auto"/>
            </w:tcBorders>
          </w:tcPr>
          <w:p w:rsidR="00A00E11" w:rsidRPr="00C34A65" w:rsidRDefault="00A00E11" w:rsidP="00963889">
            <w:pPr>
              <w:spacing w:line="360" w:lineRule="auto"/>
              <w:jc w:val="center"/>
              <w:rPr>
                <w:sz w:val="22"/>
                <w:szCs w:val="22"/>
                <w:lang w:val="en-GB"/>
              </w:rPr>
            </w:pPr>
          </w:p>
        </w:tc>
        <w:tc>
          <w:tcPr>
            <w:tcW w:w="2336" w:type="dxa"/>
            <w:tcBorders>
              <w:top w:val="single" w:sz="4" w:space="0" w:color="auto"/>
            </w:tcBorders>
          </w:tcPr>
          <w:p w:rsidR="00A00E11" w:rsidRPr="00C34A65" w:rsidRDefault="00A00E11" w:rsidP="00963889">
            <w:pPr>
              <w:spacing w:line="360" w:lineRule="auto"/>
              <w:jc w:val="center"/>
              <w:rPr>
                <w:sz w:val="22"/>
                <w:szCs w:val="22"/>
                <w:lang w:val="en-GB"/>
              </w:rPr>
            </w:pPr>
          </w:p>
        </w:tc>
        <w:tc>
          <w:tcPr>
            <w:tcW w:w="1243" w:type="dxa"/>
            <w:tcBorders>
              <w:top w:val="single" w:sz="4" w:space="0" w:color="auto"/>
            </w:tcBorders>
          </w:tcPr>
          <w:p w:rsidR="00A00E11" w:rsidRPr="00C34A65" w:rsidRDefault="00A00E11" w:rsidP="00963889">
            <w:pPr>
              <w:spacing w:line="360" w:lineRule="auto"/>
              <w:jc w:val="center"/>
              <w:rPr>
                <w:sz w:val="22"/>
                <w:szCs w:val="22"/>
                <w:lang w:val="en-GB"/>
              </w:rPr>
            </w:pPr>
          </w:p>
        </w:tc>
      </w:tr>
      <w:tr w:rsidR="00A00E11" w:rsidRPr="00C34A65" w:rsidTr="00963889">
        <w:tc>
          <w:tcPr>
            <w:tcW w:w="5592" w:type="dxa"/>
          </w:tcPr>
          <w:p w:rsidR="00A00E11" w:rsidRPr="00C34A65" w:rsidRDefault="00A00E11" w:rsidP="00963889">
            <w:pPr>
              <w:spacing w:line="360" w:lineRule="auto"/>
              <w:jc w:val="both"/>
              <w:rPr>
                <w:sz w:val="22"/>
                <w:szCs w:val="22"/>
                <w:lang w:val="en-GB"/>
              </w:rPr>
            </w:pPr>
            <w:r w:rsidRPr="00C34A65">
              <w:rPr>
                <w:sz w:val="22"/>
                <w:szCs w:val="22"/>
                <w:lang w:val="en-GB"/>
              </w:rPr>
              <w:t>Availability of parks and walking areas (a lot/some) (n (%))</w:t>
            </w:r>
          </w:p>
        </w:tc>
        <w:tc>
          <w:tcPr>
            <w:tcW w:w="546" w:type="dxa"/>
          </w:tcPr>
          <w:p w:rsidR="00A00E11" w:rsidRPr="00C34A65" w:rsidRDefault="00A00E11" w:rsidP="00963889">
            <w:pPr>
              <w:spacing w:line="360" w:lineRule="auto"/>
              <w:jc w:val="center"/>
              <w:rPr>
                <w:sz w:val="22"/>
                <w:szCs w:val="22"/>
                <w:lang w:val="en-GB"/>
              </w:rPr>
            </w:pPr>
            <w:r w:rsidRPr="00C34A65">
              <w:rPr>
                <w:sz w:val="22"/>
                <w:szCs w:val="22"/>
                <w:lang w:val="en-GB"/>
              </w:rPr>
              <w:t>40</w:t>
            </w:r>
            <w:r>
              <w:rPr>
                <w:sz w:val="22"/>
                <w:szCs w:val="22"/>
                <w:lang w:val="en-GB"/>
              </w:rPr>
              <w:t>1</w:t>
            </w:r>
          </w:p>
        </w:tc>
        <w:tc>
          <w:tcPr>
            <w:tcW w:w="2395" w:type="dxa"/>
          </w:tcPr>
          <w:p w:rsidR="00A00E11" w:rsidRPr="00C34A65" w:rsidRDefault="00A00E11" w:rsidP="00963889">
            <w:pPr>
              <w:spacing w:line="360" w:lineRule="auto"/>
              <w:jc w:val="center"/>
              <w:rPr>
                <w:sz w:val="22"/>
                <w:szCs w:val="22"/>
                <w:lang w:val="en-GB"/>
              </w:rPr>
            </w:pPr>
            <w:r>
              <w:rPr>
                <w:sz w:val="22"/>
                <w:szCs w:val="22"/>
                <w:lang w:val="en-GB"/>
              </w:rPr>
              <w:t>379 (94.5</w:t>
            </w:r>
            <w:r w:rsidRPr="00C34A65">
              <w:rPr>
                <w:sz w:val="22"/>
                <w:szCs w:val="22"/>
                <w:lang w:val="en-GB"/>
              </w:rPr>
              <w:t>)</w:t>
            </w:r>
          </w:p>
        </w:tc>
        <w:tc>
          <w:tcPr>
            <w:tcW w:w="546" w:type="dxa"/>
          </w:tcPr>
          <w:p w:rsidR="00A00E11" w:rsidRPr="00C34A65" w:rsidRDefault="00A00E11" w:rsidP="00963889">
            <w:pPr>
              <w:spacing w:line="360" w:lineRule="auto"/>
              <w:jc w:val="center"/>
              <w:rPr>
                <w:sz w:val="22"/>
                <w:szCs w:val="22"/>
                <w:lang w:val="en-GB"/>
              </w:rPr>
            </w:pPr>
            <w:r>
              <w:rPr>
                <w:sz w:val="22"/>
                <w:szCs w:val="22"/>
                <w:lang w:val="en-GB"/>
              </w:rPr>
              <w:t>74</w:t>
            </w:r>
          </w:p>
        </w:tc>
        <w:tc>
          <w:tcPr>
            <w:tcW w:w="2369" w:type="dxa"/>
          </w:tcPr>
          <w:p w:rsidR="00A00E11" w:rsidRPr="00C34A65" w:rsidRDefault="00A00E11" w:rsidP="00963889">
            <w:pPr>
              <w:spacing w:line="360" w:lineRule="auto"/>
              <w:jc w:val="center"/>
              <w:rPr>
                <w:sz w:val="22"/>
                <w:szCs w:val="22"/>
                <w:lang w:val="en-GB"/>
              </w:rPr>
            </w:pPr>
            <w:r>
              <w:rPr>
                <w:sz w:val="22"/>
                <w:szCs w:val="22"/>
                <w:lang w:val="en-GB"/>
              </w:rPr>
              <w:t>69 (93.2</w:t>
            </w:r>
            <w:r w:rsidRPr="00C34A65">
              <w:rPr>
                <w:sz w:val="22"/>
                <w:szCs w:val="22"/>
                <w:lang w:val="en-GB"/>
              </w:rPr>
              <w:t>)</w:t>
            </w:r>
          </w:p>
        </w:tc>
        <w:tc>
          <w:tcPr>
            <w:tcW w:w="343" w:type="dxa"/>
          </w:tcPr>
          <w:p w:rsidR="00A00E11" w:rsidRPr="00C34A65" w:rsidRDefault="00A00E11" w:rsidP="00963889">
            <w:pPr>
              <w:spacing w:line="360" w:lineRule="auto"/>
              <w:jc w:val="center"/>
              <w:rPr>
                <w:sz w:val="22"/>
                <w:szCs w:val="22"/>
                <w:lang w:val="en-GB"/>
              </w:rPr>
            </w:pPr>
            <w:r>
              <w:rPr>
                <w:sz w:val="22"/>
                <w:szCs w:val="22"/>
                <w:lang w:val="en-GB"/>
              </w:rPr>
              <w:t>327</w:t>
            </w:r>
          </w:p>
        </w:tc>
        <w:tc>
          <w:tcPr>
            <w:tcW w:w="2336" w:type="dxa"/>
          </w:tcPr>
          <w:p w:rsidR="00A00E11" w:rsidRPr="00C34A65" w:rsidRDefault="00A00E11" w:rsidP="00963889">
            <w:pPr>
              <w:spacing w:line="360" w:lineRule="auto"/>
              <w:jc w:val="center"/>
              <w:rPr>
                <w:sz w:val="22"/>
                <w:szCs w:val="22"/>
                <w:lang w:val="en-GB"/>
              </w:rPr>
            </w:pPr>
            <w:r>
              <w:rPr>
                <w:sz w:val="22"/>
                <w:szCs w:val="22"/>
                <w:lang w:val="en-GB"/>
              </w:rPr>
              <w:t>310 (94.8</w:t>
            </w:r>
            <w:r w:rsidRPr="00C34A65">
              <w:rPr>
                <w:sz w:val="22"/>
                <w:szCs w:val="22"/>
                <w:lang w:val="en-GB"/>
              </w:rPr>
              <w:t>)</w:t>
            </w:r>
          </w:p>
        </w:tc>
        <w:tc>
          <w:tcPr>
            <w:tcW w:w="1243" w:type="dxa"/>
          </w:tcPr>
          <w:p w:rsidR="00A00E11" w:rsidRPr="00C34A65" w:rsidRDefault="00A00E11" w:rsidP="00963889">
            <w:pPr>
              <w:spacing w:line="360" w:lineRule="auto"/>
              <w:jc w:val="center"/>
              <w:rPr>
                <w:sz w:val="22"/>
                <w:szCs w:val="22"/>
                <w:lang w:val="en-GB"/>
              </w:rPr>
            </w:pPr>
            <w:r>
              <w:rPr>
                <w:sz w:val="22"/>
                <w:szCs w:val="22"/>
                <w:lang w:val="en-GB"/>
              </w:rPr>
              <w:t>0.60</w:t>
            </w:r>
          </w:p>
        </w:tc>
      </w:tr>
      <w:tr w:rsidR="00A00E11" w:rsidRPr="00C34A65" w:rsidTr="00963889">
        <w:tc>
          <w:tcPr>
            <w:tcW w:w="5592" w:type="dxa"/>
          </w:tcPr>
          <w:p w:rsidR="00A00E11" w:rsidRPr="00C34A65" w:rsidRDefault="00A00E11" w:rsidP="00963889">
            <w:pPr>
              <w:spacing w:line="360" w:lineRule="auto"/>
              <w:jc w:val="both"/>
              <w:rPr>
                <w:sz w:val="22"/>
                <w:szCs w:val="22"/>
                <w:lang w:val="en-GB"/>
              </w:rPr>
            </w:pPr>
            <w:r w:rsidRPr="00C34A65">
              <w:rPr>
                <w:sz w:val="22"/>
                <w:szCs w:val="22"/>
                <w:lang w:val="en-GB"/>
              </w:rPr>
              <w:t>Availability of places to sit and rest (a lot/some) (n (%))</w:t>
            </w:r>
          </w:p>
        </w:tc>
        <w:tc>
          <w:tcPr>
            <w:tcW w:w="546" w:type="dxa"/>
          </w:tcPr>
          <w:p w:rsidR="00A00E11" w:rsidRPr="00C34A65" w:rsidRDefault="00A00E11" w:rsidP="00963889">
            <w:pPr>
              <w:spacing w:line="360" w:lineRule="auto"/>
              <w:jc w:val="center"/>
              <w:rPr>
                <w:sz w:val="22"/>
                <w:szCs w:val="22"/>
                <w:lang w:val="en-GB"/>
              </w:rPr>
            </w:pPr>
            <w:r>
              <w:rPr>
                <w:sz w:val="22"/>
                <w:szCs w:val="22"/>
                <w:lang w:val="en-GB"/>
              </w:rPr>
              <w:t>399</w:t>
            </w:r>
          </w:p>
        </w:tc>
        <w:tc>
          <w:tcPr>
            <w:tcW w:w="2395" w:type="dxa"/>
          </w:tcPr>
          <w:p w:rsidR="00A00E11" w:rsidRPr="00C34A65" w:rsidRDefault="00A00E11" w:rsidP="00963889">
            <w:pPr>
              <w:spacing w:line="360" w:lineRule="auto"/>
              <w:jc w:val="center"/>
              <w:rPr>
                <w:sz w:val="22"/>
                <w:szCs w:val="22"/>
                <w:lang w:val="en-GB"/>
              </w:rPr>
            </w:pPr>
            <w:r w:rsidRPr="00C34A65">
              <w:rPr>
                <w:sz w:val="22"/>
                <w:szCs w:val="22"/>
                <w:lang w:val="en-GB"/>
              </w:rPr>
              <w:t>36</w:t>
            </w:r>
            <w:r>
              <w:rPr>
                <w:sz w:val="22"/>
                <w:szCs w:val="22"/>
                <w:lang w:val="en-GB"/>
              </w:rPr>
              <w:t>1</w:t>
            </w:r>
            <w:r w:rsidRPr="00C34A65">
              <w:rPr>
                <w:sz w:val="22"/>
                <w:szCs w:val="22"/>
                <w:lang w:val="en-GB"/>
              </w:rPr>
              <w:t xml:space="preserve"> (90.5)</w:t>
            </w:r>
          </w:p>
        </w:tc>
        <w:tc>
          <w:tcPr>
            <w:tcW w:w="546" w:type="dxa"/>
          </w:tcPr>
          <w:p w:rsidR="00A00E11" w:rsidRPr="00C34A65" w:rsidRDefault="00A00E11" w:rsidP="00963889">
            <w:pPr>
              <w:spacing w:line="360" w:lineRule="auto"/>
              <w:jc w:val="center"/>
              <w:rPr>
                <w:sz w:val="22"/>
                <w:szCs w:val="22"/>
                <w:lang w:val="en-GB"/>
              </w:rPr>
            </w:pPr>
            <w:r>
              <w:rPr>
                <w:sz w:val="22"/>
                <w:szCs w:val="22"/>
                <w:lang w:val="en-GB"/>
              </w:rPr>
              <w:t>74</w:t>
            </w:r>
          </w:p>
        </w:tc>
        <w:tc>
          <w:tcPr>
            <w:tcW w:w="2369" w:type="dxa"/>
          </w:tcPr>
          <w:p w:rsidR="00A00E11" w:rsidRPr="00C34A65" w:rsidRDefault="00A00E11" w:rsidP="00963889">
            <w:pPr>
              <w:spacing w:line="360" w:lineRule="auto"/>
              <w:jc w:val="center"/>
              <w:rPr>
                <w:sz w:val="22"/>
                <w:szCs w:val="22"/>
                <w:lang w:val="en-GB"/>
              </w:rPr>
            </w:pPr>
            <w:r>
              <w:rPr>
                <w:sz w:val="22"/>
                <w:szCs w:val="22"/>
                <w:lang w:val="en-GB"/>
              </w:rPr>
              <w:t>67 (90.5</w:t>
            </w:r>
            <w:r w:rsidRPr="00C34A65">
              <w:rPr>
                <w:sz w:val="22"/>
                <w:szCs w:val="22"/>
                <w:lang w:val="en-GB"/>
              </w:rPr>
              <w:t>)</w:t>
            </w:r>
          </w:p>
        </w:tc>
        <w:tc>
          <w:tcPr>
            <w:tcW w:w="343" w:type="dxa"/>
          </w:tcPr>
          <w:p w:rsidR="00A00E11" w:rsidRPr="00C34A65" w:rsidRDefault="00A00E11" w:rsidP="00963889">
            <w:pPr>
              <w:spacing w:line="360" w:lineRule="auto"/>
              <w:jc w:val="center"/>
              <w:rPr>
                <w:sz w:val="22"/>
                <w:szCs w:val="22"/>
                <w:lang w:val="en-GB"/>
              </w:rPr>
            </w:pPr>
            <w:r>
              <w:rPr>
                <w:sz w:val="22"/>
                <w:szCs w:val="22"/>
                <w:lang w:val="en-GB"/>
              </w:rPr>
              <w:t>325</w:t>
            </w:r>
          </w:p>
        </w:tc>
        <w:tc>
          <w:tcPr>
            <w:tcW w:w="2336" w:type="dxa"/>
          </w:tcPr>
          <w:p w:rsidR="00A00E11" w:rsidRPr="00C34A65" w:rsidRDefault="00A00E11" w:rsidP="00963889">
            <w:pPr>
              <w:spacing w:line="360" w:lineRule="auto"/>
              <w:jc w:val="center"/>
              <w:rPr>
                <w:sz w:val="22"/>
                <w:szCs w:val="22"/>
                <w:lang w:val="en-GB"/>
              </w:rPr>
            </w:pPr>
            <w:r>
              <w:rPr>
                <w:sz w:val="22"/>
                <w:szCs w:val="22"/>
                <w:lang w:val="en-GB"/>
              </w:rPr>
              <w:t>294 (90.5</w:t>
            </w:r>
            <w:r w:rsidRPr="00C34A65">
              <w:rPr>
                <w:sz w:val="22"/>
                <w:szCs w:val="22"/>
                <w:lang w:val="en-GB"/>
              </w:rPr>
              <w:t>)</w:t>
            </w:r>
          </w:p>
        </w:tc>
        <w:tc>
          <w:tcPr>
            <w:tcW w:w="1243" w:type="dxa"/>
          </w:tcPr>
          <w:p w:rsidR="00A00E11" w:rsidRPr="00C34A65" w:rsidRDefault="00A00E11" w:rsidP="00963889">
            <w:pPr>
              <w:spacing w:line="360" w:lineRule="auto"/>
              <w:jc w:val="center"/>
              <w:rPr>
                <w:sz w:val="22"/>
                <w:szCs w:val="22"/>
                <w:lang w:val="en-GB"/>
              </w:rPr>
            </w:pPr>
            <w:r>
              <w:rPr>
                <w:sz w:val="22"/>
                <w:szCs w:val="22"/>
                <w:lang w:val="en-GB"/>
              </w:rPr>
              <w:t>0.98</w:t>
            </w:r>
          </w:p>
        </w:tc>
      </w:tr>
      <w:tr w:rsidR="00A00E11" w:rsidRPr="00C34A65" w:rsidTr="00963889">
        <w:tc>
          <w:tcPr>
            <w:tcW w:w="5592" w:type="dxa"/>
          </w:tcPr>
          <w:p w:rsidR="00A00E11" w:rsidRPr="00C34A65" w:rsidRDefault="00A00E11" w:rsidP="00963889">
            <w:pPr>
              <w:spacing w:line="360" w:lineRule="auto"/>
              <w:jc w:val="both"/>
              <w:rPr>
                <w:sz w:val="22"/>
                <w:szCs w:val="22"/>
                <w:lang w:val="en-GB"/>
              </w:rPr>
            </w:pPr>
            <w:r w:rsidRPr="00C34A65">
              <w:rPr>
                <w:sz w:val="22"/>
                <w:szCs w:val="22"/>
                <w:lang w:val="en-GB"/>
              </w:rPr>
              <w:t>Availability of public transport (a lot/some) (n (%))</w:t>
            </w:r>
          </w:p>
        </w:tc>
        <w:tc>
          <w:tcPr>
            <w:tcW w:w="546" w:type="dxa"/>
          </w:tcPr>
          <w:p w:rsidR="00A00E11" w:rsidRPr="00C34A65" w:rsidRDefault="00A00E11" w:rsidP="00963889">
            <w:pPr>
              <w:spacing w:line="360" w:lineRule="auto"/>
              <w:jc w:val="center"/>
              <w:rPr>
                <w:sz w:val="22"/>
                <w:szCs w:val="22"/>
                <w:lang w:val="en-GB"/>
              </w:rPr>
            </w:pPr>
            <w:r>
              <w:rPr>
                <w:sz w:val="22"/>
                <w:szCs w:val="22"/>
                <w:lang w:val="en-GB"/>
              </w:rPr>
              <w:t>400</w:t>
            </w:r>
          </w:p>
        </w:tc>
        <w:tc>
          <w:tcPr>
            <w:tcW w:w="2395" w:type="dxa"/>
          </w:tcPr>
          <w:p w:rsidR="00A00E11" w:rsidRPr="00C34A65" w:rsidRDefault="00A00E11" w:rsidP="00963889">
            <w:pPr>
              <w:spacing w:line="360" w:lineRule="auto"/>
              <w:jc w:val="center"/>
              <w:rPr>
                <w:sz w:val="22"/>
                <w:szCs w:val="22"/>
                <w:lang w:val="en-GB"/>
              </w:rPr>
            </w:pPr>
            <w:r w:rsidRPr="00C34A65">
              <w:rPr>
                <w:sz w:val="22"/>
                <w:szCs w:val="22"/>
                <w:lang w:val="en-GB"/>
              </w:rPr>
              <w:t>38</w:t>
            </w:r>
            <w:r>
              <w:rPr>
                <w:sz w:val="22"/>
                <w:szCs w:val="22"/>
                <w:lang w:val="en-GB"/>
              </w:rPr>
              <w:t>1</w:t>
            </w:r>
            <w:r w:rsidRPr="00C34A65">
              <w:rPr>
                <w:sz w:val="22"/>
                <w:szCs w:val="22"/>
                <w:lang w:val="en-GB"/>
              </w:rPr>
              <w:t xml:space="preserve"> (95.3)</w:t>
            </w:r>
          </w:p>
        </w:tc>
        <w:tc>
          <w:tcPr>
            <w:tcW w:w="546" w:type="dxa"/>
          </w:tcPr>
          <w:p w:rsidR="00A00E11" w:rsidRPr="00C34A65" w:rsidRDefault="00A00E11" w:rsidP="00963889">
            <w:pPr>
              <w:spacing w:line="360" w:lineRule="auto"/>
              <w:jc w:val="center"/>
              <w:rPr>
                <w:sz w:val="22"/>
                <w:szCs w:val="22"/>
                <w:lang w:val="en-GB"/>
              </w:rPr>
            </w:pPr>
            <w:r>
              <w:rPr>
                <w:sz w:val="22"/>
                <w:szCs w:val="22"/>
                <w:lang w:val="en-GB"/>
              </w:rPr>
              <w:t>74</w:t>
            </w:r>
          </w:p>
        </w:tc>
        <w:tc>
          <w:tcPr>
            <w:tcW w:w="2369" w:type="dxa"/>
          </w:tcPr>
          <w:p w:rsidR="00A00E11" w:rsidRPr="00C34A65" w:rsidRDefault="00A00E11" w:rsidP="00963889">
            <w:pPr>
              <w:spacing w:line="360" w:lineRule="auto"/>
              <w:jc w:val="center"/>
              <w:rPr>
                <w:sz w:val="22"/>
                <w:szCs w:val="22"/>
                <w:lang w:val="en-GB"/>
              </w:rPr>
            </w:pPr>
            <w:r>
              <w:rPr>
                <w:sz w:val="22"/>
                <w:szCs w:val="22"/>
                <w:lang w:val="en-GB"/>
              </w:rPr>
              <w:t>70 (94</w:t>
            </w:r>
            <w:r w:rsidRPr="00C34A65">
              <w:rPr>
                <w:sz w:val="22"/>
                <w:szCs w:val="22"/>
                <w:lang w:val="en-GB"/>
              </w:rPr>
              <w:t>.6)</w:t>
            </w:r>
          </w:p>
        </w:tc>
        <w:tc>
          <w:tcPr>
            <w:tcW w:w="343" w:type="dxa"/>
          </w:tcPr>
          <w:p w:rsidR="00A00E11" w:rsidRPr="00C34A65" w:rsidRDefault="00A00E11" w:rsidP="00963889">
            <w:pPr>
              <w:spacing w:line="360" w:lineRule="auto"/>
              <w:jc w:val="center"/>
              <w:rPr>
                <w:sz w:val="22"/>
                <w:szCs w:val="22"/>
                <w:lang w:val="en-GB"/>
              </w:rPr>
            </w:pPr>
            <w:r>
              <w:rPr>
                <w:sz w:val="22"/>
                <w:szCs w:val="22"/>
                <w:lang w:val="en-GB"/>
              </w:rPr>
              <w:t>326</w:t>
            </w:r>
          </w:p>
        </w:tc>
        <w:tc>
          <w:tcPr>
            <w:tcW w:w="2336" w:type="dxa"/>
          </w:tcPr>
          <w:p w:rsidR="00A00E11" w:rsidRPr="00C34A65" w:rsidRDefault="00A00E11" w:rsidP="00963889">
            <w:pPr>
              <w:spacing w:line="360" w:lineRule="auto"/>
              <w:jc w:val="center"/>
              <w:rPr>
                <w:sz w:val="22"/>
                <w:szCs w:val="22"/>
                <w:lang w:val="en-GB"/>
              </w:rPr>
            </w:pPr>
            <w:r>
              <w:rPr>
                <w:sz w:val="22"/>
                <w:szCs w:val="22"/>
                <w:lang w:val="en-GB"/>
              </w:rPr>
              <w:t>311</w:t>
            </w:r>
            <w:r w:rsidRPr="00C34A65">
              <w:rPr>
                <w:sz w:val="22"/>
                <w:szCs w:val="22"/>
                <w:lang w:val="en-GB"/>
              </w:rPr>
              <w:t xml:space="preserve"> (95.</w:t>
            </w:r>
            <w:r>
              <w:rPr>
                <w:sz w:val="22"/>
                <w:szCs w:val="22"/>
                <w:lang w:val="en-GB"/>
              </w:rPr>
              <w:t>4</w:t>
            </w:r>
            <w:r w:rsidRPr="00C34A65">
              <w:rPr>
                <w:sz w:val="22"/>
                <w:szCs w:val="22"/>
                <w:lang w:val="en-GB"/>
              </w:rPr>
              <w:t>)</w:t>
            </w:r>
          </w:p>
        </w:tc>
        <w:tc>
          <w:tcPr>
            <w:tcW w:w="1243" w:type="dxa"/>
          </w:tcPr>
          <w:p w:rsidR="00A00E11" w:rsidRPr="00C34A65" w:rsidRDefault="00A00E11" w:rsidP="00963889">
            <w:pPr>
              <w:spacing w:line="360" w:lineRule="auto"/>
              <w:jc w:val="center"/>
              <w:rPr>
                <w:sz w:val="22"/>
                <w:szCs w:val="22"/>
                <w:lang w:val="en-GB"/>
              </w:rPr>
            </w:pPr>
            <w:r>
              <w:rPr>
                <w:sz w:val="22"/>
                <w:szCs w:val="22"/>
                <w:lang w:val="en-GB"/>
              </w:rPr>
              <w:t>0.77</w:t>
            </w:r>
          </w:p>
        </w:tc>
      </w:tr>
      <w:tr w:rsidR="00A00E11" w:rsidRPr="00C34A65" w:rsidTr="00963889">
        <w:tc>
          <w:tcPr>
            <w:tcW w:w="5592" w:type="dxa"/>
          </w:tcPr>
          <w:p w:rsidR="00A00E11" w:rsidRPr="00C34A65" w:rsidRDefault="00A00E11" w:rsidP="00963889">
            <w:pPr>
              <w:spacing w:line="360" w:lineRule="auto"/>
              <w:jc w:val="both"/>
              <w:rPr>
                <w:sz w:val="22"/>
                <w:szCs w:val="22"/>
                <w:lang w:val="en-GB"/>
              </w:rPr>
            </w:pPr>
            <w:r w:rsidRPr="00C34A65">
              <w:rPr>
                <w:sz w:val="22"/>
                <w:szCs w:val="22"/>
                <w:lang w:val="en-GB"/>
              </w:rPr>
              <w:t>Availability of public facilities (a lot/some) (n (%))</w:t>
            </w:r>
          </w:p>
        </w:tc>
        <w:tc>
          <w:tcPr>
            <w:tcW w:w="546" w:type="dxa"/>
          </w:tcPr>
          <w:p w:rsidR="00A00E11" w:rsidRPr="00C34A65" w:rsidRDefault="00A00E11" w:rsidP="00963889">
            <w:pPr>
              <w:spacing w:line="360" w:lineRule="auto"/>
              <w:jc w:val="center"/>
              <w:rPr>
                <w:sz w:val="22"/>
                <w:szCs w:val="22"/>
                <w:lang w:val="en-GB"/>
              </w:rPr>
            </w:pPr>
            <w:r>
              <w:rPr>
                <w:sz w:val="22"/>
                <w:szCs w:val="22"/>
                <w:lang w:val="en-GB"/>
              </w:rPr>
              <w:t>401</w:t>
            </w:r>
          </w:p>
        </w:tc>
        <w:tc>
          <w:tcPr>
            <w:tcW w:w="2395" w:type="dxa"/>
          </w:tcPr>
          <w:p w:rsidR="00A00E11" w:rsidRPr="00C34A65" w:rsidRDefault="00A00E11" w:rsidP="00963889">
            <w:pPr>
              <w:spacing w:line="360" w:lineRule="auto"/>
              <w:jc w:val="center"/>
              <w:rPr>
                <w:sz w:val="22"/>
                <w:szCs w:val="22"/>
                <w:lang w:val="en-GB"/>
              </w:rPr>
            </w:pPr>
            <w:r>
              <w:rPr>
                <w:sz w:val="22"/>
                <w:szCs w:val="22"/>
                <w:lang w:val="en-GB"/>
              </w:rPr>
              <w:t>373 (93.0</w:t>
            </w:r>
            <w:r w:rsidRPr="00C34A65">
              <w:rPr>
                <w:sz w:val="22"/>
                <w:szCs w:val="22"/>
                <w:lang w:val="en-GB"/>
              </w:rPr>
              <w:t>)</w:t>
            </w:r>
          </w:p>
        </w:tc>
        <w:tc>
          <w:tcPr>
            <w:tcW w:w="546" w:type="dxa"/>
          </w:tcPr>
          <w:p w:rsidR="00A00E11" w:rsidRPr="00C34A65" w:rsidRDefault="00A00E11" w:rsidP="00963889">
            <w:pPr>
              <w:spacing w:line="360" w:lineRule="auto"/>
              <w:jc w:val="center"/>
              <w:rPr>
                <w:sz w:val="22"/>
                <w:szCs w:val="22"/>
                <w:lang w:val="en-GB"/>
              </w:rPr>
            </w:pPr>
            <w:r>
              <w:rPr>
                <w:sz w:val="22"/>
                <w:szCs w:val="22"/>
                <w:lang w:val="en-GB"/>
              </w:rPr>
              <w:t>74</w:t>
            </w:r>
          </w:p>
        </w:tc>
        <w:tc>
          <w:tcPr>
            <w:tcW w:w="2369" w:type="dxa"/>
          </w:tcPr>
          <w:p w:rsidR="00A00E11" w:rsidRPr="00C34A65" w:rsidRDefault="00A00E11" w:rsidP="00963889">
            <w:pPr>
              <w:spacing w:line="360" w:lineRule="auto"/>
              <w:jc w:val="center"/>
              <w:rPr>
                <w:sz w:val="22"/>
                <w:szCs w:val="22"/>
                <w:lang w:val="en-GB"/>
              </w:rPr>
            </w:pPr>
            <w:r>
              <w:rPr>
                <w:sz w:val="22"/>
                <w:szCs w:val="22"/>
                <w:lang w:val="en-GB"/>
              </w:rPr>
              <w:t>70 (94.6</w:t>
            </w:r>
            <w:r w:rsidRPr="00C34A65">
              <w:rPr>
                <w:sz w:val="22"/>
                <w:szCs w:val="22"/>
                <w:lang w:val="en-GB"/>
              </w:rPr>
              <w:t>)</w:t>
            </w:r>
          </w:p>
        </w:tc>
        <w:tc>
          <w:tcPr>
            <w:tcW w:w="343" w:type="dxa"/>
          </w:tcPr>
          <w:p w:rsidR="00A00E11" w:rsidRPr="00C34A65" w:rsidRDefault="00A00E11" w:rsidP="00963889">
            <w:pPr>
              <w:spacing w:line="360" w:lineRule="auto"/>
              <w:jc w:val="center"/>
              <w:rPr>
                <w:sz w:val="22"/>
                <w:szCs w:val="22"/>
                <w:lang w:val="en-GB"/>
              </w:rPr>
            </w:pPr>
            <w:r>
              <w:rPr>
                <w:sz w:val="22"/>
                <w:szCs w:val="22"/>
                <w:lang w:val="en-GB"/>
              </w:rPr>
              <w:t>327</w:t>
            </w:r>
          </w:p>
        </w:tc>
        <w:tc>
          <w:tcPr>
            <w:tcW w:w="2336" w:type="dxa"/>
          </w:tcPr>
          <w:p w:rsidR="00A00E11" w:rsidRPr="00C34A65" w:rsidRDefault="00A00E11" w:rsidP="00963889">
            <w:pPr>
              <w:spacing w:line="360" w:lineRule="auto"/>
              <w:jc w:val="center"/>
              <w:rPr>
                <w:sz w:val="22"/>
                <w:szCs w:val="22"/>
                <w:lang w:val="en-GB"/>
              </w:rPr>
            </w:pPr>
            <w:r>
              <w:rPr>
                <w:sz w:val="22"/>
                <w:szCs w:val="22"/>
                <w:lang w:val="en-GB"/>
              </w:rPr>
              <w:t>303 (92.7</w:t>
            </w:r>
            <w:r w:rsidRPr="00C34A65">
              <w:rPr>
                <w:sz w:val="22"/>
                <w:szCs w:val="22"/>
                <w:lang w:val="en-GB"/>
              </w:rPr>
              <w:t>)</w:t>
            </w:r>
          </w:p>
        </w:tc>
        <w:tc>
          <w:tcPr>
            <w:tcW w:w="1243" w:type="dxa"/>
          </w:tcPr>
          <w:p w:rsidR="00A00E11" w:rsidRPr="00C34A65" w:rsidRDefault="00A00E11" w:rsidP="00963889">
            <w:pPr>
              <w:spacing w:line="360" w:lineRule="auto"/>
              <w:jc w:val="center"/>
              <w:rPr>
                <w:sz w:val="22"/>
                <w:szCs w:val="22"/>
                <w:lang w:val="en-GB"/>
              </w:rPr>
            </w:pPr>
            <w:r>
              <w:rPr>
                <w:sz w:val="22"/>
                <w:szCs w:val="22"/>
                <w:lang w:val="en-GB"/>
              </w:rPr>
              <w:t>0.56</w:t>
            </w:r>
          </w:p>
        </w:tc>
      </w:tr>
      <w:tr w:rsidR="00A00E11" w:rsidRPr="00C34A65" w:rsidTr="00963889">
        <w:tc>
          <w:tcPr>
            <w:tcW w:w="5592" w:type="dxa"/>
          </w:tcPr>
          <w:p w:rsidR="00A00E11" w:rsidRPr="00C34A65" w:rsidRDefault="00A00E11" w:rsidP="00963889">
            <w:pPr>
              <w:spacing w:line="360" w:lineRule="auto"/>
              <w:jc w:val="both"/>
              <w:rPr>
                <w:sz w:val="22"/>
                <w:szCs w:val="22"/>
                <w:lang w:val="en-GB"/>
              </w:rPr>
            </w:pPr>
          </w:p>
        </w:tc>
        <w:tc>
          <w:tcPr>
            <w:tcW w:w="546" w:type="dxa"/>
          </w:tcPr>
          <w:p w:rsidR="00A00E11" w:rsidRPr="00C34A65" w:rsidRDefault="00A00E11" w:rsidP="00963889">
            <w:pPr>
              <w:spacing w:line="360" w:lineRule="auto"/>
              <w:jc w:val="center"/>
              <w:rPr>
                <w:sz w:val="22"/>
                <w:szCs w:val="22"/>
                <w:lang w:val="en-GB"/>
              </w:rPr>
            </w:pPr>
          </w:p>
        </w:tc>
        <w:tc>
          <w:tcPr>
            <w:tcW w:w="2395" w:type="dxa"/>
          </w:tcPr>
          <w:p w:rsidR="00A00E11" w:rsidRPr="00C34A65" w:rsidRDefault="00A00E11" w:rsidP="00963889">
            <w:pPr>
              <w:spacing w:line="360" w:lineRule="auto"/>
              <w:jc w:val="center"/>
              <w:rPr>
                <w:sz w:val="22"/>
                <w:szCs w:val="22"/>
                <w:lang w:val="en-GB"/>
              </w:rPr>
            </w:pPr>
          </w:p>
        </w:tc>
        <w:tc>
          <w:tcPr>
            <w:tcW w:w="546" w:type="dxa"/>
          </w:tcPr>
          <w:p w:rsidR="00A00E11" w:rsidRPr="00C34A65" w:rsidRDefault="00A00E11" w:rsidP="00963889">
            <w:pPr>
              <w:spacing w:line="360" w:lineRule="auto"/>
              <w:jc w:val="center"/>
              <w:rPr>
                <w:sz w:val="22"/>
                <w:szCs w:val="22"/>
                <w:lang w:val="en-GB"/>
              </w:rPr>
            </w:pPr>
          </w:p>
        </w:tc>
        <w:tc>
          <w:tcPr>
            <w:tcW w:w="2369" w:type="dxa"/>
          </w:tcPr>
          <w:p w:rsidR="00A00E11" w:rsidRPr="00C34A65" w:rsidRDefault="00A00E11" w:rsidP="00963889">
            <w:pPr>
              <w:spacing w:line="360" w:lineRule="auto"/>
              <w:jc w:val="center"/>
              <w:rPr>
                <w:sz w:val="22"/>
                <w:szCs w:val="22"/>
                <w:lang w:val="en-GB"/>
              </w:rPr>
            </w:pPr>
          </w:p>
        </w:tc>
        <w:tc>
          <w:tcPr>
            <w:tcW w:w="343" w:type="dxa"/>
          </w:tcPr>
          <w:p w:rsidR="00A00E11" w:rsidRPr="00C34A65" w:rsidRDefault="00A00E11" w:rsidP="00963889">
            <w:pPr>
              <w:spacing w:line="360" w:lineRule="auto"/>
              <w:jc w:val="center"/>
              <w:rPr>
                <w:sz w:val="22"/>
                <w:szCs w:val="22"/>
                <w:lang w:val="en-GB"/>
              </w:rPr>
            </w:pPr>
          </w:p>
        </w:tc>
        <w:tc>
          <w:tcPr>
            <w:tcW w:w="2336" w:type="dxa"/>
          </w:tcPr>
          <w:p w:rsidR="00A00E11" w:rsidRPr="00C34A65" w:rsidRDefault="00A00E11" w:rsidP="00963889">
            <w:pPr>
              <w:spacing w:line="360" w:lineRule="auto"/>
              <w:jc w:val="center"/>
              <w:rPr>
                <w:sz w:val="22"/>
                <w:szCs w:val="22"/>
                <w:lang w:val="en-GB"/>
              </w:rPr>
            </w:pPr>
          </w:p>
        </w:tc>
        <w:tc>
          <w:tcPr>
            <w:tcW w:w="1243" w:type="dxa"/>
          </w:tcPr>
          <w:p w:rsidR="00A00E11" w:rsidRPr="00C34A65" w:rsidRDefault="00A00E11" w:rsidP="00963889">
            <w:pPr>
              <w:spacing w:line="360" w:lineRule="auto"/>
              <w:jc w:val="center"/>
              <w:rPr>
                <w:sz w:val="22"/>
                <w:szCs w:val="22"/>
                <w:lang w:val="en-GB"/>
              </w:rPr>
            </w:pPr>
          </w:p>
        </w:tc>
      </w:tr>
      <w:tr w:rsidR="00A00E11" w:rsidRPr="00C34A65" w:rsidTr="00963889">
        <w:tc>
          <w:tcPr>
            <w:tcW w:w="5592" w:type="dxa"/>
          </w:tcPr>
          <w:p w:rsidR="00A00E11" w:rsidRPr="00C34A65" w:rsidRDefault="00A00E11" w:rsidP="00963889">
            <w:pPr>
              <w:spacing w:line="360" w:lineRule="auto"/>
              <w:jc w:val="both"/>
              <w:rPr>
                <w:b/>
                <w:sz w:val="22"/>
                <w:szCs w:val="22"/>
                <w:lang w:val="en-GB"/>
              </w:rPr>
            </w:pPr>
            <w:r w:rsidRPr="00C34A65">
              <w:rPr>
                <w:b/>
                <w:sz w:val="22"/>
                <w:szCs w:val="22"/>
                <w:lang w:val="en-GB"/>
              </w:rPr>
              <w:t>Use of neighbourhood resources</w:t>
            </w:r>
          </w:p>
        </w:tc>
        <w:tc>
          <w:tcPr>
            <w:tcW w:w="546" w:type="dxa"/>
          </w:tcPr>
          <w:p w:rsidR="00A00E11" w:rsidRPr="00C34A65" w:rsidRDefault="00A00E11" w:rsidP="00963889">
            <w:pPr>
              <w:spacing w:line="360" w:lineRule="auto"/>
              <w:jc w:val="center"/>
              <w:rPr>
                <w:sz w:val="22"/>
                <w:szCs w:val="22"/>
                <w:lang w:val="en-GB"/>
              </w:rPr>
            </w:pPr>
          </w:p>
        </w:tc>
        <w:tc>
          <w:tcPr>
            <w:tcW w:w="2395" w:type="dxa"/>
          </w:tcPr>
          <w:p w:rsidR="00A00E11" w:rsidRPr="00C34A65" w:rsidRDefault="00A00E11" w:rsidP="00963889">
            <w:pPr>
              <w:spacing w:line="360" w:lineRule="auto"/>
              <w:jc w:val="center"/>
              <w:rPr>
                <w:sz w:val="22"/>
                <w:szCs w:val="22"/>
                <w:lang w:val="en-GB"/>
              </w:rPr>
            </w:pPr>
          </w:p>
        </w:tc>
        <w:tc>
          <w:tcPr>
            <w:tcW w:w="546" w:type="dxa"/>
          </w:tcPr>
          <w:p w:rsidR="00A00E11" w:rsidRPr="00C34A65" w:rsidRDefault="00A00E11" w:rsidP="00963889">
            <w:pPr>
              <w:spacing w:line="360" w:lineRule="auto"/>
              <w:jc w:val="center"/>
              <w:rPr>
                <w:sz w:val="22"/>
                <w:szCs w:val="22"/>
                <w:lang w:val="en-GB"/>
              </w:rPr>
            </w:pPr>
          </w:p>
        </w:tc>
        <w:tc>
          <w:tcPr>
            <w:tcW w:w="2369" w:type="dxa"/>
          </w:tcPr>
          <w:p w:rsidR="00A00E11" w:rsidRPr="00C34A65" w:rsidRDefault="00A00E11" w:rsidP="00963889">
            <w:pPr>
              <w:spacing w:line="360" w:lineRule="auto"/>
              <w:jc w:val="center"/>
              <w:rPr>
                <w:sz w:val="22"/>
                <w:szCs w:val="22"/>
                <w:lang w:val="en-GB"/>
              </w:rPr>
            </w:pPr>
          </w:p>
        </w:tc>
        <w:tc>
          <w:tcPr>
            <w:tcW w:w="343" w:type="dxa"/>
          </w:tcPr>
          <w:p w:rsidR="00A00E11" w:rsidRPr="00C34A65" w:rsidRDefault="00A00E11" w:rsidP="00963889">
            <w:pPr>
              <w:spacing w:line="360" w:lineRule="auto"/>
              <w:jc w:val="center"/>
              <w:rPr>
                <w:sz w:val="22"/>
                <w:szCs w:val="22"/>
                <w:lang w:val="en-GB"/>
              </w:rPr>
            </w:pPr>
          </w:p>
        </w:tc>
        <w:tc>
          <w:tcPr>
            <w:tcW w:w="2336" w:type="dxa"/>
          </w:tcPr>
          <w:p w:rsidR="00A00E11" w:rsidRPr="00C34A65" w:rsidRDefault="00A00E11" w:rsidP="00963889">
            <w:pPr>
              <w:spacing w:line="360" w:lineRule="auto"/>
              <w:jc w:val="center"/>
              <w:rPr>
                <w:sz w:val="22"/>
                <w:szCs w:val="22"/>
                <w:lang w:val="en-GB"/>
              </w:rPr>
            </w:pPr>
          </w:p>
        </w:tc>
        <w:tc>
          <w:tcPr>
            <w:tcW w:w="1243" w:type="dxa"/>
          </w:tcPr>
          <w:p w:rsidR="00A00E11" w:rsidRPr="00C34A65" w:rsidRDefault="00A00E11" w:rsidP="00963889">
            <w:pPr>
              <w:spacing w:line="360" w:lineRule="auto"/>
              <w:jc w:val="center"/>
              <w:rPr>
                <w:i/>
                <w:sz w:val="22"/>
                <w:szCs w:val="22"/>
                <w:lang w:val="en-GB"/>
              </w:rPr>
            </w:pPr>
          </w:p>
        </w:tc>
      </w:tr>
      <w:tr w:rsidR="00A00E11" w:rsidRPr="00C34A65" w:rsidTr="00963889">
        <w:tc>
          <w:tcPr>
            <w:tcW w:w="5592" w:type="dxa"/>
          </w:tcPr>
          <w:p w:rsidR="00A00E11" w:rsidRPr="00C34A65" w:rsidRDefault="00A00E11" w:rsidP="00963889">
            <w:pPr>
              <w:spacing w:line="360" w:lineRule="auto"/>
              <w:jc w:val="both"/>
              <w:rPr>
                <w:sz w:val="22"/>
                <w:szCs w:val="22"/>
                <w:lang w:val="en-GB"/>
              </w:rPr>
            </w:pPr>
            <w:r w:rsidRPr="00C34A65">
              <w:rPr>
                <w:sz w:val="22"/>
                <w:szCs w:val="22"/>
                <w:lang w:val="en-GB"/>
              </w:rPr>
              <w:t>Parks and walking areas (yes) (n (%))</w:t>
            </w:r>
          </w:p>
        </w:tc>
        <w:tc>
          <w:tcPr>
            <w:tcW w:w="546" w:type="dxa"/>
          </w:tcPr>
          <w:p w:rsidR="00A00E11" w:rsidRPr="00C34A65" w:rsidRDefault="00A00E11" w:rsidP="00963889">
            <w:pPr>
              <w:spacing w:line="360" w:lineRule="auto"/>
              <w:jc w:val="center"/>
              <w:rPr>
                <w:sz w:val="22"/>
                <w:szCs w:val="22"/>
                <w:lang w:val="en-GB"/>
              </w:rPr>
            </w:pPr>
            <w:r>
              <w:rPr>
                <w:sz w:val="22"/>
                <w:szCs w:val="22"/>
                <w:lang w:val="en-GB"/>
              </w:rPr>
              <w:t>379</w:t>
            </w:r>
          </w:p>
        </w:tc>
        <w:tc>
          <w:tcPr>
            <w:tcW w:w="2395" w:type="dxa"/>
          </w:tcPr>
          <w:p w:rsidR="00A00E11" w:rsidRPr="00C34A65" w:rsidRDefault="00A00E11" w:rsidP="00963889">
            <w:pPr>
              <w:spacing w:line="360" w:lineRule="auto"/>
              <w:jc w:val="center"/>
              <w:rPr>
                <w:sz w:val="22"/>
                <w:szCs w:val="22"/>
                <w:lang w:val="en-GB"/>
              </w:rPr>
            </w:pPr>
            <w:r>
              <w:rPr>
                <w:sz w:val="22"/>
                <w:szCs w:val="22"/>
                <w:lang w:val="en-GB"/>
              </w:rPr>
              <w:t>242 (63.9</w:t>
            </w:r>
            <w:r w:rsidRPr="00C34A65">
              <w:rPr>
                <w:sz w:val="22"/>
                <w:szCs w:val="22"/>
                <w:lang w:val="en-GB"/>
              </w:rPr>
              <w:t>)</w:t>
            </w:r>
          </w:p>
        </w:tc>
        <w:tc>
          <w:tcPr>
            <w:tcW w:w="546" w:type="dxa"/>
          </w:tcPr>
          <w:p w:rsidR="00A00E11" w:rsidRPr="00C34A65" w:rsidRDefault="00A00E11" w:rsidP="00963889">
            <w:pPr>
              <w:spacing w:line="360" w:lineRule="auto"/>
              <w:jc w:val="center"/>
              <w:rPr>
                <w:sz w:val="22"/>
                <w:szCs w:val="22"/>
                <w:lang w:val="en-GB"/>
              </w:rPr>
            </w:pPr>
            <w:r>
              <w:rPr>
                <w:sz w:val="22"/>
                <w:szCs w:val="22"/>
                <w:lang w:val="en-GB"/>
              </w:rPr>
              <w:t>69</w:t>
            </w:r>
          </w:p>
        </w:tc>
        <w:tc>
          <w:tcPr>
            <w:tcW w:w="2369" w:type="dxa"/>
          </w:tcPr>
          <w:p w:rsidR="00A00E11" w:rsidRPr="00C34A65" w:rsidRDefault="00A00E11" w:rsidP="00963889">
            <w:pPr>
              <w:spacing w:line="360" w:lineRule="auto"/>
              <w:jc w:val="center"/>
              <w:rPr>
                <w:sz w:val="22"/>
                <w:szCs w:val="22"/>
                <w:lang w:val="en-GB"/>
              </w:rPr>
            </w:pPr>
            <w:r>
              <w:rPr>
                <w:sz w:val="22"/>
                <w:szCs w:val="22"/>
                <w:lang w:val="en-GB"/>
              </w:rPr>
              <w:t>43 (62.3</w:t>
            </w:r>
            <w:r w:rsidRPr="00C34A65">
              <w:rPr>
                <w:sz w:val="22"/>
                <w:szCs w:val="22"/>
                <w:lang w:val="en-GB"/>
              </w:rPr>
              <w:t>)</w:t>
            </w:r>
          </w:p>
        </w:tc>
        <w:tc>
          <w:tcPr>
            <w:tcW w:w="343" w:type="dxa"/>
          </w:tcPr>
          <w:p w:rsidR="00A00E11" w:rsidRPr="00C34A65" w:rsidRDefault="00A00E11" w:rsidP="00963889">
            <w:pPr>
              <w:spacing w:line="360" w:lineRule="auto"/>
              <w:jc w:val="center"/>
              <w:rPr>
                <w:sz w:val="22"/>
                <w:szCs w:val="22"/>
                <w:lang w:val="en-GB"/>
              </w:rPr>
            </w:pPr>
            <w:r>
              <w:rPr>
                <w:sz w:val="22"/>
                <w:szCs w:val="22"/>
                <w:lang w:val="en-GB"/>
              </w:rPr>
              <w:t>310</w:t>
            </w:r>
          </w:p>
        </w:tc>
        <w:tc>
          <w:tcPr>
            <w:tcW w:w="2336" w:type="dxa"/>
          </w:tcPr>
          <w:p w:rsidR="00A00E11" w:rsidRPr="00C34A65" w:rsidRDefault="00A00E11" w:rsidP="00963889">
            <w:pPr>
              <w:spacing w:line="360" w:lineRule="auto"/>
              <w:jc w:val="center"/>
              <w:rPr>
                <w:sz w:val="22"/>
                <w:szCs w:val="22"/>
                <w:lang w:val="en-GB"/>
              </w:rPr>
            </w:pPr>
            <w:r>
              <w:rPr>
                <w:sz w:val="22"/>
                <w:szCs w:val="22"/>
                <w:lang w:val="en-GB"/>
              </w:rPr>
              <w:t>199 (64.2</w:t>
            </w:r>
            <w:r w:rsidRPr="00C34A65">
              <w:rPr>
                <w:sz w:val="22"/>
                <w:szCs w:val="22"/>
                <w:lang w:val="en-GB"/>
              </w:rPr>
              <w:t>)</w:t>
            </w:r>
          </w:p>
        </w:tc>
        <w:tc>
          <w:tcPr>
            <w:tcW w:w="1243" w:type="dxa"/>
          </w:tcPr>
          <w:p w:rsidR="00A00E11" w:rsidRPr="00C34A65" w:rsidRDefault="00A00E11" w:rsidP="00963889">
            <w:pPr>
              <w:spacing w:line="360" w:lineRule="auto"/>
              <w:jc w:val="center"/>
              <w:rPr>
                <w:sz w:val="22"/>
                <w:szCs w:val="22"/>
                <w:lang w:val="en-GB"/>
              </w:rPr>
            </w:pPr>
            <w:r>
              <w:rPr>
                <w:sz w:val="22"/>
                <w:szCs w:val="22"/>
                <w:lang w:val="en-GB"/>
              </w:rPr>
              <w:t>0.77</w:t>
            </w:r>
          </w:p>
        </w:tc>
      </w:tr>
      <w:tr w:rsidR="00A00E11" w:rsidRPr="00C34A65" w:rsidTr="00963889">
        <w:tc>
          <w:tcPr>
            <w:tcW w:w="5592" w:type="dxa"/>
          </w:tcPr>
          <w:p w:rsidR="00A00E11" w:rsidRPr="00C34A65" w:rsidRDefault="00A00E11" w:rsidP="00963889">
            <w:pPr>
              <w:spacing w:line="360" w:lineRule="auto"/>
              <w:jc w:val="both"/>
              <w:rPr>
                <w:sz w:val="22"/>
                <w:szCs w:val="22"/>
                <w:lang w:val="en-GB"/>
              </w:rPr>
            </w:pPr>
            <w:r w:rsidRPr="00C34A65">
              <w:rPr>
                <w:sz w:val="22"/>
                <w:szCs w:val="22"/>
                <w:lang w:val="en-GB"/>
              </w:rPr>
              <w:t>Places to sit and rest (yes) (n (%))</w:t>
            </w:r>
          </w:p>
        </w:tc>
        <w:tc>
          <w:tcPr>
            <w:tcW w:w="546" w:type="dxa"/>
          </w:tcPr>
          <w:p w:rsidR="00A00E11" w:rsidRPr="00C34A65" w:rsidRDefault="00A00E11" w:rsidP="00963889">
            <w:pPr>
              <w:spacing w:line="360" w:lineRule="auto"/>
              <w:jc w:val="center"/>
              <w:rPr>
                <w:sz w:val="22"/>
                <w:szCs w:val="22"/>
                <w:lang w:val="en-GB"/>
              </w:rPr>
            </w:pPr>
            <w:r>
              <w:rPr>
                <w:sz w:val="22"/>
                <w:szCs w:val="22"/>
                <w:lang w:val="en-GB"/>
              </w:rPr>
              <w:t>361</w:t>
            </w:r>
          </w:p>
        </w:tc>
        <w:tc>
          <w:tcPr>
            <w:tcW w:w="2395" w:type="dxa"/>
          </w:tcPr>
          <w:p w:rsidR="00A00E11" w:rsidRPr="00C34A65" w:rsidRDefault="00A00E11" w:rsidP="00963889">
            <w:pPr>
              <w:spacing w:line="360" w:lineRule="auto"/>
              <w:jc w:val="center"/>
              <w:rPr>
                <w:sz w:val="22"/>
                <w:szCs w:val="22"/>
                <w:lang w:val="en-GB"/>
              </w:rPr>
            </w:pPr>
            <w:r>
              <w:rPr>
                <w:sz w:val="22"/>
                <w:szCs w:val="22"/>
                <w:lang w:val="en-GB"/>
              </w:rPr>
              <w:t>154</w:t>
            </w:r>
            <w:r w:rsidRPr="00C34A65">
              <w:rPr>
                <w:sz w:val="22"/>
                <w:szCs w:val="22"/>
                <w:lang w:val="en-GB"/>
              </w:rPr>
              <w:t xml:space="preserve"> (42.</w:t>
            </w:r>
            <w:r>
              <w:rPr>
                <w:sz w:val="22"/>
                <w:szCs w:val="22"/>
                <w:lang w:val="en-GB"/>
              </w:rPr>
              <w:t>7</w:t>
            </w:r>
            <w:r w:rsidRPr="00C34A65">
              <w:rPr>
                <w:sz w:val="22"/>
                <w:szCs w:val="22"/>
                <w:lang w:val="en-GB"/>
              </w:rPr>
              <w:t>)</w:t>
            </w:r>
          </w:p>
        </w:tc>
        <w:tc>
          <w:tcPr>
            <w:tcW w:w="546" w:type="dxa"/>
          </w:tcPr>
          <w:p w:rsidR="00A00E11" w:rsidRPr="00C34A65" w:rsidRDefault="00A00E11" w:rsidP="00963889">
            <w:pPr>
              <w:spacing w:line="360" w:lineRule="auto"/>
              <w:jc w:val="center"/>
              <w:rPr>
                <w:sz w:val="22"/>
                <w:szCs w:val="22"/>
                <w:lang w:val="en-GB"/>
              </w:rPr>
            </w:pPr>
            <w:r>
              <w:rPr>
                <w:sz w:val="22"/>
                <w:szCs w:val="22"/>
                <w:lang w:val="en-GB"/>
              </w:rPr>
              <w:t>67</w:t>
            </w:r>
          </w:p>
        </w:tc>
        <w:tc>
          <w:tcPr>
            <w:tcW w:w="2369" w:type="dxa"/>
          </w:tcPr>
          <w:p w:rsidR="00A00E11" w:rsidRPr="00C34A65" w:rsidRDefault="00A00E11" w:rsidP="00963889">
            <w:pPr>
              <w:spacing w:line="360" w:lineRule="auto"/>
              <w:jc w:val="center"/>
              <w:rPr>
                <w:sz w:val="22"/>
                <w:szCs w:val="22"/>
                <w:lang w:val="en-GB"/>
              </w:rPr>
            </w:pPr>
            <w:r>
              <w:rPr>
                <w:sz w:val="22"/>
                <w:szCs w:val="22"/>
                <w:lang w:val="en-GB"/>
              </w:rPr>
              <w:t>41 (61.2</w:t>
            </w:r>
            <w:r w:rsidRPr="00C34A65">
              <w:rPr>
                <w:sz w:val="22"/>
                <w:szCs w:val="22"/>
                <w:lang w:val="en-GB"/>
              </w:rPr>
              <w:t>)</w:t>
            </w:r>
          </w:p>
        </w:tc>
        <w:tc>
          <w:tcPr>
            <w:tcW w:w="343" w:type="dxa"/>
          </w:tcPr>
          <w:p w:rsidR="00A00E11" w:rsidRPr="00C34A65" w:rsidRDefault="00A00E11" w:rsidP="00963889">
            <w:pPr>
              <w:spacing w:line="360" w:lineRule="auto"/>
              <w:jc w:val="center"/>
              <w:rPr>
                <w:sz w:val="22"/>
                <w:szCs w:val="22"/>
                <w:lang w:val="en-GB"/>
              </w:rPr>
            </w:pPr>
            <w:r>
              <w:rPr>
                <w:sz w:val="22"/>
                <w:szCs w:val="22"/>
                <w:lang w:val="en-GB"/>
              </w:rPr>
              <w:t>294</w:t>
            </w:r>
          </w:p>
        </w:tc>
        <w:tc>
          <w:tcPr>
            <w:tcW w:w="2336" w:type="dxa"/>
          </w:tcPr>
          <w:p w:rsidR="00A00E11" w:rsidRPr="00C34A65" w:rsidRDefault="00A00E11" w:rsidP="00963889">
            <w:pPr>
              <w:spacing w:line="360" w:lineRule="auto"/>
              <w:jc w:val="center"/>
              <w:rPr>
                <w:sz w:val="22"/>
                <w:szCs w:val="22"/>
                <w:lang w:val="en-GB"/>
              </w:rPr>
            </w:pPr>
            <w:r>
              <w:rPr>
                <w:sz w:val="22"/>
                <w:szCs w:val="22"/>
                <w:lang w:val="en-GB"/>
              </w:rPr>
              <w:t>113 (38.4</w:t>
            </w:r>
            <w:r w:rsidRPr="00C34A65">
              <w:rPr>
                <w:sz w:val="22"/>
                <w:szCs w:val="22"/>
                <w:lang w:val="en-GB"/>
              </w:rPr>
              <w:t>)</w:t>
            </w:r>
          </w:p>
        </w:tc>
        <w:tc>
          <w:tcPr>
            <w:tcW w:w="1243" w:type="dxa"/>
          </w:tcPr>
          <w:p w:rsidR="00A00E11" w:rsidRPr="00C34A65" w:rsidRDefault="00A00E11" w:rsidP="00963889">
            <w:pPr>
              <w:spacing w:line="360" w:lineRule="auto"/>
              <w:jc w:val="center"/>
              <w:rPr>
                <w:sz w:val="22"/>
                <w:szCs w:val="22"/>
                <w:lang w:val="en-GB"/>
              </w:rPr>
            </w:pPr>
            <w:r>
              <w:rPr>
                <w:sz w:val="22"/>
                <w:szCs w:val="22"/>
                <w:lang w:val="en-GB"/>
              </w:rPr>
              <w:t>&lt;0.01</w:t>
            </w:r>
          </w:p>
        </w:tc>
      </w:tr>
      <w:tr w:rsidR="00A00E11" w:rsidRPr="00C34A65" w:rsidTr="00963889">
        <w:tc>
          <w:tcPr>
            <w:tcW w:w="5592" w:type="dxa"/>
          </w:tcPr>
          <w:p w:rsidR="00A00E11" w:rsidRPr="00C34A65" w:rsidRDefault="00A00E11" w:rsidP="00963889">
            <w:pPr>
              <w:spacing w:line="360" w:lineRule="auto"/>
              <w:jc w:val="both"/>
              <w:rPr>
                <w:sz w:val="22"/>
                <w:szCs w:val="22"/>
                <w:lang w:val="en-GB"/>
              </w:rPr>
            </w:pPr>
            <w:r w:rsidRPr="00C34A65">
              <w:rPr>
                <w:sz w:val="22"/>
                <w:szCs w:val="22"/>
                <w:lang w:val="en-GB"/>
              </w:rPr>
              <w:t>Public transport (yes) (n (%))</w:t>
            </w:r>
          </w:p>
        </w:tc>
        <w:tc>
          <w:tcPr>
            <w:tcW w:w="546" w:type="dxa"/>
          </w:tcPr>
          <w:p w:rsidR="00A00E11" w:rsidRPr="00C34A65" w:rsidRDefault="00A00E11" w:rsidP="00963889">
            <w:pPr>
              <w:spacing w:line="360" w:lineRule="auto"/>
              <w:jc w:val="center"/>
              <w:rPr>
                <w:sz w:val="22"/>
                <w:szCs w:val="22"/>
                <w:lang w:val="en-GB"/>
              </w:rPr>
            </w:pPr>
            <w:r>
              <w:rPr>
                <w:sz w:val="22"/>
                <w:szCs w:val="22"/>
                <w:lang w:val="en-GB"/>
              </w:rPr>
              <w:t>381</w:t>
            </w:r>
          </w:p>
        </w:tc>
        <w:tc>
          <w:tcPr>
            <w:tcW w:w="2395" w:type="dxa"/>
          </w:tcPr>
          <w:p w:rsidR="00A00E11" w:rsidRPr="00C34A65" w:rsidRDefault="00A00E11" w:rsidP="00963889">
            <w:pPr>
              <w:spacing w:line="360" w:lineRule="auto"/>
              <w:jc w:val="center"/>
              <w:rPr>
                <w:sz w:val="22"/>
                <w:szCs w:val="22"/>
                <w:lang w:val="en-GB"/>
              </w:rPr>
            </w:pPr>
            <w:r>
              <w:rPr>
                <w:sz w:val="22"/>
                <w:szCs w:val="22"/>
                <w:lang w:val="en-GB"/>
              </w:rPr>
              <w:t>196 (51.4</w:t>
            </w:r>
            <w:r w:rsidRPr="00C34A65">
              <w:rPr>
                <w:sz w:val="22"/>
                <w:szCs w:val="22"/>
                <w:lang w:val="en-GB"/>
              </w:rPr>
              <w:t>)</w:t>
            </w:r>
          </w:p>
        </w:tc>
        <w:tc>
          <w:tcPr>
            <w:tcW w:w="546" w:type="dxa"/>
          </w:tcPr>
          <w:p w:rsidR="00A00E11" w:rsidRPr="00C34A65" w:rsidRDefault="00A00E11" w:rsidP="00963889">
            <w:pPr>
              <w:spacing w:line="360" w:lineRule="auto"/>
              <w:jc w:val="center"/>
              <w:rPr>
                <w:sz w:val="22"/>
                <w:szCs w:val="22"/>
                <w:lang w:val="en-GB"/>
              </w:rPr>
            </w:pPr>
            <w:r>
              <w:rPr>
                <w:sz w:val="22"/>
                <w:szCs w:val="22"/>
                <w:lang w:val="en-GB"/>
              </w:rPr>
              <w:t>70</w:t>
            </w:r>
          </w:p>
        </w:tc>
        <w:tc>
          <w:tcPr>
            <w:tcW w:w="2369" w:type="dxa"/>
          </w:tcPr>
          <w:p w:rsidR="00A00E11" w:rsidRPr="00C34A65" w:rsidRDefault="00A00E11" w:rsidP="00963889">
            <w:pPr>
              <w:spacing w:line="360" w:lineRule="auto"/>
              <w:jc w:val="center"/>
              <w:rPr>
                <w:sz w:val="22"/>
                <w:szCs w:val="22"/>
                <w:lang w:val="en-GB"/>
              </w:rPr>
            </w:pPr>
            <w:r>
              <w:rPr>
                <w:sz w:val="22"/>
                <w:szCs w:val="22"/>
                <w:lang w:val="en-GB"/>
              </w:rPr>
              <w:t>41 (58.6</w:t>
            </w:r>
            <w:r w:rsidRPr="00C34A65">
              <w:rPr>
                <w:sz w:val="22"/>
                <w:szCs w:val="22"/>
                <w:lang w:val="en-GB"/>
              </w:rPr>
              <w:t>)</w:t>
            </w:r>
          </w:p>
        </w:tc>
        <w:tc>
          <w:tcPr>
            <w:tcW w:w="343" w:type="dxa"/>
          </w:tcPr>
          <w:p w:rsidR="00A00E11" w:rsidRPr="00C34A65" w:rsidRDefault="00A00E11" w:rsidP="00963889">
            <w:pPr>
              <w:spacing w:line="360" w:lineRule="auto"/>
              <w:jc w:val="center"/>
              <w:rPr>
                <w:sz w:val="22"/>
                <w:szCs w:val="22"/>
                <w:lang w:val="en-GB"/>
              </w:rPr>
            </w:pPr>
            <w:r>
              <w:rPr>
                <w:sz w:val="22"/>
                <w:szCs w:val="22"/>
                <w:lang w:val="en-GB"/>
              </w:rPr>
              <w:t>311</w:t>
            </w:r>
          </w:p>
        </w:tc>
        <w:tc>
          <w:tcPr>
            <w:tcW w:w="2336" w:type="dxa"/>
          </w:tcPr>
          <w:p w:rsidR="00A00E11" w:rsidRPr="00C34A65" w:rsidRDefault="00A00E11" w:rsidP="00963889">
            <w:pPr>
              <w:spacing w:line="360" w:lineRule="auto"/>
              <w:jc w:val="center"/>
              <w:rPr>
                <w:sz w:val="22"/>
                <w:szCs w:val="22"/>
                <w:lang w:val="en-GB"/>
              </w:rPr>
            </w:pPr>
            <w:r>
              <w:rPr>
                <w:sz w:val="22"/>
                <w:szCs w:val="22"/>
                <w:lang w:val="en-GB"/>
              </w:rPr>
              <w:t>155 (49.8</w:t>
            </w:r>
            <w:r w:rsidRPr="00C34A65">
              <w:rPr>
                <w:sz w:val="22"/>
                <w:szCs w:val="22"/>
                <w:lang w:val="en-GB"/>
              </w:rPr>
              <w:t>)</w:t>
            </w:r>
          </w:p>
        </w:tc>
        <w:tc>
          <w:tcPr>
            <w:tcW w:w="1243" w:type="dxa"/>
          </w:tcPr>
          <w:p w:rsidR="00A00E11" w:rsidRPr="00C34A65" w:rsidRDefault="00A00E11" w:rsidP="00963889">
            <w:pPr>
              <w:spacing w:line="360" w:lineRule="auto"/>
              <w:jc w:val="center"/>
              <w:rPr>
                <w:sz w:val="22"/>
                <w:szCs w:val="22"/>
                <w:lang w:val="en-GB"/>
              </w:rPr>
            </w:pPr>
            <w:r>
              <w:rPr>
                <w:sz w:val="22"/>
                <w:szCs w:val="22"/>
                <w:lang w:val="en-GB"/>
              </w:rPr>
              <w:t>0.19</w:t>
            </w:r>
          </w:p>
        </w:tc>
      </w:tr>
      <w:tr w:rsidR="00A00E11" w:rsidRPr="00C34A65" w:rsidTr="00963889">
        <w:tc>
          <w:tcPr>
            <w:tcW w:w="5592" w:type="dxa"/>
            <w:tcBorders>
              <w:bottom w:val="single" w:sz="4" w:space="0" w:color="auto"/>
            </w:tcBorders>
          </w:tcPr>
          <w:p w:rsidR="00A00E11" w:rsidRPr="00C34A65" w:rsidRDefault="00A00E11" w:rsidP="00963889">
            <w:pPr>
              <w:spacing w:line="360" w:lineRule="auto"/>
              <w:jc w:val="both"/>
              <w:rPr>
                <w:sz w:val="22"/>
                <w:szCs w:val="22"/>
                <w:lang w:val="en-GB"/>
              </w:rPr>
            </w:pPr>
            <w:r w:rsidRPr="00C34A65">
              <w:rPr>
                <w:sz w:val="22"/>
                <w:szCs w:val="22"/>
                <w:lang w:val="en-GB"/>
              </w:rPr>
              <w:t>Public facilities (yes) (n (%))</w:t>
            </w:r>
          </w:p>
        </w:tc>
        <w:tc>
          <w:tcPr>
            <w:tcW w:w="546" w:type="dxa"/>
            <w:tcBorders>
              <w:bottom w:val="single" w:sz="4" w:space="0" w:color="auto"/>
            </w:tcBorders>
          </w:tcPr>
          <w:p w:rsidR="00A00E11" w:rsidRPr="00C34A65" w:rsidRDefault="00A00E11" w:rsidP="00963889">
            <w:pPr>
              <w:spacing w:line="360" w:lineRule="auto"/>
              <w:jc w:val="center"/>
              <w:rPr>
                <w:sz w:val="22"/>
                <w:szCs w:val="22"/>
                <w:lang w:val="en-GB"/>
              </w:rPr>
            </w:pPr>
            <w:r>
              <w:rPr>
                <w:sz w:val="22"/>
                <w:szCs w:val="22"/>
                <w:lang w:val="en-GB"/>
              </w:rPr>
              <w:t>373</w:t>
            </w:r>
          </w:p>
        </w:tc>
        <w:tc>
          <w:tcPr>
            <w:tcW w:w="2395" w:type="dxa"/>
            <w:tcBorders>
              <w:bottom w:val="single" w:sz="4" w:space="0" w:color="auto"/>
            </w:tcBorders>
          </w:tcPr>
          <w:p w:rsidR="00A00E11" w:rsidRPr="00C34A65" w:rsidRDefault="00A00E11" w:rsidP="00963889">
            <w:pPr>
              <w:spacing w:line="360" w:lineRule="auto"/>
              <w:jc w:val="center"/>
              <w:rPr>
                <w:sz w:val="22"/>
                <w:szCs w:val="22"/>
                <w:lang w:val="en-GB"/>
              </w:rPr>
            </w:pPr>
            <w:r>
              <w:rPr>
                <w:sz w:val="22"/>
                <w:szCs w:val="22"/>
                <w:lang w:val="en-GB"/>
              </w:rPr>
              <w:t>338</w:t>
            </w:r>
            <w:r w:rsidRPr="00C34A65">
              <w:rPr>
                <w:sz w:val="22"/>
                <w:szCs w:val="22"/>
                <w:lang w:val="en-GB"/>
              </w:rPr>
              <w:t xml:space="preserve"> (9</w:t>
            </w:r>
            <w:r>
              <w:rPr>
                <w:sz w:val="22"/>
                <w:szCs w:val="22"/>
                <w:lang w:val="en-GB"/>
              </w:rPr>
              <w:t>0.6</w:t>
            </w:r>
            <w:r w:rsidRPr="00C34A65">
              <w:rPr>
                <w:sz w:val="22"/>
                <w:szCs w:val="22"/>
                <w:lang w:val="en-GB"/>
              </w:rPr>
              <w:t>)</w:t>
            </w:r>
          </w:p>
        </w:tc>
        <w:tc>
          <w:tcPr>
            <w:tcW w:w="546" w:type="dxa"/>
            <w:tcBorders>
              <w:bottom w:val="single" w:sz="4" w:space="0" w:color="auto"/>
            </w:tcBorders>
          </w:tcPr>
          <w:p w:rsidR="00A00E11" w:rsidRPr="00C34A65" w:rsidRDefault="00A00E11" w:rsidP="00963889">
            <w:pPr>
              <w:spacing w:line="360" w:lineRule="auto"/>
              <w:jc w:val="center"/>
              <w:rPr>
                <w:sz w:val="22"/>
                <w:szCs w:val="22"/>
                <w:lang w:val="en-GB"/>
              </w:rPr>
            </w:pPr>
            <w:r>
              <w:rPr>
                <w:sz w:val="22"/>
                <w:szCs w:val="22"/>
                <w:lang w:val="en-GB"/>
              </w:rPr>
              <w:t>70</w:t>
            </w:r>
          </w:p>
        </w:tc>
        <w:tc>
          <w:tcPr>
            <w:tcW w:w="2369" w:type="dxa"/>
            <w:tcBorders>
              <w:bottom w:val="single" w:sz="4" w:space="0" w:color="auto"/>
            </w:tcBorders>
          </w:tcPr>
          <w:p w:rsidR="00A00E11" w:rsidRPr="00C34A65" w:rsidRDefault="00A00E11" w:rsidP="00963889">
            <w:pPr>
              <w:spacing w:line="360" w:lineRule="auto"/>
              <w:jc w:val="center"/>
              <w:rPr>
                <w:sz w:val="22"/>
                <w:szCs w:val="22"/>
                <w:lang w:val="en-GB"/>
              </w:rPr>
            </w:pPr>
            <w:r>
              <w:rPr>
                <w:sz w:val="22"/>
                <w:szCs w:val="22"/>
                <w:lang w:val="en-GB"/>
              </w:rPr>
              <w:t>62 (88.6</w:t>
            </w:r>
            <w:r w:rsidRPr="00C34A65">
              <w:rPr>
                <w:sz w:val="22"/>
                <w:szCs w:val="22"/>
                <w:lang w:val="en-GB"/>
              </w:rPr>
              <w:t>)</w:t>
            </w:r>
          </w:p>
        </w:tc>
        <w:tc>
          <w:tcPr>
            <w:tcW w:w="343" w:type="dxa"/>
            <w:tcBorders>
              <w:bottom w:val="single" w:sz="4" w:space="0" w:color="auto"/>
            </w:tcBorders>
          </w:tcPr>
          <w:p w:rsidR="00A00E11" w:rsidRPr="00C34A65" w:rsidRDefault="00A00E11" w:rsidP="00963889">
            <w:pPr>
              <w:spacing w:line="360" w:lineRule="auto"/>
              <w:jc w:val="center"/>
              <w:rPr>
                <w:sz w:val="22"/>
                <w:szCs w:val="22"/>
                <w:lang w:val="en-GB"/>
              </w:rPr>
            </w:pPr>
            <w:r>
              <w:rPr>
                <w:sz w:val="22"/>
                <w:szCs w:val="22"/>
                <w:lang w:val="en-GB"/>
              </w:rPr>
              <w:t>303</w:t>
            </w:r>
          </w:p>
        </w:tc>
        <w:tc>
          <w:tcPr>
            <w:tcW w:w="2336" w:type="dxa"/>
            <w:tcBorders>
              <w:bottom w:val="single" w:sz="4" w:space="0" w:color="auto"/>
            </w:tcBorders>
          </w:tcPr>
          <w:p w:rsidR="00A00E11" w:rsidRPr="00C34A65" w:rsidRDefault="00A00E11" w:rsidP="00963889">
            <w:pPr>
              <w:spacing w:line="360" w:lineRule="auto"/>
              <w:jc w:val="center"/>
              <w:rPr>
                <w:sz w:val="22"/>
                <w:szCs w:val="22"/>
                <w:lang w:val="en-GB"/>
              </w:rPr>
            </w:pPr>
            <w:r>
              <w:rPr>
                <w:sz w:val="22"/>
                <w:szCs w:val="22"/>
                <w:lang w:val="en-GB"/>
              </w:rPr>
              <w:t>276 (91.1</w:t>
            </w:r>
            <w:r w:rsidRPr="00C34A65">
              <w:rPr>
                <w:sz w:val="22"/>
                <w:szCs w:val="22"/>
                <w:lang w:val="en-GB"/>
              </w:rPr>
              <w:t>)</w:t>
            </w:r>
          </w:p>
        </w:tc>
        <w:tc>
          <w:tcPr>
            <w:tcW w:w="1243" w:type="dxa"/>
            <w:tcBorders>
              <w:bottom w:val="single" w:sz="4" w:space="0" w:color="auto"/>
            </w:tcBorders>
          </w:tcPr>
          <w:p w:rsidR="00A00E11" w:rsidRPr="00C34A65" w:rsidRDefault="00A00E11" w:rsidP="00963889">
            <w:pPr>
              <w:spacing w:line="360" w:lineRule="auto"/>
              <w:jc w:val="center"/>
              <w:rPr>
                <w:sz w:val="22"/>
                <w:szCs w:val="22"/>
                <w:lang w:val="en-GB"/>
              </w:rPr>
            </w:pPr>
            <w:r>
              <w:rPr>
                <w:sz w:val="22"/>
                <w:szCs w:val="22"/>
                <w:lang w:val="en-GB"/>
              </w:rPr>
              <w:t>0.52</w:t>
            </w:r>
          </w:p>
        </w:tc>
      </w:tr>
    </w:tbl>
    <w:p w:rsidR="00A00E11" w:rsidRPr="00C34A65" w:rsidRDefault="00A00E11" w:rsidP="00A00E11">
      <w:pPr>
        <w:rPr>
          <w:b/>
          <w:sz w:val="22"/>
          <w:szCs w:val="22"/>
          <w:lang w:val="en-US"/>
        </w:rPr>
      </w:pPr>
    </w:p>
    <w:p w:rsidR="00A00E11" w:rsidRPr="00C34A65" w:rsidRDefault="00A00E11" w:rsidP="00A00E11">
      <w:pPr>
        <w:spacing w:line="360" w:lineRule="auto"/>
        <w:rPr>
          <w:b/>
          <w:sz w:val="22"/>
          <w:szCs w:val="22"/>
          <w:lang w:val="en-US"/>
        </w:rPr>
      </w:pPr>
    </w:p>
    <w:p w:rsidR="00A00E11" w:rsidRPr="00C34A65" w:rsidRDefault="00A00E11" w:rsidP="00A00E11">
      <w:pPr>
        <w:spacing w:line="360" w:lineRule="auto"/>
        <w:rPr>
          <w:sz w:val="22"/>
          <w:szCs w:val="22"/>
          <w:lang w:val="en-US"/>
        </w:rPr>
      </w:pPr>
      <w:proofErr w:type="spellStart"/>
      <w:r w:rsidRPr="00C34A65">
        <w:rPr>
          <w:sz w:val="22"/>
          <w:szCs w:val="22"/>
          <w:vertAlign w:val="superscript"/>
          <w:lang w:val="en-US"/>
        </w:rPr>
        <w:t>a</w:t>
      </w:r>
      <w:proofErr w:type="spellEnd"/>
      <w:r w:rsidRPr="00C34A65">
        <w:rPr>
          <w:sz w:val="22"/>
          <w:szCs w:val="22"/>
          <w:vertAlign w:val="superscript"/>
          <w:lang w:val="en-US"/>
        </w:rPr>
        <w:t xml:space="preserve"> </w:t>
      </w:r>
      <w:r w:rsidRPr="00C34A65">
        <w:rPr>
          <w:sz w:val="22"/>
          <w:szCs w:val="22"/>
          <w:lang w:val="en-US"/>
        </w:rPr>
        <w:t>Abbreviations: n= Number; LLOA= Lower limb osteoarthritis.</w:t>
      </w:r>
    </w:p>
    <w:p w:rsidR="00A00E11" w:rsidRPr="00247972" w:rsidRDefault="00A00E11" w:rsidP="00A00E11">
      <w:pPr>
        <w:rPr>
          <w:lang w:val="en-US"/>
        </w:rPr>
      </w:pPr>
      <w:r w:rsidRPr="00C34A65">
        <w:rPr>
          <w:sz w:val="22"/>
          <w:szCs w:val="22"/>
          <w:vertAlign w:val="superscript"/>
          <w:lang w:val="en-US"/>
        </w:rPr>
        <w:t xml:space="preserve">b </w:t>
      </w:r>
      <w:r w:rsidRPr="00C34A65">
        <w:rPr>
          <w:sz w:val="22"/>
          <w:szCs w:val="22"/>
          <w:lang w:val="en-US"/>
        </w:rPr>
        <w:t>p-value of observed differences between groups with and without LLOA.</w:t>
      </w:r>
    </w:p>
    <w:p w:rsidR="00A00E11" w:rsidRDefault="00A00E11">
      <w:pPr>
        <w:rPr>
          <w:sz w:val="22"/>
          <w:szCs w:val="22"/>
          <w:highlight w:val="yellow"/>
          <w:lang w:val="en-US"/>
        </w:rPr>
      </w:pPr>
      <w:r>
        <w:rPr>
          <w:sz w:val="22"/>
          <w:szCs w:val="22"/>
          <w:highlight w:val="yellow"/>
          <w:lang w:val="en-US"/>
        </w:rPr>
        <w:br w:type="page"/>
      </w:r>
    </w:p>
    <w:p w:rsidR="00A00E11" w:rsidRPr="00C34A65" w:rsidRDefault="00A00E11" w:rsidP="00A00E11">
      <w:pPr>
        <w:rPr>
          <w:b/>
          <w:sz w:val="22"/>
          <w:szCs w:val="22"/>
          <w:lang w:val="en-US"/>
        </w:rPr>
      </w:pPr>
      <w:r>
        <w:rPr>
          <w:b/>
          <w:sz w:val="22"/>
          <w:szCs w:val="22"/>
          <w:lang w:val="en-US"/>
        </w:rPr>
        <w:lastRenderedPageBreak/>
        <w:t xml:space="preserve">Table 3: Characteristics </w:t>
      </w:r>
      <w:r w:rsidRPr="00C34A65">
        <w:rPr>
          <w:b/>
          <w:sz w:val="22"/>
          <w:szCs w:val="22"/>
          <w:lang w:val="en-US"/>
        </w:rPr>
        <w:t xml:space="preserve">of the </w:t>
      </w:r>
      <w:proofErr w:type="spellStart"/>
      <w:r w:rsidRPr="00C34A65">
        <w:rPr>
          <w:b/>
          <w:sz w:val="22"/>
          <w:szCs w:val="22"/>
          <w:lang w:val="en-US"/>
        </w:rPr>
        <w:t>neighbourhood</w:t>
      </w:r>
      <w:proofErr w:type="spellEnd"/>
      <w:r w:rsidRPr="00C34A65">
        <w:rPr>
          <w:b/>
          <w:sz w:val="22"/>
          <w:szCs w:val="22"/>
          <w:lang w:val="en-US"/>
        </w:rPr>
        <w:t xml:space="preserve"> environment in </w:t>
      </w:r>
      <w:r w:rsidR="00CE16D2">
        <w:rPr>
          <w:b/>
          <w:sz w:val="22"/>
          <w:szCs w:val="22"/>
          <w:lang w:val="en-US"/>
        </w:rPr>
        <w:t xml:space="preserve">the </w:t>
      </w:r>
      <w:r w:rsidRPr="00C34A65">
        <w:rPr>
          <w:b/>
          <w:sz w:val="22"/>
          <w:szCs w:val="22"/>
          <w:lang w:val="en-US"/>
        </w:rPr>
        <w:t>study sample, stratified by the presence of lower limb osteoarthritis.</w:t>
      </w:r>
      <w:r>
        <w:rPr>
          <w:b/>
          <w:sz w:val="22"/>
          <w:szCs w:val="22"/>
          <w:lang w:val="en-US"/>
        </w:rPr>
        <w:t xml:space="preserve"> </w:t>
      </w:r>
      <w:r w:rsidRPr="00C34A65">
        <w:rPr>
          <w:b/>
          <w:sz w:val="22"/>
          <w:szCs w:val="22"/>
          <w:vertAlign w:val="superscript"/>
          <w:lang w:val="en-US"/>
        </w:rPr>
        <w:t>a</w:t>
      </w:r>
      <w:r w:rsidRPr="00C34A65">
        <w:rPr>
          <w:b/>
          <w:sz w:val="22"/>
          <w:szCs w:val="22"/>
          <w:lang w:val="en-US"/>
        </w:rPr>
        <w:t xml:space="preserve">  </w:t>
      </w:r>
    </w:p>
    <w:tbl>
      <w:tblPr>
        <w:tblStyle w:val="TableGrid"/>
        <w:tblpPr w:leftFromText="141" w:rightFromText="141" w:vertAnchor="page" w:horzAnchor="margin" w:tblpY="1981"/>
        <w:tblW w:w="15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5"/>
        <w:gridCol w:w="546"/>
        <w:gridCol w:w="2360"/>
        <w:gridCol w:w="546"/>
        <w:gridCol w:w="2334"/>
        <w:gridCol w:w="546"/>
        <w:gridCol w:w="2302"/>
        <w:gridCol w:w="1231"/>
      </w:tblGrid>
      <w:tr w:rsidR="00A00E11" w:rsidRPr="00C34A65" w:rsidTr="00963889">
        <w:tc>
          <w:tcPr>
            <w:tcW w:w="5505" w:type="dxa"/>
            <w:tcBorders>
              <w:top w:val="single" w:sz="4" w:space="0" w:color="auto"/>
              <w:bottom w:val="single" w:sz="4" w:space="0" w:color="auto"/>
            </w:tcBorders>
          </w:tcPr>
          <w:p w:rsidR="00A00E11" w:rsidRPr="00C34A65" w:rsidRDefault="00A00E11" w:rsidP="00963889">
            <w:pPr>
              <w:spacing w:line="360" w:lineRule="auto"/>
              <w:jc w:val="center"/>
              <w:rPr>
                <w:sz w:val="22"/>
                <w:szCs w:val="22"/>
                <w:lang w:val="en-GB"/>
              </w:rPr>
            </w:pPr>
          </w:p>
        </w:tc>
        <w:tc>
          <w:tcPr>
            <w:tcW w:w="2906" w:type="dxa"/>
            <w:gridSpan w:val="2"/>
            <w:tcBorders>
              <w:top w:val="single" w:sz="4" w:space="0" w:color="auto"/>
              <w:bottom w:val="single" w:sz="4" w:space="0" w:color="auto"/>
            </w:tcBorders>
          </w:tcPr>
          <w:p w:rsidR="00A00E11" w:rsidRPr="00C34A65" w:rsidRDefault="00A00E11" w:rsidP="00963889">
            <w:pPr>
              <w:spacing w:line="360" w:lineRule="auto"/>
              <w:jc w:val="center"/>
              <w:rPr>
                <w:b/>
                <w:sz w:val="22"/>
                <w:szCs w:val="22"/>
                <w:lang w:val="en-GB"/>
              </w:rPr>
            </w:pPr>
            <w:r w:rsidRPr="00C34A65">
              <w:rPr>
                <w:b/>
                <w:sz w:val="22"/>
                <w:szCs w:val="22"/>
                <w:lang w:val="en-GB"/>
              </w:rPr>
              <w:t xml:space="preserve">All participants </w:t>
            </w:r>
          </w:p>
          <w:p w:rsidR="00A00E11" w:rsidRPr="00C34A65" w:rsidRDefault="00A00E11" w:rsidP="00963889">
            <w:pPr>
              <w:spacing w:line="360" w:lineRule="auto"/>
              <w:jc w:val="center"/>
              <w:rPr>
                <w:b/>
                <w:sz w:val="22"/>
                <w:szCs w:val="22"/>
                <w:lang w:val="en-GB"/>
              </w:rPr>
            </w:pPr>
            <w:r w:rsidRPr="00C34A65">
              <w:rPr>
                <w:b/>
                <w:sz w:val="22"/>
                <w:szCs w:val="22"/>
                <w:lang w:val="en-GB"/>
              </w:rPr>
              <w:t>(n=40</w:t>
            </w:r>
            <w:r>
              <w:rPr>
                <w:b/>
                <w:sz w:val="22"/>
                <w:szCs w:val="22"/>
                <w:lang w:val="en-GB"/>
              </w:rPr>
              <w:t>1</w:t>
            </w:r>
            <w:r w:rsidRPr="00C34A65">
              <w:rPr>
                <w:b/>
                <w:sz w:val="22"/>
                <w:szCs w:val="22"/>
                <w:lang w:val="en-GB"/>
              </w:rPr>
              <w:t>)</w:t>
            </w:r>
          </w:p>
        </w:tc>
        <w:tc>
          <w:tcPr>
            <w:tcW w:w="2880" w:type="dxa"/>
            <w:gridSpan w:val="2"/>
            <w:tcBorders>
              <w:top w:val="single" w:sz="4" w:space="0" w:color="auto"/>
              <w:bottom w:val="single" w:sz="4" w:space="0" w:color="auto"/>
            </w:tcBorders>
          </w:tcPr>
          <w:p w:rsidR="00A00E11" w:rsidRPr="00C34A65" w:rsidRDefault="00A00E11" w:rsidP="00963889">
            <w:pPr>
              <w:spacing w:line="360" w:lineRule="auto"/>
              <w:jc w:val="center"/>
              <w:rPr>
                <w:b/>
                <w:sz w:val="22"/>
                <w:szCs w:val="22"/>
                <w:lang w:val="en-GB"/>
              </w:rPr>
            </w:pPr>
            <w:r>
              <w:rPr>
                <w:b/>
                <w:sz w:val="22"/>
                <w:szCs w:val="22"/>
                <w:lang w:val="en-GB"/>
              </w:rPr>
              <w:t>Participants with LLOA (n=74</w:t>
            </w:r>
            <w:r w:rsidRPr="00C34A65">
              <w:rPr>
                <w:b/>
                <w:sz w:val="22"/>
                <w:szCs w:val="22"/>
                <w:lang w:val="en-GB"/>
              </w:rPr>
              <w:t>)</w:t>
            </w:r>
          </w:p>
        </w:tc>
        <w:tc>
          <w:tcPr>
            <w:tcW w:w="2848" w:type="dxa"/>
            <w:gridSpan w:val="2"/>
            <w:tcBorders>
              <w:top w:val="single" w:sz="4" w:space="0" w:color="auto"/>
              <w:bottom w:val="single" w:sz="4" w:space="0" w:color="auto"/>
            </w:tcBorders>
          </w:tcPr>
          <w:p w:rsidR="00A00E11" w:rsidRPr="00C34A65" w:rsidRDefault="00A00E11" w:rsidP="00963889">
            <w:pPr>
              <w:spacing w:line="360" w:lineRule="auto"/>
              <w:jc w:val="center"/>
              <w:rPr>
                <w:b/>
                <w:sz w:val="22"/>
                <w:szCs w:val="22"/>
                <w:lang w:val="en-GB"/>
              </w:rPr>
            </w:pPr>
            <w:r w:rsidRPr="00C34A65">
              <w:rPr>
                <w:b/>
                <w:sz w:val="22"/>
                <w:szCs w:val="22"/>
                <w:lang w:val="en-GB"/>
              </w:rPr>
              <w:t xml:space="preserve">Participants without LLOA </w:t>
            </w:r>
          </w:p>
          <w:p w:rsidR="00A00E11" w:rsidRPr="00C34A65" w:rsidRDefault="00A00E11" w:rsidP="00963889">
            <w:pPr>
              <w:spacing w:line="360" w:lineRule="auto"/>
              <w:jc w:val="center"/>
              <w:rPr>
                <w:b/>
                <w:sz w:val="22"/>
                <w:szCs w:val="22"/>
                <w:lang w:val="en-GB"/>
              </w:rPr>
            </w:pPr>
            <w:r w:rsidRPr="00C34A65">
              <w:rPr>
                <w:b/>
                <w:sz w:val="22"/>
                <w:szCs w:val="22"/>
                <w:lang w:val="en-GB"/>
              </w:rPr>
              <w:t>(n=</w:t>
            </w:r>
            <w:r>
              <w:rPr>
                <w:b/>
                <w:sz w:val="22"/>
                <w:szCs w:val="22"/>
                <w:lang w:val="en-GB"/>
              </w:rPr>
              <w:t>327</w:t>
            </w:r>
            <w:r w:rsidRPr="00C34A65">
              <w:rPr>
                <w:b/>
                <w:sz w:val="22"/>
                <w:szCs w:val="22"/>
                <w:lang w:val="en-GB"/>
              </w:rPr>
              <w:t>)</w:t>
            </w:r>
          </w:p>
        </w:tc>
        <w:tc>
          <w:tcPr>
            <w:tcW w:w="1231" w:type="dxa"/>
            <w:tcBorders>
              <w:top w:val="single" w:sz="4" w:space="0" w:color="auto"/>
              <w:bottom w:val="single" w:sz="4" w:space="0" w:color="auto"/>
            </w:tcBorders>
          </w:tcPr>
          <w:p w:rsidR="00A00E11" w:rsidRPr="00C34A65" w:rsidRDefault="00A00E11" w:rsidP="00963889">
            <w:pPr>
              <w:spacing w:line="360" w:lineRule="auto"/>
              <w:jc w:val="center"/>
              <w:rPr>
                <w:b/>
                <w:sz w:val="22"/>
                <w:szCs w:val="22"/>
                <w:vertAlign w:val="superscript"/>
                <w:lang w:val="en-GB"/>
              </w:rPr>
            </w:pPr>
            <w:r w:rsidRPr="00C34A65">
              <w:rPr>
                <w:b/>
                <w:sz w:val="22"/>
                <w:szCs w:val="22"/>
                <w:lang w:val="en-GB"/>
              </w:rPr>
              <w:t xml:space="preserve">p-value </w:t>
            </w:r>
            <w:r w:rsidRPr="00C34A65">
              <w:rPr>
                <w:b/>
                <w:sz w:val="22"/>
                <w:szCs w:val="22"/>
                <w:vertAlign w:val="superscript"/>
                <w:lang w:val="en-GB"/>
              </w:rPr>
              <w:t>b</w:t>
            </w:r>
          </w:p>
        </w:tc>
      </w:tr>
      <w:tr w:rsidR="00A00E11" w:rsidRPr="00C34A65" w:rsidTr="00963889">
        <w:tc>
          <w:tcPr>
            <w:tcW w:w="5505" w:type="dxa"/>
            <w:tcBorders>
              <w:top w:val="single" w:sz="4" w:space="0" w:color="auto"/>
              <w:bottom w:val="single" w:sz="4" w:space="0" w:color="auto"/>
            </w:tcBorders>
          </w:tcPr>
          <w:p w:rsidR="00A00E11" w:rsidRPr="00C34A65" w:rsidRDefault="00A00E11" w:rsidP="00963889">
            <w:pPr>
              <w:spacing w:line="360" w:lineRule="auto"/>
              <w:jc w:val="center"/>
              <w:rPr>
                <w:sz w:val="22"/>
                <w:szCs w:val="22"/>
                <w:lang w:val="en-GB"/>
              </w:rPr>
            </w:pPr>
          </w:p>
        </w:tc>
        <w:tc>
          <w:tcPr>
            <w:tcW w:w="546" w:type="dxa"/>
            <w:tcBorders>
              <w:top w:val="single" w:sz="4" w:space="0" w:color="auto"/>
              <w:bottom w:val="single" w:sz="4" w:space="0" w:color="auto"/>
            </w:tcBorders>
          </w:tcPr>
          <w:p w:rsidR="00A00E11" w:rsidRPr="00C34A65" w:rsidRDefault="00A00E11" w:rsidP="00963889">
            <w:pPr>
              <w:spacing w:line="360" w:lineRule="auto"/>
              <w:jc w:val="center"/>
              <w:rPr>
                <w:sz w:val="22"/>
                <w:szCs w:val="22"/>
                <w:lang w:val="en-GB"/>
              </w:rPr>
            </w:pPr>
            <w:r w:rsidRPr="00C34A65">
              <w:rPr>
                <w:sz w:val="22"/>
                <w:szCs w:val="22"/>
                <w:lang w:val="en-GB"/>
              </w:rPr>
              <w:t>n</w:t>
            </w:r>
          </w:p>
        </w:tc>
        <w:tc>
          <w:tcPr>
            <w:tcW w:w="2360" w:type="dxa"/>
            <w:tcBorders>
              <w:top w:val="single" w:sz="4" w:space="0" w:color="auto"/>
              <w:bottom w:val="single" w:sz="4" w:space="0" w:color="auto"/>
            </w:tcBorders>
          </w:tcPr>
          <w:p w:rsidR="00A00E11" w:rsidRPr="00C34A65" w:rsidRDefault="00A00E11" w:rsidP="00963889">
            <w:pPr>
              <w:spacing w:line="360" w:lineRule="auto"/>
              <w:jc w:val="center"/>
              <w:rPr>
                <w:sz w:val="22"/>
                <w:szCs w:val="22"/>
                <w:lang w:val="en-GB"/>
              </w:rPr>
            </w:pPr>
          </w:p>
        </w:tc>
        <w:tc>
          <w:tcPr>
            <w:tcW w:w="546" w:type="dxa"/>
            <w:tcBorders>
              <w:top w:val="single" w:sz="4" w:space="0" w:color="auto"/>
              <w:bottom w:val="single" w:sz="4" w:space="0" w:color="auto"/>
            </w:tcBorders>
          </w:tcPr>
          <w:p w:rsidR="00A00E11" w:rsidRPr="00C34A65" w:rsidRDefault="00A00E11" w:rsidP="00963889">
            <w:pPr>
              <w:spacing w:line="360" w:lineRule="auto"/>
              <w:jc w:val="center"/>
              <w:rPr>
                <w:sz w:val="22"/>
                <w:szCs w:val="22"/>
                <w:lang w:val="en-GB"/>
              </w:rPr>
            </w:pPr>
            <w:r w:rsidRPr="00C34A65">
              <w:rPr>
                <w:sz w:val="22"/>
                <w:szCs w:val="22"/>
                <w:lang w:val="en-GB"/>
              </w:rPr>
              <w:t>n</w:t>
            </w:r>
          </w:p>
        </w:tc>
        <w:tc>
          <w:tcPr>
            <w:tcW w:w="2334" w:type="dxa"/>
            <w:tcBorders>
              <w:top w:val="single" w:sz="4" w:space="0" w:color="auto"/>
              <w:bottom w:val="single" w:sz="4" w:space="0" w:color="auto"/>
            </w:tcBorders>
          </w:tcPr>
          <w:p w:rsidR="00A00E11" w:rsidRPr="00C34A65" w:rsidRDefault="00A00E11" w:rsidP="00963889">
            <w:pPr>
              <w:spacing w:line="360" w:lineRule="auto"/>
              <w:jc w:val="center"/>
              <w:rPr>
                <w:sz w:val="22"/>
                <w:szCs w:val="22"/>
                <w:lang w:val="en-GB"/>
              </w:rPr>
            </w:pPr>
          </w:p>
        </w:tc>
        <w:tc>
          <w:tcPr>
            <w:tcW w:w="546" w:type="dxa"/>
            <w:tcBorders>
              <w:top w:val="single" w:sz="4" w:space="0" w:color="auto"/>
              <w:bottom w:val="single" w:sz="4" w:space="0" w:color="auto"/>
            </w:tcBorders>
          </w:tcPr>
          <w:p w:rsidR="00A00E11" w:rsidRPr="00C34A65" w:rsidRDefault="00A00E11" w:rsidP="00963889">
            <w:pPr>
              <w:spacing w:line="360" w:lineRule="auto"/>
              <w:jc w:val="center"/>
              <w:rPr>
                <w:sz w:val="22"/>
                <w:szCs w:val="22"/>
                <w:lang w:val="en-GB"/>
              </w:rPr>
            </w:pPr>
            <w:r w:rsidRPr="00C34A65">
              <w:rPr>
                <w:sz w:val="22"/>
                <w:szCs w:val="22"/>
                <w:lang w:val="en-GB"/>
              </w:rPr>
              <w:t>n</w:t>
            </w:r>
          </w:p>
        </w:tc>
        <w:tc>
          <w:tcPr>
            <w:tcW w:w="2302" w:type="dxa"/>
            <w:tcBorders>
              <w:top w:val="single" w:sz="4" w:space="0" w:color="auto"/>
              <w:bottom w:val="single" w:sz="4" w:space="0" w:color="auto"/>
            </w:tcBorders>
          </w:tcPr>
          <w:p w:rsidR="00A00E11" w:rsidRPr="00C34A65" w:rsidRDefault="00A00E11" w:rsidP="00963889">
            <w:pPr>
              <w:spacing w:line="360" w:lineRule="auto"/>
              <w:jc w:val="center"/>
              <w:rPr>
                <w:sz w:val="22"/>
                <w:szCs w:val="22"/>
                <w:lang w:val="en-GB"/>
              </w:rPr>
            </w:pPr>
          </w:p>
        </w:tc>
        <w:tc>
          <w:tcPr>
            <w:tcW w:w="1231" w:type="dxa"/>
            <w:tcBorders>
              <w:top w:val="single" w:sz="4" w:space="0" w:color="auto"/>
              <w:bottom w:val="single" w:sz="4" w:space="0" w:color="auto"/>
            </w:tcBorders>
          </w:tcPr>
          <w:p w:rsidR="00A00E11" w:rsidRPr="00C34A65" w:rsidRDefault="00A00E11" w:rsidP="00963889">
            <w:pPr>
              <w:spacing w:line="360" w:lineRule="auto"/>
              <w:jc w:val="center"/>
              <w:rPr>
                <w:sz w:val="22"/>
                <w:szCs w:val="22"/>
                <w:lang w:val="en-GB"/>
              </w:rPr>
            </w:pPr>
          </w:p>
        </w:tc>
      </w:tr>
      <w:tr w:rsidR="00A00E11" w:rsidRPr="00C34A65" w:rsidTr="00963889">
        <w:tc>
          <w:tcPr>
            <w:tcW w:w="5505" w:type="dxa"/>
            <w:tcBorders>
              <w:top w:val="single" w:sz="4" w:space="0" w:color="auto"/>
            </w:tcBorders>
          </w:tcPr>
          <w:p w:rsidR="00A00E11" w:rsidRPr="00C34A65" w:rsidRDefault="00A00E11" w:rsidP="00963889">
            <w:pPr>
              <w:spacing w:line="360" w:lineRule="auto"/>
              <w:jc w:val="both"/>
              <w:rPr>
                <w:b/>
                <w:sz w:val="22"/>
                <w:szCs w:val="22"/>
                <w:lang w:val="en-GB"/>
              </w:rPr>
            </w:pPr>
            <w:r w:rsidRPr="00C34A65">
              <w:rPr>
                <w:b/>
                <w:sz w:val="22"/>
                <w:szCs w:val="22"/>
                <w:lang w:val="en-GB"/>
              </w:rPr>
              <w:t>Neighbourhood environment</w:t>
            </w:r>
          </w:p>
        </w:tc>
        <w:tc>
          <w:tcPr>
            <w:tcW w:w="546" w:type="dxa"/>
            <w:tcBorders>
              <w:top w:val="single" w:sz="4" w:space="0" w:color="auto"/>
            </w:tcBorders>
          </w:tcPr>
          <w:p w:rsidR="00A00E11" w:rsidRPr="00C34A65" w:rsidRDefault="00A00E11" w:rsidP="00963889">
            <w:pPr>
              <w:spacing w:line="360" w:lineRule="auto"/>
              <w:jc w:val="center"/>
              <w:rPr>
                <w:sz w:val="22"/>
                <w:szCs w:val="22"/>
                <w:lang w:val="en-GB"/>
              </w:rPr>
            </w:pPr>
          </w:p>
        </w:tc>
        <w:tc>
          <w:tcPr>
            <w:tcW w:w="2360" w:type="dxa"/>
            <w:tcBorders>
              <w:top w:val="single" w:sz="4" w:space="0" w:color="auto"/>
            </w:tcBorders>
          </w:tcPr>
          <w:p w:rsidR="00A00E11" w:rsidRPr="00C34A65" w:rsidRDefault="00A00E11" w:rsidP="00963889">
            <w:pPr>
              <w:spacing w:line="360" w:lineRule="auto"/>
              <w:jc w:val="center"/>
              <w:rPr>
                <w:sz w:val="22"/>
                <w:szCs w:val="22"/>
                <w:lang w:val="en-GB"/>
              </w:rPr>
            </w:pPr>
          </w:p>
        </w:tc>
        <w:tc>
          <w:tcPr>
            <w:tcW w:w="546" w:type="dxa"/>
            <w:tcBorders>
              <w:top w:val="single" w:sz="4" w:space="0" w:color="auto"/>
            </w:tcBorders>
          </w:tcPr>
          <w:p w:rsidR="00A00E11" w:rsidRPr="00C34A65" w:rsidRDefault="00A00E11" w:rsidP="00963889">
            <w:pPr>
              <w:spacing w:line="360" w:lineRule="auto"/>
              <w:jc w:val="center"/>
              <w:rPr>
                <w:sz w:val="22"/>
                <w:szCs w:val="22"/>
                <w:lang w:val="en-GB"/>
              </w:rPr>
            </w:pPr>
          </w:p>
        </w:tc>
        <w:tc>
          <w:tcPr>
            <w:tcW w:w="2334" w:type="dxa"/>
            <w:tcBorders>
              <w:top w:val="single" w:sz="4" w:space="0" w:color="auto"/>
            </w:tcBorders>
          </w:tcPr>
          <w:p w:rsidR="00A00E11" w:rsidRPr="00C34A65" w:rsidRDefault="00A00E11" w:rsidP="00963889">
            <w:pPr>
              <w:spacing w:line="360" w:lineRule="auto"/>
              <w:jc w:val="center"/>
              <w:rPr>
                <w:sz w:val="22"/>
                <w:szCs w:val="22"/>
                <w:lang w:val="en-GB"/>
              </w:rPr>
            </w:pPr>
          </w:p>
        </w:tc>
        <w:tc>
          <w:tcPr>
            <w:tcW w:w="546" w:type="dxa"/>
            <w:tcBorders>
              <w:top w:val="single" w:sz="4" w:space="0" w:color="auto"/>
            </w:tcBorders>
          </w:tcPr>
          <w:p w:rsidR="00A00E11" w:rsidRPr="00C34A65" w:rsidRDefault="00A00E11" w:rsidP="00963889">
            <w:pPr>
              <w:spacing w:line="360" w:lineRule="auto"/>
              <w:jc w:val="center"/>
              <w:rPr>
                <w:sz w:val="22"/>
                <w:szCs w:val="22"/>
                <w:lang w:val="en-GB"/>
              </w:rPr>
            </w:pPr>
          </w:p>
        </w:tc>
        <w:tc>
          <w:tcPr>
            <w:tcW w:w="2302" w:type="dxa"/>
            <w:tcBorders>
              <w:top w:val="single" w:sz="4" w:space="0" w:color="auto"/>
            </w:tcBorders>
          </w:tcPr>
          <w:p w:rsidR="00A00E11" w:rsidRPr="00C34A65" w:rsidRDefault="00A00E11" w:rsidP="00963889">
            <w:pPr>
              <w:spacing w:line="360" w:lineRule="auto"/>
              <w:jc w:val="center"/>
              <w:rPr>
                <w:sz w:val="22"/>
                <w:szCs w:val="22"/>
                <w:lang w:val="en-GB"/>
              </w:rPr>
            </w:pPr>
          </w:p>
        </w:tc>
        <w:tc>
          <w:tcPr>
            <w:tcW w:w="1231" w:type="dxa"/>
            <w:tcBorders>
              <w:top w:val="single" w:sz="4" w:space="0" w:color="auto"/>
            </w:tcBorders>
          </w:tcPr>
          <w:p w:rsidR="00A00E11" w:rsidRPr="00C34A65" w:rsidRDefault="00A00E11" w:rsidP="00963889">
            <w:pPr>
              <w:spacing w:line="360" w:lineRule="auto"/>
              <w:jc w:val="center"/>
              <w:rPr>
                <w:sz w:val="22"/>
                <w:szCs w:val="22"/>
                <w:lang w:val="en-GB"/>
              </w:rPr>
            </w:pPr>
          </w:p>
        </w:tc>
      </w:tr>
      <w:tr w:rsidR="00A00E11" w:rsidRPr="0080122E" w:rsidTr="00963889">
        <w:tc>
          <w:tcPr>
            <w:tcW w:w="5505" w:type="dxa"/>
          </w:tcPr>
          <w:p w:rsidR="00A00E11" w:rsidRPr="00C34A65" w:rsidRDefault="00D128ED" w:rsidP="00963889">
            <w:pPr>
              <w:spacing w:line="360" w:lineRule="auto"/>
              <w:jc w:val="both"/>
              <w:rPr>
                <w:sz w:val="22"/>
                <w:szCs w:val="22"/>
                <w:vertAlign w:val="superscript"/>
                <w:lang w:val="en-GB"/>
              </w:rPr>
            </w:pPr>
            <w:r>
              <w:rPr>
                <w:sz w:val="22"/>
                <w:szCs w:val="22"/>
                <w:lang w:val="en-GB"/>
              </w:rPr>
              <w:t>Perceived n</w:t>
            </w:r>
            <w:r w:rsidR="00A00E11" w:rsidRPr="00C34A65">
              <w:rPr>
                <w:sz w:val="22"/>
                <w:szCs w:val="22"/>
                <w:lang w:val="en-GB"/>
              </w:rPr>
              <w:t>eighbourhood cohesion (5-40) (Mean (SD))</w:t>
            </w:r>
          </w:p>
        </w:tc>
        <w:tc>
          <w:tcPr>
            <w:tcW w:w="546" w:type="dxa"/>
          </w:tcPr>
          <w:p w:rsidR="00A00E11" w:rsidRPr="00C34A65" w:rsidRDefault="00A00E11" w:rsidP="00963889">
            <w:pPr>
              <w:spacing w:line="360" w:lineRule="auto"/>
              <w:jc w:val="center"/>
              <w:rPr>
                <w:sz w:val="22"/>
                <w:szCs w:val="22"/>
                <w:lang w:val="en-GB"/>
              </w:rPr>
            </w:pPr>
            <w:r>
              <w:rPr>
                <w:sz w:val="22"/>
                <w:szCs w:val="22"/>
                <w:lang w:val="en-GB"/>
              </w:rPr>
              <w:t>303</w:t>
            </w:r>
          </w:p>
        </w:tc>
        <w:tc>
          <w:tcPr>
            <w:tcW w:w="2360" w:type="dxa"/>
          </w:tcPr>
          <w:p w:rsidR="00A00E11" w:rsidRPr="00C34A65" w:rsidRDefault="00A00E11" w:rsidP="00963889">
            <w:pPr>
              <w:spacing w:line="360" w:lineRule="auto"/>
              <w:jc w:val="center"/>
              <w:rPr>
                <w:sz w:val="22"/>
                <w:szCs w:val="22"/>
                <w:lang w:val="en-GB"/>
              </w:rPr>
            </w:pPr>
            <w:r w:rsidRPr="00C34A65">
              <w:rPr>
                <w:sz w:val="22"/>
                <w:szCs w:val="22"/>
                <w:lang w:val="en-GB"/>
              </w:rPr>
              <w:t>32.2 (4.</w:t>
            </w:r>
            <w:r>
              <w:rPr>
                <w:sz w:val="22"/>
                <w:szCs w:val="22"/>
                <w:lang w:val="en-GB"/>
              </w:rPr>
              <w:t>5</w:t>
            </w:r>
            <w:r w:rsidRPr="00C34A65">
              <w:rPr>
                <w:sz w:val="22"/>
                <w:szCs w:val="22"/>
                <w:lang w:val="en-GB"/>
              </w:rPr>
              <w:t>)</w:t>
            </w:r>
          </w:p>
        </w:tc>
        <w:tc>
          <w:tcPr>
            <w:tcW w:w="546" w:type="dxa"/>
          </w:tcPr>
          <w:p w:rsidR="00A00E11" w:rsidRPr="00C34A65" w:rsidRDefault="00A00E11" w:rsidP="00963889">
            <w:pPr>
              <w:spacing w:line="360" w:lineRule="auto"/>
              <w:jc w:val="center"/>
              <w:rPr>
                <w:sz w:val="22"/>
                <w:szCs w:val="22"/>
                <w:lang w:val="en-GB"/>
              </w:rPr>
            </w:pPr>
            <w:r>
              <w:rPr>
                <w:sz w:val="22"/>
                <w:szCs w:val="22"/>
                <w:lang w:val="en-GB"/>
              </w:rPr>
              <w:t>53</w:t>
            </w:r>
          </w:p>
        </w:tc>
        <w:tc>
          <w:tcPr>
            <w:tcW w:w="2334" w:type="dxa"/>
          </w:tcPr>
          <w:p w:rsidR="00A00E11" w:rsidRPr="00C34A65" w:rsidRDefault="00A00E11" w:rsidP="00963889">
            <w:pPr>
              <w:spacing w:line="360" w:lineRule="auto"/>
              <w:jc w:val="center"/>
              <w:rPr>
                <w:sz w:val="22"/>
                <w:szCs w:val="22"/>
                <w:lang w:val="en-GB"/>
              </w:rPr>
            </w:pPr>
            <w:r>
              <w:rPr>
                <w:sz w:val="22"/>
                <w:szCs w:val="22"/>
                <w:lang w:val="en-GB"/>
              </w:rPr>
              <w:t>32.3 (5.5</w:t>
            </w:r>
            <w:r w:rsidRPr="00C34A65">
              <w:rPr>
                <w:sz w:val="22"/>
                <w:szCs w:val="22"/>
                <w:lang w:val="en-GB"/>
              </w:rPr>
              <w:t>)</w:t>
            </w:r>
          </w:p>
        </w:tc>
        <w:tc>
          <w:tcPr>
            <w:tcW w:w="546" w:type="dxa"/>
          </w:tcPr>
          <w:p w:rsidR="00A00E11" w:rsidRPr="00C34A65" w:rsidRDefault="00A00E11" w:rsidP="00963889">
            <w:pPr>
              <w:spacing w:line="360" w:lineRule="auto"/>
              <w:jc w:val="center"/>
              <w:rPr>
                <w:sz w:val="22"/>
                <w:szCs w:val="22"/>
                <w:lang w:val="en-GB"/>
              </w:rPr>
            </w:pPr>
            <w:r>
              <w:rPr>
                <w:sz w:val="22"/>
                <w:szCs w:val="22"/>
                <w:lang w:val="en-GB"/>
              </w:rPr>
              <w:t>250</w:t>
            </w:r>
          </w:p>
        </w:tc>
        <w:tc>
          <w:tcPr>
            <w:tcW w:w="2302" w:type="dxa"/>
          </w:tcPr>
          <w:p w:rsidR="00A00E11" w:rsidRPr="00C34A65" w:rsidRDefault="00A00E11" w:rsidP="00963889">
            <w:pPr>
              <w:spacing w:line="360" w:lineRule="auto"/>
              <w:jc w:val="center"/>
              <w:rPr>
                <w:sz w:val="22"/>
                <w:szCs w:val="22"/>
                <w:lang w:val="en-GB"/>
              </w:rPr>
            </w:pPr>
            <w:r>
              <w:rPr>
                <w:sz w:val="22"/>
                <w:szCs w:val="22"/>
                <w:lang w:val="en-GB"/>
              </w:rPr>
              <w:t>32.2</w:t>
            </w:r>
            <w:r w:rsidRPr="00C34A65">
              <w:rPr>
                <w:sz w:val="22"/>
                <w:szCs w:val="22"/>
                <w:lang w:val="en-GB"/>
              </w:rPr>
              <w:t xml:space="preserve"> (4.3)</w:t>
            </w:r>
          </w:p>
        </w:tc>
        <w:tc>
          <w:tcPr>
            <w:tcW w:w="1231" w:type="dxa"/>
          </w:tcPr>
          <w:p w:rsidR="00A00E11" w:rsidRPr="00C34A65" w:rsidRDefault="00A00E11" w:rsidP="00963889">
            <w:pPr>
              <w:spacing w:line="360" w:lineRule="auto"/>
              <w:jc w:val="center"/>
              <w:rPr>
                <w:sz w:val="22"/>
                <w:szCs w:val="22"/>
                <w:lang w:val="en-GB"/>
              </w:rPr>
            </w:pPr>
            <w:r>
              <w:rPr>
                <w:sz w:val="22"/>
                <w:szCs w:val="22"/>
                <w:lang w:val="en-GB"/>
              </w:rPr>
              <w:t>0.82</w:t>
            </w:r>
          </w:p>
        </w:tc>
      </w:tr>
      <w:tr w:rsidR="00A00E11" w:rsidRPr="0080122E" w:rsidTr="00963889">
        <w:tc>
          <w:tcPr>
            <w:tcW w:w="5505" w:type="dxa"/>
          </w:tcPr>
          <w:p w:rsidR="00A00E11" w:rsidRPr="00C34A65" w:rsidRDefault="00D128ED" w:rsidP="00963889">
            <w:pPr>
              <w:spacing w:line="360" w:lineRule="auto"/>
              <w:jc w:val="both"/>
              <w:rPr>
                <w:sz w:val="22"/>
                <w:szCs w:val="22"/>
                <w:vertAlign w:val="superscript"/>
                <w:lang w:val="en-GB"/>
              </w:rPr>
            </w:pPr>
            <w:r>
              <w:rPr>
                <w:sz w:val="22"/>
                <w:szCs w:val="22"/>
                <w:lang w:val="en-GB"/>
              </w:rPr>
              <w:t>Perceived n</w:t>
            </w:r>
            <w:r w:rsidR="00A00E11" w:rsidRPr="00C34A65">
              <w:rPr>
                <w:sz w:val="22"/>
                <w:szCs w:val="22"/>
                <w:lang w:val="en-GB"/>
              </w:rPr>
              <w:t>eighbourhood problems (8-24) (Mean (SD))</w:t>
            </w:r>
          </w:p>
        </w:tc>
        <w:tc>
          <w:tcPr>
            <w:tcW w:w="546" w:type="dxa"/>
          </w:tcPr>
          <w:p w:rsidR="00A00E11" w:rsidRPr="00C34A65" w:rsidRDefault="00A00E11" w:rsidP="00963889">
            <w:pPr>
              <w:spacing w:line="360" w:lineRule="auto"/>
              <w:jc w:val="center"/>
              <w:rPr>
                <w:sz w:val="22"/>
                <w:szCs w:val="22"/>
                <w:lang w:val="en-GB"/>
              </w:rPr>
            </w:pPr>
            <w:r>
              <w:rPr>
                <w:sz w:val="22"/>
                <w:szCs w:val="22"/>
                <w:lang w:val="en-GB"/>
              </w:rPr>
              <w:t>299</w:t>
            </w:r>
          </w:p>
        </w:tc>
        <w:tc>
          <w:tcPr>
            <w:tcW w:w="2360" w:type="dxa"/>
          </w:tcPr>
          <w:p w:rsidR="00A00E11" w:rsidRPr="00C34A65" w:rsidRDefault="00A00E11" w:rsidP="00963889">
            <w:pPr>
              <w:spacing w:line="360" w:lineRule="auto"/>
              <w:jc w:val="center"/>
              <w:rPr>
                <w:sz w:val="22"/>
                <w:szCs w:val="22"/>
                <w:lang w:val="en-GB"/>
              </w:rPr>
            </w:pPr>
            <w:r>
              <w:rPr>
                <w:sz w:val="22"/>
                <w:szCs w:val="22"/>
                <w:lang w:val="en-GB"/>
              </w:rPr>
              <w:t>11.0</w:t>
            </w:r>
            <w:r w:rsidRPr="00C34A65">
              <w:rPr>
                <w:sz w:val="22"/>
                <w:szCs w:val="22"/>
                <w:lang w:val="en-GB"/>
              </w:rPr>
              <w:t xml:space="preserve"> (2.6)</w:t>
            </w:r>
          </w:p>
        </w:tc>
        <w:tc>
          <w:tcPr>
            <w:tcW w:w="546" w:type="dxa"/>
          </w:tcPr>
          <w:p w:rsidR="00A00E11" w:rsidRPr="00C34A65" w:rsidRDefault="00A00E11" w:rsidP="00963889">
            <w:pPr>
              <w:spacing w:line="360" w:lineRule="auto"/>
              <w:jc w:val="center"/>
              <w:rPr>
                <w:sz w:val="22"/>
                <w:szCs w:val="22"/>
                <w:lang w:val="en-GB"/>
              </w:rPr>
            </w:pPr>
            <w:r>
              <w:rPr>
                <w:sz w:val="22"/>
                <w:szCs w:val="22"/>
                <w:lang w:val="en-GB"/>
              </w:rPr>
              <w:t>51</w:t>
            </w:r>
          </w:p>
        </w:tc>
        <w:tc>
          <w:tcPr>
            <w:tcW w:w="2334" w:type="dxa"/>
          </w:tcPr>
          <w:p w:rsidR="00A00E11" w:rsidRPr="00C34A65" w:rsidRDefault="00A00E11" w:rsidP="00963889">
            <w:pPr>
              <w:spacing w:line="360" w:lineRule="auto"/>
              <w:jc w:val="center"/>
              <w:rPr>
                <w:sz w:val="22"/>
                <w:szCs w:val="22"/>
                <w:lang w:val="en-GB"/>
              </w:rPr>
            </w:pPr>
            <w:r>
              <w:rPr>
                <w:sz w:val="22"/>
                <w:szCs w:val="22"/>
                <w:lang w:val="en-GB"/>
              </w:rPr>
              <w:t>12.0</w:t>
            </w:r>
            <w:r w:rsidRPr="00C34A65">
              <w:rPr>
                <w:sz w:val="22"/>
                <w:szCs w:val="22"/>
                <w:lang w:val="en-GB"/>
              </w:rPr>
              <w:t xml:space="preserve"> (2.</w:t>
            </w:r>
            <w:r>
              <w:rPr>
                <w:sz w:val="22"/>
                <w:szCs w:val="22"/>
                <w:lang w:val="en-GB"/>
              </w:rPr>
              <w:t>6</w:t>
            </w:r>
            <w:r w:rsidRPr="00C34A65">
              <w:rPr>
                <w:sz w:val="22"/>
                <w:szCs w:val="22"/>
                <w:lang w:val="en-GB"/>
              </w:rPr>
              <w:t>)</w:t>
            </w:r>
          </w:p>
        </w:tc>
        <w:tc>
          <w:tcPr>
            <w:tcW w:w="546" w:type="dxa"/>
          </w:tcPr>
          <w:p w:rsidR="00A00E11" w:rsidRPr="00C34A65" w:rsidRDefault="00A00E11" w:rsidP="00963889">
            <w:pPr>
              <w:spacing w:line="360" w:lineRule="auto"/>
              <w:jc w:val="center"/>
              <w:rPr>
                <w:sz w:val="22"/>
                <w:szCs w:val="22"/>
                <w:lang w:val="en-GB"/>
              </w:rPr>
            </w:pPr>
            <w:r>
              <w:rPr>
                <w:sz w:val="22"/>
                <w:szCs w:val="22"/>
                <w:lang w:val="en-GB"/>
              </w:rPr>
              <w:t>248</w:t>
            </w:r>
          </w:p>
        </w:tc>
        <w:tc>
          <w:tcPr>
            <w:tcW w:w="2302" w:type="dxa"/>
          </w:tcPr>
          <w:p w:rsidR="00A00E11" w:rsidRPr="00C34A65" w:rsidRDefault="00A00E11" w:rsidP="00963889">
            <w:pPr>
              <w:spacing w:line="360" w:lineRule="auto"/>
              <w:jc w:val="center"/>
              <w:rPr>
                <w:sz w:val="22"/>
                <w:szCs w:val="22"/>
                <w:lang w:val="en-GB"/>
              </w:rPr>
            </w:pPr>
            <w:r>
              <w:rPr>
                <w:sz w:val="22"/>
                <w:szCs w:val="22"/>
                <w:lang w:val="en-GB"/>
              </w:rPr>
              <w:t>10.9 (2.5</w:t>
            </w:r>
            <w:r w:rsidRPr="00C34A65">
              <w:rPr>
                <w:sz w:val="22"/>
                <w:szCs w:val="22"/>
                <w:lang w:val="en-GB"/>
              </w:rPr>
              <w:t>)</w:t>
            </w:r>
          </w:p>
        </w:tc>
        <w:tc>
          <w:tcPr>
            <w:tcW w:w="1231" w:type="dxa"/>
          </w:tcPr>
          <w:p w:rsidR="00A00E11" w:rsidRPr="00C34A65" w:rsidRDefault="00A00E11" w:rsidP="00963889">
            <w:pPr>
              <w:spacing w:line="360" w:lineRule="auto"/>
              <w:jc w:val="center"/>
              <w:rPr>
                <w:sz w:val="22"/>
                <w:szCs w:val="22"/>
                <w:lang w:val="en-GB"/>
              </w:rPr>
            </w:pPr>
            <w:r>
              <w:rPr>
                <w:sz w:val="22"/>
                <w:szCs w:val="22"/>
                <w:lang w:val="en-GB"/>
              </w:rPr>
              <w:t>&lt;0.01</w:t>
            </w:r>
          </w:p>
        </w:tc>
      </w:tr>
      <w:tr w:rsidR="00A00E11" w:rsidRPr="0080122E" w:rsidTr="00963889">
        <w:trPr>
          <w:trHeight w:val="298"/>
        </w:trPr>
        <w:tc>
          <w:tcPr>
            <w:tcW w:w="5505" w:type="dxa"/>
            <w:tcBorders>
              <w:bottom w:val="single" w:sz="4" w:space="0" w:color="auto"/>
            </w:tcBorders>
          </w:tcPr>
          <w:p w:rsidR="00A00E11" w:rsidRPr="00C34A65" w:rsidRDefault="00D128ED" w:rsidP="00963889">
            <w:pPr>
              <w:spacing w:line="360" w:lineRule="auto"/>
              <w:jc w:val="both"/>
              <w:rPr>
                <w:sz w:val="22"/>
                <w:szCs w:val="22"/>
                <w:vertAlign w:val="superscript"/>
                <w:lang w:val="en-GB"/>
              </w:rPr>
            </w:pPr>
            <w:r>
              <w:rPr>
                <w:sz w:val="22"/>
                <w:szCs w:val="22"/>
                <w:lang w:val="en-GB"/>
              </w:rPr>
              <w:t>Objective n</w:t>
            </w:r>
            <w:r w:rsidR="00A00E11" w:rsidRPr="00C34A65">
              <w:rPr>
                <w:sz w:val="22"/>
                <w:szCs w:val="22"/>
                <w:lang w:val="en-GB"/>
              </w:rPr>
              <w:t>eighbourhood deprivation (Median (IQR))</w:t>
            </w:r>
          </w:p>
        </w:tc>
        <w:tc>
          <w:tcPr>
            <w:tcW w:w="546" w:type="dxa"/>
            <w:tcBorders>
              <w:bottom w:val="single" w:sz="4" w:space="0" w:color="auto"/>
            </w:tcBorders>
          </w:tcPr>
          <w:p w:rsidR="00A00E11" w:rsidRPr="00C34A65" w:rsidRDefault="00A00E11" w:rsidP="00963889">
            <w:pPr>
              <w:spacing w:line="360" w:lineRule="auto"/>
              <w:jc w:val="center"/>
              <w:rPr>
                <w:sz w:val="22"/>
                <w:szCs w:val="22"/>
                <w:lang w:val="en-GB"/>
              </w:rPr>
            </w:pPr>
            <w:r>
              <w:rPr>
                <w:sz w:val="22"/>
                <w:szCs w:val="22"/>
                <w:lang w:val="en-GB"/>
              </w:rPr>
              <w:t>401</w:t>
            </w:r>
          </w:p>
        </w:tc>
        <w:tc>
          <w:tcPr>
            <w:tcW w:w="2360" w:type="dxa"/>
            <w:tcBorders>
              <w:bottom w:val="single" w:sz="4" w:space="0" w:color="auto"/>
            </w:tcBorders>
          </w:tcPr>
          <w:p w:rsidR="00A00E11" w:rsidRPr="00C34A65" w:rsidRDefault="00A00E11" w:rsidP="00963889">
            <w:pPr>
              <w:spacing w:line="360" w:lineRule="auto"/>
              <w:jc w:val="center"/>
              <w:rPr>
                <w:sz w:val="22"/>
                <w:szCs w:val="22"/>
                <w:vertAlign w:val="superscript"/>
                <w:lang w:val="en-GB"/>
              </w:rPr>
            </w:pPr>
            <w:r>
              <w:rPr>
                <w:sz w:val="22"/>
                <w:szCs w:val="22"/>
                <w:lang w:val="en-GB"/>
              </w:rPr>
              <w:t>9.09 (5.08</w:t>
            </w:r>
            <w:r w:rsidRPr="00C34A65">
              <w:rPr>
                <w:sz w:val="22"/>
                <w:szCs w:val="22"/>
                <w:lang w:val="en-GB"/>
              </w:rPr>
              <w:t>-13.29)</w:t>
            </w:r>
          </w:p>
        </w:tc>
        <w:tc>
          <w:tcPr>
            <w:tcW w:w="546" w:type="dxa"/>
            <w:tcBorders>
              <w:bottom w:val="single" w:sz="4" w:space="0" w:color="auto"/>
            </w:tcBorders>
          </w:tcPr>
          <w:p w:rsidR="00A00E11" w:rsidRPr="00C34A65" w:rsidRDefault="00A00E11" w:rsidP="00963889">
            <w:pPr>
              <w:spacing w:line="360" w:lineRule="auto"/>
              <w:jc w:val="center"/>
              <w:rPr>
                <w:sz w:val="22"/>
                <w:szCs w:val="22"/>
                <w:lang w:val="en-GB"/>
              </w:rPr>
            </w:pPr>
            <w:r>
              <w:rPr>
                <w:sz w:val="22"/>
                <w:szCs w:val="22"/>
                <w:lang w:val="en-GB"/>
              </w:rPr>
              <w:t>74</w:t>
            </w:r>
          </w:p>
        </w:tc>
        <w:tc>
          <w:tcPr>
            <w:tcW w:w="2334" w:type="dxa"/>
            <w:tcBorders>
              <w:bottom w:val="single" w:sz="4" w:space="0" w:color="auto"/>
            </w:tcBorders>
          </w:tcPr>
          <w:p w:rsidR="00A00E11" w:rsidRPr="00C34A65" w:rsidRDefault="00A00E11" w:rsidP="00963889">
            <w:pPr>
              <w:spacing w:line="360" w:lineRule="auto"/>
              <w:jc w:val="center"/>
              <w:rPr>
                <w:sz w:val="22"/>
                <w:szCs w:val="22"/>
                <w:lang w:val="en-GB"/>
              </w:rPr>
            </w:pPr>
            <w:r>
              <w:rPr>
                <w:sz w:val="22"/>
                <w:szCs w:val="22"/>
                <w:lang w:val="en-GB"/>
              </w:rPr>
              <w:t>9.42 (6.26-18.42</w:t>
            </w:r>
            <w:r w:rsidRPr="00C34A65">
              <w:rPr>
                <w:sz w:val="22"/>
                <w:szCs w:val="22"/>
                <w:lang w:val="en-GB"/>
              </w:rPr>
              <w:t>)</w:t>
            </w:r>
          </w:p>
        </w:tc>
        <w:tc>
          <w:tcPr>
            <w:tcW w:w="546" w:type="dxa"/>
            <w:tcBorders>
              <w:bottom w:val="single" w:sz="4" w:space="0" w:color="auto"/>
            </w:tcBorders>
          </w:tcPr>
          <w:p w:rsidR="00A00E11" w:rsidRPr="00C34A65" w:rsidRDefault="00A00E11" w:rsidP="00963889">
            <w:pPr>
              <w:spacing w:line="360" w:lineRule="auto"/>
              <w:jc w:val="center"/>
              <w:rPr>
                <w:sz w:val="22"/>
                <w:szCs w:val="22"/>
                <w:lang w:val="en-GB"/>
              </w:rPr>
            </w:pPr>
            <w:r>
              <w:rPr>
                <w:sz w:val="22"/>
                <w:szCs w:val="22"/>
                <w:lang w:val="en-GB"/>
              </w:rPr>
              <w:t>327</w:t>
            </w:r>
          </w:p>
        </w:tc>
        <w:tc>
          <w:tcPr>
            <w:tcW w:w="2302" w:type="dxa"/>
            <w:tcBorders>
              <w:bottom w:val="single" w:sz="4" w:space="0" w:color="auto"/>
            </w:tcBorders>
          </w:tcPr>
          <w:p w:rsidR="00A00E11" w:rsidRPr="00C34A65" w:rsidRDefault="00A00E11" w:rsidP="00963889">
            <w:pPr>
              <w:spacing w:line="360" w:lineRule="auto"/>
              <w:jc w:val="center"/>
              <w:rPr>
                <w:sz w:val="22"/>
                <w:szCs w:val="22"/>
                <w:lang w:val="en-GB"/>
              </w:rPr>
            </w:pPr>
            <w:r>
              <w:rPr>
                <w:sz w:val="22"/>
                <w:szCs w:val="22"/>
                <w:lang w:val="en-GB"/>
              </w:rPr>
              <w:t>9.09 (4.92-13.16</w:t>
            </w:r>
            <w:r w:rsidRPr="00C34A65">
              <w:rPr>
                <w:sz w:val="22"/>
                <w:szCs w:val="22"/>
                <w:lang w:val="en-GB"/>
              </w:rPr>
              <w:t>)</w:t>
            </w:r>
          </w:p>
        </w:tc>
        <w:tc>
          <w:tcPr>
            <w:tcW w:w="1231" w:type="dxa"/>
            <w:tcBorders>
              <w:bottom w:val="single" w:sz="4" w:space="0" w:color="auto"/>
            </w:tcBorders>
          </w:tcPr>
          <w:p w:rsidR="00A00E11" w:rsidRPr="00C34A65" w:rsidRDefault="00A00E11" w:rsidP="00963889">
            <w:pPr>
              <w:spacing w:line="360" w:lineRule="auto"/>
              <w:jc w:val="center"/>
              <w:rPr>
                <w:sz w:val="22"/>
                <w:szCs w:val="22"/>
                <w:lang w:val="en-GB"/>
              </w:rPr>
            </w:pPr>
            <w:r>
              <w:rPr>
                <w:sz w:val="22"/>
                <w:szCs w:val="22"/>
                <w:lang w:val="en-GB"/>
              </w:rPr>
              <w:t>0.95</w:t>
            </w:r>
          </w:p>
        </w:tc>
      </w:tr>
    </w:tbl>
    <w:p w:rsidR="00A00E11" w:rsidRPr="00C34A65" w:rsidRDefault="00A00E11" w:rsidP="00A00E11">
      <w:pPr>
        <w:jc w:val="both"/>
        <w:rPr>
          <w:sz w:val="22"/>
          <w:szCs w:val="22"/>
          <w:lang w:val="en-US"/>
        </w:rPr>
      </w:pPr>
    </w:p>
    <w:p w:rsidR="00A00E11" w:rsidRDefault="00A00E11" w:rsidP="00A00E11">
      <w:pPr>
        <w:spacing w:line="480" w:lineRule="auto"/>
        <w:jc w:val="both"/>
        <w:rPr>
          <w:sz w:val="16"/>
          <w:szCs w:val="16"/>
          <w:lang w:val="en-GB"/>
        </w:rPr>
      </w:pPr>
    </w:p>
    <w:p w:rsidR="00A00E11" w:rsidRDefault="00A00E11" w:rsidP="00A00E11">
      <w:pPr>
        <w:spacing w:line="480" w:lineRule="auto"/>
        <w:jc w:val="both"/>
        <w:rPr>
          <w:sz w:val="16"/>
          <w:szCs w:val="16"/>
          <w:lang w:val="en-GB"/>
        </w:rPr>
      </w:pPr>
    </w:p>
    <w:p w:rsidR="00A00E11" w:rsidRPr="00C34A65" w:rsidRDefault="00A00E11" w:rsidP="00A00E11">
      <w:pPr>
        <w:spacing w:line="360" w:lineRule="auto"/>
        <w:rPr>
          <w:sz w:val="22"/>
          <w:szCs w:val="22"/>
          <w:lang w:val="en-US"/>
        </w:rPr>
      </w:pPr>
      <w:proofErr w:type="spellStart"/>
      <w:r w:rsidRPr="00C34A65">
        <w:rPr>
          <w:sz w:val="22"/>
          <w:szCs w:val="22"/>
          <w:vertAlign w:val="superscript"/>
          <w:lang w:val="en-US"/>
        </w:rPr>
        <w:t>a</w:t>
      </w:r>
      <w:proofErr w:type="spellEnd"/>
      <w:r w:rsidRPr="00C34A65">
        <w:rPr>
          <w:sz w:val="22"/>
          <w:szCs w:val="22"/>
          <w:vertAlign w:val="superscript"/>
          <w:lang w:val="en-US"/>
        </w:rPr>
        <w:t xml:space="preserve"> </w:t>
      </w:r>
      <w:r w:rsidRPr="00C34A65">
        <w:rPr>
          <w:sz w:val="22"/>
          <w:szCs w:val="22"/>
          <w:lang w:val="en-US"/>
        </w:rPr>
        <w:t xml:space="preserve">Abbreviations: n= Number; </w:t>
      </w:r>
      <w:r>
        <w:rPr>
          <w:sz w:val="22"/>
          <w:szCs w:val="22"/>
          <w:lang w:val="en-US"/>
        </w:rPr>
        <w:t xml:space="preserve">IQR= Interquartile range; </w:t>
      </w:r>
      <w:r w:rsidRPr="00C34A65">
        <w:rPr>
          <w:sz w:val="22"/>
          <w:szCs w:val="22"/>
          <w:lang w:val="en-US"/>
        </w:rPr>
        <w:t>LLOA= Lower limb osteoarthritis.</w:t>
      </w:r>
    </w:p>
    <w:p w:rsidR="00A00E11" w:rsidRPr="00C87F2E" w:rsidRDefault="00A00E11" w:rsidP="00A00E11">
      <w:pPr>
        <w:spacing w:line="480" w:lineRule="auto"/>
        <w:rPr>
          <w:lang w:val="en-GB"/>
        </w:rPr>
      </w:pPr>
      <w:r w:rsidRPr="00C34A65">
        <w:rPr>
          <w:sz w:val="22"/>
          <w:szCs w:val="22"/>
          <w:vertAlign w:val="superscript"/>
          <w:lang w:val="en-US"/>
        </w:rPr>
        <w:t xml:space="preserve">b </w:t>
      </w:r>
      <w:r w:rsidRPr="00C34A65">
        <w:rPr>
          <w:sz w:val="22"/>
          <w:szCs w:val="22"/>
          <w:lang w:val="en-US"/>
        </w:rPr>
        <w:t>p-value of observed differences betwe</w:t>
      </w:r>
      <w:r>
        <w:rPr>
          <w:sz w:val="22"/>
          <w:szCs w:val="22"/>
          <w:lang w:val="en-US"/>
        </w:rPr>
        <w:t>en groups with and without LLOA.</w:t>
      </w:r>
    </w:p>
    <w:p w:rsidR="00A00E11" w:rsidRDefault="00A00E11">
      <w:pPr>
        <w:rPr>
          <w:sz w:val="22"/>
          <w:szCs w:val="22"/>
          <w:highlight w:val="yellow"/>
          <w:lang w:val="en-GB"/>
        </w:rPr>
      </w:pPr>
      <w:r>
        <w:rPr>
          <w:sz w:val="22"/>
          <w:szCs w:val="22"/>
          <w:highlight w:val="yellow"/>
          <w:lang w:val="en-GB"/>
        </w:rPr>
        <w:br w:type="page"/>
      </w:r>
    </w:p>
    <w:p w:rsidR="00A00E11" w:rsidRPr="00C34A65" w:rsidRDefault="00A00E11" w:rsidP="00A00E11">
      <w:pPr>
        <w:spacing w:line="360" w:lineRule="auto"/>
        <w:jc w:val="both"/>
        <w:rPr>
          <w:b/>
          <w:sz w:val="22"/>
          <w:szCs w:val="22"/>
          <w:vertAlign w:val="superscript"/>
          <w:lang w:val="en-US"/>
        </w:rPr>
      </w:pPr>
      <w:r w:rsidRPr="00C34A65">
        <w:rPr>
          <w:b/>
          <w:sz w:val="22"/>
          <w:szCs w:val="22"/>
          <w:lang w:val="en-US"/>
        </w:rPr>
        <w:lastRenderedPageBreak/>
        <w:t xml:space="preserve">Table </w:t>
      </w:r>
      <w:r>
        <w:rPr>
          <w:b/>
          <w:sz w:val="22"/>
          <w:szCs w:val="22"/>
          <w:lang w:val="en-US"/>
        </w:rPr>
        <w:t>4: Associations between characteristics</w:t>
      </w:r>
      <w:r w:rsidRPr="00C34A65">
        <w:rPr>
          <w:b/>
          <w:sz w:val="22"/>
          <w:szCs w:val="22"/>
          <w:lang w:val="en-US"/>
        </w:rPr>
        <w:t xml:space="preserve"> of the </w:t>
      </w:r>
      <w:proofErr w:type="spellStart"/>
      <w:r w:rsidRPr="00C34A65">
        <w:rPr>
          <w:b/>
          <w:sz w:val="22"/>
          <w:szCs w:val="22"/>
          <w:lang w:val="en-US"/>
        </w:rPr>
        <w:t>neighbourhood</w:t>
      </w:r>
      <w:proofErr w:type="spellEnd"/>
      <w:r w:rsidRPr="00C34A65">
        <w:rPr>
          <w:b/>
          <w:sz w:val="22"/>
          <w:szCs w:val="22"/>
          <w:lang w:val="en-US"/>
        </w:rPr>
        <w:t xml:space="preserve"> environment and the use of </w:t>
      </w:r>
      <w:proofErr w:type="spellStart"/>
      <w:r w:rsidRPr="00C34A65">
        <w:rPr>
          <w:b/>
          <w:sz w:val="22"/>
          <w:szCs w:val="22"/>
          <w:lang w:val="en-US"/>
        </w:rPr>
        <w:t>neighbourhood</w:t>
      </w:r>
      <w:proofErr w:type="spellEnd"/>
      <w:r w:rsidRPr="00C34A65">
        <w:rPr>
          <w:b/>
          <w:sz w:val="22"/>
          <w:szCs w:val="22"/>
          <w:lang w:val="en-US"/>
        </w:rPr>
        <w:t xml:space="preserve"> resources by older adults.</w:t>
      </w:r>
      <w:r>
        <w:rPr>
          <w:b/>
          <w:sz w:val="22"/>
          <w:szCs w:val="22"/>
          <w:lang w:val="en-US"/>
        </w:rPr>
        <w:t xml:space="preserve"> </w:t>
      </w:r>
      <w:proofErr w:type="spellStart"/>
      <w:r w:rsidRPr="00C34A65">
        <w:rPr>
          <w:b/>
          <w:sz w:val="22"/>
          <w:szCs w:val="22"/>
          <w:vertAlign w:val="superscript"/>
          <w:lang w:val="en-US"/>
        </w:rPr>
        <w:t>a,b</w:t>
      </w:r>
      <w:proofErr w:type="spellEnd"/>
    </w:p>
    <w:tbl>
      <w:tblPr>
        <w:tblpPr w:leftFromText="180" w:rightFromText="180" w:vertAnchor="page" w:horzAnchor="margin" w:tblpY="1951"/>
        <w:tblW w:w="15134" w:type="dxa"/>
        <w:tblCellMar>
          <w:left w:w="70" w:type="dxa"/>
          <w:right w:w="70" w:type="dxa"/>
        </w:tblCellMar>
        <w:tblLook w:val="04A0" w:firstRow="1" w:lastRow="0" w:firstColumn="1" w:lastColumn="0" w:noHBand="0" w:noVBand="1"/>
      </w:tblPr>
      <w:tblGrid>
        <w:gridCol w:w="3768"/>
        <w:gridCol w:w="3190"/>
        <w:gridCol w:w="2969"/>
        <w:gridCol w:w="2897"/>
        <w:gridCol w:w="2310"/>
      </w:tblGrid>
      <w:tr w:rsidR="00A00E11" w:rsidRPr="00C34A65" w:rsidTr="00963889">
        <w:trPr>
          <w:trHeight w:val="300"/>
        </w:trPr>
        <w:tc>
          <w:tcPr>
            <w:tcW w:w="3768" w:type="dxa"/>
            <w:tcBorders>
              <w:top w:val="single" w:sz="4" w:space="0" w:color="auto"/>
              <w:bottom w:val="single" w:sz="4" w:space="0" w:color="auto"/>
            </w:tcBorders>
            <w:noWrap/>
            <w:vAlign w:val="bottom"/>
          </w:tcPr>
          <w:p w:rsidR="00A00E11" w:rsidRPr="00C34A65" w:rsidRDefault="00A00E11" w:rsidP="00963889">
            <w:pPr>
              <w:spacing w:line="360" w:lineRule="auto"/>
              <w:jc w:val="both"/>
              <w:rPr>
                <w:sz w:val="22"/>
                <w:szCs w:val="22"/>
                <w:lang w:val="en-US" w:eastAsia="en-NZ"/>
              </w:rPr>
            </w:pPr>
          </w:p>
        </w:tc>
        <w:tc>
          <w:tcPr>
            <w:tcW w:w="3190" w:type="dxa"/>
            <w:tcBorders>
              <w:top w:val="single" w:sz="4" w:space="0" w:color="auto"/>
              <w:bottom w:val="single" w:sz="4" w:space="0" w:color="auto"/>
            </w:tcBorders>
            <w:noWrap/>
            <w:vAlign w:val="bottom"/>
          </w:tcPr>
          <w:p w:rsidR="00A00E11" w:rsidRPr="00C34A65" w:rsidRDefault="00A00E11" w:rsidP="00963889">
            <w:pPr>
              <w:spacing w:line="360" w:lineRule="auto"/>
              <w:jc w:val="center"/>
              <w:rPr>
                <w:b/>
                <w:color w:val="000000"/>
                <w:sz w:val="22"/>
                <w:szCs w:val="22"/>
                <w:lang w:val="en-US"/>
              </w:rPr>
            </w:pPr>
            <w:r w:rsidRPr="00C34A65">
              <w:rPr>
                <w:b/>
                <w:color w:val="000000"/>
                <w:sz w:val="22"/>
                <w:szCs w:val="22"/>
                <w:lang w:val="en-US"/>
              </w:rPr>
              <w:t>Use of parks and walking areas</w:t>
            </w:r>
          </w:p>
        </w:tc>
        <w:tc>
          <w:tcPr>
            <w:tcW w:w="2969" w:type="dxa"/>
            <w:tcBorders>
              <w:top w:val="single" w:sz="4" w:space="0" w:color="auto"/>
              <w:bottom w:val="single" w:sz="4" w:space="0" w:color="auto"/>
            </w:tcBorders>
            <w:noWrap/>
            <w:vAlign w:val="bottom"/>
          </w:tcPr>
          <w:p w:rsidR="00A00E11" w:rsidRPr="00C34A65" w:rsidRDefault="00A00E11" w:rsidP="00963889">
            <w:pPr>
              <w:spacing w:line="360" w:lineRule="auto"/>
              <w:jc w:val="center"/>
              <w:rPr>
                <w:b/>
                <w:color w:val="000000"/>
                <w:sz w:val="22"/>
                <w:szCs w:val="22"/>
                <w:lang w:val="en-US"/>
              </w:rPr>
            </w:pPr>
            <w:r w:rsidRPr="00C34A65">
              <w:rPr>
                <w:b/>
                <w:color w:val="000000"/>
                <w:sz w:val="22"/>
                <w:szCs w:val="22"/>
                <w:lang w:val="en-US"/>
              </w:rPr>
              <w:t>Use of places to sit</w:t>
            </w:r>
            <w:r>
              <w:rPr>
                <w:b/>
                <w:color w:val="000000"/>
                <w:sz w:val="22"/>
                <w:szCs w:val="22"/>
                <w:lang w:val="en-US"/>
              </w:rPr>
              <w:t xml:space="preserve"> </w:t>
            </w:r>
            <w:r w:rsidRPr="00C34A65">
              <w:rPr>
                <w:b/>
                <w:color w:val="000000"/>
                <w:sz w:val="22"/>
                <w:szCs w:val="22"/>
                <w:lang w:val="en-US"/>
              </w:rPr>
              <w:t>and rest</w:t>
            </w:r>
          </w:p>
        </w:tc>
        <w:tc>
          <w:tcPr>
            <w:tcW w:w="2897" w:type="dxa"/>
            <w:tcBorders>
              <w:top w:val="single" w:sz="4" w:space="0" w:color="auto"/>
              <w:bottom w:val="single" w:sz="4" w:space="0" w:color="auto"/>
            </w:tcBorders>
            <w:noWrap/>
            <w:vAlign w:val="bottom"/>
          </w:tcPr>
          <w:p w:rsidR="00A00E11" w:rsidRPr="00C34A65" w:rsidRDefault="00A00E11" w:rsidP="00963889">
            <w:pPr>
              <w:spacing w:line="360" w:lineRule="auto"/>
              <w:jc w:val="center"/>
              <w:rPr>
                <w:b/>
                <w:color w:val="000000"/>
                <w:sz w:val="22"/>
                <w:szCs w:val="22"/>
              </w:rPr>
            </w:pPr>
            <w:r w:rsidRPr="00C34A65">
              <w:rPr>
                <w:b/>
                <w:color w:val="000000"/>
                <w:sz w:val="22"/>
                <w:szCs w:val="22"/>
              </w:rPr>
              <w:t>Use of public transportation</w:t>
            </w:r>
          </w:p>
        </w:tc>
        <w:tc>
          <w:tcPr>
            <w:tcW w:w="2310" w:type="dxa"/>
            <w:tcBorders>
              <w:top w:val="single" w:sz="4" w:space="0" w:color="auto"/>
              <w:bottom w:val="single" w:sz="4" w:space="0" w:color="auto"/>
            </w:tcBorders>
            <w:noWrap/>
            <w:vAlign w:val="bottom"/>
          </w:tcPr>
          <w:p w:rsidR="00A00E11" w:rsidRPr="00C34A65" w:rsidRDefault="00A00E11" w:rsidP="00963889">
            <w:pPr>
              <w:spacing w:line="360" w:lineRule="auto"/>
              <w:jc w:val="center"/>
              <w:rPr>
                <w:b/>
                <w:color w:val="000000"/>
                <w:sz w:val="22"/>
                <w:szCs w:val="22"/>
              </w:rPr>
            </w:pPr>
            <w:r w:rsidRPr="00C34A65">
              <w:rPr>
                <w:b/>
                <w:color w:val="000000"/>
                <w:sz w:val="22"/>
                <w:szCs w:val="22"/>
              </w:rPr>
              <w:t>Use of public</w:t>
            </w:r>
            <w:r>
              <w:rPr>
                <w:b/>
                <w:color w:val="000000"/>
                <w:sz w:val="22"/>
                <w:szCs w:val="22"/>
              </w:rPr>
              <w:t xml:space="preserve"> </w:t>
            </w:r>
            <w:r w:rsidRPr="00C34A65">
              <w:rPr>
                <w:b/>
                <w:color w:val="000000"/>
                <w:sz w:val="22"/>
                <w:szCs w:val="22"/>
              </w:rPr>
              <w:t>facilities</w:t>
            </w:r>
          </w:p>
        </w:tc>
      </w:tr>
      <w:tr w:rsidR="00A00E11" w:rsidRPr="00C34A65" w:rsidTr="00963889">
        <w:trPr>
          <w:trHeight w:val="300"/>
        </w:trPr>
        <w:tc>
          <w:tcPr>
            <w:tcW w:w="3768" w:type="dxa"/>
            <w:tcBorders>
              <w:top w:val="single" w:sz="4" w:space="0" w:color="auto"/>
            </w:tcBorders>
            <w:noWrap/>
            <w:vAlign w:val="bottom"/>
            <w:hideMark/>
          </w:tcPr>
          <w:p w:rsidR="00A00E11" w:rsidRPr="00C34A65" w:rsidRDefault="00A00E11" w:rsidP="00963889">
            <w:pPr>
              <w:spacing w:line="360" w:lineRule="auto"/>
              <w:jc w:val="both"/>
              <w:rPr>
                <w:sz w:val="22"/>
                <w:szCs w:val="22"/>
                <w:lang w:val="en-NZ" w:eastAsia="en-NZ"/>
              </w:rPr>
            </w:pPr>
          </w:p>
        </w:tc>
        <w:tc>
          <w:tcPr>
            <w:tcW w:w="3190" w:type="dxa"/>
            <w:tcBorders>
              <w:top w:val="single" w:sz="4" w:space="0" w:color="auto"/>
              <w:bottom w:val="single" w:sz="4" w:space="0" w:color="auto"/>
            </w:tcBorders>
            <w:noWrap/>
            <w:vAlign w:val="bottom"/>
            <w:hideMark/>
          </w:tcPr>
          <w:p w:rsidR="00A00E11" w:rsidRPr="00C34A65" w:rsidRDefault="003B75CD" w:rsidP="00963889">
            <w:pPr>
              <w:spacing w:line="360" w:lineRule="auto"/>
              <w:jc w:val="center"/>
              <w:rPr>
                <w:color w:val="000000"/>
                <w:sz w:val="22"/>
                <w:szCs w:val="22"/>
                <w:vertAlign w:val="superscript"/>
              </w:rPr>
            </w:pPr>
            <w:r>
              <w:rPr>
                <w:color w:val="000000"/>
                <w:sz w:val="22"/>
                <w:szCs w:val="22"/>
              </w:rPr>
              <w:t>OR (99</w:t>
            </w:r>
            <w:r w:rsidR="00A00E11" w:rsidRPr="00C34A65">
              <w:rPr>
                <w:color w:val="000000"/>
                <w:sz w:val="22"/>
                <w:szCs w:val="22"/>
              </w:rPr>
              <w:t>% CI)</w:t>
            </w:r>
          </w:p>
        </w:tc>
        <w:tc>
          <w:tcPr>
            <w:tcW w:w="2969" w:type="dxa"/>
            <w:tcBorders>
              <w:top w:val="single" w:sz="4" w:space="0" w:color="auto"/>
              <w:bottom w:val="single" w:sz="4" w:space="0" w:color="auto"/>
            </w:tcBorders>
            <w:noWrap/>
            <w:vAlign w:val="bottom"/>
            <w:hideMark/>
          </w:tcPr>
          <w:p w:rsidR="00A00E11" w:rsidRPr="00C34A65" w:rsidRDefault="003B75CD" w:rsidP="00963889">
            <w:pPr>
              <w:spacing w:line="360" w:lineRule="auto"/>
              <w:jc w:val="center"/>
              <w:rPr>
                <w:color w:val="000000"/>
                <w:sz w:val="22"/>
                <w:szCs w:val="22"/>
              </w:rPr>
            </w:pPr>
            <w:r>
              <w:rPr>
                <w:color w:val="000000"/>
                <w:sz w:val="22"/>
                <w:szCs w:val="22"/>
              </w:rPr>
              <w:t>OR (99</w:t>
            </w:r>
            <w:r w:rsidR="00A00E11" w:rsidRPr="00C34A65">
              <w:rPr>
                <w:color w:val="000000"/>
                <w:sz w:val="22"/>
                <w:szCs w:val="22"/>
              </w:rPr>
              <w:t>% CI)</w:t>
            </w:r>
          </w:p>
        </w:tc>
        <w:tc>
          <w:tcPr>
            <w:tcW w:w="2897" w:type="dxa"/>
            <w:tcBorders>
              <w:top w:val="single" w:sz="4" w:space="0" w:color="auto"/>
              <w:bottom w:val="single" w:sz="4" w:space="0" w:color="auto"/>
            </w:tcBorders>
            <w:noWrap/>
            <w:vAlign w:val="bottom"/>
            <w:hideMark/>
          </w:tcPr>
          <w:p w:rsidR="00A00E11" w:rsidRPr="00C34A65" w:rsidRDefault="003B75CD" w:rsidP="00963889">
            <w:pPr>
              <w:spacing w:line="360" w:lineRule="auto"/>
              <w:jc w:val="center"/>
              <w:rPr>
                <w:color w:val="000000"/>
                <w:sz w:val="22"/>
                <w:szCs w:val="22"/>
              </w:rPr>
            </w:pPr>
            <w:r>
              <w:rPr>
                <w:color w:val="000000"/>
                <w:sz w:val="22"/>
                <w:szCs w:val="22"/>
              </w:rPr>
              <w:t>OR (99</w:t>
            </w:r>
            <w:r w:rsidR="00A00E11" w:rsidRPr="00C34A65">
              <w:rPr>
                <w:color w:val="000000"/>
                <w:sz w:val="22"/>
                <w:szCs w:val="22"/>
              </w:rPr>
              <w:t>% CI)</w:t>
            </w:r>
          </w:p>
        </w:tc>
        <w:tc>
          <w:tcPr>
            <w:tcW w:w="2310" w:type="dxa"/>
            <w:tcBorders>
              <w:top w:val="single" w:sz="4" w:space="0" w:color="auto"/>
              <w:bottom w:val="single" w:sz="4" w:space="0" w:color="auto"/>
            </w:tcBorders>
            <w:noWrap/>
            <w:vAlign w:val="bottom"/>
            <w:hideMark/>
          </w:tcPr>
          <w:p w:rsidR="00A00E11" w:rsidRPr="00C34A65" w:rsidRDefault="003B75CD" w:rsidP="00963889">
            <w:pPr>
              <w:spacing w:line="360" w:lineRule="auto"/>
              <w:jc w:val="center"/>
              <w:rPr>
                <w:color w:val="000000"/>
                <w:sz w:val="22"/>
                <w:szCs w:val="22"/>
              </w:rPr>
            </w:pPr>
            <w:r>
              <w:rPr>
                <w:color w:val="000000"/>
                <w:sz w:val="22"/>
                <w:szCs w:val="22"/>
              </w:rPr>
              <w:t>OR (99</w:t>
            </w:r>
            <w:r w:rsidR="00A00E11" w:rsidRPr="00C34A65">
              <w:rPr>
                <w:color w:val="000000"/>
                <w:sz w:val="22"/>
                <w:szCs w:val="22"/>
              </w:rPr>
              <w:t>% CI)</w:t>
            </w:r>
          </w:p>
        </w:tc>
      </w:tr>
      <w:tr w:rsidR="00A00E11" w:rsidRPr="00C34A65" w:rsidTr="00963889">
        <w:trPr>
          <w:trHeight w:val="300"/>
        </w:trPr>
        <w:tc>
          <w:tcPr>
            <w:tcW w:w="3768" w:type="dxa"/>
            <w:noWrap/>
            <w:vAlign w:val="bottom"/>
          </w:tcPr>
          <w:p w:rsidR="00A00E11" w:rsidRPr="00C34A65" w:rsidRDefault="00A00E11" w:rsidP="00963889">
            <w:pPr>
              <w:spacing w:line="360" w:lineRule="auto"/>
              <w:jc w:val="both"/>
              <w:rPr>
                <w:b/>
                <w:color w:val="000000"/>
                <w:sz w:val="22"/>
                <w:szCs w:val="22"/>
              </w:rPr>
            </w:pPr>
            <w:r>
              <w:rPr>
                <w:b/>
                <w:color w:val="000000"/>
                <w:sz w:val="22"/>
                <w:szCs w:val="22"/>
              </w:rPr>
              <w:t>Perceived n</w:t>
            </w:r>
            <w:r w:rsidRPr="00C34A65">
              <w:rPr>
                <w:b/>
                <w:color w:val="000000"/>
                <w:sz w:val="22"/>
                <w:szCs w:val="22"/>
              </w:rPr>
              <w:t>eighbourhood cohesion</w:t>
            </w:r>
          </w:p>
        </w:tc>
        <w:tc>
          <w:tcPr>
            <w:tcW w:w="3190" w:type="dxa"/>
            <w:tcBorders>
              <w:top w:val="single" w:sz="4" w:space="0" w:color="auto"/>
            </w:tcBorders>
            <w:noWrap/>
            <w:vAlign w:val="bottom"/>
          </w:tcPr>
          <w:p w:rsidR="00A00E11" w:rsidRPr="00C34A65" w:rsidRDefault="00A00E11" w:rsidP="00963889">
            <w:pPr>
              <w:spacing w:line="360" w:lineRule="auto"/>
              <w:jc w:val="center"/>
              <w:rPr>
                <w:bCs/>
                <w:color w:val="000000"/>
                <w:sz w:val="22"/>
                <w:szCs w:val="22"/>
              </w:rPr>
            </w:pPr>
          </w:p>
        </w:tc>
        <w:tc>
          <w:tcPr>
            <w:tcW w:w="2969" w:type="dxa"/>
            <w:tcBorders>
              <w:top w:val="single" w:sz="4" w:space="0" w:color="auto"/>
            </w:tcBorders>
            <w:noWrap/>
            <w:vAlign w:val="bottom"/>
          </w:tcPr>
          <w:p w:rsidR="00A00E11" w:rsidRPr="00C34A65" w:rsidRDefault="00A00E11" w:rsidP="00963889">
            <w:pPr>
              <w:spacing w:line="360" w:lineRule="auto"/>
              <w:jc w:val="center"/>
              <w:rPr>
                <w:bCs/>
                <w:color w:val="000000"/>
                <w:sz w:val="22"/>
                <w:szCs w:val="22"/>
              </w:rPr>
            </w:pPr>
          </w:p>
        </w:tc>
        <w:tc>
          <w:tcPr>
            <w:tcW w:w="2897" w:type="dxa"/>
            <w:tcBorders>
              <w:top w:val="single" w:sz="4" w:space="0" w:color="auto"/>
            </w:tcBorders>
            <w:noWrap/>
            <w:vAlign w:val="bottom"/>
          </w:tcPr>
          <w:p w:rsidR="00A00E11" w:rsidRPr="00C34A65" w:rsidRDefault="00A00E11" w:rsidP="00963889">
            <w:pPr>
              <w:spacing w:line="360" w:lineRule="auto"/>
              <w:jc w:val="center"/>
              <w:rPr>
                <w:bCs/>
                <w:color w:val="000000"/>
                <w:sz w:val="22"/>
                <w:szCs w:val="22"/>
              </w:rPr>
            </w:pPr>
          </w:p>
        </w:tc>
        <w:tc>
          <w:tcPr>
            <w:tcW w:w="2310" w:type="dxa"/>
            <w:tcBorders>
              <w:top w:val="single" w:sz="4" w:space="0" w:color="auto"/>
            </w:tcBorders>
            <w:noWrap/>
            <w:vAlign w:val="bottom"/>
          </w:tcPr>
          <w:p w:rsidR="00A00E11" w:rsidRPr="00C34A65" w:rsidRDefault="00A00E11" w:rsidP="00963889">
            <w:pPr>
              <w:spacing w:line="360" w:lineRule="auto"/>
              <w:jc w:val="center"/>
              <w:rPr>
                <w:bCs/>
                <w:color w:val="000000"/>
                <w:sz w:val="22"/>
                <w:szCs w:val="22"/>
              </w:rPr>
            </w:pPr>
          </w:p>
        </w:tc>
      </w:tr>
      <w:tr w:rsidR="00A00E11" w:rsidRPr="00C34A65" w:rsidTr="00963889">
        <w:trPr>
          <w:trHeight w:val="300"/>
        </w:trPr>
        <w:tc>
          <w:tcPr>
            <w:tcW w:w="3768" w:type="dxa"/>
            <w:noWrap/>
            <w:vAlign w:val="bottom"/>
            <w:hideMark/>
          </w:tcPr>
          <w:p w:rsidR="00A00E11" w:rsidRPr="00C34A65" w:rsidRDefault="00A00E11" w:rsidP="00963889">
            <w:pPr>
              <w:spacing w:line="360" w:lineRule="auto"/>
              <w:jc w:val="both"/>
              <w:rPr>
                <w:color w:val="000000"/>
                <w:sz w:val="22"/>
                <w:szCs w:val="22"/>
              </w:rPr>
            </w:pPr>
            <w:r w:rsidRPr="00C34A65">
              <w:rPr>
                <w:color w:val="000000"/>
                <w:sz w:val="22"/>
                <w:szCs w:val="22"/>
              </w:rPr>
              <w:t>Model 1</w:t>
            </w:r>
          </w:p>
        </w:tc>
        <w:tc>
          <w:tcPr>
            <w:tcW w:w="3190" w:type="dxa"/>
            <w:noWrap/>
            <w:vAlign w:val="bottom"/>
          </w:tcPr>
          <w:p w:rsidR="00A00E11" w:rsidRPr="00C34A65" w:rsidRDefault="0092112E" w:rsidP="00963889">
            <w:pPr>
              <w:spacing w:line="360" w:lineRule="auto"/>
              <w:jc w:val="center"/>
              <w:rPr>
                <w:bCs/>
                <w:color w:val="000000"/>
                <w:sz w:val="22"/>
                <w:szCs w:val="22"/>
              </w:rPr>
            </w:pPr>
            <w:r>
              <w:rPr>
                <w:bCs/>
                <w:color w:val="000000"/>
                <w:sz w:val="22"/>
                <w:szCs w:val="22"/>
              </w:rPr>
              <w:t>1.04 (0.97-1.12</w:t>
            </w:r>
            <w:r w:rsidR="00A00E11" w:rsidRPr="00C34A65">
              <w:rPr>
                <w:bCs/>
                <w:color w:val="000000"/>
                <w:sz w:val="22"/>
                <w:szCs w:val="22"/>
              </w:rPr>
              <w:t>)</w:t>
            </w:r>
          </w:p>
        </w:tc>
        <w:tc>
          <w:tcPr>
            <w:tcW w:w="2969" w:type="dxa"/>
            <w:noWrap/>
            <w:vAlign w:val="bottom"/>
          </w:tcPr>
          <w:p w:rsidR="00A00E11" w:rsidRPr="00C34A65" w:rsidRDefault="0092112E" w:rsidP="00963889">
            <w:pPr>
              <w:spacing w:line="360" w:lineRule="auto"/>
              <w:jc w:val="center"/>
              <w:rPr>
                <w:bCs/>
                <w:color w:val="000000"/>
                <w:sz w:val="22"/>
                <w:szCs w:val="22"/>
              </w:rPr>
            </w:pPr>
            <w:r>
              <w:rPr>
                <w:bCs/>
                <w:color w:val="000000"/>
                <w:sz w:val="22"/>
                <w:szCs w:val="22"/>
              </w:rPr>
              <w:t>1.03 (0.96-1.11</w:t>
            </w:r>
            <w:r w:rsidR="00A00E11" w:rsidRPr="00C34A65">
              <w:rPr>
                <w:bCs/>
                <w:color w:val="000000"/>
                <w:sz w:val="22"/>
                <w:szCs w:val="22"/>
              </w:rPr>
              <w:t>)</w:t>
            </w:r>
          </w:p>
        </w:tc>
        <w:tc>
          <w:tcPr>
            <w:tcW w:w="2897" w:type="dxa"/>
            <w:noWrap/>
            <w:vAlign w:val="bottom"/>
          </w:tcPr>
          <w:p w:rsidR="00A00E11" w:rsidRPr="00C34A65" w:rsidRDefault="0092112E" w:rsidP="00963889">
            <w:pPr>
              <w:spacing w:line="360" w:lineRule="auto"/>
              <w:jc w:val="center"/>
              <w:rPr>
                <w:bCs/>
                <w:color w:val="000000"/>
                <w:sz w:val="22"/>
                <w:szCs w:val="22"/>
              </w:rPr>
            </w:pPr>
            <w:r>
              <w:rPr>
                <w:bCs/>
                <w:color w:val="000000"/>
                <w:sz w:val="22"/>
                <w:szCs w:val="22"/>
              </w:rPr>
              <w:t>1.00 (0.93-1.07</w:t>
            </w:r>
            <w:r w:rsidR="00A00E11" w:rsidRPr="00C34A65">
              <w:rPr>
                <w:bCs/>
                <w:color w:val="000000"/>
                <w:sz w:val="22"/>
                <w:szCs w:val="22"/>
              </w:rPr>
              <w:t>)</w:t>
            </w:r>
          </w:p>
        </w:tc>
        <w:tc>
          <w:tcPr>
            <w:tcW w:w="2310" w:type="dxa"/>
            <w:noWrap/>
            <w:vAlign w:val="bottom"/>
          </w:tcPr>
          <w:p w:rsidR="00A00E11" w:rsidRPr="00C34A65" w:rsidRDefault="0092112E" w:rsidP="00963889">
            <w:pPr>
              <w:spacing w:line="360" w:lineRule="auto"/>
              <w:jc w:val="center"/>
              <w:rPr>
                <w:bCs/>
                <w:color w:val="000000"/>
                <w:sz w:val="22"/>
                <w:szCs w:val="22"/>
              </w:rPr>
            </w:pPr>
            <w:r>
              <w:rPr>
                <w:bCs/>
                <w:color w:val="000000"/>
                <w:sz w:val="22"/>
                <w:szCs w:val="22"/>
              </w:rPr>
              <w:t>0.98 (0.88-1.10</w:t>
            </w:r>
            <w:r w:rsidR="00A00E11" w:rsidRPr="00C34A65">
              <w:rPr>
                <w:bCs/>
                <w:color w:val="000000"/>
                <w:sz w:val="22"/>
                <w:szCs w:val="22"/>
              </w:rPr>
              <w:t>)</w:t>
            </w:r>
          </w:p>
        </w:tc>
      </w:tr>
      <w:tr w:rsidR="00A00E11" w:rsidRPr="00C34A65" w:rsidTr="00963889">
        <w:trPr>
          <w:trHeight w:val="300"/>
        </w:trPr>
        <w:tc>
          <w:tcPr>
            <w:tcW w:w="3768" w:type="dxa"/>
            <w:noWrap/>
            <w:vAlign w:val="bottom"/>
          </w:tcPr>
          <w:p w:rsidR="00A00E11" w:rsidRPr="00C34A65" w:rsidRDefault="00A00E11" w:rsidP="00963889">
            <w:pPr>
              <w:spacing w:line="360" w:lineRule="auto"/>
              <w:jc w:val="both"/>
              <w:rPr>
                <w:color w:val="000000"/>
                <w:sz w:val="22"/>
                <w:szCs w:val="22"/>
              </w:rPr>
            </w:pPr>
            <w:r w:rsidRPr="00C34A65">
              <w:rPr>
                <w:color w:val="000000"/>
                <w:sz w:val="22"/>
                <w:szCs w:val="22"/>
              </w:rPr>
              <w:t>Model 2</w:t>
            </w:r>
          </w:p>
        </w:tc>
        <w:tc>
          <w:tcPr>
            <w:tcW w:w="3190" w:type="dxa"/>
            <w:noWrap/>
            <w:vAlign w:val="bottom"/>
          </w:tcPr>
          <w:p w:rsidR="00A00E11" w:rsidRPr="00C34A65" w:rsidRDefault="0092112E" w:rsidP="00963889">
            <w:pPr>
              <w:spacing w:line="360" w:lineRule="auto"/>
              <w:jc w:val="center"/>
              <w:rPr>
                <w:color w:val="000000"/>
                <w:sz w:val="22"/>
                <w:szCs w:val="22"/>
              </w:rPr>
            </w:pPr>
            <w:r>
              <w:rPr>
                <w:color w:val="000000"/>
                <w:sz w:val="22"/>
                <w:szCs w:val="22"/>
              </w:rPr>
              <w:t>1.04 (0.95-1.13</w:t>
            </w:r>
            <w:r w:rsidR="00A00E11" w:rsidRPr="00C34A65">
              <w:rPr>
                <w:color w:val="000000"/>
                <w:sz w:val="22"/>
                <w:szCs w:val="22"/>
              </w:rPr>
              <w:t>)</w:t>
            </w:r>
          </w:p>
        </w:tc>
        <w:tc>
          <w:tcPr>
            <w:tcW w:w="2969" w:type="dxa"/>
            <w:noWrap/>
            <w:vAlign w:val="bottom"/>
          </w:tcPr>
          <w:p w:rsidR="00A00E11" w:rsidRPr="00ED5D41" w:rsidRDefault="00A00E11" w:rsidP="00963889">
            <w:pPr>
              <w:spacing w:line="360" w:lineRule="auto"/>
              <w:jc w:val="center"/>
              <w:rPr>
                <w:bCs/>
                <w:color w:val="000000"/>
                <w:sz w:val="22"/>
                <w:szCs w:val="22"/>
                <w:vertAlign w:val="superscript"/>
              </w:rPr>
            </w:pPr>
            <w:r w:rsidRPr="009A5E02">
              <w:rPr>
                <w:bCs/>
                <w:color w:val="000000"/>
                <w:sz w:val="22"/>
                <w:szCs w:val="22"/>
              </w:rPr>
              <w:t>1.07</w:t>
            </w:r>
            <w:r w:rsidR="0092112E">
              <w:rPr>
                <w:bCs/>
                <w:color w:val="000000"/>
                <w:sz w:val="22"/>
                <w:szCs w:val="22"/>
              </w:rPr>
              <w:t xml:space="preserve"> (0.98</w:t>
            </w:r>
            <w:r w:rsidRPr="009A5E02">
              <w:rPr>
                <w:bCs/>
                <w:color w:val="000000"/>
                <w:sz w:val="22"/>
                <w:szCs w:val="22"/>
              </w:rPr>
              <w:t>-1.1</w:t>
            </w:r>
            <w:r w:rsidR="0092112E">
              <w:rPr>
                <w:bCs/>
                <w:color w:val="000000"/>
                <w:sz w:val="22"/>
                <w:szCs w:val="22"/>
              </w:rPr>
              <w:t>6</w:t>
            </w:r>
            <w:r w:rsidRPr="009A5E02">
              <w:rPr>
                <w:bCs/>
                <w:color w:val="000000"/>
                <w:sz w:val="22"/>
                <w:szCs w:val="22"/>
              </w:rPr>
              <w:t>)</w:t>
            </w:r>
            <w:r w:rsidR="00ED5D41">
              <w:rPr>
                <w:bCs/>
                <w:color w:val="000000"/>
                <w:sz w:val="22"/>
                <w:szCs w:val="22"/>
                <w:vertAlign w:val="superscript"/>
              </w:rPr>
              <w:t>*</w:t>
            </w:r>
          </w:p>
        </w:tc>
        <w:tc>
          <w:tcPr>
            <w:tcW w:w="2897" w:type="dxa"/>
            <w:noWrap/>
            <w:vAlign w:val="bottom"/>
          </w:tcPr>
          <w:p w:rsidR="00A00E11" w:rsidRPr="00C34A65" w:rsidRDefault="00A00E11" w:rsidP="00963889">
            <w:pPr>
              <w:spacing w:line="360" w:lineRule="auto"/>
              <w:jc w:val="center"/>
              <w:rPr>
                <w:color w:val="000000"/>
                <w:sz w:val="22"/>
                <w:szCs w:val="22"/>
              </w:rPr>
            </w:pPr>
            <w:r>
              <w:rPr>
                <w:color w:val="000000"/>
                <w:sz w:val="22"/>
                <w:szCs w:val="22"/>
              </w:rPr>
              <w:t>0.98</w:t>
            </w:r>
            <w:r w:rsidR="0092112E">
              <w:rPr>
                <w:color w:val="000000"/>
                <w:sz w:val="22"/>
                <w:szCs w:val="22"/>
              </w:rPr>
              <w:t xml:space="preserve"> (0.91-1.07</w:t>
            </w:r>
            <w:r w:rsidRPr="00C34A65">
              <w:rPr>
                <w:color w:val="000000"/>
                <w:sz w:val="22"/>
                <w:szCs w:val="22"/>
              </w:rPr>
              <w:t>)</w:t>
            </w:r>
          </w:p>
        </w:tc>
        <w:tc>
          <w:tcPr>
            <w:tcW w:w="2310" w:type="dxa"/>
            <w:noWrap/>
            <w:vAlign w:val="bottom"/>
          </w:tcPr>
          <w:p w:rsidR="00A00E11" w:rsidRPr="00C34A65" w:rsidRDefault="0092112E" w:rsidP="00963889">
            <w:pPr>
              <w:spacing w:line="360" w:lineRule="auto"/>
              <w:jc w:val="center"/>
              <w:rPr>
                <w:color w:val="000000"/>
                <w:sz w:val="22"/>
                <w:szCs w:val="22"/>
              </w:rPr>
            </w:pPr>
            <w:r>
              <w:rPr>
                <w:color w:val="000000"/>
                <w:sz w:val="22"/>
                <w:szCs w:val="22"/>
              </w:rPr>
              <w:t>0.96 (0.84-1.09</w:t>
            </w:r>
            <w:r w:rsidR="00A00E11" w:rsidRPr="00C34A65">
              <w:rPr>
                <w:color w:val="000000"/>
                <w:sz w:val="22"/>
                <w:szCs w:val="22"/>
              </w:rPr>
              <w:t>)</w:t>
            </w:r>
          </w:p>
        </w:tc>
      </w:tr>
      <w:tr w:rsidR="00A00E11" w:rsidRPr="00C34A65" w:rsidTr="00963889">
        <w:trPr>
          <w:trHeight w:val="205"/>
        </w:trPr>
        <w:tc>
          <w:tcPr>
            <w:tcW w:w="3768" w:type="dxa"/>
            <w:noWrap/>
            <w:vAlign w:val="bottom"/>
          </w:tcPr>
          <w:p w:rsidR="00A00E11" w:rsidRPr="00C34A65" w:rsidRDefault="00A00E11" w:rsidP="00963889">
            <w:pPr>
              <w:spacing w:line="360" w:lineRule="auto"/>
              <w:jc w:val="both"/>
              <w:rPr>
                <w:b/>
                <w:bCs/>
                <w:color w:val="000000"/>
                <w:sz w:val="22"/>
                <w:szCs w:val="22"/>
              </w:rPr>
            </w:pPr>
          </w:p>
        </w:tc>
        <w:tc>
          <w:tcPr>
            <w:tcW w:w="3190" w:type="dxa"/>
            <w:noWrap/>
            <w:vAlign w:val="bottom"/>
            <w:hideMark/>
          </w:tcPr>
          <w:p w:rsidR="00A00E11" w:rsidRPr="00C34A65" w:rsidRDefault="00A00E11" w:rsidP="00963889">
            <w:pPr>
              <w:spacing w:line="360" w:lineRule="auto"/>
              <w:jc w:val="center"/>
              <w:rPr>
                <w:sz w:val="22"/>
                <w:szCs w:val="22"/>
                <w:lang w:val="en-NZ" w:eastAsia="en-NZ"/>
              </w:rPr>
            </w:pPr>
          </w:p>
        </w:tc>
        <w:tc>
          <w:tcPr>
            <w:tcW w:w="2969" w:type="dxa"/>
            <w:noWrap/>
            <w:vAlign w:val="bottom"/>
            <w:hideMark/>
          </w:tcPr>
          <w:p w:rsidR="00A00E11" w:rsidRPr="00C34A65" w:rsidRDefault="00A00E11" w:rsidP="00963889">
            <w:pPr>
              <w:spacing w:line="360" w:lineRule="auto"/>
              <w:jc w:val="center"/>
              <w:rPr>
                <w:sz w:val="22"/>
                <w:szCs w:val="22"/>
                <w:lang w:val="en-NZ" w:eastAsia="en-NZ"/>
              </w:rPr>
            </w:pPr>
          </w:p>
        </w:tc>
        <w:tc>
          <w:tcPr>
            <w:tcW w:w="2897" w:type="dxa"/>
            <w:noWrap/>
            <w:vAlign w:val="bottom"/>
            <w:hideMark/>
          </w:tcPr>
          <w:p w:rsidR="00A00E11" w:rsidRPr="00C34A65" w:rsidRDefault="00A00E11" w:rsidP="00963889">
            <w:pPr>
              <w:spacing w:line="360" w:lineRule="auto"/>
              <w:jc w:val="center"/>
              <w:rPr>
                <w:sz w:val="22"/>
                <w:szCs w:val="22"/>
                <w:lang w:val="en-NZ" w:eastAsia="en-NZ"/>
              </w:rPr>
            </w:pPr>
          </w:p>
        </w:tc>
        <w:tc>
          <w:tcPr>
            <w:tcW w:w="2310" w:type="dxa"/>
            <w:noWrap/>
            <w:vAlign w:val="bottom"/>
            <w:hideMark/>
          </w:tcPr>
          <w:p w:rsidR="00A00E11" w:rsidRPr="00C34A65" w:rsidRDefault="00A00E11" w:rsidP="00963889">
            <w:pPr>
              <w:spacing w:line="360" w:lineRule="auto"/>
              <w:jc w:val="center"/>
              <w:rPr>
                <w:sz w:val="22"/>
                <w:szCs w:val="22"/>
                <w:lang w:val="en-NZ" w:eastAsia="en-NZ"/>
              </w:rPr>
            </w:pPr>
          </w:p>
        </w:tc>
      </w:tr>
      <w:tr w:rsidR="00A00E11" w:rsidRPr="00C34A65" w:rsidTr="00963889">
        <w:trPr>
          <w:trHeight w:val="300"/>
        </w:trPr>
        <w:tc>
          <w:tcPr>
            <w:tcW w:w="3768" w:type="dxa"/>
            <w:noWrap/>
            <w:vAlign w:val="bottom"/>
            <w:hideMark/>
          </w:tcPr>
          <w:p w:rsidR="00A00E11" w:rsidRPr="00C34A65" w:rsidRDefault="00A00E11" w:rsidP="00963889">
            <w:pPr>
              <w:spacing w:line="360" w:lineRule="auto"/>
              <w:jc w:val="both"/>
              <w:rPr>
                <w:color w:val="000000"/>
                <w:sz w:val="22"/>
                <w:szCs w:val="22"/>
              </w:rPr>
            </w:pPr>
            <w:r>
              <w:rPr>
                <w:b/>
                <w:bCs/>
                <w:color w:val="000000"/>
                <w:sz w:val="22"/>
                <w:szCs w:val="22"/>
              </w:rPr>
              <w:t>Perceived n</w:t>
            </w:r>
            <w:r w:rsidRPr="00C34A65">
              <w:rPr>
                <w:b/>
                <w:bCs/>
                <w:color w:val="000000"/>
                <w:sz w:val="22"/>
                <w:szCs w:val="22"/>
              </w:rPr>
              <w:t>eighbourhood problems</w:t>
            </w:r>
          </w:p>
        </w:tc>
        <w:tc>
          <w:tcPr>
            <w:tcW w:w="3190" w:type="dxa"/>
            <w:noWrap/>
            <w:vAlign w:val="bottom"/>
          </w:tcPr>
          <w:p w:rsidR="00A00E11" w:rsidRPr="00C34A65" w:rsidRDefault="00A00E11" w:rsidP="00963889">
            <w:pPr>
              <w:spacing w:line="360" w:lineRule="auto"/>
              <w:jc w:val="center"/>
              <w:rPr>
                <w:bCs/>
                <w:color w:val="000000"/>
                <w:sz w:val="22"/>
                <w:szCs w:val="22"/>
              </w:rPr>
            </w:pPr>
          </w:p>
        </w:tc>
        <w:tc>
          <w:tcPr>
            <w:tcW w:w="2969" w:type="dxa"/>
            <w:noWrap/>
            <w:vAlign w:val="bottom"/>
          </w:tcPr>
          <w:p w:rsidR="00A00E11" w:rsidRPr="00C34A65" w:rsidRDefault="00A00E11" w:rsidP="00963889">
            <w:pPr>
              <w:spacing w:line="360" w:lineRule="auto"/>
              <w:jc w:val="center"/>
              <w:rPr>
                <w:bCs/>
                <w:color w:val="000000"/>
                <w:sz w:val="22"/>
                <w:szCs w:val="22"/>
              </w:rPr>
            </w:pPr>
          </w:p>
        </w:tc>
        <w:tc>
          <w:tcPr>
            <w:tcW w:w="2897" w:type="dxa"/>
            <w:noWrap/>
            <w:vAlign w:val="bottom"/>
          </w:tcPr>
          <w:p w:rsidR="00A00E11" w:rsidRPr="00C34A65" w:rsidRDefault="00A00E11" w:rsidP="00963889">
            <w:pPr>
              <w:spacing w:line="360" w:lineRule="auto"/>
              <w:jc w:val="center"/>
              <w:rPr>
                <w:color w:val="000000"/>
                <w:sz w:val="22"/>
                <w:szCs w:val="22"/>
              </w:rPr>
            </w:pPr>
          </w:p>
        </w:tc>
        <w:tc>
          <w:tcPr>
            <w:tcW w:w="2310" w:type="dxa"/>
            <w:noWrap/>
            <w:vAlign w:val="bottom"/>
          </w:tcPr>
          <w:p w:rsidR="00A00E11" w:rsidRPr="00C34A65" w:rsidRDefault="00A00E11" w:rsidP="00963889">
            <w:pPr>
              <w:spacing w:line="360" w:lineRule="auto"/>
              <w:jc w:val="center"/>
              <w:rPr>
                <w:color w:val="000000"/>
                <w:sz w:val="22"/>
                <w:szCs w:val="22"/>
              </w:rPr>
            </w:pPr>
          </w:p>
        </w:tc>
      </w:tr>
      <w:tr w:rsidR="00A00E11" w:rsidRPr="00C34A65" w:rsidTr="00963889">
        <w:trPr>
          <w:trHeight w:val="300"/>
        </w:trPr>
        <w:tc>
          <w:tcPr>
            <w:tcW w:w="3768" w:type="dxa"/>
            <w:noWrap/>
            <w:vAlign w:val="bottom"/>
            <w:hideMark/>
          </w:tcPr>
          <w:p w:rsidR="00A00E11" w:rsidRPr="00C34A65" w:rsidRDefault="00A00E11" w:rsidP="00963889">
            <w:pPr>
              <w:spacing w:line="360" w:lineRule="auto"/>
              <w:jc w:val="both"/>
              <w:rPr>
                <w:color w:val="000000"/>
                <w:sz w:val="22"/>
                <w:szCs w:val="22"/>
              </w:rPr>
            </w:pPr>
            <w:r w:rsidRPr="00C34A65">
              <w:rPr>
                <w:color w:val="000000"/>
                <w:sz w:val="22"/>
                <w:szCs w:val="22"/>
              </w:rPr>
              <w:t>Model 1</w:t>
            </w:r>
          </w:p>
        </w:tc>
        <w:tc>
          <w:tcPr>
            <w:tcW w:w="3190" w:type="dxa"/>
            <w:noWrap/>
            <w:vAlign w:val="bottom"/>
          </w:tcPr>
          <w:p w:rsidR="00A00E11" w:rsidRPr="00C34A65" w:rsidRDefault="0092112E" w:rsidP="00963889">
            <w:pPr>
              <w:spacing w:line="360" w:lineRule="auto"/>
              <w:jc w:val="center"/>
              <w:rPr>
                <w:bCs/>
                <w:color w:val="000000"/>
                <w:sz w:val="22"/>
                <w:szCs w:val="22"/>
              </w:rPr>
            </w:pPr>
            <w:r>
              <w:rPr>
                <w:bCs/>
                <w:color w:val="000000"/>
                <w:sz w:val="22"/>
                <w:szCs w:val="22"/>
              </w:rPr>
              <w:t>0.98 (0.86-1.11</w:t>
            </w:r>
            <w:r w:rsidR="00A00E11" w:rsidRPr="00C34A65">
              <w:rPr>
                <w:bCs/>
                <w:color w:val="000000"/>
                <w:sz w:val="22"/>
                <w:szCs w:val="22"/>
              </w:rPr>
              <w:t>)</w:t>
            </w:r>
          </w:p>
        </w:tc>
        <w:tc>
          <w:tcPr>
            <w:tcW w:w="2969" w:type="dxa"/>
            <w:noWrap/>
            <w:vAlign w:val="bottom"/>
          </w:tcPr>
          <w:p w:rsidR="00A00E11" w:rsidRPr="00C34A65" w:rsidRDefault="0092112E" w:rsidP="00963889">
            <w:pPr>
              <w:spacing w:line="360" w:lineRule="auto"/>
              <w:jc w:val="center"/>
              <w:rPr>
                <w:bCs/>
                <w:color w:val="000000"/>
                <w:sz w:val="22"/>
                <w:szCs w:val="22"/>
              </w:rPr>
            </w:pPr>
            <w:r>
              <w:rPr>
                <w:bCs/>
                <w:color w:val="000000"/>
                <w:sz w:val="22"/>
                <w:szCs w:val="22"/>
              </w:rPr>
              <w:t>1.02 (0.90-1.16</w:t>
            </w:r>
            <w:r w:rsidR="00A00E11" w:rsidRPr="00C34A65">
              <w:rPr>
                <w:bCs/>
                <w:color w:val="000000"/>
                <w:sz w:val="22"/>
                <w:szCs w:val="22"/>
              </w:rPr>
              <w:t>)</w:t>
            </w:r>
          </w:p>
        </w:tc>
        <w:tc>
          <w:tcPr>
            <w:tcW w:w="2897" w:type="dxa"/>
            <w:noWrap/>
            <w:vAlign w:val="bottom"/>
          </w:tcPr>
          <w:p w:rsidR="00A00E11" w:rsidRPr="00AF12C4" w:rsidRDefault="0092112E" w:rsidP="00963889">
            <w:pPr>
              <w:spacing w:line="360" w:lineRule="auto"/>
              <w:jc w:val="center"/>
              <w:rPr>
                <w:color w:val="000000"/>
                <w:sz w:val="22"/>
                <w:szCs w:val="22"/>
              </w:rPr>
            </w:pPr>
            <w:r>
              <w:rPr>
                <w:color w:val="000000"/>
                <w:sz w:val="22"/>
                <w:szCs w:val="22"/>
              </w:rPr>
              <w:t>1.12 (0.98-1.27</w:t>
            </w:r>
            <w:r w:rsidR="00A00E11" w:rsidRPr="00AF12C4">
              <w:rPr>
                <w:color w:val="000000"/>
                <w:sz w:val="22"/>
                <w:szCs w:val="22"/>
              </w:rPr>
              <w:t>)</w:t>
            </w:r>
            <w:r w:rsidR="00AF12C4">
              <w:rPr>
                <w:color w:val="000000"/>
                <w:sz w:val="22"/>
                <w:szCs w:val="22"/>
              </w:rPr>
              <w:t xml:space="preserve"> </w:t>
            </w:r>
            <w:r w:rsidR="00ED5D41" w:rsidRPr="00ED5D41">
              <w:rPr>
                <w:sz w:val="22"/>
                <w:szCs w:val="22"/>
                <w:vertAlign w:val="superscript"/>
                <w:lang w:val="en-US"/>
              </w:rPr>
              <w:t>**</w:t>
            </w:r>
          </w:p>
        </w:tc>
        <w:tc>
          <w:tcPr>
            <w:tcW w:w="2310" w:type="dxa"/>
            <w:noWrap/>
            <w:vAlign w:val="bottom"/>
          </w:tcPr>
          <w:p w:rsidR="00A00E11" w:rsidRPr="00C34A65" w:rsidRDefault="0092112E" w:rsidP="00963889">
            <w:pPr>
              <w:spacing w:line="360" w:lineRule="auto"/>
              <w:jc w:val="center"/>
              <w:rPr>
                <w:color w:val="000000"/>
                <w:sz w:val="22"/>
                <w:szCs w:val="22"/>
              </w:rPr>
            </w:pPr>
            <w:r>
              <w:rPr>
                <w:color w:val="000000"/>
                <w:sz w:val="22"/>
                <w:szCs w:val="22"/>
              </w:rPr>
              <w:t>1.02 (0.83-1.24</w:t>
            </w:r>
            <w:r w:rsidR="00A00E11" w:rsidRPr="00C34A65">
              <w:rPr>
                <w:color w:val="000000"/>
                <w:sz w:val="22"/>
                <w:szCs w:val="22"/>
              </w:rPr>
              <w:t>)</w:t>
            </w:r>
          </w:p>
        </w:tc>
      </w:tr>
      <w:tr w:rsidR="00A00E11" w:rsidRPr="00C34A65" w:rsidTr="00963889">
        <w:trPr>
          <w:trHeight w:val="300"/>
        </w:trPr>
        <w:tc>
          <w:tcPr>
            <w:tcW w:w="3768" w:type="dxa"/>
            <w:noWrap/>
            <w:vAlign w:val="bottom"/>
          </w:tcPr>
          <w:p w:rsidR="00A00E11" w:rsidRPr="00C34A65" w:rsidRDefault="00A00E11" w:rsidP="00963889">
            <w:pPr>
              <w:spacing w:line="360" w:lineRule="auto"/>
              <w:jc w:val="both"/>
              <w:rPr>
                <w:color w:val="000000"/>
                <w:sz w:val="22"/>
                <w:szCs w:val="22"/>
              </w:rPr>
            </w:pPr>
            <w:r w:rsidRPr="00C34A65">
              <w:rPr>
                <w:color w:val="000000"/>
                <w:sz w:val="22"/>
                <w:szCs w:val="22"/>
              </w:rPr>
              <w:t>Model 2</w:t>
            </w:r>
          </w:p>
        </w:tc>
        <w:tc>
          <w:tcPr>
            <w:tcW w:w="3190" w:type="dxa"/>
            <w:noWrap/>
            <w:vAlign w:val="bottom"/>
          </w:tcPr>
          <w:p w:rsidR="00A00E11" w:rsidRPr="00C34A65" w:rsidRDefault="0092112E" w:rsidP="00963889">
            <w:pPr>
              <w:spacing w:line="360" w:lineRule="auto"/>
              <w:jc w:val="center"/>
              <w:rPr>
                <w:sz w:val="22"/>
                <w:szCs w:val="22"/>
                <w:lang w:val="en-NZ" w:eastAsia="en-NZ"/>
              </w:rPr>
            </w:pPr>
            <w:r>
              <w:rPr>
                <w:sz w:val="22"/>
                <w:szCs w:val="22"/>
                <w:lang w:val="en-NZ" w:eastAsia="en-NZ"/>
              </w:rPr>
              <w:t>0.98 (0.84-1.13</w:t>
            </w:r>
            <w:r w:rsidR="00A00E11" w:rsidRPr="00C34A65">
              <w:rPr>
                <w:sz w:val="22"/>
                <w:szCs w:val="22"/>
                <w:lang w:val="en-NZ" w:eastAsia="en-NZ"/>
              </w:rPr>
              <w:t>)</w:t>
            </w:r>
          </w:p>
        </w:tc>
        <w:tc>
          <w:tcPr>
            <w:tcW w:w="2969" w:type="dxa"/>
            <w:noWrap/>
            <w:vAlign w:val="bottom"/>
          </w:tcPr>
          <w:p w:rsidR="00A00E11" w:rsidRPr="00C34A65" w:rsidRDefault="0092112E" w:rsidP="00963889">
            <w:pPr>
              <w:spacing w:line="360" w:lineRule="auto"/>
              <w:jc w:val="center"/>
              <w:rPr>
                <w:sz w:val="22"/>
                <w:szCs w:val="22"/>
                <w:lang w:val="en-NZ" w:eastAsia="en-NZ"/>
              </w:rPr>
            </w:pPr>
            <w:r>
              <w:rPr>
                <w:sz w:val="22"/>
                <w:szCs w:val="22"/>
                <w:lang w:val="en-NZ" w:eastAsia="en-NZ"/>
              </w:rPr>
              <w:t>0.98 (0.85-1.13</w:t>
            </w:r>
            <w:r w:rsidR="00A00E11" w:rsidRPr="00C34A65">
              <w:rPr>
                <w:sz w:val="22"/>
                <w:szCs w:val="22"/>
                <w:lang w:val="en-NZ" w:eastAsia="en-NZ"/>
              </w:rPr>
              <w:t>)</w:t>
            </w:r>
          </w:p>
        </w:tc>
        <w:tc>
          <w:tcPr>
            <w:tcW w:w="2897" w:type="dxa"/>
            <w:noWrap/>
            <w:vAlign w:val="bottom"/>
          </w:tcPr>
          <w:p w:rsidR="00A00E11" w:rsidRPr="006423BF" w:rsidRDefault="0092112E" w:rsidP="00963889">
            <w:pPr>
              <w:spacing w:line="360" w:lineRule="auto"/>
              <w:jc w:val="center"/>
              <w:rPr>
                <w:sz w:val="22"/>
                <w:szCs w:val="22"/>
                <w:vertAlign w:val="superscript"/>
                <w:lang w:val="en-NZ" w:eastAsia="en-NZ"/>
              </w:rPr>
            </w:pPr>
            <w:r>
              <w:rPr>
                <w:sz w:val="22"/>
                <w:szCs w:val="22"/>
                <w:lang w:val="en-NZ" w:eastAsia="en-NZ"/>
              </w:rPr>
              <w:t>1.10 (0.96-1.26</w:t>
            </w:r>
            <w:r w:rsidR="00A00E11" w:rsidRPr="00C34A65">
              <w:rPr>
                <w:sz w:val="22"/>
                <w:szCs w:val="22"/>
                <w:lang w:val="en-NZ" w:eastAsia="en-NZ"/>
              </w:rPr>
              <w:t>)</w:t>
            </w:r>
            <w:r w:rsidR="00AF12C4">
              <w:rPr>
                <w:sz w:val="22"/>
                <w:szCs w:val="22"/>
                <w:lang w:val="en-NZ" w:eastAsia="en-NZ"/>
              </w:rPr>
              <w:t xml:space="preserve"> </w:t>
            </w:r>
            <w:r w:rsidR="00ED5D41" w:rsidRPr="00ED5D41">
              <w:rPr>
                <w:sz w:val="22"/>
                <w:szCs w:val="22"/>
                <w:vertAlign w:val="superscript"/>
                <w:lang w:val="en-NZ" w:eastAsia="en-NZ"/>
              </w:rPr>
              <w:t xml:space="preserve">* </w:t>
            </w:r>
            <w:r w:rsidR="00A00E11" w:rsidRPr="00ED5D41">
              <w:rPr>
                <w:sz w:val="22"/>
                <w:szCs w:val="22"/>
                <w:vertAlign w:val="superscript"/>
                <w:lang w:val="en-US"/>
              </w:rPr>
              <w:t>c</w:t>
            </w:r>
          </w:p>
        </w:tc>
        <w:tc>
          <w:tcPr>
            <w:tcW w:w="2310" w:type="dxa"/>
            <w:noWrap/>
            <w:vAlign w:val="bottom"/>
          </w:tcPr>
          <w:p w:rsidR="00A00E11" w:rsidRPr="00C34A65" w:rsidRDefault="0092112E" w:rsidP="00963889">
            <w:pPr>
              <w:spacing w:line="360" w:lineRule="auto"/>
              <w:jc w:val="center"/>
              <w:rPr>
                <w:sz w:val="22"/>
                <w:szCs w:val="22"/>
                <w:lang w:val="en-NZ" w:eastAsia="en-NZ"/>
              </w:rPr>
            </w:pPr>
            <w:r>
              <w:rPr>
                <w:sz w:val="22"/>
                <w:szCs w:val="22"/>
                <w:lang w:val="en-NZ" w:eastAsia="en-NZ"/>
              </w:rPr>
              <w:t>1.01 (0.81-1.25</w:t>
            </w:r>
            <w:r w:rsidR="00A00E11" w:rsidRPr="00C34A65">
              <w:rPr>
                <w:sz w:val="22"/>
                <w:szCs w:val="22"/>
                <w:lang w:val="en-NZ" w:eastAsia="en-NZ"/>
              </w:rPr>
              <w:t>)</w:t>
            </w:r>
          </w:p>
        </w:tc>
      </w:tr>
      <w:tr w:rsidR="00A00E11" w:rsidRPr="00C34A65" w:rsidTr="00963889">
        <w:trPr>
          <w:trHeight w:val="300"/>
        </w:trPr>
        <w:tc>
          <w:tcPr>
            <w:tcW w:w="3768" w:type="dxa"/>
            <w:noWrap/>
            <w:vAlign w:val="bottom"/>
          </w:tcPr>
          <w:p w:rsidR="00A00E11" w:rsidRPr="00C34A65" w:rsidRDefault="00A00E11" w:rsidP="00963889">
            <w:pPr>
              <w:spacing w:line="360" w:lineRule="auto"/>
              <w:jc w:val="both"/>
              <w:rPr>
                <w:b/>
                <w:bCs/>
                <w:color w:val="000000"/>
                <w:sz w:val="22"/>
                <w:szCs w:val="22"/>
              </w:rPr>
            </w:pPr>
          </w:p>
        </w:tc>
        <w:tc>
          <w:tcPr>
            <w:tcW w:w="3190" w:type="dxa"/>
            <w:noWrap/>
            <w:vAlign w:val="bottom"/>
          </w:tcPr>
          <w:p w:rsidR="00A00E11" w:rsidRPr="00C34A65" w:rsidRDefault="00A00E11" w:rsidP="00963889">
            <w:pPr>
              <w:spacing w:line="360" w:lineRule="auto"/>
              <w:jc w:val="center"/>
              <w:rPr>
                <w:sz w:val="22"/>
                <w:szCs w:val="22"/>
                <w:lang w:val="en-NZ" w:eastAsia="en-NZ"/>
              </w:rPr>
            </w:pPr>
          </w:p>
        </w:tc>
        <w:tc>
          <w:tcPr>
            <w:tcW w:w="2969" w:type="dxa"/>
            <w:noWrap/>
            <w:vAlign w:val="bottom"/>
          </w:tcPr>
          <w:p w:rsidR="00A00E11" w:rsidRPr="00C34A65" w:rsidRDefault="00A00E11" w:rsidP="00963889">
            <w:pPr>
              <w:spacing w:line="360" w:lineRule="auto"/>
              <w:jc w:val="center"/>
              <w:rPr>
                <w:sz w:val="22"/>
                <w:szCs w:val="22"/>
                <w:lang w:val="en-NZ" w:eastAsia="en-NZ"/>
              </w:rPr>
            </w:pPr>
          </w:p>
        </w:tc>
        <w:tc>
          <w:tcPr>
            <w:tcW w:w="2897" w:type="dxa"/>
            <w:noWrap/>
            <w:vAlign w:val="bottom"/>
          </w:tcPr>
          <w:p w:rsidR="00A00E11" w:rsidRPr="00C34A65" w:rsidRDefault="00A00E11" w:rsidP="00963889">
            <w:pPr>
              <w:spacing w:line="360" w:lineRule="auto"/>
              <w:jc w:val="center"/>
              <w:rPr>
                <w:sz w:val="22"/>
                <w:szCs w:val="22"/>
                <w:lang w:val="en-NZ" w:eastAsia="en-NZ"/>
              </w:rPr>
            </w:pPr>
          </w:p>
        </w:tc>
        <w:tc>
          <w:tcPr>
            <w:tcW w:w="2310" w:type="dxa"/>
            <w:noWrap/>
            <w:vAlign w:val="bottom"/>
          </w:tcPr>
          <w:p w:rsidR="00A00E11" w:rsidRPr="00C34A65" w:rsidRDefault="00A00E11" w:rsidP="00963889">
            <w:pPr>
              <w:spacing w:line="360" w:lineRule="auto"/>
              <w:jc w:val="center"/>
              <w:rPr>
                <w:sz w:val="22"/>
                <w:szCs w:val="22"/>
                <w:lang w:val="en-NZ" w:eastAsia="en-NZ"/>
              </w:rPr>
            </w:pPr>
          </w:p>
        </w:tc>
      </w:tr>
      <w:tr w:rsidR="00A00E11" w:rsidRPr="00C34A65" w:rsidTr="00963889">
        <w:trPr>
          <w:trHeight w:val="300"/>
        </w:trPr>
        <w:tc>
          <w:tcPr>
            <w:tcW w:w="3768" w:type="dxa"/>
            <w:noWrap/>
            <w:vAlign w:val="bottom"/>
            <w:hideMark/>
          </w:tcPr>
          <w:p w:rsidR="00A00E11" w:rsidRPr="00C34A65" w:rsidRDefault="00A00E11" w:rsidP="00963889">
            <w:pPr>
              <w:spacing w:line="360" w:lineRule="auto"/>
              <w:jc w:val="both"/>
              <w:rPr>
                <w:color w:val="000000"/>
                <w:sz w:val="22"/>
                <w:szCs w:val="22"/>
              </w:rPr>
            </w:pPr>
            <w:r>
              <w:rPr>
                <w:b/>
                <w:bCs/>
                <w:color w:val="000000"/>
                <w:sz w:val="22"/>
                <w:szCs w:val="22"/>
              </w:rPr>
              <w:t>Objective n</w:t>
            </w:r>
            <w:r w:rsidRPr="00C34A65">
              <w:rPr>
                <w:b/>
                <w:bCs/>
                <w:color w:val="000000"/>
                <w:sz w:val="22"/>
                <w:szCs w:val="22"/>
              </w:rPr>
              <w:t>eighbourhood deprivation</w:t>
            </w:r>
          </w:p>
        </w:tc>
        <w:tc>
          <w:tcPr>
            <w:tcW w:w="3190" w:type="dxa"/>
            <w:noWrap/>
            <w:vAlign w:val="bottom"/>
          </w:tcPr>
          <w:p w:rsidR="00A00E11" w:rsidRPr="00C34A65" w:rsidRDefault="00A00E11" w:rsidP="00963889">
            <w:pPr>
              <w:spacing w:line="360" w:lineRule="auto"/>
              <w:jc w:val="center"/>
              <w:rPr>
                <w:color w:val="000000"/>
                <w:sz w:val="22"/>
                <w:szCs w:val="22"/>
              </w:rPr>
            </w:pPr>
          </w:p>
        </w:tc>
        <w:tc>
          <w:tcPr>
            <w:tcW w:w="2969" w:type="dxa"/>
            <w:noWrap/>
            <w:vAlign w:val="bottom"/>
          </w:tcPr>
          <w:p w:rsidR="00A00E11" w:rsidRPr="00C34A65" w:rsidRDefault="00A00E11" w:rsidP="00963889">
            <w:pPr>
              <w:spacing w:line="360" w:lineRule="auto"/>
              <w:jc w:val="center"/>
              <w:rPr>
                <w:bCs/>
                <w:color w:val="000000"/>
                <w:sz w:val="22"/>
                <w:szCs w:val="22"/>
              </w:rPr>
            </w:pPr>
          </w:p>
        </w:tc>
        <w:tc>
          <w:tcPr>
            <w:tcW w:w="2897" w:type="dxa"/>
            <w:noWrap/>
            <w:vAlign w:val="bottom"/>
          </w:tcPr>
          <w:p w:rsidR="00A00E11" w:rsidRPr="00C34A65" w:rsidRDefault="00A00E11" w:rsidP="00963889">
            <w:pPr>
              <w:spacing w:line="360" w:lineRule="auto"/>
              <w:jc w:val="center"/>
              <w:rPr>
                <w:color w:val="000000"/>
                <w:sz w:val="22"/>
                <w:szCs w:val="22"/>
              </w:rPr>
            </w:pPr>
          </w:p>
        </w:tc>
        <w:tc>
          <w:tcPr>
            <w:tcW w:w="2310" w:type="dxa"/>
            <w:noWrap/>
            <w:vAlign w:val="bottom"/>
          </w:tcPr>
          <w:p w:rsidR="00A00E11" w:rsidRPr="00C34A65" w:rsidRDefault="00A00E11" w:rsidP="00963889">
            <w:pPr>
              <w:spacing w:line="360" w:lineRule="auto"/>
              <w:jc w:val="center"/>
              <w:rPr>
                <w:b/>
                <w:color w:val="000000"/>
                <w:sz w:val="22"/>
                <w:szCs w:val="22"/>
                <w:highlight w:val="yellow"/>
              </w:rPr>
            </w:pPr>
          </w:p>
        </w:tc>
      </w:tr>
      <w:tr w:rsidR="00A00E11" w:rsidRPr="00C34A65" w:rsidTr="00963889">
        <w:trPr>
          <w:trHeight w:val="300"/>
        </w:trPr>
        <w:tc>
          <w:tcPr>
            <w:tcW w:w="3768" w:type="dxa"/>
            <w:noWrap/>
            <w:vAlign w:val="bottom"/>
            <w:hideMark/>
          </w:tcPr>
          <w:p w:rsidR="00A00E11" w:rsidRPr="00C34A65" w:rsidRDefault="00A00E11" w:rsidP="00963889">
            <w:pPr>
              <w:spacing w:line="360" w:lineRule="auto"/>
              <w:jc w:val="both"/>
              <w:rPr>
                <w:color w:val="000000"/>
                <w:sz w:val="22"/>
                <w:szCs w:val="22"/>
              </w:rPr>
            </w:pPr>
            <w:r w:rsidRPr="00C34A65">
              <w:rPr>
                <w:color w:val="000000"/>
                <w:sz w:val="22"/>
                <w:szCs w:val="22"/>
              </w:rPr>
              <w:t>Model 1</w:t>
            </w:r>
          </w:p>
        </w:tc>
        <w:tc>
          <w:tcPr>
            <w:tcW w:w="3190" w:type="dxa"/>
            <w:noWrap/>
            <w:vAlign w:val="bottom"/>
          </w:tcPr>
          <w:p w:rsidR="00A00E11" w:rsidRPr="00C34A65" w:rsidRDefault="0092112E" w:rsidP="00963889">
            <w:pPr>
              <w:spacing w:line="360" w:lineRule="auto"/>
              <w:jc w:val="center"/>
              <w:rPr>
                <w:color w:val="000000"/>
                <w:sz w:val="22"/>
                <w:szCs w:val="22"/>
              </w:rPr>
            </w:pPr>
            <w:r>
              <w:rPr>
                <w:color w:val="000000"/>
                <w:sz w:val="22"/>
                <w:szCs w:val="22"/>
              </w:rPr>
              <w:t>1.00 (0.95-1.04</w:t>
            </w:r>
            <w:r w:rsidR="00A00E11" w:rsidRPr="00C34A65">
              <w:rPr>
                <w:color w:val="000000"/>
                <w:sz w:val="22"/>
                <w:szCs w:val="22"/>
              </w:rPr>
              <w:t>)</w:t>
            </w:r>
          </w:p>
        </w:tc>
        <w:tc>
          <w:tcPr>
            <w:tcW w:w="2969" w:type="dxa"/>
            <w:noWrap/>
            <w:vAlign w:val="bottom"/>
          </w:tcPr>
          <w:p w:rsidR="00A00E11" w:rsidRPr="00C34A65" w:rsidRDefault="00A00E11" w:rsidP="00963889">
            <w:pPr>
              <w:spacing w:line="360" w:lineRule="auto"/>
              <w:jc w:val="center"/>
              <w:rPr>
                <w:bCs/>
                <w:color w:val="000000"/>
                <w:sz w:val="22"/>
                <w:szCs w:val="22"/>
              </w:rPr>
            </w:pPr>
            <w:r w:rsidRPr="00C34A65">
              <w:rPr>
                <w:bCs/>
                <w:color w:val="000000"/>
                <w:sz w:val="22"/>
                <w:szCs w:val="22"/>
              </w:rPr>
              <w:t>1.03 (</w:t>
            </w:r>
            <w:r w:rsidR="0092112E">
              <w:rPr>
                <w:bCs/>
                <w:color w:val="000000"/>
                <w:sz w:val="22"/>
                <w:szCs w:val="22"/>
              </w:rPr>
              <w:t>0.98-1.07</w:t>
            </w:r>
            <w:r w:rsidRPr="00C34A65">
              <w:rPr>
                <w:bCs/>
                <w:color w:val="000000"/>
                <w:sz w:val="22"/>
                <w:szCs w:val="22"/>
              </w:rPr>
              <w:t>)</w:t>
            </w:r>
          </w:p>
        </w:tc>
        <w:tc>
          <w:tcPr>
            <w:tcW w:w="2897" w:type="dxa"/>
            <w:noWrap/>
            <w:vAlign w:val="bottom"/>
          </w:tcPr>
          <w:p w:rsidR="00A00E11" w:rsidRPr="00C34A65" w:rsidRDefault="0092112E" w:rsidP="00963889">
            <w:pPr>
              <w:spacing w:line="360" w:lineRule="auto"/>
              <w:jc w:val="center"/>
              <w:rPr>
                <w:color w:val="000000"/>
                <w:sz w:val="22"/>
                <w:szCs w:val="22"/>
              </w:rPr>
            </w:pPr>
            <w:r>
              <w:rPr>
                <w:color w:val="000000"/>
                <w:sz w:val="22"/>
                <w:szCs w:val="22"/>
              </w:rPr>
              <w:t>1.02 (0.98-1.06</w:t>
            </w:r>
            <w:r w:rsidR="00A00E11" w:rsidRPr="00C34A65">
              <w:rPr>
                <w:color w:val="000000"/>
                <w:sz w:val="22"/>
                <w:szCs w:val="22"/>
              </w:rPr>
              <w:t>)</w:t>
            </w:r>
          </w:p>
        </w:tc>
        <w:tc>
          <w:tcPr>
            <w:tcW w:w="2310" w:type="dxa"/>
            <w:noWrap/>
            <w:vAlign w:val="bottom"/>
          </w:tcPr>
          <w:p w:rsidR="00A00E11" w:rsidRPr="00ED5D41" w:rsidRDefault="00A00E11" w:rsidP="0092112E">
            <w:pPr>
              <w:spacing w:line="360" w:lineRule="auto"/>
              <w:jc w:val="center"/>
              <w:rPr>
                <w:sz w:val="22"/>
                <w:szCs w:val="22"/>
                <w:vertAlign w:val="superscript"/>
              </w:rPr>
            </w:pPr>
            <w:r>
              <w:rPr>
                <w:sz w:val="22"/>
                <w:szCs w:val="22"/>
              </w:rPr>
              <w:t>0.96</w:t>
            </w:r>
            <w:r w:rsidRPr="00C34A65">
              <w:rPr>
                <w:sz w:val="22"/>
                <w:szCs w:val="22"/>
              </w:rPr>
              <w:t xml:space="preserve"> (0.9</w:t>
            </w:r>
            <w:r w:rsidR="0092112E">
              <w:rPr>
                <w:sz w:val="22"/>
                <w:szCs w:val="22"/>
              </w:rPr>
              <w:t>0-1.02</w:t>
            </w:r>
            <w:r w:rsidRPr="00C34A65">
              <w:rPr>
                <w:sz w:val="22"/>
                <w:szCs w:val="22"/>
              </w:rPr>
              <w:t xml:space="preserve">) </w:t>
            </w:r>
            <w:r w:rsidR="00ED5D41">
              <w:rPr>
                <w:sz w:val="22"/>
                <w:szCs w:val="22"/>
                <w:vertAlign w:val="superscript"/>
              </w:rPr>
              <w:t>*</w:t>
            </w:r>
          </w:p>
        </w:tc>
      </w:tr>
      <w:tr w:rsidR="00A00E11" w:rsidRPr="0092112E" w:rsidTr="00963889">
        <w:trPr>
          <w:trHeight w:val="300"/>
        </w:trPr>
        <w:tc>
          <w:tcPr>
            <w:tcW w:w="3768" w:type="dxa"/>
            <w:tcBorders>
              <w:bottom w:val="single" w:sz="4" w:space="0" w:color="auto"/>
            </w:tcBorders>
            <w:noWrap/>
            <w:vAlign w:val="bottom"/>
          </w:tcPr>
          <w:p w:rsidR="00A00E11" w:rsidRPr="00C34A65" w:rsidRDefault="00A00E11" w:rsidP="00963889">
            <w:pPr>
              <w:spacing w:line="360" w:lineRule="auto"/>
              <w:jc w:val="both"/>
              <w:rPr>
                <w:color w:val="000000"/>
                <w:sz w:val="22"/>
                <w:szCs w:val="22"/>
              </w:rPr>
            </w:pPr>
            <w:r w:rsidRPr="00C34A65">
              <w:rPr>
                <w:color w:val="000000"/>
                <w:sz w:val="22"/>
                <w:szCs w:val="22"/>
              </w:rPr>
              <w:t>Model 2</w:t>
            </w:r>
          </w:p>
        </w:tc>
        <w:tc>
          <w:tcPr>
            <w:tcW w:w="3190" w:type="dxa"/>
            <w:tcBorders>
              <w:bottom w:val="single" w:sz="4" w:space="0" w:color="auto"/>
            </w:tcBorders>
            <w:noWrap/>
            <w:vAlign w:val="bottom"/>
          </w:tcPr>
          <w:p w:rsidR="00A00E11" w:rsidRPr="001B3440" w:rsidRDefault="00A00E11" w:rsidP="00963889">
            <w:pPr>
              <w:spacing w:line="360" w:lineRule="auto"/>
              <w:jc w:val="center"/>
              <w:rPr>
                <w:color w:val="000000"/>
                <w:sz w:val="22"/>
                <w:szCs w:val="22"/>
                <w:lang w:val="en-US"/>
              </w:rPr>
            </w:pPr>
            <w:r w:rsidRPr="001B3440">
              <w:rPr>
                <w:color w:val="000000"/>
                <w:sz w:val="22"/>
                <w:szCs w:val="22"/>
                <w:lang w:val="en-US"/>
              </w:rPr>
              <w:t>1.0</w:t>
            </w:r>
            <w:r>
              <w:rPr>
                <w:color w:val="000000"/>
                <w:sz w:val="22"/>
                <w:szCs w:val="22"/>
                <w:lang w:val="en-US"/>
              </w:rPr>
              <w:t>0</w:t>
            </w:r>
            <w:r w:rsidRPr="001B3440">
              <w:rPr>
                <w:color w:val="000000"/>
                <w:sz w:val="22"/>
                <w:szCs w:val="22"/>
                <w:lang w:val="en-US"/>
              </w:rPr>
              <w:t xml:space="preserve"> (</w:t>
            </w:r>
            <w:r>
              <w:rPr>
                <w:color w:val="000000"/>
                <w:sz w:val="22"/>
                <w:szCs w:val="22"/>
                <w:lang w:val="en-US"/>
              </w:rPr>
              <w:t>0</w:t>
            </w:r>
            <w:r w:rsidRPr="001B3440">
              <w:rPr>
                <w:color w:val="000000"/>
                <w:sz w:val="22"/>
                <w:szCs w:val="22"/>
                <w:lang w:val="en-US"/>
              </w:rPr>
              <w:t>.</w:t>
            </w:r>
            <w:r w:rsidR="0092112E">
              <w:rPr>
                <w:color w:val="000000"/>
                <w:sz w:val="22"/>
                <w:szCs w:val="22"/>
                <w:lang w:val="en-US"/>
              </w:rPr>
              <w:t>96-1.06</w:t>
            </w:r>
            <w:r w:rsidRPr="001B3440">
              <w:rPr>
                <w:color w:val="000000"/>
                <w:sz w:val="22"/>
                <w:szCs w:val="22"/>
                <w:lang w:val="en-US"/>
              </w:rPr>
              <w:t>)</w:t>
            </w:r>
          </w:p>
        </w:tc>
        <w:tc>
          <w:tcPr>
            <w:tcW w:w="2969" w:type="dxa"/>
            <w:tcBorders>
              <w:bottom w:val="single" w:sz="4" w:space="0" w:color="auto"/>
            </w:tcBorders>
            <w:noWrap/>
            <w:vAlign w:val="bottom"/>
          </w:tcPr>
          <w:p w:rsidR="00A00E11" w:rsidRPr="001B3440" w:rsidRDefault="0092112E" w:rsidP="00963889">
            <w:pPr>
              <w:spacing w:line="360" w:lineRule="auto"/>
              <w:jc w:val="center"/>
              <w:rPr>
                <w:bCs/>
                <w:color w:val="000000"/>
                <w:sz w:val="22"/>
                <w:szCs w:val="22"/>
                <w:lang w:val="en-US"/>
              </w:rPr>
            </w:pPr>
            <w:r>
              <w:rPr>
                <w:bCs/>
                <w:color w:val="000000"/>
                <w:sz w:val="22"/>
                <w:szCs w:val="22"/>
                <w:lang w:val="en-US"/>
              </w:rPr>
              <w:t>1.03 (0.98</w:t>
            </w:r>
            <w:r w:rsidR="00A00E11" w:rsidRPr="001B3440">
              <w:rPr>
                <w:bCs/>
                <w:color w:val="000000"/>
                <w:sz w:val="22"/>
                <w:szCs w:val="22"/>
                <w:lang w:val="en-US"/>
              </w:rPr>
              <w:t>-1.0</w:t>
            </w:r>
            <w:r>
              <w:rPr>
                <w:bCs/>
                <w:color w:val="000000"/>
                <w:sz w:val="22"/>
                <w:szCs w:val="22"/>
                <w:lang w:val="en-US"/>
              </w:rPr>
              <w:t>8</w:t>
            </w:r>
            <w:r w:rsidR="00A00E11" w:rsidRPr="001B3440">
              <w:rPr>
                <w:bCs/>
                <w:color w:val="000000"/>
                <w:sz w:val="22"/>
                <w:szCs w:val="22"/>
                <w:lang w:val="en-US"/>
              </w:rPr>
              <w:t>)</w:t>
            </w:r>
          </w:p>
        </w:tc>
        <w:tc>
          <w:tcPr>
            <w:tcW w:w="2897" w:type="dxa"/>
            <w:tcBorders>
              <w:bottom w:val="single" w:sz="4" w:space="0" w:color="auto"/>
            </w:tcBorders>
            <w:noWrap/>
            <w:vAlign w:val="bottom"/>
          </w:tcPr>
          <w:p w:rsidR="00A00E11" w:rsidRPr="001B3440" w:rsidRDefault="00A00E11" w:rsidP="0092112E">
            <w:pPr>
              <w:spacing w:line="360" w:lineRule="auto"/>
              <w:jc w:val="center"/>
              <w:rPr>
                <w:color w:val="000000"/>
                <w:sz w:val="22"/>
                <w:szCs w:val="22"/>
                <w:lang w:val="en-US"/>
              </w:rPr>
            </w:pPr>
            <w:r>
              <w:rPr>
                <w:color w:val="000000"/>
                <w:sz w:val="22"/>
                <w:szCs w:val="22"/>
                <w:lang w:val="en-US"/>
              </w:rPr>
              <w:t>1.02 (0.9</w:t>
            </w:r>
            <w:r w:rsidR="0092112E">
              <w:rPr>
                <w:color w:val="000000"/>
                <w:sz w:val="22"/>
                <w:szCs w:val="22"/>
                <w:lang w:val="en-US"/>
              </w:rPr>
              <w:t>8-1.07</w:t>
            </w:r>
            <w:r w:rsidRPr="001B3440">
              <w:rPr>
                <w:color w:val="000000"/>
                <w:sz w:val="22"/>
                <w:szCs w:val="22"/>
                <w:lang w:val="en-US"/>
              </w:rPr>
              <w:t>)</w:t>
            </w:r>
          </w:p>
        </w:tc>
        <w:tc>
          <w:tcPr>
            <w:tcW w:w="2310" w:type="dxa"/>
            <w:tcBorders>
              <w:bottom w:val="single" w:sz="4" w:space="0" w:color="auto"/>
            </w:tcBorders>
            <w:noWrap/>
            <w:vAlign w:val="bottom"/>
          </w:tcPr>
          <w:p w:rsidR="00A00E11" w:rsidRPr="001B3440" w:rsidRDefault="0092112E" w:rsidP="00963889">
            <w:pPr>
              <w:spacing w:line="360" w:lineRule="auto"/>
              <w:jc w:val="center"/>
              <w:rPr>
                <w:color w:val="000000"/>
                <w:sz w:val="22"/>
                <w:szCs w:val="22"/>
                <w:lang w:val="en-US"/>
              </w:rPr>
            </w:pPr>
            <w:r>
              <w:rPr>
                <w:color w:val="000000"/>
                <w:sz w:val="22"/>
                <w:szCs w:val="22"/>
                <w:lang w:val="en-US"/>
              </w:rPr>
              <w:t>0.96 (0.89-1.03</w:t>
            </w:r>
            <w:r w:rsidR="00A00E11" w:rsidRPr="001B3440">
              <w:rPr>
                <w:color w:val="000000"/>
                <w:sz w:val="22"/>
                <w:szCs w:val="22"/>
                <w:lang w:val="en-US"/>
              </w:rPr>
              <w:t>)</w:t>
            </w:r>
          </w:p>
        </w:tc>
      </w:tr>
    </w:tbl>
    <w:p w:rsidR="00A00E11" w:rsidRPr="00C34A65" w:rsidRDefault="00A00E11" w:rsidP="00A00E11">
      <w:pPr>
        <w:spacing w:line="360" w:lineRule="auto"/>
        <w:jc w:val="both"/>
        <w:rPr>
          <w:sz w:val="22"/>
          <w:szCs w:val="22"/>
          <w:lang w:val="en-US"/>
        </w:rPr>
      </w:pPr>
    </w:p>
    <w:p w:rsidR="00A00E11" w:rsidRPr="00C34A65" w:rsidRDefault="00A00E11" w:rsidP="00A00E11">
      <w:pPr>
        <w:spacing w:line="360" w:lineRule="auto"/>
        <w:jc w:val="both"/>
        <w:rPr>
          <w:sz w:val="22"/>
          <w:szCs w:val="22"/>
          <w:lang w:val="en-US"/>
        </w:rPr>
      </w:pPr>
      <w:r w:rsidRPr="00C34A65">
        <w:rPr>
          <w:sz w:val="22"/>
          <w:szCs w:val="22"/>
          <w:vertAlign w:val="superscript"/>
          <w:lang w:val="en-US"/>
        </w:rPr>
        <w:t xml:space="preserve">a </w:t>
      </w:r>
      <w:r>
        <w:rPr>
          <w:sz w:val="22"/>
          <w:szCs w:val="22"/>
          <w:lang w:val="en-US"/>
        </w:rPr>
        <w:t>OR: Odds ratio; CI: C</w:t>
      </w:r>
      <w:r w:rsidRPr="00C34A65">
        <w:rPr>
          <w:sz w:val="22"/>
          <w:szCs w:val="22"/>
          <w:lang w:val="en-US"/>
        </w:rPr>
        <w:t>onf</w:t>
      </w:r>
      <w:r w:rsidR="00ED5D41">
        <w:rPr>
          <w:sz w:val="22"/>
          <w:szCs w:val="22"/>
          <w:lang w:val="en-US"/>
        </w:rPr>
        <w:t xml:space="preserve">idence interval; </w:t>
      </w:r>
      <w:r w:rsidR="00ED5D41" w:rsidRPr="00ED5D41">
        <w:rPr>
          <w:sz w:val="22"/>
          <w:szCs w:val="22"/>
          <w:vertAlign w:val="superscript"/>
          <w:lang w:val="en-US"/>
        </w:rPr>
        <w:t>***</w:t>
      </w:r>
      <w:r w:rsidR="00AF12C4">
        <w:rPr>
          <w:sz w:val="22"/>
          <w:szCs w:val="22"/>
          <w:lang w:val="en-US"/>
        </w:rPr>
        <w:t xml:space="preserve"> p&lt;0.01</w:t>
      </w:r>
      <w:r w:rsidR="00ED5D41">
        <w:rPr>
          <w:sz w:val="22"/>
          <w:szCs w:val="22"/>
          <w:lang w:val="en-US"/>
        </w:rPr>
        <w:t xml:space="preserve">; </w:t>
      </w:r>
      <w:r w:rsidR="00ED5D41">
        <w:rPr>
          <w:sz w:val="22"/>
          <w:szCs w:val="22"/>
          <w:vertAlign w:val="superscript"/>
          <w:lang w:val="en-US"/>
        </w:rPr>
        <w:t>**</w:t>
      </w:r>
      <w:r w:rsidR="00AF12C4">
        <w:rPr>
          <w:sz w:val="22"/>
          <w:szCs w:val="22"/>
          <w:lang w:val="en-US"/>
        </w:rPr>
        <w:t>: 0.01≥p&lt;0.05</w:t>
      </w:r>
      <w:r w:rsidR="00ED5D41">
        <w:rPr>
          <w:sz w:val="22"/>
          <w:szCs w:val="22"/>
          <w:lang w:val="en-US"/>
        </w:rPr>
        <w:t xml:space="preserve">; </w:t>
      </w:r>
      <w:r w:rsidR="00ED5D41">
        <w:rPr>
          <w:sz w:val="22"/>
          <w:szCs w:val="22"/>
          <w:vertAlign w:val="superscript"/>
          <w:lang w:val="en-US"/>
        </w:rPr>
        <w:t>*</w:t>
      </w:r>
      <w:r w:rsidR="00ED5D41">
        <w:rPr>
          <w:sz w:val="22"/>
          <w:szCs w:val="22"/>
          <w:lang w:val="en-US"/>
        </w:rPr>
        <w:t>: 0.05≥p&lt;0.10.</w:t>
      </w:r>
    </w:p>
    <w:p w:rsidR="00A00E11" w:rsidRPr="00C34A65" w:rsidRDefault="00A00E11" w:rsidP="00A00E11">
      <w:pPr>
        <w:spacing w:line="360" w:lineRule="auto"/>
        <w:jc w:val="both"/>
        <w:rPr>
          <w:sz w:val="22"/>
          <w:szCs w:val="22"/>
          <w:lang w:val="en-US"/>
        </w:rPr>
      </w:pPr>
      <w:r w:rsidRPr="00C34A65">
        <w:rPr>
          <w:sz w:val="22"/>
          <w:szCs w:val="22"/>
          <w:vertAlign w:val="superscript"/>
          <w:lang w:val="en-US"/>
        </w:rPr>
        <w:t xml:space="preserve">b </w:t>
      </w:r>
      <w:r w:rsidRPr="00C34A65">
        <w:rPr>
          <w:sz w:val="22"/>
          <w:szCs w:val="22"/>
          <w:lang w:val="en-US"/>
        </w:rPr>
        <w:t>Model 1: adjusted for age and sex (reference category: men).</w:t>
      </w:r>
    </w:p>
    <w:p w:rsidR="00A00E11" w:rsidRPr="00C34A65" w:rsidRDefault="00A00E11" w:rsidP="00A00E11">
      <w:pPr>
        <w:spacing w:line="360" w:lineRule="auto"/>
        <w:jc w:val="both"/>
        <w:rPr>
          <w:sz w:val="22"/>
          <w:szCs w:val="22"/>
          <w:lang w:val="en-US"/>
        </w:rPr>
      </w:pPr>
      <w:r w:rsidRPr="00C34A65">
        <w:rPr>
          <w:sz w:val="22"/>
          <w:szCs w:val="22"/>
          <w:lang w:val="en-US"/>
        </w:rPr>
        <w:t>Model 2: additionally adjusted for partner status (reference category: no partner), educational level (reference category: lower educated than secondary education), socio-economic status (reference category: routine occupations), anxiety (reference category: not anxious), depression (reference category: not depressed), number of chronic diseases (reference category: no chronic diseases other than lower limb osteoarthritis (LLOA)), physical activity, and LLOA (reference category: no LLOA).</w:t>
      </w:r>
    </w:p>
    <w:p w:rsidR="0096314D" w:rsidRPr="00A00E11" w:rsidRDefault="00A00E11" w:rsidP="00A00E11">
      <w:pPr>
        <w:spacing w:line="360" w:lineRule="auto"/>
        <w:jc w:val="both"/>
        <w:rPr>
          <w:sz w:val="22"/>
          <w:szCs w:val="22"/>
          <w:lang w:val="en-US"/>
        </w:rPr>
      </w:pPr>
      <w:r w:rsidRPr="00C34A65">
        <w:rPr>
          <w:sz w:val="22"/>
          <w:szCs w:val="22"/>
          <w:vertAlign w:val="superscript"/>
          <w:lang w:val="en-US"/>
        </w:rPr>
        <w:t>c</w:t>
      </w:r>
      <w:r w:rsidRPr="00C34A65">
        <w:rPr>
          <w:sz w:val="22"/>
          <w:szCs w:val="22"/>
          <w:lang w:val="en-US"/>
        </w:rPr>
        <w:t xml:space="preserve"> There was a significant </w:t>
      </w:r>
      <w:r>
        <w:rPr>
          <w:sz w:val="22"/>
          <w:szCs w:val="22"/>
          <w:lang w:val="en-US"/>
        </w:rPr>
        <w:t>LL</w:t>
      </w:r>
      <w:r w:rsidRPr="00C34A65">
        <w:rPr>
          <w:sz w:val="22"/>
          <w:szCs w:val="22"/>
          <w:lang w:val="en-US"/>
        </w:rPr>
        <w:t>OA by</w:t>
      </w:r>
      <w:r>
        <w:rPr>
          <w:sz w:val="22"/>
          <w:szCs w:val="22"/>
          <w:lang w:val="en-US"/>
        </w:rPr>
        <w:t xml:space="preserve"> perceived</w:t>
      </w:r>
      <w:r w:rsidRPr="00C34A65">
        <w:rPr>
          <w:sz w:val="22"/>
          <w:szCs w:val="22"/>
          <w:lang w:val="en-US"/>
        </w:rPr>
        <w:t xml:space="preserve"> </w:t>
      </w:r>
      <w:proofErr w:type="spellStart"/>
      <w:r w:rsidRPr="00C34A65">
        <w:rPr>
          <w:sz w:val="22"/>
          <w:szCs w:val="22"/>
          <w:lang w:val="en-US"/>
        </w:rPr>
        <w:t>neighbourhood</w:t>
      </w:r>
      <w:proofErr w:type="spellEnd"/>
      <w:r w:rsidRPr="00C34A65">
        <w:rPr>
          <w:sz w:val="22"/>
          <w:szCs w:val="22"/>
          <w:lang w:val="en-US"/>
        </w:rPr>
        <w:t xml:space="preserve"> problems interaction effect on the use of public transport. Therefore, the association in this model was not additionally adjusted for LLOA.</w:t>
      </w:r>
    </w:p>
    <w:p w:rsidR="00B20DF7" w:rsidRDefault="00B20DF7" w:rsidP="00B20DF7">
      <w:pPr>
        <w:spacing w:line="480" w:lineRule="auto"/>
        <w:ind w:left="708"/>
        <w:jc w:val="both"/>
        <w:rPr>
          <w:sz w:val="22"/>
          <w:szCs w:val="22"/>
          <w:lang w:val="en-GB"/>
        </w:rPr>
        <w:sectPr w:rsidR="00B20DF7" w:rsidSect="00A00E11">
          <w:pgSz w:w="16838" w:h="11906" w:orient="landscape"/>
          <w:pgMar w:top="1276" w:right="993" w:bottom="1133" w:left="851" w:header="708" w:footer="708" w:gutter="0"/>
          <w:cols w:space="708"/>
          <w:docGrid w:linePitch="360"/>
        </w:sectPr>
      </w:pPr>
    </w:p>
    <w:p w:rsidR="00CB5DB3" w:rsidRPr="00A200C9" w:rsidRDefault="00B17C69" w:rsidP="003321A5">
      <w:pPr>
        <w:spacing w:line="480" w:lineRule="auto"/>
        <w:jc w:val="both"/>
        <w:rPr>
          <w:b/>
          <w:bCs/>
          <w:sz w:val="22"/>
          <w:szCs w:val="22"/>
          <w:lang w:val="en-US"/>
        </w:rPr>
      </w:pPr>
      <w:r>
        <w:rPr>
          <w:noProof/>
          <w:lang w:val="en-GB" w:eastAsia="en-GB"/>
        </w:rPr>
        <w:lastRenderedPageBreak/>
        <w:drawing>
          <wp:inline distT="0" distB="0" distL="0" distR="0" wp14:anchorId="340AF5E1" wp14:editId="5459CD89">
            <wp:extent cx="5972810" cy="3155950"/>
            <wp:effectExtent l="0" t="0" r="8890"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72810" cy="3155950"/>
                    </a:xfrm>
                    <a:prstGeom prst="rect">
                      <a:avLst/>
                    </a:prstGeom>
                  </pic:spPr>
                </pic:pic>
              </a:graphicData>
            </a:graphic>
          </wp:inline>
        </w:drawing>
      </w:r>
    </w:p>
    <w:p w:rsidR="0079709D" w:rsidRPr="006423BF" w:rsidRDefault="008415DC" w:rsidP="003321A5">
      <w:pPr>
        <w:spacing w:line="480" w:lineRule="auto"/>
        <w:jc w:val="both"/>
        <w:rPr>
          <w:b/>
          <w:bCs/>
          <w:sz w:val="22"/>
          <w:szCs w:val="22"/>
          <w:vertAlign w:val="superscript"/>
          <w:lang w:val="en-US"/>
        </w:rPr>
      </w:pPr>
      <w:r w:rsidRPr="006423BF">
        <w:rPr>
          <w:b/>
          <w:bCs/>
          <w:sz w:val="22"/>
          <w:szCs w:val="22"/>
          <w:lang w:val="en-US"/>
        </w:rPr>
        <w:t>F</w:t>
      </w:r>
      <w:r w:rsidR="00EC7A0C" w:rsidRPr="006423BF">
        <w:rPr>
          <w:b/>
          <w:bCs/>
          <w:sz w:val="22"/>
          <w:szCs w:val="22"/>
          <w:lang w:val="en-US"/>
        </w:rPr>
        <w:t>igure 1</w:t>
      </w:r>
      <w:r w:rsidR="004F71EC" w:rsidRPr="006423BF">
        <w:rPr>
          <w:b/>
          <w:bCs/>
          <w:sz w:val="22"/>
          <w:szCs w:val="22"/>
          <w:lang w:val="en-US"/>
        </w:rPr>
        <w:t xml:space="preserve">: </w:t>
      </w:r>
      <w:r w:rsidR="009A0083" w:rsidRPr="006423BF">
        <w:rPr>
          <w:b/>
          <w:bCs/>
          <w:sz w:val="22"/>
          <w:szCs w:val="22"/>
          <w:lang w:val="en-US"/>
        </w:rPr>
        <w:t>Association</w:t>
      </w:r>
      <w:r w:rsidR="004F71EC" w:rsidRPr="006423BF">
        <w:rPr>
          <w:b/>
          <w:bCs/>
          <w:sz w:val="22"/>
          <w:szCs w:val="22"/>
          <w:lang w:val="en-US"/>
        </w:rPr>
        <w:t xml:space="preserve"> between</w:t>
      </w:r>
      <w:r w:rsidR="0079709D" w:rsidRPr="006423BF">
        <w:rPr>
          <w:b/>
          <w:bCs/>
          <w:sz w:val="22"/>
          <w:szCs w:val="22"/>
          <w:lang w:val="en-US"/>
        </w:rPr>
        <w:t xml:space="preserve"> use of </w:t>
      </w:r>
      <w:r w:rsidR="004F71EC" w:rsidRPr="006423BF">
        <w:rPr>
          <w:b/>
          <w:bCs/>
          <w:sz w:val="22"/>
          <w:szCs w:val="22"/>
          <w:lang w:val="en-US"/>
        </w:rPr>
        <w:t xml:space="preserve">public transport </w:t>
      </w:r>
      <w:r w:rsidR="0079709D" w:rsidRPr="006423BF">
        <w:rPr>
          <w:b/>
          <w:bCs/>
          <w:sz w:val="22"/>
          <w:szCs w:val="22"/>
          <w:lang w:val="en-US"/>
        </w:rPr>
        <w:t xml:space="preserve">and </w:t>
      </w:r>
      <w:r w:rsidR="004A510F" w:rsidRPr="006423BF">
        <w:rPr>
          <w:b/>
          <w:bCs/>
          <w:sz w:val="22"/>
          <w:szCs w:val="22"/>
          <w:lang w:val="en-US"/>
        </w:rPr>
        <w:t xml:space="preserve">perceived </w:t>
      </w:r>
      <w:proofErr w:type="spellStart"/>
      <w:r w:rsidR="004F71EC" w:rsidRPr="006423BF">
        <w:rPr>
          <w:b/>
          <w:bCs/>
          <w:sz w:val="22"/>
          <w:szCs w:val="22"/>
          <w:lang w:val="en-US"/>
        </w:rPr>
        <w:t>neighbourhood</w:t>
      </w:r>
      <w:proofErr w:type="spellEnd"/>
      <w:r w:rsidR="004F71EC" w:rsidRPr="006423BF">
        <w:rPr>
          <w:b/>
          <w:bCs/>
          <w:sz w:val="22"/>
          <w:szCs w:val="22"/>
          <w:lang w:val="en-US"/>
        </w:rPr>
        <w:t xml:space="preserve"> problems </w:t>
      </w:r>
      <w:r w:rsidR="0079709D" w:rsidRPr="006423BF">
        <w:rPr>
          <w:b/>
          <w:bCs/>
          <w:sz w:val="22"/>
          <w:szCs w:val="22"/>
          <w:lang w:val="en-US"/>
        </w:rPr>
        <w:t xml:space="preserve">in older </w:t>
      </w:r>
      <w:r w:rsidR="004B7418" w:rsidRPr="006423BF">
        <w:rPr>
          <w:b/>
          <w:bCs/>
          <w:sz w:val="22"/>
          <w:szCs w:val="22"/>
          <w:lang w:val="en-US"/>
        </w:rPr>
        <w:t xml:space="preserve">adults </w:t>
      </w:r>
      <w:r w:rsidR="0079709D" w:rsidRPr="006423BF">
        <w:rPr>
          <w:b/>
          <w:bCs/>
          <w:sz w:val="22"/>
          <w:szCs w:val="22"/>
          <w:lang w:val="en-US"/>
        </w:rPr>
        <w:t xml:space="preserve">with and without </w:t>
      </w:r>
      <w:r w:rsidR="00904B94" w:rsidRPr="006423BF">
        <w:rPr>
          <w:b/>
          <w:bCs/>
          <w:sz w:val="22"/>
          <w:szCs w:val="22"/>
          <w:lang w:val="en-US"/>
        </w:rPr>
        <w:t xml:space="preserve">lower limb </w:t>
      </w:r>
      <w:r w:rsidR="0079709D" w:rsidRPr="006423BF">
        <w:rPr>
          <w:b/>
          <w:bCs/>
          <w:sz w:val="22"/>
          <w:szCs w:val="22"/>
          <w:lang w:val="en-US"/>
        </w:rPr>
        <w:t>osteoarthritis</w:t>
      </w:r>
      <w:r w:rsidR="00904B94" w:rsidRPr="006423BF">
        <w:rPr>
          <w:b/>
          <w:bCs/>
          <w:sz w:val="22"/>
          <w:szCs w:val="22"/>
          <w:lang w:val="en-US"/>
        </w:rPr>
        <w:t>.</w:t>
      </w:r>
      <w:r w:rsidR="008000AD">
        <w:rPr>
          <w:b/>
          <w:bCs/>
          <w:sz w:val="22"/>
          <w:szCs w:val="22"/>
          <w:lang w:val="en-US"/>
        </w:rPr>
        <w:t xml:space="preserve"> </w:t>
      </w:r>
      <w:r w:rsidR="00904B94" w:rsidRPr="006423BF">
        <w:rPr>
          <w:b/>
          <w:bCs/>
          <w:sz w:val="22"/>
          <w:szCs w:val="22"/>
          <w:vertAlign w:val="superscript"/>
          <w:lang w:val="en-US"/>
        </w:rPr>
        <w:t>a</w:t>
      </w:r>
      <w:r w:rsidR="006B376F">
        <w:rPr>
          <w:b/>
          <w:bCs/>
          <w:sz w:val="22"/>
          <w:szCs w:val="22"/>
          <w:vertAlign w:val="superscript"/>
          <w:lang w:val="en-US"/>
        </w:rPr>
        <w:t>-c</w:t>
      </w:r>
    </w:p>
    <w:p w:rsidR="004B7418" w:rsidRPr="006423BF" w:rsidRDefault="004B7418" w:rsidP="003321A5">
      <w:pPr>
        <w:spacing w:line="480" w:lineRule="auto"/>
        <w:jc w:val="both"/>
        <w:rPr>
          <w:b/>
          <w:bCs/>
          <w:sz w:val="22"/>
          <w:szCs w:val="22"/>
          <w:vertAlign w:val="superscript"/>
          <w:lang w:val="en-US"/>
        </w:rPr>
      </w:pPr>
    </w:p>
    <w:p w:rsidR="006B376F" w:rsidRPr="006B376F" w:rsidRDefault="0079709D" w:rsidP="003321A5">
      <w:pPr>
        <w:spacing w:line="480" w:lineRule="auto"/>
        <w:jc w:val="both"/>
        <w:rPr>
          <w:sz w:val="22"/>
          <w:szCs w:val="22"/>
          <w:lang w:val="en-US"/>
        </w:rPr>
      </w:pPr>
      <w:proofErr w:type="spellStart"/>
      <w:r w:rsidRPr="006423BF">
        <w:rPr>
          <w:sz w:val="22"/>
          <w:szCs w:val="22"/>
          <w:vertAlign w:val="superscript"/>
          <w:lang w:val="en-US"/>
        </w:rPr>
        <w:t>a</w:t>
      </w:r>
      <w:proofErr w:type="spellEnd"/>
      <w:r w:rsidRPr="006423BF">
        <w:rPr>
          <w:sz w:val="22"/>
          <w:szCs w:val="22"/>
          <w:vertAlign w:val="superscript"/>
          <w:lang w:val="en-US"/>
        </w:rPr>
        <w:t xml:space="preserve"> </w:t>
      </w:r>
      <w:r w:rsidR="006B376F">
        <w:rPr>
          <w:sz w:val="22"/>
          <w:szCs w:val="22"/>
          <w:lang w:val="en-US"/>
        </w:rPr>
        <w:t xml:space="preserve">Abbreviation: LLOA= Lower limb osteoarthritis. </w:t>
      </w:r>
    </w:p>
    <w:p w:rsidR="0079709D" w:rsidRPr="006423BF" w:rsidRDefault="006B376F" w:rsidP="003321A5">
      <w:pPr>
        <w:spacing w:line="480" w:lineRule="auto"/>
        <w:jc w:val="both"/>
        <w:rPr>
          <w:sz w:val="22"/>
          <w:szCs w:val="22"/>
          <w:lang w:val="en-US"/>
        </w:rPr>
      </w:pPr>
      <w:r>
        <w:rPr>
          <w:sz w:val="22"/>
          <w:szCs w:val="22"/>
          <w:vertAlign w:val="superscript"/>
          <w:lang w:val="en-US"/>
        </w:rPr>
        <w:t xml:space="preserve">b </w:t>
      </w:r>
      <w:r>
        <w:rPr>
          <w:sz w:val="22"/>
          <w:szCs w:val="22"/>
          <w:lang w:val="en-US"/>
        </w:rPr>
        <w:t xml:space="preserve">The odds ratio of perceived </w:t>
      </w:r>
      <w:proofErr w:type="spellStart"/>
      <w:r>
        <w:rPr>
          <w:sz w:val="22"/>
          <w:szCs w:val="22"/>
          <w:lang w:val="en-US"/>
        </w:rPr>
        <w:t>neighbourhood</w:t>
      </w:r>
      <w:proofErr w:type="spellEnd"/>
      <w:r>
        <w:rPr>
          <w:sz w:val="22"/>
          <w:szCs w:val="22"/>
          <w:lang w:val="en-US"/>
        </w:rPr>
        <w:t xml:space="preserve"> problems is presented. </w:t>
      </w:r>
      <w:r w:rsidR="00137ADF">
        <w:rPr>
          <w:sz w:val="22"/>
          <w:szCs w:val="22"/>
          <w:lang w:val="en-US"/>
        </w:rPr>
        <w:t>Error bars represent 99</w:t>
      </w:r>
      <w:r w:rsidR="0079709D" w:rsidRPr="006423BF">
        <w:rPr>
          <w:sz w:val="22"/>
          <w:szCs w:val="22"/>
          <w:lang w:val="en-US"/>
        </w:rPr>
        <w:t>% confidence intervals.</w:t>
      </w:r>
    </w:p>
    <w:p w:rsidR="008970FE" w:rsidRPr="00A200C9" w:rsidRDefault="006B376F" w:rsidP="003321A5">
      <w:pPr>
        <w:spacing w:line="480" w:lineRule="auto"/>
        <w:jc w:val="both"/>
        <w:rPr>
          <w:sz w:val="22"/>
          <w:szCs w:val="22"/>
          <w:lang w:val="en-US"/>
        </w:rPr>
      </w:pPr>
      <w:r>
        <w:rPr>
          <w:sz w:val="22"/>
          <w:szCs w:val="22"/>
          <w:vertAlign w:val="superscript"/>
          <w:lang w:val="en-US"/>
        </w:rPr>
        <w:t xml:space="preserve">c </w:t>
      </w:r>
      <w:r w:rsidR="0079709D" w:rsidRPr="006423BF">
        <w:rPr>
          <w:sz w:val="22"/>
          <w:szCs w:val="22"/>
          <w:lang w:val="en-US"/>
        </w:rPr>
        <w:t>The associations are adjusted for age, sex</w:t>
      </w:r>
      <w:r w:rsidR="00135AD3" w:rsidRPr="006423BF">
        <w:rPr>
          <w:sz w:val="22"/>
          <w:szCs w:val="22"/>
          <w:lang w:val="en-US"/>
        </w:rPr>
        <w:t xml:space="preserve"> (reference category: men)</w:t>
      </w:r>
      <w:r w:rsidR="0079709D" w:rsidRPr="006423BF">
        <w:rPr>
          <w:sz w:val="22"/>
          <w:szCs w:val="22"/>
          <w:lang w:val="en-US"/>
        </w:rPr>
        <w:t>, partner status</w:t>
      </w:r>
      <w:r w:rsidR="00135AD3" w:rsidRPr="006423BF">
        <w:rPr>
          <w:sz w:val="22"/>
          <w:szCs w:val="22"/>
          <w:lang w:val="en-US"/>
        </w:rPr>
        <w:t xml:space="preserve"> (reference category: no partner)</w:t>
      </w:r>
      <w:r w:rsidR="0079709D" w:rsidRPr="006423BF">
        <w:rPr>
          <w:sz w:val="22"/>
          <w:szCs w:val="22"/>
          <w:lang w:val="en-US"/>
        </w:rPr>
        <w:t>, educational level</w:t>
      </w:r>
      <w:r w:rsidR="00135AD3" w:rsidRPr="006423BF">
        <w:rPr>
          <w:sz w:val="22"/>
          <w:szCs w:val="22"/>
          <w:lang w:val="en-US"/>
        </w:rPr>
        <w:t xml:space="preserve"> (reference category: not better educated than secondary education)</w:t>
      </w:r>
      <w:r>
        <w:rPr>
          <w:sz w:val="22"/>
          <w:szCs w:val="22"/>
          <w:lang w:val="en-US"/>
        </w:rPr>
        <w:t xml:space="preserve">, </w:t>
      </w:r>
      <w:r w:rsidR="00135AD3" w:rsidRPr="006423BF">
        <w:rPr>
          <w:sz w:val="22"/>
          <w:szCs w:val="22"/>
          <w:lang w:val="en-US"/>
        </w:rPr>
        <w:t>anxiety (reference category: not anxious</w:t>
      </w:r>
      <w:r w:rsidR="004B7418" w:rsidRPr="006423BF">
        <w:rPr>
          <w:sz w:val="22"/>
          <w:szCs w:val="22"/>
          <w:lang w:val="en-US"/>
        </w:rPr>
        <w:t>)</w:t>
      </w:r>
      <w:r w:rsidR="00135AD3" w:rsidRPr="006423BF">
        <w:rPr>
          <w:sz w:val="22"/>
          <w:szCs w:val="22"/>
          <w:lang w:val="en-US"/>
        </w:rPr>
        <w:t>, depression (reference category: not depressed</w:t>
      </w:r>
      <w:r>
        <w:rPr>
          <w:sz w:val="22"/>
          <w:szCs w:val="22"/>
          <w:lang w:val="en-US"/>
        </w:rPr>
        <w:t xml:space="preserve">), </w:t>
      </w:r>
      <w:r w:rsidR="00135AD3" w:rsidRPr="006423BF">
        <w:rPr>
          <w:sz w:val="22"/>
          <w:szCs w:val="22"/>
          <w:lang w:val="en-US"/>
        </w:rPr>
        <w:t>number of chronic diseases (reference category: no chro</w:t>
      </w:r>
      <w:r w:rsidR="00323571" w:rsidRPr="006423BF">
        <w:rPr>
          <w:sz w:val="22"/>
          <w:szCs w:val="22"/>
          <w:lang w:val="en-US"/>
        </w:rPr>
        <w:t xml:space="preserve">nic diseases other than </w:t>
      </w:r>
      <w:r>
        <w:rPr>
          <w:sz w:val="22"/>
          <w:szCs w:val="22"/>
          <w:lang w:val="en-US"/>
        </w:rPr>
        <w:t>lower limb osteoarthritis</w:t>
      </w:r>
      <w:r w:rsidR="00323571" w:rsidRPr="006423BF">
        <w:rPr>
          <w:sz w:val="22"/>
          <w:szCs w:val="22"/>
          <w:lang w:val="en-US"/>
        </w:rPr>
        <w:t xml:space="preserve">), </w:t>
      </w:r>
      <w:r>
        <w:rPr>
          <w:sz w:val="22"/>
          <w:szCs w:val="22"/>
          <w:lang w:val="en-US"/>
        </w:rPr>
        <w:t xml:space="preserve">and </w:t>
      </w:r>
      <w:r w:rsidR="00BB0FB8" w:rsidRPr="006423BF">
        <w:rPr>
          <w:sz w:val="22"/>
          <w:szCs w:val="22"/>
          <w:lang w:val="en-US"/>
        </w:rPr>
        <w:t>physical activity</w:t>
      </w:r>
      <w:r>
        <w:rPr>
          <w:sz w:val="22"/>
          <w:szCs w:val="22"/>
          <w:lang w:val="en-US"/>
        </w:rPr>
        <w:t>.</w:t>
      </w:r>
      <w:r w:rsidR="00BB0FB8" w:rsidRPr="006423BF">
        <w:rPr>
          <w:sz w:val="22"/>
          <w:szCs w:val="22"/>
          <w:lang w:val="en-US"/>
        </w:rPr>
        <w:t xml:space="preserve"> </w:t>
      </w:r>
    </w:p>
    <w:sectPr w:rsidR="008970FE" w:rsidRPr="00A200C9" w:rsidSect="00CB5DB3">
      <w:pgSz w:w="11906" w:h="16838"/>
      <w:pgMar w:top="993" w:right="1133" w:bottom="851"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D10" w:rsidRDefault="00821D10" w:rsidP="00033FAA">
      <w:r>
        <w:separator/>
      </w:r>
    </w:p>
  </w:endnote>
  <w:endnote w:type="continuationSeparator" w:id="0">
    <w:p w:rsidR="00821D10" w:rsidRDefault="00821D10" w:rsidP="00033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9904742"/>
      <w:docPartObj>
        <w:docPartGallery w:val="Page Numbers (Bottom of Page)"/>
        <w:docPartUnique/>
      </w:docPartObj>
    </w:sdtPr>
    <w:sdtEndPr/>
    <w:sdtContent>
      <w:p w:rsidR="00821D10" w:rsidRDefault="00821D10">
        <w:pPr>
          <w:pStyle w:val="Footer"/>
          <w:jc w:val="right"/>
        </w:pPr>
        <w:r>
          <w:fldChar w:fldCharType="begin"/>
        </w:r>
        <w:r>
          <w:instrText>PAGE   \* MERGEFORMAT</w:instrText>
        </w:r>
        <w:r>
          <w:fldChar w:fldCharType="separate"/>
        </w:r>
        <w:r w:rsidR="000E6E2F">
          <w:rPr>
            <w:noProof/>
          </w:rPr>
          <w:t>1</w:t>
        </w:r>
        <w:r>
          <w:fldChar w:fldCharType="end"/>
        </w:r>
      </w:p>
    </w:sdtContent>
  </w:sdt>
  <w:p w:rsidR="00821D10" w:rsidRDefault="00821D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D10" w:rsidRDefault="00821D10" w:rsidP="00033FAA">
      <w:r>
        <w:separator/>
      </w:r>
    </w:p>
  </w:footnote>
  <w:footnote w:type="continuationSeparator" w:id="0">
    <w:p w:rsidR="00821D10" w:rsidRDefault="00821D10" w:rsidP="00033F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3B1A"/>
    <w:multiLevelType w:val="hybridMultilevel"/>
    <w:tmpl w:val="77AEAB8C"/>
    <w:lvl w:ilvl="0" w:tplc="C7602CFE">
      <w:numFmt w:val="bullet"/>
      <w:lvlText w:val="-"/>
      <w:lvlJc w:val="left"/>
      <w:pPr>
        <w:ind w:left="2844" w:hanging="360"/>
      </w:pPr>
      <w:rPr>
        <w:rFonts w:ascii="Times New Roman" w:eastAsia="Times New Roman" w:hAnsi="Times New Roman" w:cs="Times New Roman" w:hint="default"/>
        <w:color w:val="FF0000"/>
      </w:rPr>
    </w:lvl>
    <w:lvl w:ilvl="1" w:tplc="08090003" w:tentative="1">
      <w:start w:val="1"/>
      <w:numFmt w:val="bullet"/>
      <w:lvlText w:val="o"/>
      <w:lvlJc w:val="left"/>
      <w:pPr>
        <w:ind w:left="3564" w:hanging="360"/>
      </w:pPr>
      <w:rPr>
        <w:rFonts w:ascii="Courier New" w:hAnsi="Courier New" w:cs="Courier New" w:hint="default"/>
      </w:rPr>
    </w:lvl>
    <w:lvl w:ilvl="2" w:tplc="08090005" w:tentative="1">
      <w:start w:val="1"/>
      <w:numFmt w:val="bullet"/>
      <w:lvlText w:val=""/>
      <w:lvlJc w:val="left"/>
      <w:pPr>
        <w:ind w:left="4284" w:hanging="360"/>
      </w:pPr>
      <w:rPr>
        <w:rFonts w:ascii="Wingdings" w:hAnsi="Wingdings" w:hint="default"/>
      </w:rPr>
    </w:lvl>
    <w:lvl w:ilvl="3" w:tplc="08090001" w:tentative="1">
      <w:start w:val="1"/>
      <w:numFmt w:val="bullet"/>
      <w:lvlText w:val=""/>
      <w:lvlJc w:val="left"/>
      <w:pPr>
        <w:ind w:left="5004" w:hanging="360"/>
      </w:pPr>
      <w:rPr>
        <w:rFonts w:ascii="Symbol" w:hAnsi="Symbol" w:hint="default"/>
      </w:rPr>
    </w:lvl>
    <w:lvl w:ilvl="4" w:tplc="08090003" w:tentative="1">
      <w:start w:val="1"/>
      <w:numFmt w:val="bullet"/>
      <w:lvlText w:val="o"/>
      <w:lvlJc w:val="left"/>
      <w:pPr>
        <w:ind w:left="5724" w:hanging="360"/>
      </w:pPr>
      <w:rPr>
        <w:rFonts w:ascii="Courier New" w:hAnsi="Courier New" w:cs="Courier New" w:hint="default"/>
      </w:rPr>
    </w:lvl>
    <w:lvl w:ilvl="5" w:tplc="08090005" w:tentative="1">
      <w:start w:val="1"/>
      <w:numFmt w:val="bullet"/>
      <w:lvlText w:val=""/>
      <w:lvlJc w:val="left"/>
      <w:pPr>
        <w:ind w:left="6444" w:hanging="360"/>
      </w:pPr>
      <w:rPr>
        <w:rFonts w:ascii="Wingdings" w:hAnsi="Wingdings" w:hint="default"/>
      </w:rPr>
    </w:lvl>
    <w:lvl w:ilvl="6" w:tplc="08090001" w:tentative="1">
      <w:start w:val="1"/>
      <w:numFmt w:val="bullet"/>
      <w:lvlText w:val=""/>
      <w:lvlJc w:val="left"/>
      <w:pPr>
        <w:ind w:left="7164" w:hanging="360"/>
      </w:pPr>
      <w:rPr>
        <w:rFonts w:ascii="Symbol" w:hAnsi="Symbol" w:hint="default"/>
      </w:rPr>
    </w:lvl>
    <w:lvl w:ilvl="7" w:tplc="08090003" w:tentative="1">
      <w:start w:val="1"/>
      <w:numFmt w:val="bullet"/>
      <w:lvlText w:val="o"/>
      <w:lvlJc w:val="left"/>
      <w:pPr>
        <w:ind w:left="7884" w:hanging="360"/>
      </w:pPr>
      <w:rPr>
        <w:rFonts w:ascii="Courier New" w:hAnsi="Courier New" w:cs="Courier New" w:hint="default"/>
      </w:rPr>
    </w:lvl>
    <w:lvl w:ilvl="8" w:tplc="08090005" w:tentative="1">
      <w:start w:val="1"/>
      <w:numFmt w:val="bullet"/>
      <w:lvlText w:val=""/>
      <w:lvlJc w:val="left"/>
      <w:pPr>
        <w:ind w:left="8604" w:hanging="360"/>
      </w:pPr>
      <w:rPr>
        <w:rFonts w:ascii="Wingdings" w:hAnsi="Wingdings" w:hint="default"/>
      </w:rPr>
    </w:lvl>
  </w:abstractNum>
  <w:abstractNum w:abstractNumId="1">
    <w:nsid w:val="035E5A5A"/>
    <w:multiLevelType w:val="hybridMultilevel"/>
    <w:tmpl w:val="C04A5EC4"/>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5C16BA3"/>
    <w:multiLevelType w:val="multilevel"/>
    <w:tmpl w:val="25745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4358BB"/>
    <w:multiLevelType w:val="hybridMultilevel"/>
    <w:tmpl w:val="A0F8D7FA"/>
    <w:lvl w:ilvl="0" w:tplc="2D0C72D4">
      <w:start w:val="1"/>
      <w:numFmt w:val="decimal"/>
      <w:lvlText w:val="%1."/>
      <w:lvlJc w:val="left"/>
      <w:pPr>
        <w:ind w:left="480" w:hanging="360"/>
      </w:pPr>
      <w:rPr>
        <w:rFonts w:ascii="Times New Roman" w:eastAsia="Times New Roman" w:hAnsi="Times New Roman" w:cs="Times New Roman"/>
      </w:rPr>
    </w:lvl>
    <w:lvl w:ilvl="1" w:tplc="04130003" w:tentative="1">
      <w:start w:val="1"/>
      <w:numFmt w:val="bullet"/>
      <w:lvlText w:val="o"/>
      <w:lvlJc w:val="left"/>
      <w:pPr>
        <w:ind w:left="1200" w:hanging="360"/>
      </w:pPr>
      <w:rPr>
        <w:rFonts w:ascii="Courier New" w:hAnsi="Courier New" w:cs="Courier New" w:hint="default"/>
      </w:rPr>
    </w:lvl>
    <w:lvl w:ilvl="2" w:tplc="04130005" w:tentative="1">
      <w:start w:val="1"/>
      <w:numFmt w:val="bullet"/>
      <w:lvlText w:val=""/>
      <w:lvlJc w:val="left"/>
      <w:pPr>
        <w:ind w:left="1920" w:hanging="360"/>
      </w:pPr>
      <w:rPr>
        <w:rFonts w:ascii="Wingdings" w:hAnsi="Wingdings" w:hint="default"/>
      </w:rPr>
    </w:lvl>
    <w:lvl w:ilvl="3" w:tplc="04130001" w:tentative="1">
      <w:start w:val="1"/>
      <w:numFmt w:val="bullet"/>
      <w:lvlText w:val=""/>
      <w:lvlJc w:val="left"/>
      <w:pPr>
        <w:ind w:left="2640" w:hanging="360"/>
      </w:pPr>
      <w:rPr>
        <w:rFonts w:ascii="Symbol" w:hAnsi="Symbol" w:hint="default"/>
      </w:rPr>
    </w:lvl>
    <w:lvl w:ilvl="4" w:tplc="04130003" w:tentative="1">
      <w:start w:val="1"/>
      <w:numFmt w:val="bullet"/>
      <w:lvlText w:val="o"/>
      <w:lvlJc w:val="left"/>
      <w:pPr>
        <w:ind w:left="3360" w:hanging="360"/>
      </w:pPr>
      <w:rPr>
        <w:rFonts w:ascii="Courier New" w:hAnsi="Courier New" w:cs="Courier New" w:hint="default"/>
      </w:rPr>
    </w:lvl>
    <w:lvl w:ilvl="5" w:tplc="04130005" w:tentative="1">
      <w:start w:val="1"/>
      <w:numFmt w:val="bullet"/>
      <w:lvlText w:val=""/>
      <w:lvlJc w:val="left"/>
      <w:pPr>
        <w:ind w:left="4080" w:hanging="360"/>
      </w:pPr>
      <w:rPr>
        <w:rFonts w:ascii="Wingdings" w:hAnsi="Wingdings" w:hint="default"/>
      </w:rPr>
    </w:lvl>
    <w:lvl w:ilvl="6" w:tplc="04130001" w:tentative="1">
      <w:start w:val="1"/>
      <w:numFmt w:val="bullet"/>
      <w:lvlText w:val=""/>
      <w:lvlJc w:val="left"/>
      <w:pPr>
        <w:ind w:left="4800" w:hanging="360"/>
      </w:pPr>
      <w:rPr>
        <w:rFonts w:ascii="Symbol" w:hAnsi="Symbol" w:hint="default"/>
      </w:rPr>
    </w:lvl>
    <w:lvl w:ilvl="7" w:tplc="04130003" w:tentative="1">
      <w:start w:val="1"/>
      <w:numFmt w:val="bullet"/>
      <w:lvlText w:val="o"/>
      <w:lvlJc w:val="left"/>
      <w:pPr>
        <w:ind w:left="5520" w:hanging="360"/>
      </w:pPr>
      <w:rPr>
        <w:rFonts w:ascii="Courier New" w:hAnsi="Courier New" w:cs="Courier New" w:hint="default"/>
      </w:rPr>
    </w:lvl>
    <w:lvl w:ilvl="8" w:tplc="04130005" w:tentative="1">
      <w:start w:val="1"/>
      <w:numFmt w:val="bullet"/>
      <w:lvlText w:val=""/>
      <w:lvlJc w:val="left"/>
      <w:pPr>
        <w:ind w:left="6240" w:hanging="360"/>
      </w:pPr>
      <w:rPr>
        <w:rFonts w:ascii="Wingdings" w:hAnsi="Wingdings" w:hint="default"/>
      </w:rPr>
    </w:lvl>
  </w:abstractNum>
  <w:abstractNum w:abstractNumId="4">
    <w:nsid w:val="08E97CA3"/>
    <w:multiLevelType w:val="multilevel"/>
    <w:tmpl w:val="7FC0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144207"/>
    <w:multiLevelType w:val="hybridMultilevel"/>
    <w:tmpl w:val="DFDEC7E8"/>
    <w:lvl w:ilvl="0" w:tplc="04130001">
      <w:start w:val="2"/>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0A796840"/>
    <w:multiLevelType w:val="hybridMultilevel"/>
    <w:tmpl w:val="51244B78"/>
    <w:lvl w:ilvl="0" w:tplc="7BAC1B50">
      <w:numFmt w:val="bullet"/>
      <w:lvlText w:val="-"/>
      <w:lvlJc w:val="left"/>
      <w:pPr>
        <w:ind w:left="720" w:hanging="360"/>
      </w:pPr>
      <w:rPr>
        <w:rFonts w:ascii="Times New Roman" w:eastAsia="Times New Roman" w:hAnsi="Times New Roman" w:cs="Times New Roman" w:hint="default"/>
        <w:b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4FA72BD"/>
    <w:multiLevelType w:val="hybridMultilevel"/>
    <w:tmpl w:val="F74820F4"/>
    <w:lvl w:ilvl="0" w:tplc="8F1CC17A">
      <w:numFmt w:val="bullet"/>
      <w:lvlText w:val="-"/>
      <w:lvlJc w:val="left"/>
      <w:pPr>
        <w:ind w:left="720" w:hanging="360"/>
      </w:pPr>
      <w:rPr>
        <w:rFonts w:ascii="Times New Roman" w:eastAsia="Times New Roman" w:hAnsi="Times New Roman" w:cs="Times New Roman" w:hint="default"/>
        <w:b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5459FF"/>
    <w:multiLevelType w:val="hybridMultilevel"/>
    <w:tmpl w:val="E264A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6F95D2E"/>
    <w:multiLevelType w:val="hybridMultilevel"/>
    <w:tmpl w:val="0414ECAE"/>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BCE2D9C"/>
    <w:multiLevelType w:val="hybridMultilevel"/>
    <w:tmpl w:val="C00AB65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2C2F5218"/>
    <w:multiLevelType w:val="hybridMultilevel"/>
    <w:tmpl w:val="2CB6B0A6"/>
    <w:lvl w:ilvl="0" w:tplc="5C1AD44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EE8150B"/>
    <w:multiLevelType w:val="hybridMultilevel"/>
    <w:tmpl w:val="B21E979A"/>
    <w:lvl w:ilvl="0" w:tplc="7672986A">
      <w:start w:val="1"/>
      <w:numFmt w:val="decimal"/>
      <w:lvlText w:val="%1)"/>
      <w:lvlJc w:val="left"/>
      <w:pPr>
        <w:tabs>
          <w:tab w:val="num" w:pos="720"/>
        </w:tabs>
        <w:ind w:left="720" w:hanging="360"/>
      </w:pPr>
      <w:rPr>
        <w:rFonts w:ascii="Times New Roman" w:eastAsia="Times New Roman" w:hAnsi="Times New Roman" w:cs="Times New Roman"/>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3EF50B3D"/>
    <w:multiLevelType w:val="multilevel"/>
    <w:tmpl w:val="A81A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9A0505"/>
    <w:multiLevelType w:val="hybridMultilevel"/>
    <w:tmpl w:val="5082E518"/>
    <w:lvl w:ilvl="0" w:tplc="5F92BB0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492C67C1"/>
    <w:multiLevelType w:val="hybridMultilevel"/>
    <w:tmpl w:val="04A0DB64"/>
    <w:lvl w:ilvl="0" w:tplc="13309A2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BCD313A"/>
    <w:multiLevelType w:val="hybridMultilevel"/>
    <w:tmpl w:val="481840E4"/>
    <w:lvl w:ilvl="0" w:tplc="FB58188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5B300DF1"/>
    <w:multiLevelType w:val="hybridMultilevel"/>
    <w:tmpl w:val="40F453B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5C2300CC"/>
    <w:multiLevelType w:val="hybridMultilevel"/>
    <w:tmpl w:val="82B60330"/>
    <w:lvl w:ilvl="0" w:tplc="C9BE3BE0">
      <w:start w:val="1"/>
      <w:numFmt w:val="decimal"/>
      <w:lvlText w:val="%1."/>
      <w:lvlJc w:val="left"/>
      <w:pPr>
        <w:ind w:left="480" w:hanging="360"/>
      </w:pPr>
      <w:rPr>
        <w:rFonts w:hint="default"/>
      </w:rPr>
    </w:lvl>
    <w:lvl w:ilvl="1" w:tplc="04130019" w:tentative="1">
      <w:start w:val="1"/>
      <w:numFmt w:val="lowerLetter"/>
      <w:lvlText w:val="%2."/>
      <w:lvlJc w:val="left"/>
      <w:pPr>
        <w:ind w:left="1200" w:hanging="360"/>
      </w:pPr>
    </w:lvl>
    <w:lvl w:ilvl="2" w:tplc="0413001B" w:tentative="1">
      <w:start w:val="1"/>
      <w:numFmt w:val="lowerRoman"/>
      <w:lvlText w:val="%3."/>
      <w:lvlJc w:val="right"/>
      <w:pPr>
        <w:ind w:left="1920" w:hanging="180"/>
      </w:pPr>
    </w:lvl>
    <w:lvl w:ilvl="3" w:tplc="0413000F" w:tentative="1">
      <w:start w:val="1"/>
      <w:numFmt w:val="decimal"/>
      <w:lvlText w:val="%4."/>
      <w:lvlJc w:val="left"/>
      <w:pPr>
        <w:ind w:left="2640" w:hanging="360"/>
      </w:pPr>
    </w:lvl>
    <w:lvl w:ilvl="4" w:tplc="04130019" w:tentative="1">
      <w:start w:val="1"/>
      <w:numFmt w:val="lowerLetter"/>
      <w:lvlText w:val="%5."/>
      <w:lvlJc w:val="left"/>
      <w:pPr>
        <w:ind w:left="3360" w:hanging="360"/>
      </w:pPr>
    </w:lvl>
    <w:lvl w:ilvl="5" w:tplc="0413001B" w:tentative="1">
      <w:start w:val="1"/>
      <w:numFmt w:val="lowerRoman"/>
      <w:lvlText w:val="%6."/>
      <w:lvlJc w:val="right"/>
      <w:pPr>
        <w:ind w:left="4080" w:hanging="180"/>
      </w:pPr>
    </w:lvl>
    <w:lvl w:ilvl="6" w:tplc="0413000F" w:tentative="1">
      <w:start w:val="1"/>
      <w:numFmt w:val="decimal"/>
      <w:lvlText w:val="%7."/>
      <w:lvlJc w:val="left"/>
      <w:pPr>
        <w:ind w:left="4800" w:hanging="360"/>
      </w:pPr>
    </w:lvl>
    <w:lvl w:ilvl="7" w:tplc="04130019" w:tentative="1">
      <w:start w:val="1"/>
      <w:numFmt w:val="lowerLetter"/>
      <w:lvlText w:val="%8."/>
      <w:lvlJc w:val="left"/>
      <w:pPr>
        <w:ind w:left="5520" w:hanging="360"/>
      </w:pPr>
    </w:lvl>
    <w:lvl w:ilvl="8" w:tplc="0413001B" w:tentative="1">
      <w:start w:val="1"/>
      <w:numFmt w:val="lowerRoman"/>
      <w:lvlText w:val="%9."/>
      <w:lvlJc w:val="right"/>
      <w:pPr>
        <w:ind w:left="6240" w:hanging="180"/>
      </w:pPr>
    </w:lvl>
  </w:abstractNum>
  <w:abstractNum w:abstractNumId="19">
    <w:nsid w:val="5C5F6B2A"/>
    <w:multiLevelType w:val="multilevel"/>
    <w:tmpl w:val="E488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D20A66"/>
    <w:multiLevelType w:val="hybridMultilevel"/>
    <w:tmpl w:val="9ADC5E76"/>
    <w:lvl w:ilvl="0" w:tplc="B5CE57F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F587500"/>
    <w:multiLevelType w:val="hybridMultilevel"/>
    <w:tmpl w:val="8D9AF4BE"/>
    <w:lvl w:ilvl="0" w:tplc="0809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nsid w:val="60486851"/>
    <w:multiLevelType w:val="hybridMultilevel"/>
    <w:tmpl w:val="572219A0"/>
    <w:lvl w:ilvl="0" w:tplc="9FA27B4A">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666D431D"/>
    <w:multiLevelType w:val="hybridMultilevel"/>
    <w:tmpl w:val="83C22738"/>
    <w:lvl w:ilvl="0" w:tplc="4B568B88">
      <w:start w:val="1"/>
      <w:numFmt w:val="lowerLetter"/>
      <w:lvlText w:val="%1)"/>
      <w:lvlJc w:val="left"/>
      <w:pPr>
        <w:ind w:left="502" w:hanging="360"/>
      </w:pPr>
      <w:rPr>
        <w:rFonts w:hint="default"/>
        <w:color w:val="FF000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nsid w:val="70A66BDB"/>
    <w:multiLevelType w:val="hybridMultilevel"/>
    <w:tmpl w:val="940AEFA2"/>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0C5743B"/>
    <w:multiLevelType w:val="multilevel"/>
    <w:tmpl w:val="97E25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301BDF"/>
    <w:multiLevelType w:val="hybridMultilevel"/>
    <w:tmpl w:val="287EF37C"/>
    <w:lvl w:ilvl="0" w:tplc="7A1E3150">
      <w:numFmt w:val="bullet"/>
      <w:lvlText w:val="-"/>
      <w:lvlJc w:val="left"/>
      <w:pPr>
        <w:ind w:left="720" w:hanging="360"/>
      </w:pPr>
      <w:rPr>
        <w:rFonts w:ascii="Times New Roman" w:eastAsia="Times New Roman" w:hAnsi="Times New Roman" w:cs="Times New Roman"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C7C0224"/>
    <w:multiLevelType w:val="hybridMultilevel"/>
    <w:tmpl w:val="D3A4CA9C"/>
    <w:lvl w:ilvl="0" w:tplc="E30CE640">
      <w:start w:val="2"/>
      <w:numFmt w:val="bullet"/>
      <w:lvlText w:val=""/>
      <w:lvlJc w:val="left"/>
      <w:pPr>
        <w:ind w:left="420" w:hanging="360"/>
      </w:pPr>
      <w:rPr>
        <w:rFonts w:ascii="Symbol" w:eastAsia="Times New Roman" w:hAnsi="Symbol" w:cs="Times New Roman"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28">
    <w:nsid w:val="7D6E38B6"/>
    <w:multiLevelType w:val="hybridMultilevel"/>
    <w:tmpl w:val="8B24525A"/>
    <w:lvl w:ilvl="0" w:tplc="C7882B7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DCA11C7"/>
    <w:multiLevelType w:val="hybridMultilevel"/>
    <w:tmpl w:val="43660182"/>
    <w:lvl w:ilvl="0" w:tplc="04130001">
      <w:start w:val="2"/>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16"/>
  </w:num>
  <w:num w:numId="4">
    <w:abstractNumId w:val="22"/>
  </w:num>
  <w:num w:numId="5">
    <w:abstractNumId w:val="29"/>
  </w:num>
  <w:num w:numId="6">
    <w:abstractNumId w:val="27"/>
  </w:num>
  <w:num w:numId="7">
    <w:abstractNumId w:val="5"/>
  </w:num>
  <w:num w:numId="8">
    <w:abstractNumId w:val="1"/>
  </w:num>
  <w:num w:numId="9">
    <w:abstractNumId w:val="17"/>
  </w:num>
  <w:num w:numId="10">
    <w:abstractNumId w:val="24"/>
  </w:num>
  <w:num w:numId="11">
    <w:abstractNumId w:val="9"/>
  </w:num>
  <w:num w:numId="12">
    <w:abstractNumId w:val="7"/>
  </w:num>
  <w:num w:numId="13">
    <w:abstractNumId w:val="6"/>
  </w:num>
  <w:num w:numId="14">
    <w:abstractNumId w:val="28"/>
  </w:num>
  <w:num w:numId="15">
    <w:abstractNumId w:val="15"/>
  </w:num>
  <w:num w:numId="16">
    <w:abstractNumId w:val="11"/>
  </w:num>
  <w:num w:numId="17">
    <w:abstractNumId w:val="26"/>
  </w:num>
  <w:num w:numId="18">
    <w:abstractNumId w:val="0"/>
  </w:num>
  <w:num w:numId="19">
    <w:abstractNumId w:val="23"/>
  </w:num>
  <w:num w:numId="20">
    <w:abstractNumId w:val="20"/>
  </w:num>
  <w:num w:numId="21">
    <w:abstractNumId w:val="13"/>
  </w:num>
  <w:num w:numId="22">
    <w:abstractNumId w:val="12"/>
  </w:num>
  <w:num w:numId="23">
    <w:abstractNumId w:val="8"/>
  </w:num>
  <w:num w:numId="24">
    <w:abstractNumId w:val="21"/>
  </w:num>
  <w:num w:numId="25">
    <w:abstractNumId w:val="14"/>
  </w:num>
  <w:num w:numId="26">
    <w:abstractNumId w:val="10"/>
  </w:num>
  <w:num w:numId="27">
    <w:abstractNumId w:val="4"/>
  </w:num>
  <w:num w:numId="28">
    <w:abstractNumId w:val="25"/>
  </w:num>
  <w:num w:numId="29">
    <w:abstractNumId w:val="19"/>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9EC"/>
    <w:rsid w:val="000012B9"/>
    <w:rsid w:val="000013B1"/>
    <w:rsid w:val="00001400"/>
    <w:rsid w:val="000018FA"/>
    <w:rsid w:val="00001F2E"/>
    <w:rsid w:val="00003F21"/>
    <w:rsid w:val="00004E97"/>
    <w:rsid w:val="000058FE"/>
    <w:rsid w:val="00005977"/>
    <w:rsid w:val="00005EC2"/>
    <w:rsid w:val="000068C8"/>
    <w:rsid w:val="00007019"/>
    <w:rsid w:val="00007087"/>
    <w:rsid w:val="00007412"/>
    <w:rsid w:val="00010C4E"/>
    <w:rsid w:val="0001109B"/>
    <w:rsid w:val="0001123E"/>
    <w:rsid w:val="0001383E"/>
    <w:rsid w:val="00013E47"/>
    <w:rsid w:val="00014CC7"/>
    <w:rsid w:val="00015396"/>
    <w:rsid w:val="00015EE4"/>
    <w:rsid w:val="0001603E"/>
    <w:rsid w:val="00016B1C"/>
    <w:rsid w:val="00016F3A"/>
    <w:rsid w:val="000171B7"/>
    <w:rsid w:val="000174E9"/>
    <w:rsid w:val="000175C3"/>
    <w:rsid w:val="00017661"/>
    <w:rsid w:val="0002045E"/>
    <w:rsid w:val="000204AA"/>
    <w:rsid w:val="00020E42"/>
    <w:rsid w:val="00021C52"/>
    <w:rsid w:val="00021DC8"/>
    <w:rsid w:val="000229B9"/>
    <w:rsid w:val="000250FF"/>
    <w:rsid w:val="000252F8"/>
    <w:rsid w:val="0002543B"/>
    <w:rsid w:val="000255B2"/>
    <w:rsid w:val="00025DA2"/>
    <w:rsid w:val="0002671D"/>
    <w:rsid w:val="0003038A"/>
    <w:rsid w:val="0003039E"/>
    <w:rsid w:val="00030D3E"/>
    <w:rsid w:val="000322C5"/>
    <w:rsid w:val="00032726"/>
    <w:rsid w:val="00032A9F"/>
    <w:rsid w:val="000334AC"/>
    <w:rsid w:val="00033FAA"/>
    <w:rsid w:val="0003411A"/>
    <w:rsid w:val="00034206"/>
    <w:rsid w:val="0003478B"/>
    <w:rsid w:val="0003576F"/>
    <w:rsid w:val="000368B3"/>
    <w:rsid w:val="000368F9"/>
    <w:rsid w:val="00036C59"/>
    <w:rsid w:val="00036E06"/>
    <w:rsid w:val="00037F36"/>
    <w:rsid w:val="000404A9"/>
    <w:rsid w:val="00040A44"/>
    <w:rsid w:val="00041209"/>
    <w:rsid w:val="0004136F"/>
    <w:rsid w:val="00042441"/>
    <w:rsid w:val="00042E9A"/>
    <w:rsid w:val="00043E1C"/>
    <w:rsid w:val="00044563"/>
    <w:rsid w:val="00045182"/>
    <w:rsid w:val="00050171"/>
    <w:rsid w:val="00050371"/>
    <w:rsid w:val="000505E4"/>
    <w:rsid w:val="00053392"/>
    <w:rsid w:val="00053E19"/>
    <w:rsid w:val="00054F6D"/>
    <w:rsid w:val="000566DE"/>
    <w:rsid w:val="0005677B"/>
    <w:rsid w:val="000568B4"/>
    <w:rsid w:val="00056B25"/>
    <w:rsid w:val="000571BF"/>
    <w:rsid w:val="000600F2"/>
    <w:rsid w:val="000602C8"/>
    <w:rsid w:val="00060D68"/>
    <w:rsid w:val="00061807"/>
    <w:rsid w:val="00061948"/>
    <w:rsid w:val="00064384"/>
    <w:rsid w:val="000651CF"/>
    <w:rsid w:val="000654B5"/>
    <w:rsid w:val="000656BA"/>
    <w:rsid w:val="00065EBE"/>
    <w:rsid w:val="00066A84"/>
    <w:rsid w:val="00067523"/>
    <w:rsid w:val="00070151"/>
    <w:rsid w:val="00070185"/>
    <w:rsid w:val="00070F3F"/>
    <w:rsid w:val="00070FC8"/>
    <w:rsid w:val="0007109E"/>
    <w:rsid w:val="00071955"/>
    <w:rsid w:val="00071DD3"/>
    <w:rsid w:val="000727D0"/>
    <w:rsid w:val="00072AF7"/>
    <w:rsid w:val="0007355F"/>
    <w:rsid w:val="00073D28"/>
    <w:rsid w:val="000740D8"/>
    <w:rsid w:val="0007499A"/>
    <w:rsid w:val="00075244"/>
    <w:rsid w:val="00075915"/>
    <w:rsid w:val="00075933"/>
    <w:rsid w:val="00076B08"/>
    <w:rsid w:val="000777D7"/>
    <w:rsid w:val="000801BA"/>
    <w:rsid w:val="00080ACE"/>
    <w:rsid w:val="00080B33"/>
    <w:rsid w:val="00081D9A"/>
    <w:rsid w:val="00082AEC"/>
    <w:rsid w:val="0008383A"/>
    <w:rsid w:val="0008440F"/>
    <w:rsid w:val="00085811"/>
    <w:rsid w:val="00087088"/>
    <w:rsid w:val="000877A7"/>
    <w:rsid w:val="00087DE3"/>
    <w:rsid w:val="00087E29"/>
    <w:rsid w:val="00087FEE"/>
    <w:rsid w:val="00090498"/>
    <w:rsid w:val="00092172"/>
    <w:rsid w:val="00092422"/>
    <w:rsid w:val="00092647"/>
    <w:rsid w:val="00093641"/>
    <w:rsid w:val="0009443D"/>
    <w:rsid w:val="00094EE9"/>
    <w:rsid w:val="0009571A"/>
    <w:rsid w:val="00095795"/>
    <w:rsid w:val="00095B97"/>
    <w:rsid w:val="000964F1"/>
    <w:rsid w:val="0009726D"/>
    <w:rsid w:val="00097619"/>
    <w:rsid w:val="000A0A16"/>
    <w:rsid w:val="000A2494"/>
    <w:rsid w:val="000A2BF5"/>
    <w:rsid w:val="000A3D2A"/>
    <w:rsid w:val="000A3EEF"/>
    <w:rsid w:val="000A466B"/>
    <w:rsid w:val="000A5CCD"/>
    <w:rsid w:val="000A6216"/>
    <w:rsid w:val="000A63F0"/>
    <w:rsid w:val="000A712B"/>
    <w:rsid w:val="000B09F2"/>
    <w:rsid w:val="000B1CB0"/>
    <w:rsid w:val="000B216E"/>
    <w:rsid w:val="000B2737"/>
    <w:rsid w:val="000B2F41"/>
    <w:rsid w:val="000B4B8B"/>
    <w:rsid w:val="000B4DB3"/>
    <w:rsid w:val="000B70F0"/>
    <w:rsid w:val="000C287A"/>
    <w:rsid w:val="000C2A08"/>
    <w:rsid w:val="000C2BBE"/>
    <w:rsid w:val="000C3247"/>
    <w:rsid w:val="000C342A"/>
    <w:rsid w:val="000C3829"/>
    <w:rsid w:val="000C3D5A"/>
    <w:rsid w:val="000C49B2"/>
    <w:rsid w:val="000C4FAF"/>
    <w:rsid w:val="000C5B15"/>
    <w:rsid w:val="000C60E4"/>
    <w:rsid w:val="000C6939"/>
    <w:rsid w:val="000C6C52"/>
    <w:rsid w:val="000C723C"/>
    <w:rsid w:val="000C7660"/>
    <w:rsid w:val="000D0FF1"/>
    <w:rsid w:val="000D126D"/>
    <w:rsid w:val="000D5D1A"/>
    <w:rsid w:val="000D5EA1"/>
    <w:rsid w:val="000D6BCD"/>
    <w:rsid w:val="000D74A8"/>
    <w:rsid w:val="000E032C"/>
    <w:rsid w:val="000E0E2A"/>
    <w:rsid w:val="000E1CDC"/>
    <w:rsid w:val="000E267F"/>
    <w:rsid w:val="000E31A3"/>
    <w:rsid w:val="000E3EA4"/>
    <w:rsid w:val="000E4310"/>
    <w:rsid w:val="000E4740"/>
    <w:rsid w:val="000E4E3B"/>
    <w:rsid w:val="000E5160"/>
    <w:rsid w:val="000E661F"/>
    <w:rsid w:val="000E6657"/>
    <w:rsid w:val="000E6AE5"/>
    <w:rsid w:val="000E6E2F"/>
    <w:rsid w:val="000E7762"/>
    <w:rsid w:val="000F0436"/>
    <w:rsid w:val="000F098D"/>
    <w:rsid w:val="000F4381"/>
    <w:rsid w:val="000F539A"/>
    <w:rsid w:val="000F5B88"/>
    <w:rsid w:val="000F67ED"/>
    <w:rsid w:val="000F68B4"/>
    <w:rsid w:val="00100297"/>
    <w:rsid w:val="00100474"/>
    <w:rsid w:val="00100776"/>
    <w:rsid w:val="001009B7"/>
    <w:rsid w:val="0010388A"/>
    <w:rsid w:val="00103E2F"/>
    <w:rsid w:val="00104F72"/>
    <w:rsid w:val="00105695"/>
    <w:rsid w:val="0010619A"/>
    <w:rsid w:val="00106284"/>
    <w:rsid w:val="001068B6"/>
    <w:rsid w:val="00107405"/>
    <w:rsid w:val="00107C33"/>
    <w:rsid w:val="00110798"/>
    <w:rsid w:val="001121B4"/>
    <w:rsid w:val="001128CC"/>
    <w:rsid w:val="001135AA"/>
    <w:rsid w:val="00114E32"/>
    <w:rsid w:val="00114EFF"/>
    <w:rsid w:val="00115051"/>
    <w:rsid w:val="001156EC"/>
    <w:rsid w:val="00115E87"/>
    <w:rsid w:val="00115F0B"/>
    <w:rsid w:val="001162B3"/>
    <w:rsid w:val="001166CD"/>
    <w:rsid w:val="00117B8A"/>
    <w:rsid w:val="00117F7C"/>
    <w:rsid w:val="00121748"/>
    <w:rsid w:val="0012206B"/>
    <w:rsid w:val="001223E6"/>
    <w:rsid w:val="00122D03"/>
    <w:rsid w:val="00124016"/>
    <w:rsid w:val="001252D3"/>
    <w:rsid w:val="00125A1B"/>
    <w:rsid w:val="00126D5B"/>
    <w:rsid w:val="00127071"/>
    <w:rsid w:val="001278B2"/>
    <w:rsid w:val="00127E67"/>
    <w:rsid w:val="00131AAA"/>
    <w:rsid w:val="00132BB8"/>
    <w:rsid w:val="00134BCF"/>
    <w:rsid w:val="001353D7"/>
    <w:rsid w:val="001359B0"/>
    <w:rsid w:val="00135AD3"/>
    <w:rsid w:val="00135C73"/>
    <w:rsid w:val="00135F5E"/>
    <w:rsid w:val="001360D6"/>
    <w:rsid w:val="00136D28"/>
    <w:rsid w:val="00137900"/>
    <w:rsid w:val="00137ADF"/>
    <w:rsid w:val="001413D1"/>
    <w:rsid w:val="001416AE"/>
    <w:rsid w:val="0014187D"/>
    <w:rsid w:val="0014188D"/>
    <w:rsid w:val="001418FC"/>
    <w:rsid w:val="00142246"/>
    <w:rsid w:val="001423BD"/>
    <w:rsid w:val="00142CDA"/>
    <w:rsid w:val="00144DDF"/>
    <w:rsid w:val="00145845"/>
    <w:rsid w:val="00145B03"/>
    <w:rsid w:val="00145CAE"/>
    <w:rsid w:val="0014639A"/>
    <w:rsid w:val="0014740D"/>
    <w:rsid w:val="00151B11"/>
    <w:rsid w:val="001532B4"/>
    <w:rsid w:val="001535F4"/>
    <w:rsid w:val="00153948"/>
    <w:rsid w:val="00154D8D"/>
    <w:rsid w:val="00155190"/>
    <w:rsid w:val="001551B9"/>
    <w:rsid w:val="00156B52"/>
    <w:rsid w:val="00160AE4"/>
    <w:rsid w:val="00160CF2"/>
    <w:rsid w:val="00163614"/>
    <w:rsid w:val="001639FC"/>
    <w:rsid w:val="00163D96"/>
    <w:rsid w:val="0016566D"/>
    <w:rsid w:val="00165F50"/>
    <w:rsid w:val="001667E6"/>
    <w:rsid w:val="001672C5"/>
    <w:rsid w:val="00167734"/>
    <w:rsid w:val="00170226"/>
    <w:rsid w:val="00171C52"/>
    <w:rsid w:val="0017217A"/>
    <w:rsid w:val="0017226A"/>
    <w:rsid w:val="00173741"/>
    <w:rsid w:val="00173DF9"/>
    <w:rsid w:val="001749F4"/>
    <w:rsid w:val="00175485"/>
    <w:rsid w:val="00175DE9"/>
    <w:rsid w:val="001766A8"/>
    <w:rsid w:val="00177F50"/>
    <w:rsid w:val="00180214"/>
    <w:rsid w:val="001804F8"/>
    <w:rsid w:val="00180B06"/>
    <w:rsid w:val="0018103D"/>
    <w:rsid w:val="00181469"/>
    <w:rsid w:val="0018207E"/>
    <w:rsid w:val="001820D3"/>
    <w:rsid w:val="001837C6"/>
    <w:rsid w:val="00184C38"/>
    <w:rsid w:val="001852EC"/>
    <w:rsid w:val="00185426"/>
    <w:rsid w:val="00185568"/>
    <w:rsid w:val="00185AD5"/>
    <w:rsid w:val="00186243"/>
    <w:rsid w:val="001867AF"/>
    <w:rsid w:val="001867BC"/>
    <w:rsid w:val="00187220"/>
    <w:rsid w:val="001877D5"/>
    <w:rsid w:val="0019004B"/>
    <w:rsid w:val="001901AC"/>
    <w:rsid w:val="001911D2"/>
    <w:rsid w:val="0019304B"/>
    <w:rsid w:val="0019338C"/>
    <w:rsid w:val="00194AB1"/>
    <w:rsid w:val="0019543F"/>
    <w:rsid w:val="001959E2"/>
    <w:rsid w:val="001970C1"/>
    <w:rsid w:val="001976CB"/>
    <w:rsid w:val="001A0F24"/>
    <w:rsid w:val="001A11BE"/>
    <w:rsid w:val="001A3042"/>
    <w:rsid w:val="001A3087"/>
    <w:rsid w:val="001A3D28"/>
    <w:rsid w:val="001A45F4"/>
    <w:rsid w:val="001A59B8"/>
    <w:rsid w:val="001A6E2E"/>
    <w:rsid w:val="001A6FBE"/>
    <w:rsid w:val="001A754A"/>
    <w:rsid w:val="001B0174"/>
    <w:rsid w:val="001B1389"/>
    <w:rsid w:val="001B29C6"/>
    <w:rsid w:val="001B2B04"/>
    <w:rsid w:val="001B31C3"/>
    <w:rsid w:val="001B3440"/>
    <w:rsid w:val="001B3928"/>
    <w:rsid w:val="001B575A"/>
    <w:rsid w:val="001B6247"/>
    <w:rsid w:val="001B6CDB"/>
    <w:rsid w:val="001C0AFA"/>
    <w:rsid w:val="001C1C32"/>
    <w:rsid w:val="001C2822"/>
    <w:rsid w:val="001C2A24"/>
    <w:rsid w:val="001C5160"/>
    <w:rsid w:val="001C5629"/>
    <w:rsid w:val="001C79F0"/>
    <w:rsid w:val="001C7F4F"/>
    <w:rsid w:val="001D03C8"/>
    <w:rsid w:val="001D1265"/>
    <w:rsid w:val="001D1564"/>
    <w:rsid w:val="001D1D2E"/>
    <w:rsid w:val="001D208F"/>
    <w:rsid w:val="001D28A4"/>
    <w:rsid w:val="001D2F7E"/>
    <w:rsid w:val="001D4639"/>
    <w:rsid w:val="001D5B80"/>
    <w:rsid w:val="001D5CFB"/>
    <w:rsid w:val="001D63B3"/>
    <w:rsid w:val="001D6A9A"/>
    <w:rsid w:val="001E0AB9"/>
    <w:rsid w:val="001E0BAE"/>
    <w:rsid w:val="001E210A"/>
    <w:rsid w:val="001E281E"/>
    <w:rsid w:val="001E2B94"/>
    <w:rsid w:val="001E3DE3"/>
    <w:rsid w:val="001E4316"/>
    <w:rsid w:val="001E4775"/>
    <w:rsid w:val="001E4A6F"/>
    <w:rsid w:val="001E59D6"/>
    <w:rsid w:val="001E6352"/>
    <w:rsid w:val="001E704D"/>
    <w:rsid w:val="001E7773"/>
    <w:rsid w:val="001F042D"/>
    <w:rsid w:val="001F058E"/>
    <w:rsid w:val="001F05B7"/>
    <w:rsid w:val="001F10B5"/>
    <w:rsid w:val="001F1D50"/>
    <w:rsid w:val="001F2B5A"/>
    <w:rsid w:val="001F2C72"/>
    <w:rsid w:val="001F363A"/>
    <w:rsid w:val="001F3AF2"/>
    <w:rsid w:val="001F5188"/>
    <w:rsid w:val="001F5963"/>
    <w:rsid w:val="001F5B7C"/>
    <w:rsid w:val="001F5D8C"/>
    <w:rsid w:val="001F608C"/>
    <w:rsid w:val="001F6D10"/>
    <w:rsid w:val="001F7717"/>
    <w:rsid w:val="001F7A41"/>
    <w:rsid w:val="00200689"/>
    <w:rsid w:val="00202E96"/>
    <w:rsid w:val="00203509"/>
    <w:rsid w:val="00203AF3"/>
    <w:rsid w:val="00205272"/>
    <w:rsid w:val="002061AE"/>
    <w:rsid w:val="002068A2"/>
    <w:rsid w:val="00207673"/>
    <w:rsid w:val="00210E15"/>
    <w:rsid w:val="0021388C"/>
    <w:rsid w:val="0021397D"/>
    <w:rsid w:val="002140FC"/>
    <w:rsid w:val="00215853"/>
    <w:rsid w:val="0022041E"/>
    <w:rsid w:val="00220B4B"/>
    <w:rsid w:val="00220B73"/>
    <w:rsid w:val="00220E15"/>
    <w:rsid w:val="00220E3A"/>
    <w:rsid w:val="00220FDA"/>
    <w:rsid w:val="002211BF"/>
    <w:rsid w:val="002217AE"/>
    <w:rsid w:val="002220B2"/>
    <w:rsid w:val="00222234"/>
    <w:rsid w:val="002236F9"/>
    <w:rsid w:val="00224487"/>
    <w:rsid w:val="0022455D"/>
    <w:rsid w:val="00224E0C"/>
    <w:rsid w:val="00225072"/>
    <w:rsid w:val="00225D2E"/>
    <w:rsid w:val="00226B6B"/>
    <w:rsid w:val="00226D1A"/>
    <w:rsid w:val="0022735D"/>
    <w:rsid w:val="00227AD1"/>
    <w:rsid w:val="002302F7"/>
    <w:rsid w:val="002308CF"/>
    <w:rsid w:val="00231E43"/>
    <w:rsid w:val="002327F8"/>
    <w:rsid w:val="00233A2A"/>
    <w:rsid w:val="00233C6F"/>
    <w:rsid w:val="00234EAB"/>
    <w:rsid w:val="00236F2F"/>
    <w:rsid w:val="00237A2D"/>
    <w:rsid w:val="00240B5D"/>
    <w:rsid w:val="00241C7E"/>
    <w:rsid w:val="00241CA9"/>
    <w:rsid w:val="00242E62"/>
    <w:rsid w:val="00242F25"/>
    <w:rsid w:val="00244B69"/>
    <w:rsid w:val="00245913"/>
    <w:rsid w:val="00245B3C"/>
    <w:rsid w:val="002475DF"/>
    <w:rsid w:val="00247C15"/>
    <w:rsid w:val="00253649"/>
    <w:rsid w:val="00254817"/>
    <w:rsid w:val="002560D2"/>
    <w:rsid w:val="00257A90"/>
    <w:rsid w:val="00257D18"/>
    <w:rsid w:val="00257D37"/>
    <w:rsid w:val="00257E95"/>
    <w:rsid w:val="002605B8"/>
    <w:rsid w:val="00260947"/>
    <w:rsid w:val="00260D13"/>
    <w:rsid w:val="00263269"/>
    <w:rsid w:val="002639B7"/>
    <w:rsid w:val="00263FD3"/>
    <w:rsid w:val="00264261"/>
    <w:rsid w:val="00264AF6"/>
    <w:rsid w:val="00264FC1"/>
    <w:rsid w:val="00264FC8"/>
    <w:rsid w:val="00265189"/>
    <w:rsid w:val="00265FBF"/>
    <w:rsid w:val="00266550"/>
    <w:rsid w:val="00266805"/>
    <w:rsid w:val="002678EA"/>
    <w:rsid w:val="002701DF"/>
    <w:rsid w:val="00270E9C"/>
    <w:rsid w:val="00271006"/>
    <w:rsid w:val="00271162"/>
    <w:rsid w:val="00271BEB"/>
    <w:rsid w:val="00271DF0"/>
    <w:rsid w:val="002724A5"/>
    <w:rsid w:val="002730DF"/>
    <w:rsid w:val="002736A4"/>
    <w:rsid w:val="00273BE5"/>
    <w:rsid w:val="002748BC"/>
    <w:rsid w:val="00274E07"/>
    <w:rsid w:val="00275DB6"/>
    <w:rsid w:val="0027647B"/>
    <w:rsid w:val="00276881"/>
    <w:rsid w:val="00276BB3"/>
    <w:rsid w:val="0027711A"/>
    <w:rsid w:val="00277B24"/>
    <w:rsid w:val="00280EE3"/>
    <w:rsid w:val="00281DCB"/>
    <w:rsid w:val="00282166"/>
    <w:rsid w:val="002821BA"/>
    <w:rsid w:val="00282416"/>
    <w:rsid w:val="002824EE"/>
    <w:rsid w:val="0028257C"/>
    <w:rsid w:val="00282A5D"/>
    <w:rsid w:val="002849CD"/>
    <w:rsid w:val="00285EAF"/>
    <w:rsid w:val="00286643"/>
    <w:rsid w:val="00286F4B"/>
    <w:rsid w:val="002909EF"/>
    <w:rsid w:val="00291713"/>
    <w:rsid w:val="00291FC2"/>
    <w:rsid w:val="00292332"/>
    <w:rsid w:val="0029251C"/>
    <w:rsid w:val="00292863"/>
    <w:rsid w:val="00292BA9"/>
    <w:rsid w:val="00293775"/>
    <w:rsid w:val="00294111"/>
    <w:rsid w:val="002945AC"/>
    <w:rsid w:val="00294878"/>
    <w:rsid w:val="00294A0D"/>
    <w:rsid w:val="00294A2A"/>
    <w:rsid w:val="00294D58"/>
    <w:rsid w:val="00295A9A"/>
    <w:rsid w:val="002960FF"/>
    <w:rsid w:val="002966EA"/>
    <w:rsid w:val="002977A6"/>
    <w:rsid w:val="002A021B"/>
    <w:rsid w:val="002A172C"/>
    <w:rsid w:val="002A192E"/>
    <w:rsid w:val="002A235E"/>
    <w:rsid w:val="002A2E51"/>
    <w:rsid w:val="002A467D"/>
    <w:rsid w:val="002A4989"/>
    <w:rsid w:val="002A64CC"/>
    <w:rsid w:val="002A69C2"/>
    <w:rsid w:val="002B0038"/>
    <w:rsid w:val="002B0433"/>
    <w:rsid w:val="002B0F2C"/>
    <w:rsid w:val="002B1B60"/>
    <w:rsid w:val="002B1D7B"/>
    <w:rsid w:val="002B246E"/>
    <w:rsid w:val="002B2CF9"/>
    <w:rsid w:val="002B423F"/>
    <w:rsid w:val="002B6044"/>
    <w:rsid w:val="002B6D58"/>
    <w:rsid w:val="002B713A"/>
    <w:rsid w:val="002B7206"/>
    <w:rsid w:val="002C0940"/>
    <w:rsid w:val="002C0977"/>
    <w:rsid w:val="002C09A9"/>
    <w:rsid w:val="002C1317"/>
    <w:rsid w:val="002C14D9"/>
    <w:rsid w:val="002C1D38"/>
    <w:rsid w:val="002C26D9"/>
    <w:rsid w:val="002C32E3"/>
    <w:rsid w:val="002C339E"/>
    <w:rsid w:val="002C3D3D"/>
    <w:rsid w:val="002C3F4C"/>
    <w:rsid w:val="002C5462"/>
    <w:rsid w:val="002C6600"/>
    <w:rsid w:val="002C6FEB"/>
    <w:rsid w:val="002C72AD"/>
    <w:rsid w:val="002C7ACC"/>
    <w:rsid w:val="002D0297"/>
    <w:rsid w:val="002D0AB9"/>
    <w:rsid w:val="002D0DD0"/>
    <w:rsid w:val="002D1443"/>
    <w:rsid w:val="002D1ED1"/>
    <w:rsid w:val="002D406A"/>
    <w:rsid w:val="002D43E2"/>
    <w:rsid w:val="002D5072"/>
    <w:rsid w:val="002D5657"/>
    <w:rsid w:val="002D6DC4"/>
    <w:rsid w:val="002D7F50"/>
    <w:rsid w:val="002E0258"/>
    <w:rsid w:val="002E18B5"/>
    <w:rsid w:val="002E1DA2"/>
    <w:rsid w:val="002E1E43"/>
    <w:rsid w:val="002E2417"/>
    <w:rsid w:val="002E3456"/>
    <w:rsid w:val="002E3568"/>
    <w:rsid w:val="002E39D0"/>
    <w:rsid w:val="002E3BBA"/>
    <w:rsid w:val="002E4DC9"/>
    <w:rsid w:val="002E5608"/>
    <w:rsid w:val="002E6496"/>
    <w:rsid w:val="002E79AD"/>
    <w:rsid w:val="002E7E70"/>
    <w:rsid w:val="002F074F"/>
    <w:rsid w:val="002F12E7"/>
    <w:rsid w:val="002F132D"/>
    <w:rsid w:val="002F154B"/>
    <w:rsid w:val="002F1E96"/>
    <w:rsid w:val="002F3272"/>
    <w:rsid w:val="002F3C9F"/>
    <w:rsid w:val="002F45D4"/>
    <w:rsid w:val="002F4C7D"/>
    <w:rsid w:val="002F57DF"/>
    <w:rsid w:val="002F60A7"/>
    <w:rsid w:val="002F61B1"/>
    <w:rsid w:val="002F6E1F"/>
    <w:rsid w:val="002F7097"/>
    <w:rsid w:val="00300800"/>
    <w:rsid w:val="003010B1"/>
    <w:rsid w:val="00302F94"/>
    <w:rsid w:val="00303E8E"/>
    <w:rsid w:val="00304203"/>
    <w:rsid w:val="00305275"/>
    <w:rsid w:val="0030533B"/>
    <w:rsid w:val="003053D2"/>
    <w:rsid w:val="00306387"/>
    <w:rsid w:val="003063B0"/>
    <w:rsid w:val="00306461"/>
    <w:rsid w:val="0030648B"/>
    <w:rsid w:val="00306BC6"/>
    <w:rsid w:val="00306BE3"/>
    <w:rsid w:val="00307324"/>
    <w:rsid w:val="003073CE"/>
    <w:rsid w:val="003074C6"/>
    <w:rsid w:val="00307F03"/>
    <w:rsid w:val="00307FBF"/>
    <w:rsid w:val="003101B7"/>
    <w:rsid w:val="003104E6"/>
    <w:rsid w:val="003112DE"/>
    <w:rsid w:val="00311B65"/>
    <w:rsid w:val="00311F48"/>
    <w:rsid w:val="00312384"/>
    <w:rsid w:val="003136B2"/>
    <w:rsid w:val="0031506D"/>
    <w:rsid w:val="0031623F"/>
    <w:rsid w:val="00320295"/>
    <w:rsid w:val="00322203"/>
    <w:rsid w:val="00322515"/>
    <w:rsid w:val="00323571"/>
    <w:rsid w:val="00323B7C"/>
    <w:rsid w:val="00323DDA"/>
    <w:rsid w:val="0032408E"/>
    <w:rsid w:val="003242A5"/>
    <w:rsid w:val="0032576D"/>
    <w:rsid w:val="003258B6"/>
    <w:rsid w:val="00326321"/>
    <w:rsid w:val="00326FB4"/>
    <w:rsid w:val="0033030A"/>
    <w:rsid w:val="003309E7"/>
    <w:rsid w:val="00330B9B"/>
    <w:rsid w:val="003314F9"/>
    <w:rsid w:val="00332098"/>
    <w:rsid w:val="003321A5"/>
    <w:rsid w:val="00332D1E"/>
    <w:rsid w:val="00333B31"/>
    <w:rsid w:val="003349E5"/>
    <w:rsid w:val="00335259"/>
    <w:rsid w:val="0033652F"/>
    <w:rsid w:val="00337C00"/>
    <w:rsid w:val="00340055"/>
    <w:rsid w:val="003406DE"/>
    <w:rsid w:val="003412BE"/>
    <w:rsid w:val="003416FF"/>
    <w:rsid w:val="00341FF7"/>
    <w:rsid w:val="00342803"/>
    <w:rsid w:val="003429D8"/>
    <w:rsid w:val="00342C8C"/>
    <w:rsid w:val="00343EB3"/>
    <w:rsid w:val="00344085"/>
    <w:rsid w:val="003456F1"/>
    <w:rsid w:val="00346590"/>
    <w:rsid w:val="00346E84"/>
    <w:rsid w:val="003502DB"/>
    <w:rsid w:val="003515D6"/>
    <w:rsid w:val="003525F5"/>
    <w:rsid w:val="00352A91"/>
    <w:rsid w:val="00353177"/>
    <w:rsid w:val="00353201"/>
    <w:rsid w:val="003543A3"/>
    <w:rsid w:val="00354EB5"/>
    <w:rsid w:val="00355014"/>
    <w:rsid w:val="003560B7"/>
    <w:rsid w:val="003564BC"/>
    <w:rsid w:val="00356617"/>
    <w:rsid w:val="003605C4"/>
    <w:rsid w:val="00360891"/>
    <w:rsid w:val="00360CC1"/>
    <w:rsid w:val="00361C30"/>
    <w:rsid w:val="00362112"/>
    <w:rsid w:val="0036329B"/>
    <w:rsid w:val="00363C88"/>
    <w:rsid w:val="003640B7"/>
    <w:rsid w:val="0036531A"/>
    <w:rsid w:val="00365BA5"/>
    <w:rsid w:val="00366FC2"/>
    <w:rsid w:val="00367195"/>
    <w:rsid w:val="003673E3"/>
    <w:rsid w:val="00367B60"/>
    <w:rsid w:val="00371A93"/>
    <w:rsid w:val="00371EF6"/>
    <w:rsid w:val="0037212F"/>
    <w:rsid w:val="00372F9B"/>
    <w:rsid w:val="00373A01"/>
    <w:rsid w:val="0037492C"/>
    <w:rsid w:val="00374EC1"/>
    <w:rsid w:val="00376212"/>
    <w:rsid w:val="00376B08"/>
    <w:rsid w:val="00377227"/>
    <w:rsid w:val="00377526"/>
    <w:rsid w:val="00377A23"/>
    <w:rsid w:val="003802E7"/>
    <w:rsid w:val="003806C5"/>
    <w:rsid w:val="00381375"/>
    <w:rsid w:val="003818FD"/>
    <w:rsid w:val="00381AD8"/>
    <w:rsid w:val="00381DE6"/>
    <w:rsid w:val="00383C37"/>
    <w:rsid w:val="0038428F"/>
    <w:rsid w:val="00384AB0"/>
    <w:rsid w:val="00384B63"/>
    <w:rsid w:val="00385892"/>
    <w:rsid w:val="00385927"/>
    <w:rsid w:val="0038706C"/>
    <w:rsid w:val="0038756B"/>
    <w:rsid w:val="0038757C"/>
    <w:rsid w:val="003916A8"/>
    <w:rsid w:val="00391A24"/>
    <w:rsid w:val="00392599"/>
    <w:rsid w:val="003926B6"/>
    <w:rsid w:val="00392782"/>
    <w:rsid w:val="0039367D"/>
    <w:rsid w:val="00393CE8"/>
    <w:rsid w:val="00394036"/>
    <w:rsid w:val="00394550"/>
    <w:rsid w:val="0039681C"/>
    <w:rsid w:val="00396D6A"/>
    <w:rsid w:val="0039750C"/>
    <w:rsid w:val="00397752"/>
    <w:rsid w:val="003A043F"/>
    <w:rsid w:val="003A0662"/>
    <w:rsid w:val="003A0C40"/>
    <w:rsid w:val="003A18B7"/>
    <w:rsid w:val="003A590F"/>
    <w:rsid w:val="003A5ADA"/>
    <w:rsid w:val="003A5EAA"/>
    <w:rsid w:val="003A6431"/>
    <w:rsid w:val="003A65B3"/>
    <w:rsid w:val="003A6F5F"/>
    <w:rsid w:val="003A73F8"/>
    <w:rsid w:val="003A7B95"/>
    <w:rsid w:val="003A7FA8"/>
    <w:rsid w:val="003B035C"/>
    <w:rsid w:val="003B0780"/>
    <w:rsid w:val="003B08C7"/>
    <w:rsid w:val="003B24FA"/>
    <w:rsid w:val="003B2F1A"/>
    <w:rsid w:val="003B3A13"/>
    <w:rsid w:val="003B3E18"/>
    <w:rsid w:val="003B40BA"/>
    <w:rsid w:val="003B4AAA"/>
    <w:rsid w:val="003B5398"/>
    <w:rsid w:val="003B5CEF"/>
    <w:rsid w:val="003B75CD"/>
    <w:rsid w:val="003B7771"/>
    <w:rsid w:val="003C0BAA"/>
    <w:rsid w:val="003C1721"/>
    <w:rsid w:val="003C25E4"/>
    <w:rsid w:val="003C2DA6"/>
    <w:rsid w:val="003C4539"/>
    <w:rsid w:val="003C554B"/>
    <w:rsid w:val="003C5819"/>
    <w:rsid w:val="003C6957"/>
    <w:rsid w:val="003C7140"/>
    <w:rsid w:val="003C723D"/>
    <w:rsid w:val="003C7364"/>
    <w:rsid w:val="003C75BB"/>
    <w:rsid w:val="003C75BE"/>
    <w:rsid w:val="003C7ED5"/>
    <w:rsid w:val="003D2AE1"/>
    <w:rsid w:val="003D2EF9"/>
    <w:rsid w:val="003D3B4E"/>
    <w:rsid w:val="003D3E12"/>
    <w:rsid w:val="003D3F90"/>
    <w:rsid w:val="003D676F"/>
    <w:rsid w:val="003D6B9F"/>
    <w:rsid w:val="003D7B0B"/>
    <w:rsid w:val="003D7D8C"/>
    <w:rsid w:val="003D7F4A"/>
    <w:rsid w:val="003E0571"/>
    <w:rsid w:val="003E106D"/>
    <w:rsid w:val="003E2A94"/>
    <w:rsid w:val="003E2D7D"/>
    <w:rsid w:val="003E48BE"/>
    <w:rsid w:val="003E4C38"/>
    <w:rsid w:val="003E4F97"/>
    <w:rsid w:val="003E56C3"/>
    <w:rsid w:val="003E5BAA"/>
    <w:rsid w:val="003E61B4"/>
    <w:rsid w:val="003E6F94"/>
    <w:rsid w:val="003E7265"/>
    <w:rsid w:val="003E7A42"/>
    <w:rsid w:val="003E7D44"/>
    <w:rsid w:val="003F0EDC"/>
    <w:rsid w:val="003F10D9"/>
    <w:rsid w:val="003F1225"/>
    <w:rsid w:val="003F246C"/>
    <w:rsid w:val="003F2709"/>
    <w:rsid w:val="003F2AE7"/>
    <w:rsid w:val="003F3842"/>
    <w:rsid w:val="003F3D8C"/>
    <w:rsid w:val="003F5D49"/>
    <w:rsid w:val="003F796E"/>
    <w:rsid w:val="0040095C"/>
    <w:rsid w:val="00400CFC"/>
    <w:rsid w:val="00400F4D"/>
    <w:rsid w:val="004010DF"/>
    <w:rsid w:val="0040176A"/>
    <w:rsid w:val="004019BA"/>
    <w:rsid w:val="004029D1"/>
    <w:rsid w:val="0040387E"/>
    <w:rsid w:val="00404B37"/>
    <w:rsid w:val="00404CA6"/>
    <w:rsid w:val="00405AC4"/>
    <w:rsid w:val="00407364"/>
    <w:rsid w:val="004076EB"/>
    <w:rsid w:val="00410A4E"/>
    <w:rsid w:val="0041371E"/>
    <w:rsid w:val="00414042"/>
    <w:rsid w:val="00414474"/>
    <w:rsid w:val="00414698"/>
    <w:rsid w:val="00414AA0"/>
    <w:rsid w:val="00415821"/>
    <w:rsid w:val="00415964"/>
    <w:rsid w:val="00415E22"/>
    <w:rsid w:val="00416230"/>
    <w:rsid w:val="00416359"/>
    <w:rsid w:val="004164E5"/>
    <w:rsid w:val="00416DFE"/>
    <w:rsid w:val="004171A5"/>
    <w:rsid w:val="00417915"/>
    <w:rsid w:val="004205DF"/>
    <w:rsid w:val="004217D5"/>
    <w:rsid w:val="004218FA"/>
    <w:rsid w:val="0042283C"/>
    <w:rsid w:val="004243BE"/>
    <w:rsid w:val="0042457A"/>
    <w:rsid w:val="00425889"/>
    <w:rsid w:val="00425CA6"/>
    <w:rsid w:val="00426475"/>
    <w:rsid w:val="00427F3A"/>
    <w:rsid w:val="004300D7"/>
    <w:rsid w:val="004309C6"/>
    <w:rsid w:val="00431498"/>
    <w:rsid w:val="0043164C"/>
    <w:rsid w:val="00431861"/>
    <w:rsid w:val="004325D3"/>
    <w:rsid w:val="0043261F"/>
    <w:rsid w:val="0043339C"/>
    <w:rsid w:val="004337A5"/>
    <w:rsid w:val="0043403F"/>
    <w:rsid w:val="0043481B"/>
    <w:rsid w:val="004349B8"/>
    <w:rsid w:val="004351E1"/>
    <w:rsid w:val="004361DE"/>
    <w:rsid w:val="00436ECF"/>
    <w:rsid w:val="00437098"/>
    <w:rsid w:val="00437451"/>
    <w:rsid w:val="00440927"/>
    <w:rsid w:val="004417E3"/>
    <w:rsid w:val="00441803"/>
    <w:rsid w:val="00441A2D"/>
    <w:rsid w:val="0044348E"/>
    <w:rsid w:val="00443516"/>
    <w:rsid w:val="00443F44"/>
    <w:rsid w:val="004441E4"/>
    <w:rsid w:val="00444A86"/>
    <w:rsid w:val="00444CCD"/>
    <w:rsid w:val="00445189"/>
    <w:rsid w:val="004460D2"/>
    <w:rsid w:val="0044610E"/>
    <w:rsid w:val="004471B7"/>
    <w:rsid w:val="004478E4"/>
    <w:rsid w:val="00450CDD"/>
    <w:rsid w:val="00451313"/>
    <w:rsid w:val="00451526"/>
    <w:rsid w:val="0045185A"/>
    <w:rsid w:val="0045334D"/>
    <w:rsid w:val="00453926"/>
    <w:rsid w:val="00453CF7"/>
    <w:rsid w:val="00453E14"/>
    <w:rsid w:val="0045472A"/>
    <w:rsid w:val="00454C95"/>
    <w:rsid w:val="00455043"/>
    <w:rsid w:val="004569D6"/>
    <w:rsid w:val="0045758E"/>
    <w:rsid w:val="004578F2"/>
    <w:rsid w:val="004579CD"/>
    <w:rsid w:val="00457C4C"/>
    <w:rsid w:val="004607E6"/>
    <w:rsid w:val="004608CE"/>
    <w:rsid w:val="00460D7B"/>
    <w:rsid w:val="00460E64"/>
    <w:rsid w:val="00460F0A"/>
    <w:rsid w:val="00461627"/>
    <w:rsid w:val="0046203A"/>
    <w:rsid w:val="004622C8"/>
    <w:rsid w:val="004626C7"/>
    <w:rsid w:val="004636FC"/>
    <w:rsid w:val="00464A8F"/>
    <w:rsid w:val="00464D92"/>
    <w:rsid w:val="00464E43"/>
    <w:rsid w:val="00466522"/>
    <w:rsid w:val="0046673A"/>
    <w:rsid w:val="00470BD2"/>
    <w:rsid w:val="00471217"/>
    <w:rsid w:val="00471898"/>
    <w:rsid w:val="00471EB7"/>
    <w:rsid w:val="0047229C"/>
    <w:rsid w:val="00473564"/>
    <w:rsid w:val="004736AD"/>
    <w:rsid w:val="00473795"/>
    <w:rsid w:val="004741B6"/>
    <w:rsid w:val="0047547B"/>
    <w:rsid w:val="00475AD8"/>
    <w:rsid w:val="00475BF5"/>
    <w:rsid w:val="00475C50"/>
    <w:rsid w:val="0047718C"/>
    <w:rsid w:val="004775C7"/>
    <w:rsid w:val="00477B63"/>
    <w:rsid w:val="004807F8"/>
    <w:rsid w:val="004808B5"/>
    <w:rsid w:val="00480C3D"/>
    <w:rsid w:val="004817D7"/>
    <w:rsid w:val="004818A9"/>
    <w:rsid w:val="00481CEF"/>
    <w:rsid w:val="0048272D"/>
    <w:rsid w:val="00483146"/>
    <w:rsid w:val="00483D02"/>
    <w:rsid w:val="004863C3"/>
    <w:rsid w:val="00486531"/>
    <w:rsid w:val="00486AD9"/>
    <w:rsid w:val="00486E1D"/>
    <w:rsid w:val="00490DF7"/>
    <w:rsid w:val="00490E83"/>
    <w:rsid w:val="00491B97"/>
    <w:rsid w:val="004926E8"/>
    <w:rsid w:val="00492DF9"/>
    <w:rsid w:val="00493BD7"/>
    <w:rsid w:val="0049478F"/>
    <w:rsid w:val="004955F9"/>
    <w:rsid w:val="00495CA0"/>
    <w:rsid w:val="00495DD8"/>
    <w:rsid w:val="00496E21"/>
    <w:rsid w:val="00497BD0"/>
    <w:rsid w:val="00497BD6"/>
    <w:rsid w:val="00497D64"/>
    <w:rsid w:val="004A0DB5"/>
    <w:rsid w:val="004A1EDB"/>
    <w:rsid w:val="004A293C"/>
    <w:rsid w:val="004A362D"/>
    <w:rsid w:val="004A38E2"/>
    <w:rsid w:val="004A48DD"/>
    <w:rsid w:val="004A510F"/>
    <w:rsid w:val="004A5143"/>
    <w:rsid w:val="004A5234"/>
    <w:rsid w:val="004A6549"/>
    <w:rsid w:val="004A6BB0"/>
    <w:rsid w:val="004A731F"/>
    <w:rsid w:val="004B0208"/>
    <w:rsid w:val="004B093D"/>
    <w:rsid w:val="004B0C67"/>
    <w:rsid w:val="004B267F"/>
    <w:rsid w:val="004B2A51"/>
    <w:rsid w:val="004B46AA"/>
    <w:rsid w:val="004B47F6"/>
    <w:rsid w:val="004B4BA1"/>
    <w:rsid w:val="004B5DCD"/>
    <w:rsid w:val="004B6166"/>
    <w:rsid w:val="004B7215"/>
    <w:rsid w:val="004B7418"/>
    <w:rsid w:val="004C01C5"/>
    <w:rsid w:val="004C0333"/>
    <w:rsid w:val="004C0824"/>
    <w:rsid w:val="004C1761"/>
    <w:rsid w:val="004C19D2"/>
    <w:rsid w:val="004C3CB8"/>
    <w:rsid w:val="004C3E9D"/>
    <w:rsid w:val="004C4451"/>
    <w:rsid w:val="004C4502"/>
    <w:rsid w:val="004C4881"/>
    <w:rsid w:val="004D28BE"/>
    <w:rsid w:val="004D2BB5"/>
    <w:rsid w:val="004D35BF"/>
    <w:rsid w:val="004D3E3D"/>
    <w:rsid w:val="004D5A97"/>
    <w:rsid w:val="004D5F3A"/>
    <w:rsid w:val="004E115D"/>
    <w:rsid w:val="004E117C"/>
    <w:rsid w:val="004E3345"/>
    <w:rsid w:val="004E4147"/>
    <w:rsid w:val="004E486E"/>
    <w:rsid w:val="004E4BE9"/>
    <w:rsid w:val="004E4D9F"/>
    <w:rsid w:val="004E5167"/>
    <w:rsid w:val="004E5452"/>
    <w:rsid w:val="004F01CA"/>
    <w:rsid w:val="004F0757"/>
    <w:rsid w:val="004F0A80"/>
    <w:rsid w:val="004F0AF2"/>
    <w:rsid w:val="004F0CE5"/>
    <w:rsid w:val="004F1774"/>
    <w:rsid w:val="004F27D2"/>
    <w:rsid w:val="004F3B18"/>
    <w:rsid w:val="004F3D12"/>
    <w:rsid w:val="004F48BE"/>
    <w:rsid w:val="004F540A"/>
    <w:rsid w:val="004F6244"/>
    <w:rsid w:val="004F63C7"/>
    <w:rsid w:val="004F6E82"/>
    <w:rsid w:val="004F71EC"/>
    <w:rsid w:val="004F7400"/>
    <w:rsid w:val="005003EB"/>
    <w:rsid w:val="00500BDE"/>
    <w:rsid w:val="00500E5C"/>
    <w:rsid w:val="0050235B"/>
    <w:rsid w:val="00502890"/>
    <w:rsid w:val="00502A84"/>
    <w:rsid w:val="00502AD7"/>
    <w:rsid w:val="00503316"/>
    <w:rsid w:val="005035B3"/>
    <w:rsid w:val="0050486F"/>
    <w:rsid w:val="00505A5D"/>
    <w:rsid w:val="00506659"/>
    <w:rsid w:val="00507DBA"/>
    <w:rsid w:val="00507FD9"/>
    <w:rsid w:val="00510DBB"/>
    <w:rsid w:val="00512861"/>
    <w:rsid w:val="005132A7"/>
    <w:rsid w:val="00513580"/>
    <w:rsid w:val="0051397A"/>
    <w:rsid w:val="005142A4"/>
    <w:rsid w:val="00514ACC"/>
    <w:rsid w:val="00515266"/>
    <w:rsid w:val="00515FEB"/>
    <w:rsid w:val="005160B7"/>
    <w:rsid w:val="00516B29"/>
    <w:rsid w:val="00517988"/>
    <w:rsid w:val="00517BFA"/>
    <w:rsid w:val="005206D7"/>
    <w:rsid w:val="00520A41"/>
    <w:rsid w:val="0052259D"/>
    <w:rsid w:val="005228C8"/>
    <w:rsid w:val="00522F67"/>
    <w:rsid w:val="00523280"/>
    <w:rsid w:val="00523DF9"/>
    <w:rsid w:val="00523E32"/>
    <w:rsid w:val="00524864"/>
    <w:rsid w:val="0052555A"/>
    <w:rsid w:val="00525A71"/>
    <w:rsid w:val="0052695B"/>
    <w:rsid w:val="005303F6"/>
    <w:rsid w:val="0053130A"/>
    <w:rsid w:val="00531E9E"/>
    <w:rsid w:val="00531F46"/>
    <w:rsid w:val="005328EE"/>
    <w:rsid w:val="0053294E"/>
    <w:rsid w:val="005329DD"/>
    <w:rsid w:val="005329E5"/>
    <w:rsid w:val="00533736"/>
    <w:rsid w:val="00533A6C"/>
    <w:rsid w:val="00533DCE"/>
    <w:rsid w:val="00535D43"/>
    <w:rsid w:val="00535D67"/>
    <w:rsid w:val="00535FFB"/>
    <w:rsid w:val="0053682C"/>
    <w:rsid w:val="00537152"/>
    <w:rsid w:val="005372ED"/>
    <w:rsid w:val="005405CB"/>
    <w:rsid w:val="00540FA4"/>
    <w:rsid w:val="00541829"/>
    <w:rsid w:val="00541C21"/>
    <w:rsid w:val="00542E30"/>
    <w:rsid w:val="00542E34"/>
    <w:rsid w:val="00543122"/>
    <w:rsid w:val="00543240"/>
    <w:rsid w:val="005435ED"/>
    <w:rsid w:val="005438E4"/>
    <w:rsid w:val="00543A89"/>
    <w:rsid w:val="00543D8A"/>
    <w:rsid w:val="00545F5E"/>
    <w:rsid w:val="00547055"/>
    <w:rsid w:val="005475AF"/>
    <w:rsid w:val="0055002F"/>
    <w:rsid w:val="00550578"/>
    <w:rsid w:val="005505B9"/>
    <w:rsid w:val="00551474"/>
    <w:rsid w:val="00551934"/>
    <w:rsid w:val="005527BB"/>
    <w:rsid w:val="00552888"/>
    <w:rsid w:val="0055313D"/>
    <w:rsid w:val="005533A2"/>
    <w:rsid w:val="0055343D"/>
    <w:rsid w:val="005534BC"/>
    <w:rsid w:val="005539F5"/>
    <w:rsid w:val="005553BD"/>
    <w:rsid w:val="0055598D"/>
    <w:rsid w:val="00555BAF"/>
    <w:rsid w:val="00556188"/>
    <w:rsid w:val="005561FD"/>
    <w:rsid w:val="005566B6"/>
    <w:rsid w:val="0055719B"/>
    <w:rsid w:val="00557445"/>
    <w:rsid w:val="005608C4"/>
    <w:rsid w:val="00560F20"/>
    <w:rsid w:val="0056140D"/>
    <w:rsid w:val="00561A86"/>
    <w:rsid w:val="00561F4D"/>
    <w:rsid w:val="00562315"/>
    <w:rsid w:val="00562D49"/>
    <w:rsid w:val="00566528"/>
    <w:rsid w:val="00566923"/>
    <w:rsid w:val="00566C25"/>
    <w:rsid w:val="00566D4B"/>
    <w:rsid w:val="005672DA"/>
    <w:rsid w:val="005674BD"/>
    <w:rsid w:val="00570813"/>
    <w:rsid w:val="00571412"/>
    <w:rsid w:val="005719C9"/>
    <w:rsid w:val="00572434"/>
    <w:rsid w:val="00572B29"/>
    <w:rsid w:val="0057452B"/>
    <w:rsid w:val="00574B24"/>
    <w:rsid w:val="00574BAB"/>
    <w:rsid w:val="00576A8E"/>
    <w:rsid w:val="005774BE"/>
    <w:rsid w:val="005801FE"/>
    <w:rsid w:val="00580CF7"/>
    <w:rsid w:val="00581309"/>
    <w:rsid w:val="00581D1F"/>
    <w:rsid w:val="005827B9"/>
    <w:rsid w:val="00582FCB"/>
    <w:rsid w:val="00583115"/>
    <w:rsid w:val="00583CA2"/>
    <w:rsid w:val="00585C39"/>
    <w:rsid w:val="00586461"/>
    <w:rsid w:val="0058678F"/>
    <w:rsid w:val="00586E47"/>
    <w:rsid w:val="00587050"/>
    <w:rsid w:val="00591CF1"/>
    <w:rsid w:val="00592970"/>
    <w:rsid w:val="00592ABA"/>
    <w:rsid w:val="005930FA"/>
    <w:rsid w:val="005931E9"/>
    <w:rsid w:val="00593279"/>
    <w:rsid w:val="00595018"/>
    <w:rsid w:val="0059529A"/>
    <w:rsid w:val="0059553D"/>
    <w:rsid w:val="00595838"/>
    <w:rsid w:val="00596BB1"/>
    <w:rsid w:val="00597093"/>
    <w:rsid w:val="005979F9"/>
    <w:rsid w:val="00597EC5"/>
    <w:rsid w:val="005A0844"/>
    <w:rsid w:val="005A0D47"/>
    <w:rsid w:val="005A1DEA"/>
    <w:rsid w:val="005A1EA3"/>
    <w:rsid w:val="005A2581"/>
    <w:rsid w:val="005A2C70"/>
    <w:rsid w:val="005A4033"/>
    <w:rsid w:val="005A4A65"/>
    <w:rsid w:val="005A4E60"/>
    <w:rsid w:val="005A574A"/>
    <w:rsid w:val="005A58BC"/>
    <w:rsid w:val="005A65D3"/>
    <w:rsid w:val="005A71D5"/>
    <w:rsid w:val="005A7582"/>
    <w:rsid w:val="005B0D71"/>
    <w:rsid w:val="005B252D"/>
    <w:rsid w:val="005B2AD6"/>
    <w:rsid w:val="005B2D1B"/>
    <w:rsid w:val="005B39C0"/>
    <w:rsid w:val="005B457B"/>
    <w:rsid w:val="005B4F09"/>
    <w:rsid w:val="005B51D5"/>
    <w:rsid w:val="005B58A9"/>
    <w:rsid w:val="005B6785"/>
    <w:rsid w:val="005B7722"/>
    <w:rsid w:val="005B7930"/>
    <w:rsid w:val="005B7E18"/>
    <w:rsid w:val="005B7F52"/>
    <w:rsid w:val="005C02EE"/>
    <w:rsid w:val="005C1092"/>
    <w:rsid w:val="005C1AC3"/>
    <w:rsid w:val="005C21AB"/>
    <w:rsid w:val="005C2AFC"/>
    <w:rsid w:val="005C3055"/>
    <w:rsid w:val="005C3BDF"/>
    <w:rsid w:val="005C57C3"/>
    <w:rsid w:val="005C580C"/>
    <w:rsid w:val="005C59FD"/>
    <w:rsid w:val="005C60EA"/>
    <w:rsid w:val="005C616B"/>
    <w:rsid w:val="005C6307"/>
    <w:rsid w:val="005C68AF"/>
    <w:rsid w:val="005C6A77"/>
    <w:rsid w:val="005C6F3A"/>
    <w:rsid w:val="005C779B"/>
    <w:rsid w:val="005C779D"/>
    <w:rsid w:val="005C7950"/>
    <w:rsid w:val="005C7C01"/>
    <w:rsid w:val="005D062F"/>
    <w:rsid w:val="005D070F"/>
    <w:rsid w:val="005D091D"/>
    <w:rsid w:val="005D2FDC"/>
    <w:rsid w:val="005D32DA"/>
    <w:rsid w:val="005D381A"/>
    <w:rsid w:val="005D3866"/>
    <w:rsid w:val="005D3947"/>
    <w:rsid w:val="005D4AD5"/>
    <w:rsid w:val="005D4C8A"/>
    <w:rsid w:val="005D5C98"/>
    <w:rsid w:val="005D6339"/>
    <w:rsid w:val="005D66C5"/>
    <w:rsid w:val="005D711E"/>
    <w:rsid w:val="005D7498"/>
    <w:rsid w:val="005D768F"/>
    <w:rsid w:val="005E0123"/>
    <w:rsid w:val="005E10B9"/>
    <w:rsid w:val="005E199A"/>
    <w:rsid w:val="005E1BBB"/>
    <w:rsid w:val="005E208C"/>
    <w:rsid w:val="005E2748"/>
    <w:rsid w:val="005E2775"/>
    <w:rsid w:val="005E4026"/>
    <w:rsid w:val="005E4662"/>
    <w:rsid w:val="005E5CEF"/>
    <w:rsid w:val="005E5EFA"/>
    <w:rsid w:val="005E65ED"/>
    <w:rsid w:val="005E6EC6"/>
    <w:rsid w:val="005E7590"/>
    <w:rsid w:val="005F0A48"/>
    <w:rsid w:val="005F0BB3"/>
    <w:rsid w:val="005F0C42"/>
    <w:rsid w:val="005F24B7"/>
    <w:rsid w:val="005F32B6"/>
    <w:rsid w:val="005F4B11"/>
    <w:rsid w:val="005F4D1E"/>
    <w:rsid w:val="005F4E28"/>
    <w:rsid w:val="005F6F37"/>
    <w:rsid w:val="005F791D"/>
    <w:rsid w:val="005F7F97"/>
    <w:rsid w:val="00600025"/>
    <w:rsid w:val="00600181"/>
    <w:rsid w:val="00600776"/>
    <w:rsid w:val="00602A25"/>
    <w:rsid w:val="00603655"/>
    <w:rsid w:val="006047FA"/>
    <w:rsid w:val="00604CED"/>
    <w:rsid w:val="00604DD0"/>
    <w:rsid w:val="006056BA"/>
    <w:rsid w:val="00606267"/>
    <w:rsid w:val="006100CC"/>
    <w:rsid w:val="00610200"/>
    <w:rsid w:val="0061022F"/>
    <w:rsid w:val="00610DE3"/>
    <w:rsid w:val="006110F7"/>
    <w:rsid w:val="00611FA3"/>
    <w:rsid w:val="00612162"/>
    <w:rsid w:val="0061361E"/>
    <w:rsid w:val="0061396C"/>
    <w:rsid w:val="006142C3"/>
    <w:rsid w:val="00614344"/>
    <w:rsid w:val="00614872"/>
    <w:rsid w:val="00614CE0"/>
    <w:rsid w:val="006152D9"/>
    <w:rsid w:val="006158F0"/>
    <w:rsid w:val="00615A86"/>
    <w:rsid w:val="00616DAB"/>
    <w:rsid w:val="006171D9"/>
    <w:rsid w:val="006174CB"/>
    <w:rsid w:val="006175E5"/>
    <w:rsid w:val="006177B6"/>
    <w:rsid w:val="00617C0D"/>
    <w:rsid w:val="006200C0"/>
    <w:rsid w:val="00620440"/>
    <w:rsid w:val="00620C10"/>
    <w:rsid w:val="0062193D"/>
    <w:rsid w:val="006225D7"/>
    <w:rsid w:val="006228E4"/>
    <w:rsid w:val="00623911"/>
    <w:rsid w:val="00623BC7"/>
    <w:rsid w:val="00625A81"/>
    <w:rsid w:val="00625B55"/>
    <w:rsid w:val="00631135"/>
    <w:rsid w:val="00631895"/>
    <w:rsid w:val="006326F1"/>
    <w:rsid w:val="0063288E"/>
    <w:rsid w:val="00634FD1"/>
    <w:rsid w:val="00635685"/>
    <w:rsid w:val="0063665A"/>
    <w:rsid w:val="00636902"/>
    <w:rsid w:val="00636A7F"/>
    <w:rsid w:val="006376E5"/>
    <w:rsid w:val="00637ADD"/>
    <w:rsid w:val="0064051E"/>
    <w:rsid w:val="00640661"/>
    <w:rsid w:val="00641ED6"/>
    <w:rsid w:val="0064221B"/>
    <w:rsid w:val="00642322"/>
    <w:rsid w:val="006423BF"/>
    <w:rsid w:val="00644517"/>
    <w:rsid w:val="00644755"/>
    <w:rsid w:val="006451AD"/>
    <w:rsid w:val="006456A0"/>
    <w:rsid w:val="006479AE"/>
    <w:rsid w:val="00647A4E"/>
    <w:rsid w:val="00647BDB"/>
    <w:rsid w:val="006509EE"/>
    <w:rsid w:val="0065123B"/>
    <w:rsid w:val="00651A93"/>
    <w:rsid w:val="00652F01"/>
    <w:rsid w:val="006539AF"/>
    <w:rsid w:val="00653DE3"/>
    <w:rsid w:val="006544BA"/>
    <w:rsid w:val="006547E4"/>
    <w:rsid w:val="00654817"/>
    <w:rsid w:val="00655CAC"/>
    <w:rsid w:val="00657CF5"/>
    <w:rsid w:val="006622D7"/>
    <w:rsid w:val="006626F2"/>
    <w:rsid w:val="0066294C"/>
    <w:rsid w:val="00664278"/>
    <w:rsid w:val="00665102"/>
    <w:rsid w:val="00665221"/>
    <w:rsid w:val="00666B9F"/>
    <w:rsid w:val="0067002E"/>
    <w:rsid w:val="00670E04"/>
    <w:rsid w:val="00671AC6"/>
    <w:rsid w:val="00672A01"/>
    <w:rsid w:val="00672BBC"/>
    <w:rsid w:val="0067300F"/>
    <w:rsid w:val="0067311B"/>
    <w:rsid w:val="006739A7"/>
    <w:rsid w:val="006741F8"/>
    <w:rsid w:val="00674345"/>
    <w:rsid w:val="00674789"/>
    <w:rsid w:val="0067482C"/>
    <w:rsid w:val="00674D40"/>
    <w:rsid w:val="0067618A"/>
    <w:rsid w:val="00677F4B"/>
    <w:rsid w:val="00680E03"/>
    <w:rsid w:val="006811EC"/>
    <w:rsid w:val="00682E3B"/>
    <w:rsid w:val="00683D38"/>
    <w:rsid w:val="00684334"/>
    <w:rsid w:val="00684836"/>
    <w:rsid w:val="00685092"/>
    <w:rsid w:val="00685D64"/>
    <w:rsid w:val="00686B21"/>
    <w:rsid w:val="00686CC6"/>
    <w:rsid w:val="006871DC"/>
    <w:rsid w:val="00687AA8"/>
    <w:rsid w:val="00687FD9"/>
    <w:rsid w:val="00690DA9"/>
    <w:rsid w:val="00691419"/>
    <w:rsid w:val="0069146B"/>
    <w:rsid w:val="006945E3"/>
    <w:rsid w:val="0069787A"/>
    <w:rsid w:val="006A1E32"/>
    <w:rsid w:val="006A1F61"/>
    <w:rsid w:val="006A23E0"/>
    <w:rsid w:val="006A2D2D"/>
    <w:rsid w:val="006A3417"/>
    <w:rsid w:val="006A3DC5"/>
    <w:rsid w:val="006A406F"/>
    <w:rsid w:val="006A5730"/>
    <w:rsid w:val="006A5E51"/>
    <w:rsid w:val="006A6985"/>
    <w:rsid w:val="006A7042"/>
    <w:rsid w:val="006A719A"/>
    <w:rsid w:val="006A720F"/>
    <w:rsid w:val="006A7652"/>
    <w:rsid w:val="006A7EA6"/>
    <w:rsid w:val="006B0ECD"/>
    <w:rsid w:val="006B10C2"/>
    <w:rsid w:val="006B155A"/>
    <w:rsid w:val="006B376F"/>
    <w:rsid w:val="006B53BD"/>
    <w:rsid w:val="006B5B43"/>
    <w:rsid w:val="006B6179"/>
    <w:rsid w:val="006B6B32"/>
    <w:rsid w:val="006B6DBD"/>
    <w:rsid w:val="006B6E19"/>
    <w:rsid w:val="006B747A"/>
    <w:rsid w:val="006C0EA5"/>
    <w:rsid w:val="006C0F1C"/>
    <w:rsid w:val="006C1B40"/>
    <w:rsid w:val="006C2987"/>
    <w:rsid w:val="006C4202"/>
    <w:rsid w:val="006C4570"/>
    <w:rsid w:val="006C4C9E"/>
    <w:rsid w:val="006C503A"/>
    <w:rsid w:val="006C624E"/>
    <w:rsid w:val="006C7BB3"/>
    <w:rsid w:val="006D0828"/>
    <w:rsid w:val="006D0FB8"/>
    <w:rsid w:val="006D243E"/>
    <w:rsid w:val="006D2A32"/>
    <w:rsid w:val="006D2CA6"/>
    <w:rsid w:val="006D39B0"/>
    <w:rsid w:val="006D45F8"/>
    <w:rsid w:val="006D4BC4"/>
    <w:rsid w:val="006D52F5"/>
    <w:rsid w:val="006D5977"/>
    <w:rsid w:val="006D60D3"/>
    <w:rsid w:val="006D73B6"/>
    <w:rsid w:val="006E03B5"/>
    <w:rsid w:val="006E07C3"/>
    <w:rsid w:val="006E1695"/>
    <w:rsid w:val="006E1953"/>
    <w:rsid w:val="006E2985"/>
    <w:rsid w:val="006E2CDA"/>
    <w:rsid w:val="006E3A77"/>
    <w:rsid w:val="006E3D25"/>
    <w:rsid w:val="006E5398"/>
    <w:rsid w:val="006E56AE"/>
    <w:rsid w:val="006E5912"/>
    <w:rsid w:val="006E6188"/>
    <w:rsid w:val="006E66DA"/>
    <w:rsid w:val="006E6C2D"/>
    <w:rsid w:val="006E71FE"/>
    <w:rsid w:val="006F03B9"/>
    <w:rsid w:val="006F2553"/>
    <w:rsid w:val="006F2684"/>
    <w:rsid w:val="006F3399"/>
    <w:rsid w:val="006F37B3"/>
    <w:rsid w:val="006F5845"/>
    <w:rsid w:val="006F59A0"/>
    <w:rsid w:val="006F5C66"/>
    <w:rsid w:val="006F5DCF"/>
    <w:rsid w:val="00700697"/>
    <w:rsid w:val="007009A9"/>
    <w:rsid w:val="0070134A"/>
    <w:rsid w:val="0070140E"/>
    <w:rsid w:val="0070268E"/>
    <w:rsid w:val="00705B8F"/>
    <w:rsid w:val="00707DE7"/>
    <w:rsid w:val="0071111E"/>
    <w:rsid w:val="00713C17"/>
    <w:rsid w:val="00713D8B"/>
    <w:rsid w:val="00714AC5"/>
    <w:rsid w:val="00714B65"/>
    <w:rsid w:val="00715890"/>
    <w:rsid w:val="00715ABC"/>
    <w:rsid w:val="007165E6"/>
    <w:rsid w:val="007171BA"/>
    <w:rsid w:val="00720107"/>
    <w:rsid w:val="007212EE"/>
    <w:rsid w:val="0072136D"/>
    <w:rsid w:val="00721775"/>
    <w:rsid w:val="0072336E"/>
    <w:rsid w:val="0072409C"/>
    <w:rsid w:val="0072539B"/>
    <w:rsid w:val="0072558F"/>
    <w:rsid w:val="00726247"/>
    <w:rsid w:val="007265AA"/>
    <w:rsid w:val="00727058"/>
    <w:rsid w:val="00727482"/>
    <w:rsid w:val="00727B70"/>
    <w:rsid w:val="007311C0"/>
    <w:rsid w:val="007319AC"/>
    <w:rsid w:val="00733C03"/>
    <w:rsid w:val="007340E2"/>
    <w:rsid w:val="00734F68"/>
    <w:rsid w:val="0073528A"/>
    <w:rsid w:val="007354F8"/>
    <w:rsid w:val="0073604B"/>
    <w:rsid w:val="007360D4"/>
    <w:rsid w:val="007361A4"/>
    <w:rsid w:val="00736E74"/>
    <w:rsid w:val="00736EDD"/>
    <w:rsid w:val="007374DE"/>
    <w:rsid w:val="007379FA"/>
    <w:rsid w:val="00737FCD"/>
    <w:rsid w:val="00740991"/>
    <w:rsid w:val="00741176"/>
    <w:rsid w:val="007411B4"/>
    <w:rsid w:val="00741608"/>
    <w:rsid w:val="007421AF"/>
    <w:rsid w:val="0074227D"/>
    <w:rsid w:val="00742729"/>
    <w:rsid w:val="007431B0"/>
    <w:rsid w:val="00743490"/>
    <w:rsid w:val="00743958"/>
    <w:rsid w:val="00743AB7"/>
    <w:rsid w:val="007444A6"/>
    <w:rsid w:val="00744F55"/>
    <w:rsid w:val="007458B5"/>
    <w:rsid w:val="00750598"/>
    <w:rsid w:val="00751D3C"/>
    <w:rsid w:val="00752CDC"/>
    <w:rsid w:val="00753A76"/>
    <w:rsid w:val="00753B10"/>
    <w:rsid w:val="00753C92"/>
    <w:rsid w:val="00754202"/>
    <w:rsid w:val="00755876"/>
    <w:rsid w:val="00755A8C"/>
    <w:rsid w:val="00755DC4"/>
    <w:rsid w:val="00756208"/>
    <w:rsid w:val="00756B60"/>
    <w:rsid w:val="007600B5"/>
    <w:rsid w:val="007604AE"/>
    <w:rsid w:val="00760921"/>
    <w:rsid w:val="00761D40"/>
    <w:rsid w:val="00762126"/>
    <w:rsid w:val="0076233A"/>
    <w:rsid w:val="00762517"/>
    <w:rsid w:val="00763AF5"/>
    <w:rsid w:val="00763B93"/>
    <w:rsid w:val="00764F5A"/>
    <w:rsid w:val="00764FB8"/>
    <w:rsid w:val="00765166"/>
    <w:rsid w:val="0076581F"/>
    <w:rsid w:val="00766292"/>
    <w:rsid w:val="00766813"/>
    <w:rsid w:val="00767585"/>
    <w:rsid w:val="00767C54"/>
    <w:rsid w:val="00770188"/>
    <w:rsid w:val="00770C7C"/>
    <w:rsid w:val="007719A9"/>
    <w:rsid w:val="00771E4F"/>
    <w:rsid w:val="007721F3"/>
    <w:rsid w:val="00772720"/>
    <w:rsid w:val="00774106"/>
    <w:rsid w:val="007743E4"/>
    <w:rsid w:val="007744F3"/>
    <w:rsid w:val="00775170"/>
    <w:rsid w:val="0077524C"/>
    <w:rsid w:val="00775A86"/>
    <w:rsid w:val="00777949"/>
    <w:rsid w:val="00780383"/>
    <w:rsid w:val="00780450"/>
    <w:rsid w:val="00780D8B"/>
    <w:rsid w:val="00781AB9"/>
    <w:rsid w:val="007823ED"/>
    <w:rsid w:val="00782B06"/>
    <w:rsid w:val="007843A0"/>
    <w:rsid w:val="00785A9B"/>
    <w:rsid w:val="00786665"/>
    <w:rsid w:val="00786B86"/>
    <w:rsid w:val="007903F5"/>
    <w:rsid w:val="00790D80"/>
    <w:rsid w:val="00791E12"/>
    <w:rsid w:val="0079279A"/>
    <w:rsid w:val="00792D1D"/>
    <w:rsid w:val="00793255"/>
    <w:rsid w:val="007933BD"/>
    <w:rsid w:val="00793EED"/>
    <w:rsid w:val="0079441A"/>
    <w:rsid w:val="00795997"/>
    <w:rsid w:val="0079709D"/>
    <w:rsid w:val="007A089C"/>
    <w:rsid w:val="007A1339"/>
    <w:rsid w:val="007A2E19"/>
    <w:rsid w:val="007A336E"/>
    <w:rsid w:val="007A3B08"/>
    <w:rsid w:val="007A3EFE"/>
    <w:rsid w:val="007A4F41"/>
    <w:rsid w:val="007A63A3"/>
    <w:rsid w:val="007A70F0"/>
    <w:rsid w:val="007B060D"/>
    <w:rsid w:val="007B0642"/>
    <w:rsid w:val="007B1D6B"/>
    <w:rsid w:val="007B25D5"/>
    <w:rsid w:val="007B2AE7"/>
    <w:rsid w:val="007B2AF5"/>
    <w:rsid w:val="007B2BB2"/>
    <w:rsid w:val="007B3540"/>
    <w:rsid w:val="007B3BDA"/>
    <w:rsid w:val="007B4613"/>
    <w:rsid w:val="007B5E0C"/>
    <w:rsid w:val="007B72A4"/>
    <w:rsid w:val="007C1055"/>
    <w:rsid w:val="007C10C8"/>
    <w:rsid w:val="007C1734"/>
    <w:rsid w:val="007C2352"/>
    <w:rsid w:val="007C2488"/>
    <w:rsid w:val="007C31D5"/>
    <w:rsid w:val="007C31DE"/>
    <w:rsid w:val="007C449A"/>
    <w:rsid w:val="007C48F6"/>
    <w:rsid w:val="007C4C3F"/>
    <w:rsid w:val="007C511B"/>
    <w:rsid w:val="007C51F6"/>
    <w:rsid w:val="007C5208"/>
    <w:rsid w:val="007C5F8A"/>
    <w:rsid w:val="007C6681"/>
    <w:rsid w:val="007C716F"/>
    <w:rsid w:val="007C769D"/>
    <w:rsid w:val="007C786E"/>
    <w:rsid w:val="007C7B57"/>
    <w:rsid w:val="007C7C3A"/>
    <w:rsid w:val="007C7FBD"/>
    <w:rsid w:val="007D0CCD"/>
    <w:rsid w:val="007D2498"/>
    <w:rsid w:val="007D26B8"/>
    <w:rsid w:val="007D2A92"/>
    <w:rsid w:val="007D5646"/>
    <w:rsid w:val="007D7A22"/>
    <w:rsid w:val="007E21D0"/>
    <w:rsid w:val="007E290B"/>
    <w:rsid w:val="007E351E"/>
    <w:rsid w:val="007E3A05"/>
    <w:rsid w:val="007E4509"/>
    <w:rsid w:val="007E4823"/>
    <w:rsid w:val="007E6147"/>
    <w:rsid w:val="007E68C8"/>
    <w:rsid w:val="007E7514"/>
    <w:rsid w:val="007E760E"/>
    <w:rsid w:val="007F0788"/>
    <w:rsid w:val="007F17BD"/>
    <w:rsid w:val="007F29ED"/>
    <w:rsid w:val="007F3BCF"/>
    <w:rsid w:val="007F6238"/>
    <w:rsid w:val="007F7A90"/>
    <w:rsid w:val="008000AD"/>
    <w:rsid w:val="008010EE"/>
    <w:rsid w:val="00801162"/>
    <w:rsid w:val="0080122E"/>
    <w:rsid w:val="00801B6A"/>
    <w:rsid w:val="00802493"/>
    <w:rsid w:val="008024FE"/>
    <w:rsid w:val="00805C5B"/>
    <w:rsid w:val="0080660F"/>
    <w:rsid w:val="00810BF7"/>
    <w:rsid w:val="00810CD0"/>
    <w:rsid w:val="0081113E"/>
    <w:rsid w:val="008113B0"/>
    <w:rsid w:val="008123BB"/>
    <w:rsid w:val="00813A80"/>
    <w:rsid w:val="00813BFE"/>
    <w:rsid w:val="008143DC"/>
    <w:rsid w:val="00814B7F"/>
    <w:rsid w:val="00815004"/>
    <w:rsid w:val="00815AE9"/>
    <w:rsid w:val="008171C9"/>
    <w:rsid w:val="00817254"/>
    <w:rsid w:val="008210EC"/>
    <w:rsid w:val="00821491"/>
    <w:rsid w:val="00821D10"/>
    <w:rsid w:val="0082333D"/>
    <w:rsid w:val="0082374D"/>
    <w:rsid w:val="00823B05"/>
    <w:rsid w:val="0082463F"/>
    <w:rsid w:val="00824892"/>
    <w:rsid w:val="00824FA7"/>
    <w:rsid w:val="00826477"/>
    <w:rsid w:val="00826709"/>
    <w:rsid w:val="00826DFF"/>
    <w:rsid w:val="00830DAD"/>
    <w:rsid w:val="00831677"/>
    <w:rsid w:val="00832189"/>
    <w:rsid w:val="008325B6"/>
    <w:rsid w:val="008337A5"/>
    <w:rsid w:val="00833DDA"/>
    <w:rsid w:val="00833E12"/>
    <w:rsid w:val="00834150"/>
    <w:rsid w:val="00834B43"/>
    <w:rsid w:val="00835A10"/>
    <w:rsid w:val="00835E01"/>
    <w:rsid w:val="0083689A"/>
    <w:rsid w:val="008371AD"/>
    <w:rsid w:val="008377C5"/>
    <w:rsid w:val="0083795A"/>
    <w:rsid w:val="00837996"/>
    <w:rsid w:val="00840038"/>
    <w:rsid w:val="008415DC"/>
    <w:rsid w:val="00841890"/>
    <w:rsid w:val="00841F1C"/>
    <w:rsid w:val="00842115"/>
    <w:rsid w:val="0084214A"/>
    <w:rsid w:val="00842DC9"/>
    <w:rsid w:val="008434D5"/>
    <w:rsid w:val="00843FE2"/>
    <w:rsid w:val="00844937"/>
    <w:rsid w:val="00846135"/>
    <w:rsid w:val="0084697D"/>
    <w:rsid w:val="00846E81"/>
    <w:rsid w:val="0085036B"/>
    <w:rsid w:val="0085050D"/>
    <w:rsid w:val="00850855"/>
    <w:rsid w:val="0085132D"/>
    <w:rsid w:val="00851C1A"/>
    <w:rsid w:val="00852E18"/>
    <w:rsid w:val="00854D36"/>
    <w:rsid w:val="00855DBD"/>
    <w:rsid w:val="00856183"/>
    <w:rsid w:val="00856462"/>
    <w:rsid w:val="00856583"/>
    <w:rsid w:val="0085664B"/>
    <w:rsid w:val="00857639"/>
    <w:rsid w:val="0085772F"/>
    <w:rsid w:val="00857BE6"/>
    <w:rsid w:val="00857D4F"/>
    <w:rsid w:val="0086047F"/>
    <w:rsid w:val="00860C89"/>
    <w:rsid w:val="00860F36"/>
    <w:rsid w:val="008614BE"/>
    <w:rsid w:val="0086165F"/>
    <w:rsid w:val="00862587"/>
    <w:rsid w:val="00863310"/>
    <w:rsid w:val="0086342C"/>
    <w:rsid w:val="00863532"/>
    <w:rsid w:val="00863FE8"/>
    <w:rsid w:val="008647B4"/>
    <w:rsid w:val="00864FBA"/>
    <w:rsid w:val="008656BC"/>
    <w:rsid w:val="008657DF"/>
    <w:rsid w:val="00866228"/>
    <w:rsid w:val="008662AF"/>
    <w:rsid w:val="0086639C"/>
    <w:rsid w:val="0086672C"/>
    <w:rsid w:val="0086689A"/>
    <w:rsid w:val="00866B47"/>
    <w:rsid w:val="0086771D"/>
    <w:rsid w:val="00867EDD"/>
    <w:rsid w:val="008700E1"/>
    <w:rsid w:val="00871DC4"/>
    <w:rsid w:val="0087296B"/>
    <w:rsid w:val="008733EC"/>
    <w:rsid w:val="00873D7F"/>
    <w:rsid w:val="00873E76"/>
    <w:rsid w:val="00874B08"/>
    <w:rsid w:val="00874F53"/>
    <w:rsid w:val="008752A2"/>
    <w:rsid w:val="0087538C"/>
    <w:rsid w:val="00876E4E"/>
    <w:rsid w:val="008772CA"/>
    <w:rsid w:val="0087754D"/>
    <w:rsid w:val="00877627"/>
    <w:rsid w:val="00877F0B"/>
    <w:rsid w:val="00880B5A"/>
    <w:rsid w:val="00880B5B"/>
    <w:rsid w:val="00881432"/>
    <w:rsid w:val="0088161C"/>
    <w:rsid w:val="00883C9B"/>
    <w:rsid w:val="00883CBB"/>
    <w:rsid w:val="00884AA1"/>
    <w:rsid w:val="00884FBE"/>
    <w:rsid w:val="008868D7"/>
    <w:rsid w:val="00890BE9"/>
    <w:rsid w:val="00890CAF"/>
    <w:rsid w:val="00891B8A"/>
    <w:rsid w:val="00892252"/>
    <w:rsid w:val="00893437"/>
    <w:rsid w:val="00893867"/>
    <w:rsid w:val="00894B7D"/>
    <w:rsid w:val="00894F86"/>
    <w:rsid w:val="0089547E"/>
    <w:rsid w:val="008955D0"/>
    <w:rsid w:val="00895A3F"/>
    <w:rsid w:val="00895BC9"/>
    <w:rsid w:val="008962E7"/>
    <w:rsid w:val="00896D9C"/>
    <w:rsid w:val="008970FE"/>
    <w:rsid w:val="008A0794"/>
    <w:rsid w:val="008A1029"/>
    <w:rsid w:val="008A2220"/>
    <w:rsid w:val="008A3BE5"/>
    <w:rsid w:val="008A3EB9"/>
    <w:rsid w:val="008A3FF7"/>
    <w:rsid w:val="008A4BD6"/>
    <w:rsid w:val="008A5095"/>
    <w:rsid w:val="008A5C87"/>
    <w:rsid w:val="008A60BA"/>
    <w:rsid w:val="008A65BA"/>
    <w:rsid w:val="008A6A70"/>
    <w:rsid w:val="008B01E7"/>
    <w:rsid w:val="008B04F6"/>
    <w:rsid w:val="008B0673"/>
    <w:rsid w:val="008B0E01"/>
    <w:rsid w:val="008B1004"/>
    <w:rsid w:val="008B1352"/>
    <w:rsid w:val="008B2AEE"/>
    <w:rsid w:val="008B4264"/>
    <w:rsid w:val="008B51B7"/>
    <w:rsid w:val="008B63E6"/>
    <w:rsid w:val="008B694A"/>
    <w:rsid w:val="008B6C22"/>
    <w:rsid w:val="008B741D"/>
    <w:rsid w:val="008B7F06"/>
    <w:rsid w:val="008C0417"/>
    <w:rsid w:val="008C056D"/>
    <w:rsid w:val="008C05A1"/>
    <w:rsid w:val="008C0621"/>
    <w:rsid w:val="008C080A"/>
    <w:rsid w:val="008C0BB1"/>
    <w:rsid w:val="008C1199"/>
    <w:rsid w:val="008C35F8"/>
    <w:rsid w:val="008C3F80"/>
    <w:rsid w:val="008C5D12"/>
    <w:rsid w:val="008C6687"/>
    <w:rsid w:val="008C6C02"/>
    <w:rsid w:val="008C76E2"/>
    <w:rsid w:val="008D0D0F"/>
    <w:rsid w:val="008D0E02"/>
    <w:rsid w:val="008D10C4"/>
    <w:rsid w:val="008D1128"/>
    <w:rsid w:val="008D1487"/>
    <w:rsid w:val="008D2040"/>
    <w:rsid w:val="008D2CC7"/>
    <w:rsid w:val="008D50B0"/>
    <w:rsid w:val="008D5DD3"/>
    <w:rsid w:val="008D5EF8"/>
    <w:rsid w:val="008D7C14"/>
    <w:rsid w:val="008E1EC0"/>
    <w:rsid w:val="008E1F9E"/>
    <w:rsid w:val="008E1FFA"/>
    <w:rsid w:val="008E2B9A"/>
    <w:rsid w:val="008E2EBD"/>
    <w:rsid w:val="008E36CA"/>
    <w:rsid w:val="008E3885"/>
    <w:rsid w:val="008E3B90"/>
    <w:rsid w:val="008E4970"/>
    <w:rsid w:val="008E49A8"/>
    <w:rsid w:val="008E5B8C"/>
    <w:rsid w:val="008E6A0D"/>
    <w:rsid w:val="008E6BC8"/>
    <w:rsid w:val="008F25E8"/>
    <w:rsid w:val="008F3822"/>
    <w:rsid w:val="008F48D7"/>
    <w:rsid w:val="008F4DB0"/>
    <w:rsid w:val="008F51E9"/>
    <w:rsid w:val="008F55DA"/>
    <w:rsid w:val="008F72D7"/>
    <w:rsid w:val="008F7F53"/>
    <w:rsid w:val="009002F3"/>
    <w:rsid w:val="009003D1"/>
    <w:rsid w:val="00900473"/>
    <w:rsid w:val="00900A30"/>
    <w:rsid w:val="00900D39"/>
    <w:rsid w:val="00900F51"/>
    <w:rsid w:val="00901894"/>
    <w:rsid w:val="00901F94"/>
    <w:rsid w:val="00902EAB"/>
    <w:rsid w:val="00904B94"/>
    <w:rsid w:val="00905343"/>
    <w:rsid w:val="009073DA"/>
    <w:rsid w:val="00910858"/>
    <w:rsid w:val="00910FE2"/>
    <w:rsid w:val="00911FD7"/>
    <w:rsid w:val="009135DF"/>
    <w:rsid w:val="00913E52"/>
    <w:rsid w:val="00915906"/>
    <w:rsid w:val="00917792"/>
    <w:rsid w:val="0092112E"/>
    <w:rsid w:val="0092150C"/>
    <w:rsid w:val="00922A6F"/>
    <w:rsid w:val="009249AD"/>
    <w:rsid w:val="009258D9"/>
    <w:rsid w:val="00925993"/>
    <w:rsid w:val="0092670F"/>
    <w:rsid w:val="009269B2"/>
    <w:rsid w:val="0092788C"/>
    <w:rsid w:val="00927AA6"/>
    <w:rsid w:val="00927B8F"/>
    <w:rsid w:val="009301DA"/>
    <w:rsid w:val="00930211"/>
    <w:rsid w:val="00930656"/>
    <w:rsid w:val="00932E4B"/>
    <w:rsid w:val="009341C2"/>
    <w:rsid w:val="009349F3"/>
    <w:rsid w:val="0093507D"/>
    <w:rsid w:val="009366DA"/>
    <w:rsid w:val="00937628"/>
    <w:rsid w:val="009406B3"/>
    <w:rsid w:val="00941057"/>
    <w:rsid w:val="00942068"/>
    <w:rsid w:val="0094283A"/>
    <w:rsid w:val="00943D97"/>
    <w:rsid w:val="009447AF"/>
    <w:rsid w:val="00944B38"/>
    <w:rsid w:val="009452BB"/>
    <w:rsid w:val="00945AE1"/>
    <w:rsid w:val="00945D0B"/>
    <w:rsid w:val="00945E6B"/>
    <w:rsid w:val="0094606F"/>
    <w:rsid w:val="009460FA"/>
    <w:rsid w:val="00946867"/>
    <w:rsid w:val="00946E27"/>
    <w:rsid w:val="00947498"/>
    <w:rsid w:val="0095068F"/>
    <w:rsid w:val="009519F4"/>
    <w:rsid w:val="00951BBD"/>
    <w:rsid w:val="00951DE8"/>
    <w:rsid w:val="00953443"/>
    <w:rsid w:val="00953C46"/>
    <w:rsid w:val="0095414B"/>
    <w:rsid w:val="009547C8"/>
    <w:rsid w:val="00954D47"/>
    <w:rsid w:val="00954F58"/>
    <w:rsid w:val="00956CEB"/>
    <w:rsid w:val="0095720C"/>
    <w:rsid w:val="00960BDE"/>
    <w:rsid w:val="00961536"/>
    <w:rsid w:val="00961ADF"/>
    <w:rsid w:val="00961F10"/>
    <w:rsid w:val="009624B3"/>
    <w:rsid w:val="0096314D"/>
    <w:rsid w:val="00963889"/>
    <w:rsid w:val="00963B32"/>
    <w:rsid w:val="00964CBD"/>
    <w:rsid w:val="0096600F"/>
    <w:rsid w:val="009676C3"/>
    <w:rsid w:val="00967C04"/>
    <w:rsid w:val="00971677"/>
    <w:rsid w:val="0097416C"/>
    <w:rsid w:val="00974316"/>
    <w:rsid w:val="00975D3E"/>
    <w:rsid w:val="00977032"/>
    <w:rsid w:val="0097739E"/>
    <w:rsid w:val="0098007E"/>
    <w:rsid w:val="009807C2"/>
    <w:rsid w:val="009808A3"/>
    <w:rsid w:val="0098129D"/>
    <w:rsid w:val="009817B4"/>
    <w:rsid w:val="0098210A"/>
    <w:rsid w:val="00983CEE"/>
    <w:rsid w:val="009841AE"/>
    <w:rsid w:val="009841F7"/>
    <w:rsid w:val="009857DB"/>
    <w:rsid w:val="009857DC"/>
    <w:rsid w:val="0098659D"/>
    <w:rsid w:val="00987771"/>
    <w:rsid w:val="00987D2B"/>
    <w:rsid w:val="00991001"/>
    <w:rsid w:val="009915C5"/>
    <w:rsid w:val="00991C60"/>
    <w:rsid w:val="0099230D"/>
    <w:rsid w:val="00992EC0"/>
    <w:rsid w:val="00992F10"/>
    <w:rsid w:val="009941E9"/>
    <w:rsid w:val="00994CAD"/>
    <w:rsid w:val="00995290"/>
    <w:rsid w:val="00995B11"/>
    <w:rsid w:val="00996EB9"/>
    <w:rsid w:val="009971E8"/>
    <w:rsid w:val="00997353"/>
    <w:rsid w:val="009975A4"/>
    <w:rsid w:val="009A0083"/>
    <w:rsid w:val="009A1B2D"/>
    <w:rsid w:val="009A28C2"/>
    <w:rsid w:val="009A41BF"/>
    <w:rsid w:val="009A5E02"/>
    <w:rsid w:val="009A61A1"/>
    <w:rsid w:val="009A6475"/>
    <w:rsid w:val="009A6A43"/>
    <w:rsid w:val="009A78C0"/>
    <w:rsid w:val="009B0251"/>
    <w:rsid w:val="009B13EF"/>
    <w:rsid w:val="009B292F"/>
    <w:rsid w:val="009B2AFE"/>
    <w:rsid w:val="009B61EC"/>
    <w:rsid w:val="009B63FF"/>
    <w:rsid w:val="009B66CC"/>
    <w:rsid w:val="009C15E7"/>
    <w:rsid w:val="009C20DC"/>
    <w:rsid w:val="009C292F"/>
    <w:rsid w:val="009C49EA"/>
    <w:rsid w:val="009C6B0F"/>
    <w:rsid w:val="009C78CF"/>
    <w:rsid w:val="009D2CE0"/>
    <w:rsid w:val="009D45DA"/>
    <w:rsid w:val="009D4DA4"/>
    <w:rsid w:val="009D4EB2"/>
    <w:rsid w:val="009D5BFA"/>
    <w:rsid w:val="009D6DDC"/>
    <w:rsid w:val="009E1E0B"/>
    <w:rsid w:val="009E245D"/>
    <w:rsid w:val="009E2D15"/>
    <w:rsid w:val="009E3AD9"/>
    <w:rsid w:val="009E3DB6"/>
    <w:rsid w:val="009E407F"/>
    <w:rsid w:val="009E49FB"/>
    <w:rsid w:val="009E5DD0"/>
    <w:rsid w:val="009E719E"/>
    <w:rsid w:val="009E7504"/>
    <w:rsid w:val="009F06DA"/>
    <w:rsid w:val="009F0FDC"/>
    <w:rsid w:val="009F2498"/>
    <w:rsid w:val="009F3B06"/>
    <w:rsid w:val="009F427F"/>
    <w:rsid w:val="009F458A"/>
    <w:rsid w:val="009F4954"/>
    <w:rsid w:val="009F5741"/>
    <w:rsid w:val="009F7A28"/>
    <w:rsid w:val="00A00088"/>
    <w:rsid w:val="00A007F6"/>
    <w:rsid w:val="00A00E11"/>
    <w:rsid w:val="00A00FDE"/>
    <w:rsid w:val="00A024FB"/>
    <w:rsid w:val="00A028DB"/>
    <w:rsid w:val="00A02F37"/>
    <w:rsid w:val="00A036E8"/>
    <w:rsid w:val="00A041F3"/>
    <w:rsid w:val="00A04288"/>
    <w:rsid w:val="00A05BC0"/>
    <w:rsid w:val="00A10281"/>
    <w:rsid w:val="00A10AAC"/>
    <w:rsid w:val="00A120E7"/>
    <w:rsid w:val="00A1229E"/>
    <w:rsid w:val="00A12DBB"/>
    <w:rsid w:val="00A1325D"/>
    <w:rsid w:val="00A15A2B"/>
    <w:rsid w:val="00A17C9F"/>
    <w:rsid w:val="00A2008E"/>
    <w:rsid w:val="00A200C9"/>
    <w:rsid w:val="00A2117B"/>
    <w:rsid w:val="00A21668"/>
    <w:rsid w:val="00A225CB"/>
    <w:rsid w:val="00A22907"/>
    <w:rsid w:val="00A238CF"/>
    <w:rsid w:val="00A24DCB"/>
    <w:rsid w:val="00A2578E"/>
    <w:rsid w:val="00A260FF"/>
    <w:rsid w:val="00A26A19"/>
    <w:rsid w:val="00A27B81"/>
    <w:rsid w:val="00A30262"/>
    <w:rsid w:val="00A30DB3"/>
    <w:rsid w:val="00A31F2E"/>
    <w:rsid w:val="00A32879"/>
    <w:rsid w:val="00A3289B"/>
    <w:rsid w:val="00A32C7B"/>
    <w:rsid w:val="00A33DD7"/>
    <w:rsid w:val="00A33DF3"/>
    <w:rsid w:val="00A35D6C"/>
    <w:rsid w:val="00A364A6"/>
    <w:rsid w:val="00A370E3"/>
    <w:rsid w:val="00A37A9B"/>
    <w:rsid w:val="00A41187"/>
    <w:rsid w:val="00A4128B"/>
    <w:rsid w:val="00A41526"/>
    <w:rsid w:val="00A4375E"/>
    <w:rsid w:val="00A440DB"/>
    <w:rsid w:val="00A44227"/>
    <w:rsid w:val="00A464C8"/>
    <w:rsid w:val="00A46998"/>
    <w:rsid w:val="00A46BDC"/>
    <w:rsid w:val="00A47091"/>
    <w:rsid w:val="00A4727E"/>
    <w:rsid w:val="00A50FE5"/>
    <w:rsid w:val="00A51128"/>
    <w:rsid w:val="00A52734"/>
    <w:rsid w:val="00A53397"/>
    <w:rsid w:val="00A54796"/>
    <w:rsid w:val="00A56643"/>
    <w:rsid w:val="00A57258"/>
    <w:rsid w:val="00A57A24"/>
    <w:rsid w:val="00A57F3D"/>
    <w:rsid w:val="00A607ED"/>
    <w:rsid w:val="00A61033"/>
    <w:rsid w:val="00A615B2"/>
    <w:rsid w:val="00A63221"/>
    <w:rsid w:val="00A64D99"/>
    <w:rsid w:val="00A64DBB"/>
    <w:rsid w:val="00A65FCB"/>
    <w:rsid w:val="00A669DF"/>
    <w:rsid w:val="00A66D93"/>
    <w:rsid w:val="00A7021E"/>
    <w:rsid w:val="00A70772"/>
    <w:rsid w:val="00A70ED4"/>
    <w:rsid w:val="00A71975"/>
    <w:rsid w:val="00A72739"/>
    <w:rsid w:val="00A734F5"/>
    <w:rsid w:val="00A73792"/>
    <w:rsid w:val="00A7421A"/>
    <w:rsid w:val="00A74DC4"/>
    <w:rsid w:val="00A752C2"/>
    <w:rsid w:val="00A7610B"/>
    <w:rsid w:val="00A76297"/>
    <w:rsid w:val="00A76803"/>
    <w:rsid w:val="00A76B1B"/>
    <w:rsid w:val="00A80D90"/>
    <w:rsid w:val="00A80F5F"/>
    <w:rsid w:val="00A81F59"/>
    <w:rsid w:val="00A82197"/>
    <w:rsid w:val="00A82B75"/>
    <w:rsid w:val="00A82E58"/>
    <w:rsid w:val="00A8315B"/>
    <w:rsid w:val="00A83AC7"/>
    <w:rsid w:val="00A83D0B"/>
    <w:rsid w:val="00A840E8"/>
    <w:rsid w:val="00A85269"/>
    <w:rsid w:val="00A85E50"/>
    <w:rsid w:val="00A861F5"/>
    <w:rsid w:val="00A90A3C"/>
    <w:rsid w:val="00A90F41"/>
    <w:rsid w:val="00A91DC8"/>
    <w:rsid w:val="00A92026"/>
    <w:rsid w:val="00A92985"/>
    <w:rsid w:val="00A92BA1"/>
    <w:rsid w:val="00A92F38"/>
    <w:rsid w:val="00A942BE"/>
    <w:rsid w:val="00A949FC"/>
    <w:rsid w:val="00A94CAC"/>
    <w:rsid w:val="00A95207"/>
    <w:rsid w:val="00A964A2"/>
    <w:rsid w:val="00A966FB"/>
    <w:rsid w:val="00A96C2D"/>
    <w:rsid w:val="00A97160"/>
    <w:rsid w:val="00A97E08"/>
    <w:rsid w:val="00AA0484"/>
    <w:rsid w:val="00AA05B1"/>
    <w:rsid w:val="00AA1453"/>
    <w:rsid w:val="00AA1712"/>
    <w:rsid w:val="00AA1E28"/>
    <w:rsid w:val="00AA2084"/>
    <w:rsid w:val="00AA2740"/>
    <w:rsid w:val="00AA2ED6"/>
    <w:rsid w:val="00AA3D1B"/>
    <w:rsid w:val="00AA3FCB"/>
    <w:rsid w:val="00AA4127"/>
    <w:rsid w:val="00AA416C"/>
    <w:rsid w:val="00AA459F"/>
    <w:rsid w:val="00AA4643"/>
    <w:rsid w:val="00AA5A3C"/>
    <w:rsid w:val="00AA6664"/>
    <w:rsid w:val="00AA7290"/>
    <w:rsid w:val="00AA7560"/>
    <w:rsid w:val="00AB06B4"/>
    <w:rsid w:val="00AB06CD"/>
    <w:rsid w:val="00AB0760"/>
    <w:rsid w:val="00AB0768"/>
    <w:rsid w:val="00AB153E"/>
    <w:rsid w:val="00AB1717"/>
    <w:rsid w:val="00AB1CC6"/>
    <w:rsid w:val="00AB26BC"/>
    <w:rsid w:val="00AB3EF1"/>
    <w:rsid w:val="00AB4FDD"/>
    <w:rsid w:val="00AB52EF"/>
    <w:rsid w:val="00AB57D1"/>
    <w:rsid w:val="00AB63B6"/>
    <w:rsid w:val="00AB6BC3"/>
    <w:rsid w:val="00AC0240"/>
    <w:rsid w:val="00AC220E"/>
    <w:rsid w:val="00AC2816"/>
    <w:rsid w:val="00AC2EC1"/>
    <w:rsid w:val="00AC30E1"/>
    <w:rsid w:val="00AC3605"/>
    <w:rsid w:val="00AC3A8C"/>
    <w:rsid w:val="00AC42CD"/>
    <w:rsid w:val="00AC6A30"/>
    <w:rsid w:val="00AC73F7"/>
    <w:rsid w:val="00AC7450"/>
    <w:rsid w:val="00AC7467"/>
    <w:rsid w:val="00AD0385"/>
    <w:rsid w:val="00AD0AF1"/>
    <w:rsid w:val="00AD17A6"/>
    <w:rsid w:val="00AD2469"/>
    <w:rsid w:val="00AD2479"/>
    <w:rsid w:val="00AD2FD1"/>
    <w:rsid w:val="00AD6373"/>
    <w:rsid w:val="00AD7532"/>
    <w:rsid w:val="00AE0347"/>
    <w:rsid w:val="00AE080E"/>
    <w:rsid w:val="00AE096A"/>
    <w:rsid w:val="00AE0DD3"/>
    <w:rsid w:val="00AE146F"/>
    <w:rsid w:val="00AE248E"/>
    <w:rsid w:val="00AE2652"/>
    <w:rsid w:val="00AE2D85"/>
    <w:rsid w:val="00AE3B4E"/>
    <w:rsid w:val="00AE4D0B"/>
    <w:rsid w:val="00AE52B4"/>
    <w:rsid w:val="00AE572C"/>
    <w:rsid w:val="00AE601A"/>
    <w:rsid w:val="00AE63C7"/>
    <w:rsid w:val="00AE69F3"/>
    <w:rsid w:val="00AE6DC0"/>
    <w:rsid w:val="00AE7C1C"/>
    <w:rsid w:val="00AF0082"/>
    <w:rsid w:val="00AF12C4"/>
    <w:rsid w:val="00AF1AB4"/>
    <w:rsid w:val="00AF1DAF"/>
    <w:rsid w:val="00AF280A"/>
    <w:rsid w:val="00AF2EA2"/>
    <w:rsid w:val="00AF3678"/>
    <w:rsid w:val="00AF41A9"/>
    <w:rsid w:val="00AF4864"/>
    <w:rsid w:val="00AF4BC4"/>
    <w:rsid w:val="00AF5BA9"/>
    <w:rsid w:val="00B00026"/>
    <w:rsid w:val="00B0089B"/>
    <w:rsid w:val="00B00AAB"/>
    <w:rsid w:val="00B00D1E"/>
    <w:rsid w:val="00B00DB6"/>
    <w:rsid w:val="00B020BB"/>
    <w:rsid w:val="00B02513"/>
    <w:rsid w:val="00B03FA4"/>
    <w:rsid w:val="00B04667"/>
    <w:rsid w:val="00B04F20"/>
    <w:rsid w:val="00B04F53"/>
    <w:rsid w:val="00B05FE2"/>
    <w:rsid w:val="00B0778D"/>
    <w:rsid w:val="00B07E7F"/>
    <w:rsid w:val="00B13C1D"/>
    <w:rsid w:val="00B15120"/>
    <w:rsid w:val="00B15AE1"/>
    <w:rsid w:val="00B17321"/>
    <w:rsid w:val="00B1798E"/>
    <w:rsid w:val="00B17C69"/>
    <w:rsid w:val="00B17E9F"/>
    <w:rsid w:val="00B20956"/>
    <w:rsid w:val="00B20DF7"/>
    <w:rsid w:val="00B21CC3"/>
    <w:rsid w:val="00B22CEC"/>
    <w:rsid w:val="00B24D81"/>
    <w:rsid w:val="00B26BB5"/>
    <w:rsid w:val="00B2709B"/>
    <w:rsid w:val="00B270C0"/>
    <w:rsid w:val="00B27FF7"/>
    <w:rsid w:val="00B30C19"/>
    <w:rsid w:val="00B30DEB"/>
    <w:rsid w:val="00B3126C"/>
    <w:rsid w:val="00B31AAB"/>
    <w:rsid w:val="00B31F93"/>
    <w:rsid w:val="00B32E70"/>
    <w:rsid w:val="00B32F0F"/>
    <w:rsid w:val="00B33993"/>
    <w:rsid w:val="00B33C76"/>
    <w:rsid w:val="00B34393"/>
    <w:rsid w:val="00B34A74"/>
    <w:rsid w:val="00B35357"/>
    <w:rsid w:val="00B35881"/>
    <w:rsid w:val="00B35CE9"/>
    <w:rsid w:val="00B36B76"/>
    <w:rsid w:val="00B36DA6"/>
    <w:rsid w:val="00B37279"/>
    <w:rsid w:val="00B377F1"/>
    <w:rsid w:val="00B40080"/>
    <w:rsid w:val="00B410D5"/>
    <w:rsid w:val="00B4119D"/>
    <w:rsid w:val="00B41280"/>
    <w:rsid w:val="00B418C4"/>
    <w:rsid w:val="00B42303"/>
    <w:rsid w:val="00B42798"/>
    <w:rsid w:val="00B42F8A"/>
    <w:rsid w:val="00B43D0F"/>
    <w:rsid w:val="00B44785"/>
    <w:rsid w:val="00B44B1B"/>
    <w:rsid w:val="00B45C1B"/>
    <w:rsid w:val="00B477D1"/>
    <w:rsid w:val="00B47836"/>
    <w:rsid w:val="00B50A78"/>
    <w:rsid w:val="00B514E5"/>
    <w:rsid w:val="00B52562"/>
    <w:rsid w:val="00B54FD3"/>
    <w:rsid w:val="00B55502"/>
    <w:rsid w:val="00B55580"/>
    <w:rsid w:val="00B5625E"/>
    <w:rsid w:val="00B563E0"/>
    <w:rsid w:val="00B5684E"/>
    <w:rsid w:val="00B57C48"/>
    <w:rsid w:val="00B57EC0"/>
    <w:rsid w:val="00B60067"/>
    <w:rsid w:val="00B60762"/>
    <w:rsid w:val="00B60E0B"/>
    <w:rsid w:val="00B63029"/>
    <w:rsid w:val="00B63BE7"/>
    <w:rsid w:val="00B64132"/>
    <w:rsid w:val="00B64EED"/>
    <w:rsid w:val="00B65500"/>
    <w:rsid w:val="00B66FB6"/>
    <w:rsid w:val="00B67682"/>
    <w:rsid w:val="00B6795A"/>
    <w:rsid w:val="00B702B4"/>
    <w:rsid w:val="00B70B12"/>
    <w:rsid w:val="00B70F44"/>
    <w:rsid w:val="00B71441"/>
    <w:rsid w:val="00B731B5"/>
    <w:rsid w:val="00B73807"/>
    <w:rsid w:val="00B7399D"/>
    <w:rsid w:val="00B73DDF"/>
    <w:rsid w:val="00B7402C"/>
    <w:rsid w:val="00B76A82"/>
    <w:rsid w:val="00B76DCD"/>
    <w:rsid w:val="00B8081E"/>
    <w:rsid w:val="00B80842"/>
    <w:rsid w:val="00B80E07"/>
    <w:rsid w:val="00B81259"/>
    <w:rsid w:val="00B81AC1"/>
    <w:rsid w:val="00B81B68"/>
    <w:rsid w:val="00B82CFD"/>
    <w:rsid w:val="00B83B45"/>
    <w:rsid w:val="00B84497"/>
    <w:rsid w:val="00B84A42"/>
    <w:rsid w:val="00B8627D"/>
    <w:rsid w:val="00B87292"/>
    <w:rsid w:val="00B87787"/>
    <w:rsid w:val="00B90127"/>
    <w:rsid w:val="00B90E4D"/>
    <w:rsid w:val="00B91266"/>
    <w:rsid w:val="00B915E1"/>
    <w:rsid w:val="00B924ED"/>
    <w:rsid w:val="00B93F25"/>
    <w:rsid w:val="00B94926"/>
    <w:rsid w:val="00B949DB"/>
    <w:rsid w:val="00B94ECD"/>
    <w:rsid w:val="00B94FEA"/>
    <w:rsid w:val="00B95506"/>
    <w:rsid w:val="00B95E7A"/>
    <w:rsid w:val="00B963DB"/>
    <w:rsid w:val="00B96AC8"/>
    <w:rsid w:val="00B974B1"/>
    <w:rsid w:val="00B97B8F"/>
    <w:rsid w:val="00B97D78"/>
    <w:rsid w:val="00BA0604"/>
    <w:rsid w:val="00BA0683"/>
    <w:rsid w:val="00BA120D"/>
    <w:rsid w:val="00BA164E"/>
    <w:rsid w:val="00BA1E03"/>
    <w:rsid w:val="00BA37AB"/>
    <w:rsid w:val="00BA4161"/>
    <w:rsid w:val="00BA5055"/>
    <w:rsid w:val="00BA5B5E"/>
    <w:rsid w:val="00BA63FE"/>
    <w:rsid w:val="00BA7562"/>
    <w:rsid w:val="00BA790F"/>
    <w:rsid w:val="00BB0080"/>
    <w:rsid w:val="00BB06FB"/>
    <w:rsid w:val="00BB0FB8"/>
    <w:rsid w:val="00BB12DF"/>
    <w:rsid w:val="00BB1320"/>
    <w:rsid w:val="00BB1597"/>
    <w:rsid w:val="00BB1E0D"/>
    <w:rsid w:val="00BB357E"/>
    <w:rsid w:val="00BB48A4"/>
    <w:rsid w:val="00BB4B71"/>
    <w:rsid w:val="00BB528B"/>
    <w:rsid w:val="00BB5D21"/>
    <w:rsid w:val="00BB614E"/>
    <w:rsid w:val="00BB6A93"/>
    <w:rsid w:val="00BB7561"/>
    <w:rsid w:val="00BB7B7A"/>
    <w:rsid w:val="00BB7C32"/>
    <w:rsid w:val="00BC032F"/>
    <w:rsid w:val="00BC097C"/>
    <w:rsid w:val="00BC0F51"/>
    <w:rsid w:val="00BC1BB7"/>
    <w:rsid w:val="00BC2362"/>
    <w:rsid w:val="00BC3D6E"/>
    <w:rsid w:val="00BD049B"/>
    <w:rsid w:val="00BD228D"/>
    <w:rsid w:val="00BD294A"/>
    <w:rsid w:val="00BD2D98"/>
    <w:rsid w:val="00BD4257"/>
    <w:rsid w:val="00BD5322"/>
    <w:rsid w:val="00BD540C"/>
    <w:rsid w:val="00BD5662"/>
    <w:rsid w:val="00BD5D66"/>
    <w:rsid w:val="00BD61F6"/>
    <w:rsid w:val="00BD64BE"/>
    <w:rsid w:val="00BD6684"/>
    <w:rsid w:val="00BD6AA9"/>
    <w:rsid w:val="00BD723E"/>
    <w:rsid w:val="00BD7381"/>
    <w:rsid w:val="00BE0025"/>
    <w:rsid w:val="00BE02F9"/>
    <w:rsid w:val="00BE0B0B"/>
    <w:rsid w:val="00BE10A8"/>
    <w:rsid w:val="00BE131D"/>
    <w:rsid w:val="00BE13A3"/>
    <w:rsid w:val="00BE17A9"/>
    <w:rsid w:val="00BE1911"/>
    <w:rsid w:val="00BE2DFB"/>
    <w:rsid w:val="00BE3940"/>
    <w:rsid w:val="00BE4A1F"/>
    <w:rsid w:val="00BE7287"/>
    <w:rsid w:val="00BF105D"/>
    <w:rsid w:val="00BF1FD8"/>
    <w:rsid w:val="00BF2C52"/>
    <w:rsid w:val="00BF304C"/>
    <w:rsid w:val="00BF4DC8"/>
    <w:rsid w:val="00BF539E"/>
    <w:rsid w:val="00BF5FCB"/>
    <w:rsid w:val="00BF6D8C"/>
    <w:rsid w:val="00BF79F8"/>
    <w:rsid w:val="00C0101E"/>
    <w:rsid w:val="00C0189D"/>
    <w:rsid w:val="00C01978"/>
    <w:rsid w:val="00C02363"/>
    <w:rsid w:val="00C0246C"/>
    <w:rsid w:val="00C02498"/>
    <w:rsid w:val="00C03AA5"/>
    <w:rsid w:val="00C04C61"/>
    <w:rsid w:val="00C07BA5"/>
    <w:rsid w:val="00C10D9C"/>
    <w:rsid w:val="00C11813"/>
    <w:rsid w:val="00C13D13"/>
    <w:rsid w:val="00C13D95"/>
    <w:rsid w:val="00C1503A"/>
    <w:rsid w:val="00C16A8A"/>
    <w:rsid w:val="00C170C3"/>
    <w:rsid w:val="00C171D4"/>
    <w:rsid w:val="00C17334"/>
    <w:rsid w:val="00C17F30"/>
    <w:rsid w:val="00C20BAE"/>
    <w:rsid w:val="00C2172A"/>
    <w:rsid w:val="00C24BF3"/>
    <w:rsid w:val="00C25037"/>
    <w:rsid w:val="00C254EF"/>
    <w:rsid w:val="00C26AEE"/>
    <w:rsid w:val="00C2706D"/>
    <w:rsid w:val="00C30175"/>
    <w:rsid w:val="00C302E7"/>
    <w:rsid w:val="00C30596"/>
    <w:rsid w:val="00C30E91"/>
    <w:rsid w:val="00C30E9C"/>
    <w:rsid w:val="00C32927"/>
    <w:rsid w:val="00C32B80"/>
    <w:rsid w:val="00C32D1D"/>
    <w:rsid w:val="00C32FAB"/>
    <w:rsid w:val="00C34A65"/>
    <w:rsid w:val="00C356FA"/>
    <w:rsid w:val="00C3729F"/>
    <w:rsid w:val="00C3748F"/>
    <w:rsid w:val="00C375CE"/>
    <w:rsid w:val="00C37D14"/>
    <w:rsid w:val="00C40D93"/>
    <w:rsid w:val="00C4511A"/>
    <w:rsid w:val="00C46751"/>
    <w:rsid w:val="00C46FCB"/>
    <w:rsid w:val="00C47549"/>
    <w:rsid w:val="00C503E1"/>
    <w:rsid w:val="00C524B9"/>
    <w:rsid w:val="00C53F30"/>
    <w:rsid w:val="00C54581"/>
    <w:rsid w:val="00C545A7"/>
    <w:rsid w:val="00C54A97"/>
    <w:rsid w:val="00C565AA"/>
    <w:rsid w:val="00C5755A"/>
    <w:rsid w:val="00C577EC"/>
    <w:rsid w:val="00C5786E"/>
    <w:rsid w:val="00C57CAC"/>
    <w:rsid w:val="00C57DAF"/>
    <w:rsid w:val="00C606A0"/>
    <w:rsid w:val="00C60C23"/>
    <w:rsid w:val="00C60CBD"/>
    <w:rsid w:val="00C6148D"/>
    <w:rsid w:val="00C62872"/>
    <w:rsid w:val="00C62914"/>
    <w:rsid w:val="00C62AF0"/>
    <w:rsid w:val="00C646FB"/>
    <w:rsid w:val="00C64B40"/>
    <w:rsid w:val="00C64CAB"/>
    <w:rsid w:val="00C654D9"/>
    <w:rsid w:val="00C66146"/>
    <w:rsid w:val="00C67182"/>
    <w:rsid w:val="00C67409"/>
    <w:rsid w:val="00C67874"/>
    <w:rsid w:val="00C67923"/>
    <w:rsid w:val="00C67CAE"/>
    <w:rsid w:val="00C70101"/>
    <w:rsid w:val="00C704B3"/>
    <w:rsid w:val="00C70891"/>
    <w:rsid w:val="00C70AF9"/>
    <w:rsid w:val="00C70CE1"/>
    <w:rsid w:val="00C70D55"/>
    <w:rsid w:val="00C71EFB"/>
    <w:rsid w:val="00C72498"/>
    <w:rsid w:val="00C72C56"/>
    <w:rsid w:val="00C73093"/>
    <w:rsid w:val="00C74F67"/>
    <w:rsid w:val="00C74FED"/>
    <w:rsid w:val="00C7544D"/>
    <w:rsid w:val="00C75760"/>
    <w:rsid w:val="00C77265"/>
    <w:rsid w:val="00C77F42"/>
    <w:rsid w:val="00C814B5"/>
    <w:rsid w:val="00C823ED"/>
    <w:rsid w:val="00C8294D"/>
    <w:rsid w:val="00C82C02"/>
    <w:rsid w:val="00C82C0E"/>
    <w:rsid w:val="00C82D4D"/>
    <w:rsid w:val="00C83C8F"/>
    <w:rsid w:val="00C86049"/>
    <w:rsid w:val="00C8639B"/>
    <w:rsid w:val="00C86431"/>
    <w:rsid w:val="00C87755"/>
    <w:rsid w:val="00C9054B"/>
    <w:rsid w:val="00C91704"/>
    <w:rsid w:val="00C91A8E"/>
    <w:rsid w:val="00C91A92"/>
    <w:rsid w:val="00C9242B"/>
    <w:rsid w:val="00C9257E"/>
    <w:rsid w:val="00C92C89"/>
    <w:rsid w:val="00C955EE"/>
    <w:rsid w:val="00C9596D"/>
    <w:rsid w:val="00C96009"/>
    <w:rsid w:val="00C96F7D"/>
    <w:rsid w:val="00C97613"/>
    <w:rsid w:val="00CA0D0B"/>
    <w:rsid w:val="00CA0FC8"/>
    <w:rsid w:val="00CA134A"/>
    <w:rsid w:val="00CA1565"/>
    <w:rsid w:val="00CA1DD2"/>
    <w:rsid w:val="00CA2225"/>
    <w:rsid w:val="00CA2A73"/>
    <w:rsid w:val="00CA2D44"/>
    <w:rsid w:val="00CA370D"/>
    <w:rsid w:val="00CA3869"/>
    <w:rsid w:val="00CA38B7"/>
    <w:rsid w:val="00CA4829"/>
    <w:rsid w:val="00CA5495"/>
    <w:rsid w:val="00CA5B75"/>
    <w:rsid w:val="00CA6428"/>
    <w:rsid w:val="00CB0065"/>
    <w:rsid w:val="00CB05DD"/>
    <w:rsid w:val="00CB2EF1"/>
    <w:rsid w:val="00CB32D8"/>
    <w:rsid w:val="00CB37A6"/>
    <w:rsid w:val="00CB38D3"/>
    <w:rsid w:val="00CB5D3E"/>
    <w:rsid w:val="00CB5DB3"/>
    <w:rsid w:val="00CB601A"/>
    <w:rsid w:val="00CC2A1F"/>
    <w:rsid w:val="00CC2CFA"/>
    <w:rsid w:val="00CC3A3A"/>
    <w:rsid w:val="00CC44DE"/>
    <w:rsid w:val="00CC45EB"/>
    <w:rsid w:val="00CC49DA"/>
    <w:rsid w:val="00CC55B9"/>
    <w:rsid w:val="00CC7D1A"/>
    <w:rsid w:val="00CD097A"/>
    <w:rsid w:val="00CD0E8F"/>
    <w:rsid w:val="00CD1903"/>
    <w:rsid w:val="00CD19FE"/>
    <w:rsid w:val="00CD249A"/>
    <w:rsid w:val="00CD3A91"/>
    <w:rsid w:val="00CD460A"/>
    <w:rsid w:val="00CD4B85"/>
    <w:rsid w:val="00CD5C0D"/>
    <w:rsid w:val="00CD7463"/>
    <w:rsid w:val="00CD7E6B"/>
    <w:rsid w:val="00CE00A1"/>
    <w:rsid w:val="00CE1006"/>
    <w:rsid w:val="00CE16D2"/>
    <w:rsid w:val="00CE198D"/>
    <w:rsid w:val="00CE2116"/>
    <w:rsid w:val="00CE2F15"/>
    <w:rsid w:val="00CE3A07"/>
    <w:rsid w:val="00CE47CA"/>
    <w:rsid w:val="00CE5177"/>
    <w:rsid w:val="00CE51DC"/>
    <w:rsid w:val="00CE5ACF"/>
    <w:rsid w:val="00CE6CF9"/>
    <w:rsid w:val="00CE70AE"/>
    <w:rsid w:val="00CF0A87"/>
    <w:rsid w:val="00CF15EA"/>
    <w:rsid w:val="00CF1A1F"/>
    <w:rsid w:val="00CF20F8"/>
    <w:rsid w:val="00CF2158"/>
    <w:rsid w:val="00CF2A0E"/>
    <w:rsid w:val="00CF345C"/>
    <w:rsid w:val="00CF36A7"/>
    <w:rsid w:val="00CF3EE0"/>
    <w:rsid w:val="00CF703C"/>
    <w:rsid w:val="00D00AEE"/>
    <w:rsid w:val="00D00BAB"/>
    <w:rsid w:val="00D0139E"/>
    <w:rsid w:val="00D01FB2"/>
    <w:rsid w:val="00D02073"/>
    <w:rsid w:val="00D031C4"/>
    <w:rsid w:val="00D0353C"/>
    <w:rsid w:val="00D03B20"/>
    <w:rsid w:val="00D04676"/>
    <w:rsid w:val="00D059EC"/>
    <w:rsid w:val="00D061DD"/>
    <w:rsid w:val="00D0738A"/>
    <w:rsid w:val="00D10BE7"/>
    <w:rsid w:val="00D116FA"/>
    <w:rsid w:val="00D128ED"/>
    <w:rsid w:val="00D13460"/>
    <w:rsid w:val="00D134D3"/>
    <w:rsid w:val="00D144DC"/>
    <w:rsid w:val="00D1516E"/>
    <w:rsid w:val="00D160CB"/>
    <w:rsid w:val="00D16D9F"/>
    <w:rsid w:val="00D16F94"/>
    <w:rsid w:val="00D172C5"/>
    <w:rsid w:val="00D1760C"/>
    <w:rsid w:val="00D20281"/>
    <w:rsid w:val="00D20418"/>
    <w:rsid w:val="00D20675"/>
    <w:rsid w:val="00D21054"/>
    <w:rsid w:val="00D2158E"/>
    <w:rsid w:val="00D21FB9"/>
    <w:rsid w:val="00D227B2"/>
    <w:rsid w:val="00D22E9F"/>
    <w:rsid w:val="00D23593"/>
    <w:rsid w:val="00D23D3C"/>
    <w:rsid w:val="00D258D0"/>
    <w:rsid w:val="00D25A24"/>
    <w:rsid w:val="00D26C6E"/>
    <w:rsid w:val="00D275CD"/>
    <w:rsid w:val="00D27E4C"/>
    <w:rsid w:val="00D3040C"/>
    <w:rsid w:val="00D315B8"/>
    <w:rsid w:val="00D32E92"/>
    <w:rsid w:val="00D331A4"/>
    <w:rsid w:val="00D334F4"/>
    <w:rsid w:val="00D33962"/>
    <w:rsid w:val="00D339F9"/>
    <w:rsid w:val="00D345CD"/>
    <w:rsid w:val="00D40647"/>
    <w:rsid w:val="00D40AAD"/>
    <w:rsid w:val="00D42679"/>
    <w:rsid w:val="00D43BD7"/>
    <w:rsid w:val="00D45D12"/>
    <w:rsid w:val="00D46528"/>
    <w:rsid w:val="00D465D4"/>
    <w:rsid w:val="00D47696"/>
    <w:rsid w:val="00D51823"/>
    <w:rsid w:val="00D51E79"/>
    <w:rsid w:val="00D545E5"/>
    <w:rsid w:val="00D553F8"/>
    <w:rsid w:val="00D55D6E"/>
    <w:rsid w:val="00D56B43"/>
    <w:rsid w:val="00D57677"/>
    <w:rsid w:val="00D61025"/>
    <w:rsid w:val="00D610E2"/>
    <w:rsid w:val="00D62795"/>
    <w:rsid w:val="00D63351"/>
    <w:rsid w:val="00D64E68"/>
    <w:rsid w:val="00D64FB5"/>
    <w:rsid w:val="00D651DC"/>
    <w:rsid w:val="00D65851"/>
    <w:rsid w:val="00D664F2"/>
    <w:rsid w:val="00D676D9"/>
    <w:rsid w:val="00D7000C"/>
    <w:rsid w:val="00D702CC"/>
    <w:rsid w:val="00D71175"/>
    <w:rsid w:val="00D72AAE"/>
    <w:rsid w:val="00D7328F"/>
    <w:rsid w:val="00D735CE"/>
    <w:rsid w:val="00D73CF8"/>
    <w:rsid w:val="00D7426E"/>
    <w:rsid w:val="00D74F02"/>
    <w:rsid w:val="00D75B43"/>
    <w:rsid w:val="00D76B0A"/>
    <w:rsid w:val="00D77D1F"/>
    <w:rsid w:val="00D80C66"/>
    <w:rsid w:val="00D80FE6"/>
    <w:rsid w:val="00D8158B"/>
    <w:rsid w:val="00D81B53"/>
    <w:rsid w:val="00D81FB7"/>
    <w:rsid w:val="00D8221B"/>
    <w:rsid w:val="00D82E1F"/>
    <w:rsid w:val="00D8348F"/>
    <w:rsid w:val="00D835ED"/>
    <w:rsid w:val="00D836F3"/>
    <w:rsid w:val="00D8380C"/>
    <w:rsid w:val="00D84339"/>
    <w:rsid w:val="00D8531A"/>
    <w:rsid w:val="00D85CC5"/>
    <w:rsid w:val="00D865BA"/>
    <w:rsid w:val="00D86D5F"/>
    <w:rsid w:val="00D87B5E"/>
    <w:rsid w:val="00D907AA"/>
    <w:rsid w:val="00D90BC3"/>
    <w:rsid w:val="00D90E2D"/>
    <w:rsid w:val="00D91E52"/>
    <w:rsid w:val="00D9399A"/>
    <w:rsid w:val="00D9471A"/>
    <w:rsid w:val="00D95744"/>
    <w:rsid w:val="00D962E0"/>
    <w:rsid w:val="00D96F06"/>
    <w:rsid w:val="00DA1A77"/>
    <w:rsid w:val="00DA1DD3"/>
    <w:rsid w:val="00DA268E"/>
    <w:rsid w:val="00DA28C8"/>
    <w:rsid w:val="00DA3FFE"/>
    <w:rsid w:val="00DA6DD6"/>
    <w:rsid w:val="00DA7037"/>
    <w:rsid w:val="00DA712F"/>
    <w:rsid w:val="00DA7607"/>
    <w:rsid w:val="00DA7E13"/>
    <w:rsid w:val="00DB036C"/>
    <w:rsid w:val="00DB0BC0"/>
    <w:rsid w:val="00DB0E1C"/>
    <w:rsid w:val="00DB2119"/>
    <w:rsid w:val="00DB229C"/>
    <w:rsid w:val="00DB29CB"/>
    <w:rsid w:val="00DB2F00"/>
    <w:rsid w:val="00DB31E6"/>
    <w:rsid w:val="00DB3781"/>
    <w:rsid w:val="00DB421F"/>
    <w:rsid w:val="00DB47DB"/>
    <w:rsid w:val="00DB4872"/>
    <w:rsid w:val="00DB4C76"/>
    <w:rsid w:val="00DB6087"/>
    <w:rsid w:val="00DB609A"/>
    <w:rsid w:val="00DB66BF"/>
    <w:rsid w:val="00DC03DD"/>
    <w:rsid w:val="00DC069C"/>
    <w:rsid w:val="00DC1111"/>
    <w:rsid w:val="00DC2650"/>
    <w:rsid w:val="00DC29FD"/>
    <w:rsid w:val="00DC3C1C"/>
    <w:rsid w:val="00DC3EB3"/>
    <w:rsid w:val="00DC43F2"/>
    <w:rsid w:val="00DC45EC"/>
    <w:rsid w:val="00DC4A2E"/>
    <w:rsid w:val="00DC549C"/>
    <w:rsid w:val="00DC5D63"/>
    <w:rsid w:val="00DC60F2"/>
    <w:rsid w:val="00DC6CE3"/>
    <w:rsid w:val="00DC7806"/>
    <w:rsid w:val="00DC7D85"/>
    <w:rsid w:val="00DD1360"/>
    <w:rsid w:val="00DD1E5C"/>
    <w:rsid w:val="00DD2151"/>
    <w:rsid w:val="00DD2E1A"/>
    <w:rsid w:val="00DD2E8E"/>
    <w:rsid w:val="00DD3967"/>
    <w:rsid w:val="00DD44E3"/>
    <w:rsid w:val="00DD6C58"/>
    <w:rsid w:val="00DD716F"/>
    <w:rsid w:val="00DD747C"/>
    <w:rsid w:val="00DD77FC"/>
    <w:rsid w:val="00DE105C"/>
    <w:rsid w:val="00DE1A65"/>
    <w:rsid w:val="00DE2173"/>
    <w:rsid w:val="00DE31D3"/>
    <w:rsid w:val="00DE358E"/>
    <w:rsid w:val="00DE39EE"/>
    <w:rsid w:val="00DE6494"/>
    <w:rsid w:val="00DE6556"/>
    <w:rsid w:val="00DE6E13"/>
    <w:rsid w:val="00DE7D6C"/>
    <w:rsid w:val="00DF06B7"/>
    <w:rsid w:val="00DF15AC"/>
    <w:rsid w:val="00DF2329"/>
    <w:rsid w:val="00DF277E"/>
    <w:rsid w:val="00DF2DC8"/>
    <w:rsid w:val="00DF42EA"/>
    <w:rsid w:val="00DF473F"/>
    <w:rsid w:val="00DF51D6"/>
    <w:rsid w:val="00DF5BB6"/>
    <w:rsid w:val="00DF683A"/>
    <w:rsid w:val="00DF6E53"/>
    <w:rsid w:val="00E001EC"/>
    <w:rsid w:val="00E00661"/>
    <w:rsid w:val="00E0086C"/>
    <w:rsid w:val="00E01E96"/>
    <w:rsid w:val="00E029FF"/>
    <w:rsid w:val="00E02D43"/>
    <w:rsid w:val="00E02DBA"/>
    <w:rsid w:val="00E03B18"/>
    <w:rsid w:val="00E059B0"/>
    <w:rsid w:val="00E06398"/>
    <w:rsid w:val="00E07BAE"/>
    <w:rsid w:val="00E07E56"/>
    <w:rsid w:val="00E10B18"/>
    <w:rsid w:val="00E111BB"/>
    <w:rsid w:val="00E1210E"/>
    <w:rsid w:val="00E12D76"/>
    <w:rsid w:val="00E12F96"/>
    <w:rsid w:val="00E139D7"/>
    <w:rsid w:val="00E13C26"/>
    <w:rsid w:val="00E140B1"/>
    <w:rsid w:val="00E14185"/>
    <w:rsid w:val="00E146AA"/>
    <w:rsid w:val="00E149A2"/>
    <w:rsid w:val="00E152A6"/>
    <w:rsid w:val="00E15C76"/>
    <w:rsid w:val="00E16509"/>
    <w:rsid w:val="00E16DA0"/>
    <w:rsid w:val="00E16F20"/>
    <w:rsid w:val="00E174BB"/>
    <w:rsid w:val="00E17CF8"/>
    <w:rsid w:val="00E211F7"/>
    <w:rsid w:val="00E212D3"/>
    <w:rsid w:val="00E21334"/>
    <w:rsid w:val="00E21591"/>
    <w:rsid w:val="00E22216"/>
    <w:rsid w:val="00E2244A"/>
    <w:rsid w:val="00E22490"/>
    <w:rsid w:val="00E22B50"/>
    <w:rsid w:val="00E24278"/>
    <w:rsid w:val="00E242F7"/>
    <w:rsid w:val="00E243E9"/>
    <w:rsid w:val="00E244EE"/>
    <w:rsid w:val="00E25A71"/>
    <w:rsid w:val="00E25B08"/>
    <w:rsid w:val="00E27B06"/>
    <w:rsid w:val="00E30800"/>
    <w:rsid w:val="00E30C9C"/>
    <w:rsid w:val="00E3249F"/>
    <w:rsid w:val="00E32F19"/>
    <w:rsid w:val="00E338E4"/>
    <w:rsid w:val="00E356BB"/>
    <w:rsid w:val="00E369F2"/>
    <w:rsid w:val="00E37540"/>
    <w:rsid w:val="00E37E87"/>
    <w:rsid w:val="00E40414"/>
    <w:rsid w:val="00E4056C"/>
    <w:rsid w:val="00E40CA4"/>
    <w:rsid w:val="00E426A8"/>
    <w:rsid w:val="00E43020"/>
    <w:rsid w:val="00E4319C"/>
    <w:rsid w:val="00E43F62"/>
    <w:rsid w:val="00E46DD3"/>
    <w:rsid w:val="00E506F9"/>
    <w:rsid w:val="00E5099B"/>
    <w:rsid w:val="00E52739"/>
    <w:rsid w:val="00E52880"/>
    <w:rsid w:val="00E532B7"/>
    <w:rsid w:val="00E53805"/>
    <w:rsid w:val="00E53DF4"/>
    <w:rsid w:val="00E54C0B"/>
    <w:rsid w:val="00E552CB"/>
    <w:rsid w:val="00E5677B"/>
    <w:rsid w:val="00E57092"/>
    <w:rsid w:val="00E57757"/>
    <w:rsid w:val="00E600D9"/>
    <w:rsid w:val="00E61C5B"/>
    <w:rsid w:val="00E62980"/>
    <w:rsid w:val="00E62DF5"/>
    <w:rsid w:val="00E6482B"/>
    <w:rsid w:val="00E64CC3"/>
    <w:rsid w:val="00E65406"/>
    <w:rsid w:val="00E65C5D"/>
    <w:rsid w:val="00E662F4"/>
    <w:rsid w:val="00E6696F"/>
    <w:rsid w:val="00E66E5B"/>
    <w:rsid w:val="00E70C3F"/>
    <w:rsid w:val="00E716BF"/>
    <w:rsid w:val="00E71D0B"/>
    <w:rsid w:val="00E7344B"/>
    <w:rsid w:val="00E737A0"/>
    <w:rsid w:val="00E73AC3"/>
    <w:rsid w:val="00E740FA"/>
    <w:rsid w:val="00E749AD"/>
    <w:rsid w:val="00E75038"/>
    <w:rsid w:val="00E76825"/>
    <w:rsid w:val="00E776FA"/>
    <w:rsid w:val="00E77B3B"/>
    <w:rsid w:val="00E804B6"/>
    <w:rsid w:val="00E820B8"/>
    <w:rsid w:val="00E8302F"/>
    <w:rsid w:val="00E834C7"/>
    <w:rsid w:val="00E84180"/>
    <w:rsid w:val="00E842F9"/>
    <w:rsid w:val="00E8440D"/>
    <w:rsid w:val="00E8567A"/>
    <w:rsid w:val="00E85D5A"/>
    <w:rsid w:val="00E8641F"/>
    <w:rsid w:val="00E87A63"/>
    <w:rsid w:val="00E90223"/>
    <w:rsid w:val="00E90744"/>
    <w:rsid w:val="00E913D4"/>
    <w:rsid w:val="00E91416"/>
    <w:rsid w:val="00E91D55"/>
    <w:rsid w:val="00E920C6"/>
    <w:rsid w:val="00E93282"/>
    <w:rsid w:val="00E936D1"/>
    <w:rsid w:val="00E937B0"/>
    <w:rsid w:val="00E94275"/>
    <w:rsid w:val="00E95783"/>
    <w:rsid w:val="00E9604B"/>
    <w:rsid w:val="00E97D95"/>
    <w:rsid w:val="00EA09CF"/>
    <w:rsid w:val="00EA0C84"/>
    <w:rsid w:val="00EA1268"/>
    <w:rsid w:val="00EA2248"/>
    <w:rsid w:val="00EA3304"/>
    <w:rsid w:val="00EA34AF"/>
    <w:rsid w:val="00EA350A"/>
    <w:rsid w:val="00EA36A0"/>
    <w:rsid w:val="00EA4030"/>
    <w:rsid w:val="00EA4601"/>
    <w:rsid w:val="00EA486E"/>
    <w:rsid w:val="00EA4D96"/>
    <w:rsid w:val="00EA5EF9"/>
    <w:rsid w:val="00EB1873"/>
    <w:rsid w:val="00EB194D"/>
    <w:rsid w:val="00EB27BB"/>
    <w:rsid w:val="00EB3819"/>
    <w:rsid w:val="00EB409A"/>
    <w:rsid w:val="00EB457C"/>
    <w:rsid w:val="00EB5E63"/>
    <w:rsid w:val="00EB66FA"/>
    <w:rsid w:val="00EB6778"/>
    <w:rsid w:val="00EB6B5F"/>
    <w:rsid w:val="00EB7E9B"/>
    <w:rsid w:val="00EC0D61"/>
    <w:rsid w:val="00EC0E93"/>
    <w:rsid w:val="00EC1297"/>
    <w:rsid w:val="00EC27EA"/>
    <w:rsid w:val="00EC2D35"/>
    <w:rsid w:val="00EC3EED"/>
    <w:rsid w:val="00EC5331"/>
    <w:rsid w:val="00EC575A"/>
    <w:rsid w:val="00EC7A0C"/>
    <w:rsid w:val="00EC7C2D"/>
    <w:rsid w:val="00ED0099"/>
    <w:rsid w:val="00ED08AC"/>
    <w:rsid w:val="00ED0DAA"/>
    <w:rsid w:val="00ED0F2A"/>
    <w:rsid w:val="00ED1CB1"/>
    <w:rsid w:val="00ED2078"/>
    <w:rsid w:val="00ED21CE"/>
    <w:rsid w:val="00ED2511"/>
    <w:rsid w:val="00ED28FD"/>
    <w:rsid w:val="00ED297E"/>
    <w:rsid w:val="00ED29BA"/>
    <w:rsid w:val="00ED3271"/>
    <w:rsid w:val="00ED477D"/>
    <w:rsid w:val="00ED4FEF"/>
    <w:rsid w:val="00ED5A66"/>
    <w:rsid w:val="00ED5AC8"/>
    <w:rsid w:val="00ED5D41"/>
    <w:rsid w:val="00ED7664"/>
    <w:rsid w:val="00ED7799"/>
    <w:rsid w:val="00ED7E10"/>
    <w:rsid w:val="00EE0B0B"/>
    <w:rsid w:val="00EE12FB"/>
    <w:rsid w:val="00EE1C97"/>
    <w:rsid w:val="00EE1E26"/>
    <w:rsid w:val="00EE2F31"/>
    <w:rsid w:val="00EE36B8"/>
    <w:rsid w:val="00EE3800"/>
    <w:rsid w:val="00EE4107"/>
    <w:rsid w:val="00EE577C"/>
    <w:rsid w:val="00EE5C2E"/>
    <w:rsid w:val="00EE6B3A"/>
    <w:rsid w:val="00EE7677"/>
    <w:rsid w:val="00EF057C"/>
    <w:rsid w:val="00EF163C"/>
    <w:rsid w:val="00EF740E"/>
    <w:rsid w:val="00F0094C"/>
    <w:rsid w:val="00F00CBA"/>
    <w:rsid w:val="00F01D92"/>
    <w:rsid w:val="00F02693"/>
    <w:rsid w:val="00F02E94"/>
    <w:rsid w:val="00F03976"/>
    <w:rsid w:val="00F03D67"/>
    <w:rsid w:val="00F03F3F"/>
    <w:rsid w:val="00F0430C"/>
    <w:rsid w:val="00F0435C"/>
    <w:rsid w:val="00F05FB0"/>
    <w:rsid w:val="00F0601E"/>
    <w:rsid w:val="00F0717B"/>
    <w:rsid w:val="00F07CFA"/>
    <w:rsid w:val="00F07E25"/>
    <w:rsid w:val="00F10650"/>
    <w:rsid w:val="00F10AAE"/>
    <w:rsid w:val="00F1107A"/>
    <w:rsid w:val="00F112C7"/>
    <w:rsid w:val="00F12210"/>
    <w:rsid w:val="00F13831"/>
    <w:rsid w:val="00F13D35"/>
    <w:rsid w:val="00F1592A"/>
    <w:rsid w:val="00F16D77"/>
    <w:rsid w:val="00F16ED6"/>
    <w:rsid w:val="00F20824"/>
    <w:rsid w:val="00F20C87"/>
    <w:rsid w:val="00F2100F"/>
    <w:rsid w:val="00F2178E"/>
    <w:rsid w:val="00F228CA"/>
    <w:rsid w:val="00F22E3E"/>
    <w:rsid w:val="00F22F57"/>
    <w:rsid w:val="00F23DBC"/>
    <w:rsid w:val="00F24912"/>
    <w:rsid w:val="00F2507B"/>
    <w:rsid w:val="00F256A5"/>
    <w:rsid w:val="00F25B2B"/>
    <w:rsid w:val="00F26476"/>
    <w:rsid w:val="00F26733"/>
    <w:rsid w:val="00F26AA1"/>
    <w:rsid w:val="00F26B78"/>
    <w:rsid w:val="00F270D4"/>
    <w:rsid w:val="00F30FA8"/>
    <w:rsid w:val="00F310AA"/>
    <w:rsid w:val="00F312DE"/>
    <w:rsid w:val="00F31573"/>
    <w:rsid w:val="00F3191F"/>
    <w:rsid w:val="00F31B6B"/>
    <w:rsid w:val="00F320D9"/>
    <w:rsid w:val="00F34CFE"/>
    <w:rsid w:val="00F35FFC"/>
    <w:rsid w:val="00F3633C"/>
    <w:rsid w:val="00F374A5"/>
    <w:rsid w:val="00F37DDC"/>
    <w:rsid w:val="00F37E90"/>
    <w:rsid w:val="00F41153"/>
    <w:rsid w:val="00F41506"/>
    <w:rsid w:val="00F418EF"/>
    <w:rsid w:val="00F41D20"/>
    <w:rsid w:val="00F42391"/>
    <w:rsid w:val="00F42E31"/>
    <w:rsid w:val="00F42EA2"/>
    <w:rsid w:val="00F42FFF"/>
    <w:rsid w:val="00F43541"/>
    <w:rsid w:val="00F444D9"/>
    <w:rsid w:val="00F446A7"/>
    <w:rsid w:val="00F45661"/>
    <w:rsid w:val="00F4639E"/>
    <w:rsid w:val="00F508D6"/>
    <w:rsid w:val="00F52816"/>
    <w:rsid w:val="00F529A6"/>
    <w:rsid w:val="00F532AA"/>
    <w:rsid w:val="00F548C4"/>
    <w:rsid w:val="00F5571A"/>
    <w:rsid w:val="00F5630D"/>
    <w:rsid w:val="00F56B66"/>
    <w:rsid w:val="00F6132B"/>
    <w:rsid w:val="00F6301F"/>
    <w:rsid w:val="00F64B89"/>
    <w:rsid w:val="00F65343"/>
    <w:rsid w:val="00F66160"/>
    <w:rsid w:val="00F66447"/>
    <w:rsid w:val="00F667DB"/>
    <w:rsid w:val="00F67368"/>
    <w:rsid w:val="00F675EB"/>
    <w:rsid w:val="00F67A66"/>
    <w:rsid w:val="00F700C5"/>
    <w:rsid w:val="00F70A6F"/>
    <w:rsid w:val="00F71B27"/>
    <w:rsid w:val="00F72C39"/>
    <w:rsid w:val="00F72F84"/>
    <w:rsid w:val="00F73A98"/>
    <w:rsid w:val="00F7455E"/>
    <w:rsid w:val="00F75172"/>
    <w:rsid w:val="00F75F18"/>
    <w:rsid w:val="00F774D6"/>
    <w:rsid w:val="00F80837"/>
    <w:rsid w:val="00F80D25"/>
    <w:rsid w:val="00F80F5F"/>
    <w:rsid w:val="00F81F90"/>
    <w:rsid w:val="00F82E9B"/>
    <w:rsid w:val="00F8483C"/>
    <w:rsid w:val="00F84A05"/>
    <w:rsid w:val="00F84D21"/>
    <w:rsid w:val="00F85222"/>
    <w:rsid w:val="00F856CA"/>
    <w:rsid w:val="00F90FC3"/>
    <w:rsid w:val="00F91FA9"/>
    <w:rsid w:val="00F9352E"/>
    <w:rsid w:val="00F94811"/>
    <w:rsid w:val="00F94F5A"/>
    <w:rsid w:val="00F9562B"/>
    <w:rsid w:val="00F95792"/>
    <w:rsid w:val="00F957E2"/>
    <w:rsid w:val="00F96FF9"/>
    <w:rsid w:val="00FA09B8"/>
    <w:rsid w:val="00FA142C"/>
    <w:rsid w:val="00FA14F5"/>
    <w:rsid w:val="00FA1508"/>
    <w:rsid w:val="00FA1802"/>
    <w:rsid w:val="00FA1BF3"/>
    <w:rsid w:val="00FA227D"/>
    <w:rsid w:val="00FA23AC"/>
    <w:rsid w:val="00FA260A"/>
    <w:rsid w:val="00FA2A78"/>
    <w:rsid w:val="00FA35D9"/>
    <w:rsid w:val="00FA3B3B"/>
    <w:rsid w:val="00FA505C"/>
    <w:rsid w:val="00FA5BF3"/>
    <w:rsid w:val="00FA61B6"/>
    <w:rsid w:val="00FA6F76"/>
    <w:rsid w:val="00FA703B"/>
    <w:rsid w:val="00FA72FB"/>
    <w:rsid w:val="00FA7A87"/>
    <w:rsid w:val="00FB0D8B"/>
    <w:rsid w:val="00FB273E"/>
    <w:rsid w:val="00FB2D3C"/>
    <w:rsid w:val="00FB408A"/>
    <w:rsid w:val="00FB462A"/>
    <w:rsid w:val="00FB48CB"/>
    <w:rsid w:val="00FB640E"/>
    <w:rsid w:val="00FB756A"/>
    <w:rsid w:val="00FB76BD"/>
    <w:rsid w:val="00FC0242"/>
    <w:rsid w:val="00FC063D"/>
    <w:rsid w:val="00FC0B4E"/>
    <w:rsid w:val="00FC1617"/>
    <w:rsid w:val="00FC1872"/>
    <w:rsid w:val="00FC40EA"/>
    <w:rsid w:val="00FC644B"/>
    <w:rsid w:val="00FC72CD"/>
    <w:rsid w:val="00FC77ED"/>
    <w:rsid w:val="00FD09C5"/>
    <w:rsid w:val="00FD0B4F"/>
    <w:rsid w:val="00FD1302"/>
    <w:rsid w:val="00FD2FE7"/>
    <w:rsid w:val="00FD3202"/>
    <w:rsid w:val="00FD3433"/>
    <w:rsid w:val="00FD493C"/>
    <w:rsid w:val="00FD57DD"/>
    <w:rsid w:val="00FD5E05"/>
    <w:rsid w:val="00FD5F6E"/>
    <w:rsid w:val="00FD6BA7"/>
    <w:rsid w:val="00FD6C9C"/>
    <w:rsid w:val="00FD7C0B"/>
    <w:rsid w:val="00FE0080"/>
    <w:rsid w:val="00FE0B83"/>
    <w:rsid w:val="00FE2389"/>
    <w:rsid w:val="00FE3F44"/>
    <w:rsid w:val="00FE4393"/>
    <w:rsid w:val="00FE478A"/>
    <w:rsid w:val="00FE511C"/>
    <w:rsid w:val="00FE6D49"/>
    <w:rsid w:val="00FE7E8C"/>
    <w:rsid w:val="00FF258C"/>
    <w:rsid w:val="00FF42C4"/>
    <w:rsid w:val="00FF47A1"/>
    <w:rsid w:val="00FF4848"/>
    <w:rsid w:val="00FF4F31"/>
    <w:rsid w:val="00FF521A"/>
    <w:rsid w:val="00FF570A"/>
    <w:rsid w:val="00FF5736"/>
    <w:rsid w:val="00FF6C6F"/>
    <w:rsid w:val="00FF71AD"/>
    <w:rsid w:val="00FF7E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7549"/>
    <w:rPr>
      <w:sz w:val="24"/>
      <w:szCs w:val="24"/>
    </w:rPr>
  </w:style>
  <w:style w:type="paragraph" w:styleId="Heading1">
    <w:name w:val="heading 1"/>
    <w:basedOn w:val="Normal"/>
    <w:link w:val="Heading1Char"/>
    <w:uiPriority w:val="9"/>
    <w:qFormat/>
    <w:rsid w:val="00C32927"/>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rsid w:val="00C32927"/>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B81B6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59EC"/>
    <w:pPr>
      <w:autoSpaceDE w:val="0"/>
      <w:autoSpaceDN w:val="0"/>
      <w:adjustRightInd w:val="0"/>
    </w:pPr>
    <w:rPr>
      <w:color w:val="000000"/>
      <w:sz w:val="24"/>
      <w:szCs w:val="24"/>
    </w:rPr>
  </w:style>
  <w:style w:type="character" w:styleId="Hyperlink">
    <w:name w:val="Hyperlink"/>
    <w:basedOn w:val="DefaultParagraphFont"/>
    <w:rsid w:val="00B702B4"/>
    <w:rPr>
      <w:color w:val="0000FF" w:themeColor="hyperlink"/>
      <w:u w:val="single"/>
    </w:rPr>
  </w:style>
  <w:style w:type="paragraph" w:styleId="ListParagraph">
    <w:name w:val="List Paragraph"/>
    <w:basedOn w:val="Normal"/>
    <w:uiPriority w:val="34"/>
    <w:qFormat/>
    <w:rsid w:val="00B702B4"/>
    <w:pPr>
      <w:ind w:left="720"/>
      <w:contextualSpacing/>
    </w:pPr>
  </w:style>
  <w:style w:type="character" w:customStyle="1" w:styleId="jrnl">
    <w:name w:val="jrnl"/>
    <w:basedOn w:val="DefaultParagraphFont"/>
    <w:rsid w:val="00C524B9"/>
  </w:style>
  <w:style w:type="character" w:customStyle="1" w:styleId="apple-converted-space">
    <w:name w:val="apple-converted-space"/>
    <w:basedOn w:val="DefaultParagraphFont"/>
    <w:rsid w:val="00C524B9"/>
  </w:style>
  <w:style w:type="paragraph" w:styleId="NormalWeb">
    <w:name w:val="Normal (Web)"/>
    <w:basedOn w:val="Normal"/>
    <w:uiPriority w:val="99"/>
    <w:rsid w:val="00726247"/>
  </w:style>
  <w:style w:type="character" w:customStyle="1" w:styleId="highlight">
    <w:name w:val="highlight"/>
    <w:basedOn w:val="DefaultParagraphFont"/>
    <w:rsid w:val="001F5B7C"/>
  </w:style>
  <w:style w:type="paragraph" w:styleId="Header">
    <w:name w:val="header"/>
    <w:basedOn w:val="Normal"/>
    <w:link w:val="HeaderChar"/>
    <w:rsid w:val="00033FAA"/>
    <w:pPr>
      <w:tabs>
        <w:tab w:val="center" w:pos="4536"/>
        <w:tab w:val="right" w:pos="9072"/>
      </w:tabs>
    </w:pPr>
  </w:style>
  <w:style w:type="character" w:customStyle="1" w:styleId="HeaderChar">
    <w:name w:val="Header Char"/>
    <w:basedOn w:val="DefaultParagraphFont"/>
    <w:link w:val="Header"/>
    <w:rsid w:val="00033FAA"/>
    <w:rPr>
      <w:sz w:val="24"/>
      <w:szCs w:val="24"/>
    </w:rPr>
  </w:style>
  <w:style w:type="paragraph" w:styleId="Footer">
    <w:name w:val="footer"/>
    <w:basedOn w:val="Normal"/>
    <w:link w:val="FooterChar"/>
    <w:uiPriority w:val="99"/>
    <w:rsid w:val="00033FAA"/>
    <w:pPr>
      <w:tabs>
        <w:tab w:val="center" w:pos="4536"/>
        <w:tab w:val="right" w:pos="9072"/>
      </w:tabs>
    </w:pPr>
  </w:style>
  <w:style w:type="character" w:customStyle="1" w:styleId="FooterChar">
    <w:name w:val="Footer Char"/>
    <w:basedOn w:val="DefaultParagraphFont"/>
    <w:link w:val="Footer"/>
    <w:uiPriority w:val="99"/>
    <w:rsid w:val="00033FAA"/>
    <w:rPr>
      <w:sz w:val="24"/>
      <w:szCs w:val="24"/>
    </w:rPr>
  </w:style>
  <w:style w:type="paragraph" w:customStyle="1" w:styleId="Titel1">
    <w:name w:val="Titel1"/>
    <w:basedOn w:val="Normal"/>
    <w:rsid w:val="00E30C9C"/>
    <w:pPr>
      <w:spacing w:before="100" w:beforeAutospacing="1" w:after="100" w:afterAutospacing="1"/>
    </w:pPr>
  </w:style>
  <w:style w:type="paragraph" w:customStyle="1" w:styleId="desc">
    <w:name w:val="desc"/>
    <w:basedOn w:val="Normal"/>
    <w:rsid w:val="00E30C9C"/>
    <w:pPr>
      <w:spacing w:before="100" w:beforeAutospacing="1" w:after="100" w:afterAutospacing="1"/>
    </w:pPr>
  </w:style>
  <w:style w:type="paragraph" w:customStyle="1" w:styleId="details">
    <w:name w:val="details"/>
    <w:basedOn w:val="Normal"/>
    <w:rsid w:val="00E30C9C"/>
    <w:pPr>
      <w:spacing w:before="100" w:beforeAutospacing="1" w:after="100" w:afterAutospacing="1"/>
    </w:pPr>
  </w:style>
  <w:style w:type="character" w:customStyle="1" w:styleId="Heading1Char">
    <w:name w:val="Heading 1 Char"/>
    <w:basedOn w:val="DefaultParagraphFont"/>
    <w:link w:val="Heading1"/>
    <w:uiPriority w:val="9"/>
    <w:rsid w:val="00C32927"/>
    <w:rPr>
      <w:b/>
      <w:bCs/>
      <w:kern w:val="36"/>
      <w:sz w:val="48"/>
      <w:szCs w:val="48"/>
    </w:rPr>
  </w:style>
  <w:style w:type="character" w:customStyle="1" w:styleId="Heading3Char">
    <w:name w:val="Heading 3 Char"/>
    <w:basedOn w:val="DefaultParagraphFont"/>
    <w:link w:val="Heading3"/>
    <w:uiPriority w:val="9"/>
    <w:rsid w:val="00C32927"/>
    <w:rPr>
      <w:b/>
      <w:bCs/>
      <w:sz w:val="27"/>
      <w:szCs w:val="27"/>
    </w:rPr>
  </w:style>
  <w:style w:type="character" w:customStyle="1" w:styleId="ui-ncbitoggler-master-text">
    <w:name w:val="ui-ncbitoggler-master-text"/>
    <w:basedOn w:val="DefaultParagraphFont"/>
    <w:rsid w:val="00C32927"/>
  </w:style>
  <w:style w:type="table" w:styleId="TableGrid">
    <w:name w:val="Table Grid"/>
    <w:basedOn w:val="TableNormal"/>
    <w:rsid w:val="00F11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
    <w:name w:val="cit"/>
    <w:basedOn w:val="DefaultParagraphFont"/>
    <w:rsid w:val="00685092"/>
  </w:style>
  <w:style w:type="character" w:customStyle="1" w:styleId="doi">
    <w:name w:val="doi"/>
    <w:basedOn w:val="DefaultParagraphFont"/>
    <w:rsid w:val="00685092"/>
  </w:style>
  <w:style w:type="character" w:customStyle="1" w:styleId="fm-citation-ids-label">
    <w:name w:val="fm-citation-ids-label"/>
    <w:basedOn w:val="DefaultParagraphFont"/>
    <w:rsid w:val="00685092"/>
  </w:style>
  <w:style w:type="paragraph" w:styleId="BalloonText">
    <w:name w:val="Balloon Text"/>
    <w:basedOn w:val="Normal"/>
    <w:link w:val="BalloonTextChar"/>
    <w:rsid w:val="00685092"/>
    <w:rPr>
      <w:rFonts w:ascii="Tahoma" w:hAnsi="Tahoma" w:cs="Tahoma"/>
      <w:sz w:val="16"/>
      <w:szCs w:val="16"/>
    </w:rPr>
  </w:style>
  <w:style w:type="character" w:customStyle="1" w:styleId="BalloonTextChar">
    <w:name w:val="Balloon Text Char"/>
    <w:basedOn w:val="DefaultParagraphFont"/>
    <w:link w:val="BalloonText"/>
    <w:rsid w:val="00685092"/>
    <w:rPr>
      <w:rFonts w:ascii="Tahoma" w:hAnsi="Tahoma" w:cs="Tahoma"/>
      <w:sz w:val="16"/>
      <w:szCs w:val="16"/>
    </w:rPr>
  </w:style>
  <w:style w:type="character" w:customStyle="1" w:styleId="paragraph24752463">
    <w:name w:val="paragraph 24752463"/>
    <w:rsid w:val="00543D8A"/>
    <w:rPr>
      <w:rFonts w:cs="Times New Roman"/>
    </w:rPr>
  </w:style>
  <w:style w:type="paragraph" w:customStyle="1" w:styleId="Geenafstand1">
    <w:name w:val="Geen afstand1"/>
    <w:uiPriority w:val="1"/>
    <w:qFormat/>
    <w:rsid w:val="00857D4F"/>
    <w:rPr>
      <w:rFonts w:ascii="Calibri" w:eastAsia="SimSun" w:hAnsi="Calibri"/>
      <w:sz w:val="22"/>
      <w:szCs w:val="22"/>
      <w:lang w:val="en-NZ" w:eastAsia="zh-CN"/>
    </w:rPr>
  </w:style>
  <w:style w:type="character" w:customStyle="1" w:styleId="Heading4Char">
    <w:name w:val="Heading 4 Char"/>
    <w:basedOn w:val="DefaultParagraphFont"/>
    <w:link w:val="Heading4"/>
    <w:semiHidden/>
    <w:rsid w:val="00B81B68"/>
    <w:rPr>
      <w:rFonts w:asciiTheme="majorHAnsi" w:eastAsiaTheme="majorEastAsia" w:hAnsiTheme="majorHAnsi" w:cstheme="majorBidi"/>
      <w:b/>
      <w:bCs/>
      <w:i/>
      <w:iCs/>
      <w:color w:val="4F81BD" w:themeColor="accent1"/>
      <w:sz w:val="24"/>
      <w:szCs w:val="24"/>
    </w:rPr>
  </w:style>
  <w:style w:type="paragraph" w:customStyle="1" w:styleId="volissue">
    <w:name w:val="volissue"/>
    <w:basedOn w:val="Normal"/>
    <w:rsid w:val="004F0A80"/>
    <w:pPr>
      <w:spacing w:before="100" w:beforeAutospacing="1" w:after="100" w:afterAutospacing="1"/>
    </w:pPr>
  </w:style>
  <w:style w:type="character" w:customStyle="1" w:styleId="collapsetext">
    <w:name w:val="collapsetext"/>
    <w:basedOn w:val="DefaultParagraphFont"/>
    <w:rsid w:val="00437451"/>
  </w:style>
  <w:style w:type="character" w:customStyle="1" w:styleId="showinfo">
    <w:name w:val="showinfo"/>
    <w:basedOn w:val="DefaultParagraphFont"/>
    <w:rsid w:val="00437451"/>
  </w:style>
  <w:style w:type="paragraph" w:styleId="PlainText">
    <w:name w:val="Plain Text"/>
    <w:basedOn w:val="Normal"/>
    <w:link w:val="PlainTextChar"/>
    <w:uiPriority w:val="99"/>
    <w:unhideWhenUsed/>
    <w:rsid w:val="00F0094C"/>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rsid w:val="00F0094C"/>
    <w:rPr>
      <w:rFonts w:ascii="Calibri" w:eastAsiaTheme="minorHAnsi" w:hAnsi="Calibri" w:cs="Consolas"/>
      <w:sz w:val="22"/>
      <w:szCs w:val="21"/>
      <w:lang w:eastAsia="en-US"/>
    </w:rPr>
  </w:style>
  <w:style w:type="paragraph" w:styleId="NoSpacing">
    <w:name w:val="No Spacing"/>
    <w:uiPriority w:val="1"/>
    <w:qFormat/>
    <w:rsid w:val="00A00E11"/>
    <w:rPr>
      <w:rFonts w:asciiTheme="minorHAnsi" w:eastAsiaTheme="minorHAnsi" w:hAnsiTheme="minorHAnsi" w:cstheme="minorBidi"/>
      <w:sz w:val="22"/>
      <w:szCs w:val="22"/>
      <w:lang w:eastAsia="en-US"/>
    </w:rPr>
  </w:style>
  <w:style w:type="character" w:styleId="CommentReference">
    <w:name w:val="annotation reference"/>
    <w:basedOn w:val="DefaultParagraphFont"/>
    <w:rsid w:val="007C48F6"/>
    <w:rPr>
      <w:sz w:val="16"/>
      <w:szCs w:val="16"/>
    </w:rPr>
  </w:style>
  <w:style w:type="paragraph" w:styleId="CommentText">
    <w:name w:val="annotation text"/>
    <w:basedOn w:val="Normal"/>
    <w:link w:val="CommentTextChar"/>
    <w:rsid w:val="007C48F6"/>
    <w:rPr>
      <w:sz w:val="20"/>
      <w:szCs w:val="20"/>
    </w:rPr>
  </w:style>
  <w:style w:type="character" w:customStyle="1" w:styleId="CommentTextChar">
    <w:name w:val="Comment Text Char"/>
    <w:basedOn w:val="DefaultParagraphFont"/>
    <w:link w:val="CommentText"/>
    <w:rsid w:val="007C48F6"/>
  </w:style>
  <w:style w:type="paragraph" w:styleId="CommentSubject">
    <w:name w:val="annotation subject"/>
    <w:basedOn w:val="CommentText"/>
    <w:next w:val="CommentText"/>
    <w:link w:val="CommentSubjectChar"/>
    <w:rsid w:val="007C48F6"/>
    <w:rPr>
      <w:b/>
      <w:bCs/>
    </w:rPr>
  </w:style>
  <w:style w:type="character" w:customStyle="1" w:styleId="CommentSubjectChar">
    <w:name w:val="Comment Subject Char"/>
    <w:basedOn w:val="CommentTextChar"/>
    <w:link w:val="CommentSubject"/>
    <w:rsid w:val="007C48F6"/>
    <w:rPr>
      <w:b/>
      <w:bCs/>
    </w:rPr>
  </w:style>
  <w:style w:type="character" w:styleId="Strong">
    <w:name w:val="Strong"/>
    <w:basedOn w:val="DefaultParagraphFont"/>
    <w:uiPriority w:val="22"/>
    <w:qFormat/>
    <w:rsid w:val="00F26AA1"/>
    <w:rPr>
      <w:b/>
      <w:bCs/>
    </w:rPr>
  </w:style>
  <w:style w:type="character" w:customStyle="1" w:styleId="divider">
    <w:name w:val="divider"/>
    <w:basedOn w:val="DefaultParagraphFont"/>
    <w:rsid w:val="00F26AA1"/>
  </w:style>
  <w:style w:type="character" w:styleId="FollowedHyperlink">
    <w:name w:val="FollowedHyperlink"/>
    <w:basedOn w:val="DefaultParagraphFont"/>
    <w:rsid w:val="009F249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7549"/>
    <w:rPr>
      <w:sz w:val="24"/>
      <w:szCs w:val="24"/>
    </w:rPr>
  </w:style>
  <w:style w:type="paragraph" w:styleId="Heading1">
    <w:name w:val="heading 1"/>
    <w:basedOn w:val="Normal"/>
    <w:link w:val="Heading1Char"/>
    <w:uiPriority w:val="9"/>
    <w:qFormat/>
    <w:rsid w:val="00C32927"/>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rsid w:val="00C32927"/>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B81B6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59EC"/>
    <w:pPr>
      <w:autoSpaceDE w:val="0"/>
      <w:autoSpaceDN w:val="0"/>
      <w:adjustRightInd w:val="0"/>
    </w:pPr>
    <w:rPr>
      <w:color w:val="000000"/>
      <w:sz w:val="24"/>
      <w:szCs w:val="24"/>
    </w:rPr>
  </w:style>
  <w:style w:type="character" w:styleId="Hyperlink">
    <w:name w:val="Hyperlink"/>
    <w:basedOn w:val="DefaultParagraphFont"/>
    <w:rsid w:val="00B702B4"/>
    <w:rPr>
      <w:color w:val="0000FF" w:themeColor="hyperlink"/>
      <w:u w:val="single"/>
    </w:rPr>
  </w:style>
  <w:style w:type="paragraph" w:styleId="ListParagraph">
    <w:name w:val="List Paragraph"/>
    <w:basedOn w:val="Normal"/>
    <w:uiPriority w:val="34"/>
    <w:qFormat/>
    <w:rsid w:val="00B702B4"/>
    <w:pPr>
      <w:ind w:left="720"/>
      <w:contextualSpacing/>
    </w:pPr>
  </w:style>
  <w:style w:type="character" w:customStyle="1" w:styleId="jrnl">
    <w:name w:val="jrnl"/>
    <w:basedOn w:val="DefaultParagraphFont"/>
    <w:rsid w:val="00C524B9"/>
  </w:style>
  <w:style w:type="character" w:customStyle="1" w:styleId="apple-converted-space">
    <w:name w:val="apple-converted-space"/>
    <w:basedOn w:val="DefaultParagraphFont"/>
    <w:rsid w:val="00C524B9"/>
  </w:style>
  <w:style w:type="paragraph" w:styleId="NormalWeb">
    <w:name w:val="Normal (Web)"/>
    <w:basedOn w:val="Normal"/>
    <w:uiPriority w:val="99"/>
    <w:rsid w:val="00726247"/>
  </w:style>
  <w:style w:type="character" w:customStyle="1" w:styleId="highlight">
    <w:name w:val="highlight"/>
    <w:basedOn w:val="DefaultParagraphFont"/>
    <w:rsid w:val="001F5B7C"/>
  </w:style>
  <w:style w:type="paragraph" w:styleId="Header">
    <w:name w:val="header"/>
    <w:basedOn w:val="Normal"/>
    <w:link w:val="HeaderChar"/>
    <w:rsid w:val="00033FAA"/>
    <w:pPr>
      <w:tabs>
        <w:tab w:val="center" w:pos="4536"/>
        <w:tab w:val="right" w:pos="9072"/>
      </w:tabs>
    </w:pPr>
  </w:style>
  <w:style w:type="character" w:customStyle="1" w:styleId="HeaderChar">
    <w:name w:val="Header Char"/>
    <w:basedOn w:val="DefaultParagraphFont"/>
    <w:link w:val="Header"/>
    <w:rsid w:val="00033FAA"/>
    <w:rPr>
      <w:sz w:val="24"/>
      <w:szCs w:val="24"/>
    </w:rPr>
  </w:style>
  <w:style w:type="paragraph" w:styleId="Footer">
    <w:name w:val="footer"/>
    <w:basedOn w:val="Normal"/>
    <w:link w:val="FooterChar"/>
    <w:uiPriority w:val="99"/>
    <w:rsid w:val="00033FAA"/>
    <w:pPr>
      <w:tabs>
        <w:tab w:val="center" w:pos="4536"/>
        <w:tab w:val="right" w:pos="9072"/>
      </w:tabs>
    </w:pPr>
  </w:style>
  <w:style w:type="character" w:customStyle="1" w:styleId="FooterChar">
    <w:name w:val="Footer Char"/>
    <w:basedOn w:val="DefaultParagraphFont"/>
    <w:link w:val="Footer"/>
    <w:uiPriority w:val="99"/>
    <w:rsid w:val="00033FAA"/>
    <w:rPr>
      <w:sz w:val="24"/>
      <w:szCs w:val="24"/>
    </w:rPr>
  </w:style>
  <w:style w:type="paragraph" w:customStyle="1" w:styleId="Titel1">
    <w:name w:val="Titel1"/>
    <w:basedOn w:val="Normal"/>
    <w:rsid w:val="00E30C9C"/>
    <w:pPr>
      <w:spacing w:before="100" w:beforeAutospacing="1" w:after="100" w:afterAutospacing="1"/>
    </w:pPr>
  </w:style>
  <w:style w:type="paragraph" w:customStyle="1" w:styleId="desc">
    <w:name w:val="desc"/>
    <w:basedOn w:val="Normal"/>
    <w:rsid w:val="00E30C9C"/>
    <w:pPr>
      <w:spacing w:before="100" w:beforeAutospacing="1" w:after="100" w:afterAutospacing="1"/>
    </w:pPr>
  </w:style>
  <w:style w:type="paragraph" w:customStyle="1" w:styleId="details">
    <w:name w:val="details"/>
    <w:basedOn w:val="Normal"/>
    <w:rsid w:val="00E30C9C"/>
    <w:pPr>
      <w:spacing w:before="100" w:beforeAutospacing="1" w:after="100" w:afterAutospacing="1"/>
    </w:pPr>
  </w:style>
  <w:style w:type="character" w:customStyle="1" w:styleId="Heading1Char">
    <w:name w:val="Heading 1 Char"/>
    <w:basedOn w:val="DefaultParagraphFont"/>
    <w:link w:val="Heading1"/>
    <w:uiPriority w:val="9"/>
    <w:rsid w:val="00C32927"/>
    <w:rPr>
      <w:b/>
      <w:bCs/>
      <w:kern w:val="36"/>
      <w:sz w:val="48"/>
      <w:szCs w:val="48"/>
    </w:rPr>
  </w:style>
  <w:style w:type="character" w:customStyle="1" w:styleId="Heading3Char">
    <w:name w:val="Heading 3 Char"/>
    <w:basedOn w:val="DefaultParagraphFont"/>
    <w:link w:val="Heading3"/>
    <w:uiPriority w:val="9"/>
    <w:rsid w:val="00C32927"/>
    <w:rPr>
      <w:b/>
      <w:bCs/>
      <w:sz w:val="27"/>
      <w:szCs w:val="27"/>
    </w:rPr>
  </w:style>
  <w:style w:type="character" w:customStyle="1" w:styleId="ui-ncbitoggler-master-text">
    <w:name w:val="ui-ncbitoggler-master-text"/>
    <w:basedOn w:val="DefaultParagraphFont"/>
    <w:rsid w:val="00C32927"/>
  </w:style>
  <w:style w:type="table" w:styleId="TableGrid">
    <w:name w:val="Table Grid"/>
    <w:basedOn w:val="TableNormal"/>
    <w:rsid w:val="00F11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
    <w:name w:val="cit"/>
    <w:basedOn w:val="DefaultParagraphFont"/>
    <w:rsid w:val="00685092"/>
  </w:style>
  <w:style w:type="character" w:customStyle="1" w:styleId="doi">
    <w:name w:val="doi"/>
    <w:basedOn w:val="DefaultParagraphFont"/>
    <w:rsid w:val="00685092"/>
  </w:style>
  <w:style w:type="character" w:customStyle="1" w:styleId="fm-citation-ids-label">
    <w:name w:val="fm-citation-ids-label"/>
    <w:basedOn w:val="DefaultParagraphFont"/>
    <w:rsid w:val="00685092"/>
  </w:style>
  <w:style w:type="paragraph" w:styleId="BalloonText">
    <w:name w:val="Balloon Text"/>
    <w:basedOn w:val="Normal"/>
    <w:link w:val="BalloonTextChar"/>
    <w:rsid w:val="00685092"/>
    <w:rPr>
      <w:rFonts w:ascii="Tahoma" w:hAnsi="Tahoma" w:cs="Tahoma"/>
      <w:sz w:val="16"/>
      <w:szCs w:val="16"/>
    </w:rPr>
  </w:style>
  <w:style w:type="character" w:customStyle="1" w:styleId="BalloonTextChar">
    <w:name w:val="Balloon Text Char"/>
    <w:basedOn w:val="DefaultParagraphFont"/>
    <w:link w:val="BalloonText"/>
    <w:rsid w:val="00685092"/>
    <w:rPr>
      <w:rFonts w:ascii="Tahoma" w:hAnsi="Tahoma" w:cs="Tahoma"/>
      <w:sz w:val="16"/>
      <w:szCs w:val="16"/>
    </w:rPr>
  </w:style>
  <w:style w:type="character" w:customStyle="1" w:styleId="paragraph24752463">
    <w:name w:val="paragraph 24752463"/>
    <w:rsid w:val="00543D8A"/>
    <w:rPr>
      <w:rFonts w:cs="Times New Roman"/>
    </w:rPr>
  </w:style>
  <w:style w:type="paragraph" w:customStyle="1" w:styleId="Geenafstand1">
    <w:name w:val="Geen afstand1"/>
    <w:uiPriority w:val="1"/>
    <w:qFormat/>
    <w:rsid w:val="00857D4F"/>
    <w:rPr>
      <w:rFonts w:ascii="Calibri" w:eastAsia="SimSun" w:hAnsi="Calibri"/>
      <w:sz w:val="22"/>
      <w:szCs w:val="22"/>
      <w:lang w:val="en-NZ" w:eastAsia="zh-CN"/>
    </w:rPr>
  </w:style>
  <w:style w:type="character" w:customStyle="1" w:styleId="Heading4Char">
    <w:name w:val="Heading 4 Char"/>
    <w:basedOn w:val="DefaultParagraphFont"/>
    <w:link w:val="Heading4"/>
    <w:semiHidden/>
    <w:rsid w:val="00B81B68"/>
    <w:rPr>
      <w:rFonts w:asciiTheme="majorHAnsi" w:eastAsiaTheme="majorEastAsia" w:hAnsiTheme="majorHAnsi" w:cstheme="majorBidi"/>
      <w:b/>
      <w:bCs/>
      <w:i/>
      <w:iCs/>
      <w:color w:val="4F81BD" w:themeColor="accent1"/>
      <w:sz w:val="24"/>
      <w:szCs w:val="24"/>
    </w:rPr>
  </w:style>
  <w:style w:type="paragraph" w:customStyle="1" w:styleId="volissue">
    <w:name w:val="volissue"/>
    <w:basedOn w:val="Normal"/>
    <w:rsid w:val="004F0A80"/>
    <w:pPr>
      <w:spacing w:before="100" w:beforeAutospacing="1" w:after="100" w:afterAutospacing="1"/>
    </w:pPr>
  </w:style>
  <w:style w:type="character" w:customStyle="1" w:styleId="collapsetext">
    <w:name w:val="collapsetext"/>
    <w:basedOn w:val="DefaultParagraphFont"/>
    <w:rsid w:val="00437451"/>
  </w:style>
  <w:style w:type="character" w:customStyle="1" w:styleId="showinfo">
    <w:name w:val="showinfo"/>
    <w:basedOn w:val="DefaultParagraphFont"/>
    <w:rsid w:val="00437451"/>
  </w:style>
  <w:style w:type="paragraph" w:styleId="PlainText">
    <w:name w:val="Plain Text"/>
    <w:basedOn w:val="Normal"/>
    <w:link w:val="PlainTextChar"/>
    <w:uiPriority w:val="99"/>
    <w:unhideWhenUsed/>
    <w:rsid w:val="00F0094C"/>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rsid w:val="00F0094C"/>
    <w:rPr>
      <w:rFonts w:ascii="Calibri" w:eastAsiaTheme="minorHAnsi" w:hAnsi="Calibri" w:cs="Consolas"/>
      <w:sz w:val="22"/>
      <w:szCs w:val="21"/>
      <w:lang w:eastAsia="en-US"/>
    </w:rPr>
  </w:style>
  <w:style w:type="paragraph" w:styleId="NoSpacing">
    <w:name w:val="No Spacing"/>
    <w:uiPriority w:val="1"/>
    <w:qFormat/>
    <w:rsid w:val="00A00E11"/>
    <w:rPr>
      <w:rFonts w:asciiTheme="minorHAnsi" w:eastAsiaTheme="minorHAnsi" w:hAnsiTheme="minorHAnsi" w:cstheme="minorBidi"/>
      <w:sz w:val="22"/>
      <w:szCs w:val="22"/>
      <w:lang w:eastAsia="en-US"/>
    </w:rPr>
  </w:style>
  <w:style w:type="character" w:styleId="CommentReference">
    <w:name w:val="annotation reference"/>
    <w:basedOn w:val="DefaultParagraphFont"/>
    <w:rsid w:val="007C48F6"/>
    <w:rPr>
      <w:sz w:val="16"/>
      <w:szCs w:val="16"/>
    </w:rPr>
  </w:style>
  <w:style w:type="paragraph" w:styleId="CommentText">
    <w:name w:val="annotation text"/>
    <w:basedOn w:val="Normal"/>
    <w:link w:val="CommentTextChar"/>
    <w:rsid w:val="007C48F6"/>
    <w:rPr>
      <w:sz w:val="20"/>
      <w:szCs w:val="20"/>
    </w:rPr>
  </w:style>
  <w:style w:type="character" w:customStyle="1" w:styleId="CommentTextChar">
    <w:name w:val="Comment Text Char"/>
    <w:basedOn w:val="DefaultParagraphFont"/>
    <w:link w:val="CommentText"/>
    <w:rsid w:val="007C48F6"/>
  </w:style>
  <w:style w:type="paragraph" w:styleId="CommentSubject">
    <w:name w:val="annotation subject"/>
    <w:basedOn w:val="CommentText"/>
    <w:next w:val="CommentText"/>
    <w:link w:val="CommentSubjectChar"/>
    <w:rsid w:val="007C48F6"/>
    <w:rPr>
      <w:b/>
      <w:bCs/>
    </w:rPr>
  </w:style>
  <w:style w:type="character" w:customStyle="1" w:styleId="CommentSubjectChar">
    <w:name w:val="Comment Subject Char"/>
    <w:basedOn w:val="CommentTextChar"/>
    <w:link w:val="CommentSubject"/>
    <w:rsid w:val="007C48F6"/>
    <w:rPr>
      <w:b/>
      <w:bCs/>
    </w:rPr>
  </w:style>
  <w:style w:type="character" w:styleId="Strong">
    <w:name w:val="Strong"/>
    <w:basedOn w:val="DefaultParagraphFont"/>
    <w:uiPriority w:val="22"/>
    <w:qFormat/>
    <w:rsid w:val="00F26AA1"/>
    <w:rPr>
      <w:b/>
      <w:bCs/>
    </w:rPr>
  </w:style>
  <w:style w:type="character" w:customStyle="1" w:styleId="divider">
    <w:name w:val="divider"/>
    <w:basedOn w:val="DefaultParagraphFont"/>
    <w:rsid w:val="00F26AA1"/>
  </w:style>
  <w:style w:type="character" w:styleId="FollowedHyperlink">
    <w:name w:val="FollowedHyperlink"/>
    <w:basedOn w:val="DefaultParagraphFont"/>
    <w:rsid w:val="009F24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71824">
      <w:bodyDiv w:val="1"/>
      <w:marLeft w:val="0"/>
      <w:marRight w:val="0"/>
      <w:marTop w:val="0"/>
      <w:marBottom w:val="0"/>
      <w:divBdr>
        <w:top w:val="none" w:sz="0" w:space="0" w:color="auto"/>
        <w:left w:val="none" w:sz="0" w:space="0" w:color="auto"/>
        <w:bottom w:val="none" w:sz="0" w:space="0" w:color="auto"/>
        <w:right w:val="none" w:sz="0" w:space="0" w:color="auto"/>
      </w:divBdr>
      <w:divsChild>
        <w:div w:id="1462654019">
          <w:marLeft w:val="0"/>
          <w:marRight w:val="0"/>
          <w:marTop w:val="0"/>
          <w:marBottom w:val="0"/>
          <w:divBdr>
            <w:top w:val="none" w:sz="0" w:space="0" w:color="auto"/>
            <w:left w:val="none" w:sz="0" w:space="0" w:color="auto"/>
            <w:bottom w:val="none" w:sz="0" w:space="0" w:color="auto"/>
            <w:right w:val="none" w:sz="0" w:space="0" w:color="auto"/>
          </w:divBdr>
        </w:div>
        <w:div w:id="507329100">
          <w:marLeft w:val="0"/>
          <w:marRight w:val="0"/>
          <w:marTop w:val="0"/>
          <w:marBottom w:val="0"/>
          <w:divBdr>
            <w:top w:val="none" w:sz="0" w:space="0" w:color="auto"/>
            <w:left w:val="none" w:sz="0" w:space="0" w:color="auto"/>
            <w:bottom w:val="none" w:sz="0" w:space="0" w:color="auto"/>
            <w:right w:val="none" w:sz="0" w:space="0" w:color="auto"/>
          </w:divBdr>
          <w:divsChild>
            <w:div w:id="891037152">
              <w:marLeft w:val="0"/>
              <w:marRight w:val="0"/>
              <w:marTop w:val="0"/>
              <w:marBottom w:val="0"/>
              <w:divBdr>
                <w:top w:val="none" w:sz="0" w:space="0" w:color="auto"/>
                <w:left w:val="none" w:sz="0" w:space="0" w:color="auto"/>
                <w:bottom w:val="none" w:sz="0" w:space="0" w:color="auto"/>
                <w:right w:val="none" w:sz="0" w:space="0" w:color="auto"/>
              </w:divBdr>
              <w:divsChild>
                <w:div w:id="866868971">
                  <w:marLeft w:val="0"/>
                  <w:marRight w:val="0"/>
                  <w:marTop w:val="0"/>
                  <w:marBottom w:val="0"/>
                  <w:divBdr>
                    <w:top w:val="none" w:sz="0" w:space="0" w:color="auto"/>
                    <w:left w:val="none" w:sz="0" w:space="0" w:color="auto"/>
                    <w:bottom w:val="none" w:sz="0" w:space="0" w:color="auto"/>
                    <w:right w:val="none" w:sz="0" w:space="0" w:color="auto"/>
                  </w:divBdr>
                </w:div>
                <w:div w:id="208518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4844">
      <w:bodyDiv w:val="1"/>
      <w:marLeft w:val="0"/>
      <w:marRight w:val="0"/>
      <w:marTop w:val="0"/>
      <w:marBottom w:val="0"/>
      <w:divBdr>
        <w:top w:val="none" w:sz="0" w:space="0" w:color="auto"/>
        <w:left w:val="none" w:sz="0" w:space="0" w:color="auto"/>
        <w:bottom w:val="none" w:sz="0" w:space="0" w:color="auto"/>
        <w:right w:val="none" w:sz="0" w:space="0" w:color="auto"/>
      </w:divBdr>
    </w:div>
    <w:div w:id="183447642">
      <w:bodyDiv w:val="1"/>
      <w:marLeft w:val="0"/>
      <w:marRight w:val="0"/>
      <w:marTop w:val="0"/>
      <w:marBottom w:val="0"/>
      <w:divBdr>
        <w:top w:val="none" w:sz="0" w:space="0" w:color="auto"/>
        <w:left w:val="none" w:sz="0" w:space="0" w:color="auto"/>
        <w:bottom w:val="none" w:sz="0" w:space="0" w:color="auto"/>
        <w:right w:val="none" w:sz="0" w:space="0" w:color="auto"/>
      </w:divBdr>
      <w:divsChild>
        <w:div w:id="2036079911">
          <w:marLeft w:val="0"/>
          <w:marRight w:val="0"/>
          <w:marTop w:val="0"/>
          <w:marBottom w:val="0"/>
          <w:divBdr>
            <w:top w:val="none" w:sz="0" w:space="0" w:color="auto"/>
            <w:left w:val="none" w:sz="0" w:space="0" w:color="auto"/>
            <w:bottom w:val="none" w:sz="0" w:space="0" w:color="auto"/>
            <w:right w:val="none" w:sz="0" w:space="0" w:color="auto"/>
          </w:divBdr>
        </w:div>
        <w:div w:id="1741635432">
          <w:marLeft w:val="0"/>
          <w:marRight w:val="0"/>
          <w:marTop w:val="0"/>
          <w:marBottom w:val="0"/>
          <w:divBdr>
            <w:top w:val="none" w:sz="0" w:space="0" w:color="auto"/>
            <w:left w:val="none" w:sz="0" w:space="0" w:color="auto"/>
            <w:bottom w:val="none" w:sz="0" w:space="0" w:color="auto"/>
            <w:right w:val="none" w:sz="0" w:space="0" w:color="auto"/>
          </w:divBdr>
          <w:divsChild>
            <w:div w:id="188951651">
              <w:marLeft w:val="0"/>
              <w:marRight w:val="0"/>
              <w:marTop w:val="0"/>
              <w:marBottom w:val="0"/>
              <w:divBdr>
                <w:top w:val="none" w:sz="0" w:space="0" w:color="auto"/>
                <w:left w:val="none" w:sz="0" w:space="0" w:color="auto"/>
                <w:bottom w:val="none" w:sz="0" w:space="0" w:color="auto"/>
                <w:right w:val="none" w:sz="0" w:space="0" w:color="auto"/>
              </w:divBdr>
              <w:divsChild>
                <w:div w:id="1776169842">
                  <w:marLeft w:val="0"/>
                  <w:marRight w:val="0"/>
                  <w:marTop w:val="0"/>
                  <w:marBottom w:val="0"/>
                  <w:divBdr>
                    <w:top w:val="none" w:sz="0" w:space="0" w:color="auto"/>
                    <w:left w:val="none" w:sz="0" w:space="0" w:color="auto"/>
                    <w:bottom w:val="none" w:sz="0" w:space="0" w:color="auto"/>
                    <w:right w:val="none" w:sz="0" w:space="0" w:color="auto"/>
                  </w:divBdr>
                </w:div>
                <w:div w:id="76041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005948">
      <w:bodyDiv w:val="1"/>
      <w:marLeft w:val="0"/>
      <w:marRight w:val="0"/>
      <w:marTop w:val="0"/>
      <w:marBottom w:val="0"/>
      <w:divBdr>
        <w:top w:val="none" w:sz="0" w:space="0" w:color="auto"/>
        <w:left w:val="none" w:sz="0" w:space="0" w:color="auto"/>
        <w:bottom w:val="none" w:sz="0" w:space="0" w:color="auto"/>
        <w:right w:val="none" w:sz="0" w:space="0" w:color="auto"/>
      </w:divBdr>
    </w:div>
    <w:div w:id="268587679">
      <w:bodyDiv w:val="1"/>
      <w:marLeft w:val="0"/>
      <w:marRight w:val="0"/>
      <w:marTop w:val="0"/>
      <w:marBottom w:val="0"/>
      <w:divBdr>
        <w:top w:val="none" w:sz="0" w:space="0" w:color="auto"/>
        <w:left w:val="none" w:sz="0" w:space="0" w:color="auto"/>
        <w:bottom w:val="none" w:sz="0" w:space="0" w:color="auto"/>
        <w:right w:val="none" w:sz="0" w:space="0" w:color="auto"/>
      </w:divBdr>
    </w:div>
    <w:div w:id="274751259">
      <w:bodyDiv w:val="1"/>
      <w:marLeft w:val="0"/>
      <w:marRight w:val="0"/>
      <w:marTop w:val="0"/>
      <w:marBottom w:val="0"/>
      <w:divBdr>
        <w:top w:val="none" w:sz="0" w:space="0" w:color="auto"/>
        <w:left w:val="none" w:sz="0" w:space="0" w:color="auto"/>
        <w:bottom w:val="none" w:sz="0" w:space="0" w:color="auto"/>
        <w:right w:val="none" w:sz="0" w:space="0" w:color="auto"/>
      </w:divBdr>
      <w:divsChild>
        <w:div w:id="259991683">
          <w:marLeft w:val="0"/>
          <w:marRight w:val="0"/>
          <w:marTop w:val="0"/>
          <w:marBottom w:val="0"/>
          <w:divBdr>
            <w:top w:val="none" w:sz="0" w:space="0" w:color="auto"/>
            <w:left w:val="none" w:sz="0" w:space="0" w:color="auto"/>
            <w:bottom w:val="none" w:sz="0" w:space="0" w:color="auto"/>
            <w:right w:val="none" w:sz="0" w:space="0" w:color="auto"/>
          </w:divBdr>
        </w:div>
        <w:div w:id="1115638488">
          <w:marLeft w:val="0"/>
          <w:marRight w:val="0"/>
          <w:marTop w:val="0"/>
          <w:marBottom w:val="0"/>
          <w:divBdr>
            <w:top w:val="none" w:sz="0" w:space="0" w:color="auto"/>
            <w:left w:val="none" w:sz="0" w:space="0" w:color="auto"/>
            <w:bottom w:val="none" w:sz="0" w:space="0" w:color="auto"/>
            <w:right w:val="none" w:sz="0" w:space="0" w:color="auto"/>
          </w:divBdr>
        </w:div>
        <w:div w:id="1780027849">
          <w:marLeft w:val="0"/>
          <w:marRight w:val="0"/>
          <w:marTop w:val="0"/>
          <w:marBottom w:val="0"/>
          <w:divBdr>
            <w:top w:val="none" w:sz="0" w:space="0" w:color="auto"/>
            <w:left w:val="none" w:sz="0" w:space="0" w:color="auto"/>
            <w:bottom w:val="none" w:sz="0" w:space="0" w:color="auto"/>
            <w:right w:val="none" w:sz="0" w:space="0" w:color="auto"/>
          </w:divBdr>
        </w:div>
        <w:div w:id="1590501977">
          <w:marLeft w:val="0"/>
          <w:marRight w:val="0"/>
          <w:marTop w:val="0"/>
          <w:marBottom w:val="0"/>
          <w:divBdr>
            <w:top w:val="none" w:sz="0" w:space="0" w:color="auto"/>
            <w:left w:val="none" w:sz="0" w:space="0" w:color="auto"/>
            <w:bottom w:val="none" w:sz="0" w:space="0" w:color="auto"/>
            <w:right w:val="none" w:sz="0" w:space="0" w:color="auto"/>
          </w:divBdr>
        </w:div>
        <w:div w:id="916087278">
          <w:marLeft w:val="0"/>
          <w:marRight w:val="0"/>
          <w:marTop w:val="0"/>
          <w:marBottom w:val="0"/>
          <w:divBdr>
            <w:top w:val="none" w:sz="0" w:space="0" w:color="auto"/>
            <w:left w:val="none" w:sz="0" w:space="0" w:color="auto"/>
            <w:bottom w:val="none" w:sz="0" w:space="0" w:color="auto"/>
            <w:right w:val="none" w:sz="0" w:space="0" w:color="auto"/>
          </w:divBdr>
        </w:div>
        <w:div w:id="342124500">
          <w:marLeft w:val="0"/>
          <w:marRight w:val="0"/>
          <w:marTop w:val="0"/>
          <w:marBottom w:val="0"/>
          <w:divBdr>
            <w:top w:val="none" w:sz="0" w:space="0" w:color="auto"/>
            <w:left w:val="none" w:sz="0" w:space="0" w:color="auto"/>
            <w:bottom w:val="none" w:sz="0" w:space="0" w:color="auto"/>
            <w:right w:val="none" w:sz="0" w:space="0" w:color="auto"/>
          </w:divBdr>
        </w:div>
        <w:div w:id="1531065564">
          <w:marLeft w:val="0"/>
          <w:marRight w:val="0"/>
          <w:marTop w:val="0"/>
          <w:marBottom w:val="0"/>
          <w:divBdr>
            <w:top w:val="none" w:sz="0" w:space="0" w:color="auto"/>
            <w:left w:val="none" w:sz="0" w:space="0" w:color="auto"/>
            <w:bottom w:val="none" w:sz="0" w:space="0" w:color="auto"/>
            <w:right w:val="none" w:sz="0" w:space="0" w:color="auto"/>
          </w:divBdr>
        </w:div>
        <w:div w:id="1748310192">
          <w:marLeft w:val="0"/>
          <w:marRight w:val="0"/>
          <w:marTop w:val="0"/>
          <w:marBottom w:val="0"/>
          <w:divBdr>
            <w:top w:val="none" w:sz="0" w:space="0" w:color="auto"/>
            <w:left w:val="none" w:sz="0" w:space="0" w:color="auto"/>
            <w:bottom w:val="none" w:sz="0" w:space="0" w:color="auto"/>
            <w:right w:val="none" w:sz="0" w:space="0" w:color="auto"/>
          </w:divBdr>
        </w:div>
        <w:div w:id="564949361">
          <w:marLeft w:val="0"/>
          <w:marRight w:val="0"/>
          <w:marTop w:val="0"/>
          <w:marBottom w:val="0"/>
          <w:divBdr>
            <w:top w:val="none" w:sz="0" w:space="0" w:color="auto"/>
            <w:left w:val="none" w:sz="0" w:space="0" w:color="auto"/>
            <w:bottom w:val="none" w:sz="0" w:space="0" w:color="auto"/>
            <w:right w:val="none" w:sz="0" w:space="0" w:color="auto"/>
          </w:divBdr>
        </w:div>
        <w:div w:id="773327811">
          <w:marLeft w:val="0"/>
          <w:marRight w:val="0"/>
          <w:marTop w:val="0"/>
          <w:marBottom w:val="0"/>
          <w:divBdr>
            <w:top w:val="none" w:sz="0" w:space="0" w:color="auto"/>
            <w:left w:val="none" w:sz="0" w:space="0" w:color="auto"/>
            <w:bottom w:val="none" w:sz="0" w:space="0" w:color="auto"/>
            <w:right w:val="none" w:sz="0" w:space="0" w:color="auto"/>
          </w:divBdr>
        </w:div>
        <w:div w:id="827793928">
          <w:marLeft w:val="0"/>
          <w:marRight w:val="0"/>
          <w:marTop w:val="0"/>
          <w:marBottom w:val="0"/>
          <w:divBdr>
            <w:top w:val="none" w:sz="0" w:space="0" w:color="auto"/>
            <w:left w:val="none" w:sz="0" w:space="0" w:color="auto"/>
            <w:bottom w:val="none" w:sz="0" w:space="0" w:color="auto"/>
            <w:right w:val="none" w:sz="0" w:space="0" w:color="auto"/>
          </w:divBdr>
        </w:div>
      </w:divsChild>
    </w:div>
    <w:div w:id="343826079">
      <w:bodyDiv w:val="1"/>
      <w:marLeft w:val="0"/>
      <w:marRight w:val="0"/>
      <w:marTop w:val="0"/>
      <w:marBottom w:val="0"/>
      <w:divBdr>
        <w:top w:val="none" w:sz="0" w:space="0" w:color="auto"/>
        <w:left w:val="none" w:sz="0" w:space="0" w:color="auto"/>
        <w:bottom w:val="none" w:sz="0" w:space="0" w:color="auto"/>
        <w:right w:val="none" w:sz="0" w:space="0" w:color="auto"/>
      </w:divBdr>
    </w:div>
    <w:div w:id="398676867">
      <w:bodyDiv w:val="1"/>
      <w:marLeft w:val="0"/>
      <w:marRight w:val="0"/>
      <w:marTop w:val="0"/>
      <w:marBottom w:val="0"/>
      <w:divBdr>
        <w:top w:val="none" w:sz="0" w:space="0" w:color="auto"/>
        <w:left w:val="none" w:sz="0" w:space="0" w:color="auto"/>
        <w:bottom w:val="none" w:sz="0" w:space="0" w:color="auto"/>
        <w:right w:val="none" w:sz="0" w:space="0" w:color="auto"/>
      </w:divBdr>
    </w:div>
    <w:div w:id="415057039">
      <w:bodyDiv w:val="1"/>
      <w:marLeft w:val="0"/>
      <w:marRight w:val="0"/>
      <w:marTop w:val="0"/>
      <w:marBottom w:val="0"/>
      <w:divBdr>
        <w:top w:val="none" w:sz="0" w:space="0" w:color="auto"/>
        <w:left w:val="none" w:sz="0" w:space="0" w:color="auto"/>
        <w:bottom w:val="none" w:sz="0" w:space="0" w:color="auto"/>
        <w:right w:val="none" w:sz="0" w:space="0" w:color="auto"/>
      </w:divBdr>
    </w:div>
    <w:div w:id="434374033">
      <w:bodyDiv w:val="1"/>
      <w:marLeft w:val="0"/>
      <w:marRight w:val="0"/>
      <w:marTop w:val="0"/>
      <w:marBottom w:val="0"/>
      <w:divBdr>
        <w:top w:val="none" w:sz="0" w:space="0" w:color="auto"/>
        <w:left w:val="none" w:sz="0" w:space="0" w:color="auto"/>
        <w:bottom w:val="none" w:sz="0" w:space="0" w:color="auto"/>
        <w:right w:val="none" w:sz="0" w:space="0" w:color="auto"/>
      </w:divBdr>
    </w:div>
    <w:div w:id="464617425">
      <w:bodyDiv w:val="1"/>
      <w:marLeft w:val="0"/>
      <w:marRight w:val="0"/>
      <w:marTop w:val="0"/>
      <w:marBottom w:val="0"/>
      <w:divBdr>
        <w:top w:val="none" w:sz="0" w:space="0" w:color="auto"/>
        <w:left w:val="none" w:sz="0" w:space="0" w:color="auto"/>
        <w:bottom w:val="none" w:sz="0" w:space="0" w:color="auto"/>
        <w:right w:val="none" w:sz="0" w:space="0" w:color="auto"/>
      </w:divBdr>
    </w:div>
    <w:div w:id="605776018">
      <w:bodyDiv w:val="1"/>
      <w:marLeft w:val="0"/>
      <w:marRight w:val="0"/>
      <w:marTop w:val="0"/>
      <w:marBottom w:val="0"/>
      <w:divBdr>
        <w:top w:val="none" w:sz="0" w:space="0" w:color="auto"/>
        <w:left w:val="none" w:sz="0" w:space="0" w:color="auto"/>
        <w:bottom w:val="none" w:sz="0" w:space="0" w:color="auto"/>
        <w:right w:val="none" w:sz="0" w:space="0" w:color="auto"/>
      </w:divBdr>
      <w:divsChild>
        <w:div w:id="1700814547">
          <w:marLeft w:val="0"/>
          <w:marRight w:val="0"/>
          <w:marTop w:val="0"/>
          <w:marBottom w:val="0"/>
          <w:divBdr>
            <w:top w:val="none" w:sz="0" w:space="0" w:color="auto"/>
            <w:left w:val="none" w:sz="0" w:space="0" w:color="auto"/>
            <w:bottom w:val="none" w:sz="0" w:space="0" w:color="auto"/>
            <w:right w:val="none" w:sz="0" w:space="0" w:color="auto"/>
          </w:divBdr>
          <w:divsChild>
            <w:div w:id="2067072507">
              <w:marLeft w:val="0"/>
              <w:marRight w:val="0"/>
              <w:marTop w:val="0"/>
              <w:marBottom w:val="0"/>
              <w:divBdr>
                <w:top w:val="none" w:sz="0" w:space="0" w:color="auto"/>
                <w:left w:val="none" w:sz="0" w:space="0" w:color="auto"/>
                <w:bottom w:val="none" w:sz="0" w:space="0" w:color="auto"/>
                <w:right w:val="none" w:sz="0" w:space="0" w:color="auto"/>
              </w:divBdr>
              <w:divsChild>
                <w:div w:id="1542128677">
                  <w:marLeft w:val="0"/>
                  <w:marRight w:val="0"/>
                  <w:marTop w:val="0"/>
                  <w:marBottom w:val="0"/>
                  <w:divBdr>
                    <w:top w:val="none" w:sz="0" w:space="0" w:color="auto"/>
                    <w:left w:val="none" w:sz="0" w:space="0" w:color="auto"/>
                    <w:bottom w:val="none" w:sz="0" w:space="0" w:color="auto"/>
                    <w:right w:val="none" w:sz="0" w:space="0" w:color="auto"/>
                  </w:divBdr>
                </w:div>
                <w:div w:id="2022269409">
                  <w:marLeft w:val="0"/>
                  <w:marRight w:val="0"/>
                  <w:marTop w:val="0"/>
                  <w:marBottom w:val="0"/>
                  <w:divBdr>
                    <w:top w:val="none" w:sz="0" w:space="0" w:color="auto"/>
                    <w:left w:val="none" w:sz="0" w:space="0" w:color="auto"/>
                    <w:bottom w:val="none" w:sz="0" w:space="0" w:color="auto"/>
                    <w:right w:val="none" w:sz="0" w:space="0" w:color="auto"/>
                  </w:divBdr>
                </w:div>
                <w:div w:id="14124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338679">
          <w:marLeft w:val="0"/>
          <w:marRight w:val="0"/>
          <w:marTop w:val="0"/>
          <w:marBottom w:val="0"/>
          <w:divBdr>
            <w:top w:val="none" w:sz="0" w:space="0" w:color="auto"/>
            <w:left w:val="none" w:sz="0" w:space="0" w:color="auto"/>
            <w:bottom w:val="none" w:sz="0" w:space="0" w:color="auto"/>
            <w:right w:val="none" w:sz="0" w:space="0" w:color="auto"/>
          </w:divBdr>
          <w:divsChild>
            <w:div w:id="1452478382">
              <w:marLeft w:val="0"/>
              <w:marRight w:val="0"/>
              <w:marTop w:val="0"/>
              <w:marBottom w:val="0"/>
              <w:divBdr>
                <w:top w:val="none" w:sz="0" w:space="0" w:color="auto"/>
                <w:left w:val="none" w:sz="0" w:space="0" w:color="auto"/>
                <w:bottom w:val="none" w:sz="0" w:space="0" w:color="auto"/>
                <w:right w:val="none" w:sz="0" w:space="0" w:color="auto"/>
              </w:divBdr>
              <w:divsChild>
                <w:div w:id="1666662127">
                  <w:marLeft w:val="0"/>
                  <w:marRight w:val="0"/>
                  <w:marTop w:val="0"/>
                  <w:marBottom w:val="0"/>
                  <w:divBdr>
                    <w:top w:val="none" w:sz="0" w:space="0" w:color="auto"/>
                    <w:left w:val="none" w:sz="0" w:space="0" w:color="auto"/>
                    <w:bottom w:val="none" w:sz="0" w:space="0" w:color="auto"/>
                    <w:right w:val="none" w:sz="0" w:space="0" w:color="auto"/>
                  </w:divBdr>
                </w:div>
                <w:div w:id="18294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86322">
      <w:bodyDiv w:val="1"/>
      <w:marLeft w:val="0"/>
      <w:marRight w:val="0"/>
      <w:marTop w:val="0"/>
      <w:marBottom w:val="0"/>
      <w:divBdr>
        <w:top w:val="none" w:sz="0" w:space="0" w:color="auto"/>
        <w:left w:val="none" w:sz="0" w:space="0" w:color="auto"/>
        <w:bottom w:val="none" w:sz="0" w:space="0" w:color="auto"/>
        <w:right w:val="none" w:sz="0" w:space="0" w:color="auto"/>
      </w:divBdr>
      <w:divsChild>
        <w:div w:id="865559109">
          <w:marLeft w:val="0"/>
          <w:marRight w:val="0"/>
          <w:marTop w:val="225"/>
          <w:marBottom w:val="180"/>
          <w:divBdr>
            <w:top w:val="single" w:sz="6" w:space="0" w:color="D7D7D7"/>
            <w:left w:val="none" w:sz="0" w:space="0" w:color="auto"/>
            <w:bottom w:val="single" w:sz="6" w:space="0" w:color="D7D7D7"/>
            <w:right w:val="none" w:sz="0" w:space="0" w:color="auto"/>
          </w:divBdr>
          <w:divsChild>
            <w:div w:id="1664773821">
              <w:marLeft w:val="0"/>
              <w:marRight w:val="0"/>
              <w:marTop w:val="0"/>
              <w:marBottom w:val="0"/>
              <w:divBdr>
                <w:top w:val="none" w:sz="0" w:space="0" w:color="auto"/>
                <w:left w:val="none" w:sz="0" w:space="0" w:color="auto"/>
                <w:bottom w:val="none" w:sz="0" w:space="0" w:color="auto"/>
                <w:right w:val="none" w:sz="0" w:space="0" w:color="auto"/>
              </w:divBdr>
            </w:div>
            <w:div w:id="1809398192">
              <w:marLeft w:val="0"/>
              <w:marRight w:val="0"/>
              <w:marTop w:val="0"/>
              <w:marBottom w:val="0"/>
              <w:divBdr>
                <w:top w:val="none" w:sz="0" w:space="0" w:color="auto"/>
                <w:left w:val="none" w:sz="0" w:space="0" w:color="auto"/>
                <w:bottom w:val="none" w:sz="0" w:space="0" w:color="auto"/>
                <w:right w:val="none" w:sz="0" w:space="0" w:color="auto"/>
              </w:divBdr>
            </w:div>
          </w:divsChild>
        </w:div>
        <w:div w:id="1126587456">
          <w:marLeft w:val="0"/>
          <w:marRight w:val="0"/>
          <w:marTop w:val="0"/>
          <w:marBottom w:val="0"/>
          <w:divBdr>
            <w:top w:val="none" w:sz="0" w:space="0" w:color="auto"/>
            <w:left w:val="none" w:sz="0" w:space="0" w:color="auto"/>
            <w:bottom w:val="none" w:sz="0" w:space="0" w:color="auto"/>
            <w:right w:val="none" w:sz="0" w:space="0" w:color="auto"/>
          </w:divBdr>
        </w:div>
      </w:divsChild>
    </w:div>
    <w:div w:id="972833718">
      <w:bodyDiv w:val="1"/>
      <w:marLeft w:val="0"/>
      <w:marRight w:val="0"/>
      <w:marTop w:val="0"/>
      <w:marBottom w:val="0"/>
      <w:divBdr>
        <w:top w:val="none" w:sz="0" w:space="0" w:color="auto"/>
        <w:left w:val="none" w:sz="0" w:space="0" w:color="auto"/>
        <w:bottom w:val="none" w:sz="0" w:space="0" w:color="auto"/>
        <w:right w:val="none" w:sz="0" w:space="0" w:color="auto"/>
      </w:divBdr>
      <w:divsChild>
        <w:div w:id="709915169">
          <w:marLeft w:val="0"/>
          <w:marRight w:val="0"/>
          <w:marTop w:val="225"/>
          <w:marBottom w:val="315"/>
          <w:divBdr>
            <w:top w:val="single" w:sz="6" w:space="0" w:color="D7D7D7"/>
            <w:left w:val="none" w:sz="0" w:space="0" w:color="auto"/>
            <w:bottom w:val="single" w:sz="6" w:space="0" w:color="D7D7D7"/>
            <w:right w:val="none" w:sz="0" w:space="0" w:color="auto"/>
          </w:divBdr>
          <w:divsChild>
            <w:div w:id="800150519">
              <w:marLeft w:val="0"/>
              <w:marRight w:val="0"/>
              <w:marTop w:val="0"/>
              <w:marBottom w:val="0"/>
              <w:divBdr>
                <w:top w:val="none" w:sz="0" w:space="0" w:color="auto"/>
                <w:left w:val="none" w:sz="0" w:space="0" w:color="auto"/>
                <w:bottom w:val="none" w:sz="0" w:space="0" w:color="auto"/>
                <w:right w:val="none" w:sz="0" w:space="0" w:color="auto"/>
              </w:divBdr>
            </w:div>
            <w:div w:id="1462336405">
              <w:marLeft w:val="0"/>
              <w:marRight w:val="0"/>
              <w:marTop w:val="0"/>
              <w:marBottom w:val="0"/>
              <w:divBdr>
                <w:top w:val="none" w:sz="0" w:space="0" w:color="auto"/>
                <w:left w:val="none" w:sz="0" w:space="0" w:color="auto"/>
                <w:bottom w:val="none" w:sz="0" w:space="0" w:color="auto"/>
                <w:right w:val="none" w:sz="0" w:space="0" w:color="auto"/>
              </w:divBdr>
            </w:div>
          </w:divsChild>
        </w:div>
        <w:div w:id="802387160">
          <w:marLeft w:val="0"/>
          <w:marRight w:val="0"/>
          <w:marTop w:val="0"/>
          <w:marBottom w:val="0"/>
          <w:divBdr>
            <w:top w:val="none" w:sz="0" w:space="0" w:color="auto"/>
            <w:left w:val="none" w:sz="0" w:space="0" w:color="auto"/>
            <w:bottom w:val="none" w:sz="0" w:space="0" w:color="auto"/>
            <w:right w:val="none" w:sz="0" w:space="0" w:color="auto"/>
          </w:divBdr>
        </w:div>
      </w:divsChild>
    </w:div>
    <w:div w:id="1696230208">
      <w:bodyDiv w:val="1"/>
      <w:marLeft w:val="0"/>
      <w:marRight w:val="0"/>
      <w:marTop w:val="0"/>
      <w:marBottom w:val="0"/>
      <w:divBdr>
        <w:top w:val="none" w:sz="0" w:space="0" w:color="auto"/>
        <w:left w:val="none" w:sz="0" w:space="0" w:color="auto"/>
        <w:bottom w:val="none" w:sz="0" w:space="0" w:color="auto"/>
        <w:right w:val="none" w:sz="0" w:space="0" w:color="auto"/>
      </w:divBdr>
      <w:divsChild>
        <w:div w:id="1745882409">
          <w:marLeft w:val="0"/>
          <w:marRight w:val="0"/>
          <w:marTop w:val="225"/>
          <w:marBottom w:val="315"/>
          <w:divBdr>
            <w:top w:val="single" w:sz="6" w:space="0" w:color="D7D7D7"/>
            <w:left w:val="none" w:sz="0" w:space="0" w:color="auto"/>
            <w:bottom w:val="single" w:sz="6" w:space="0" w:color="D7D7D7"/>
            <w:right w:val="none" w:sz="0" w:space="0" w:color="auto"/>
          </w:divBdr>
          <w:divsChild>
            <w:div w:id="968170163">
              <w:marLeft w:val="0"/>
              <w:marRight w:val="0"/>
              <w:marTop w:val="0"/>
              <w:marBottom w:val="0"/>
              <w:divBdr>
                <w:top w:val="none" w:sz="0" w:space="0" w:color="auto"/>
                <w:left w:val="none" w:sz="0" w:space="0" w:color="auto"/>
                <w:bottom w:val="none" w:sz="0" w:space="0" w:color="auto"/>
                <w:right w:val="none" w:sz="0" w:space="0" w:color="auto"/>
              </w:divBdr>
            </w:div>
            <w:div w:id="1415274068">
              <w:marLeft w:val="0"/>
              <w:marRight w:val="0"/>
              <w:marTop w:val="0"/>
              <w:marBottom w:val="0"/>
              <w:divBdr>
                <w:top w:val="none" w:sz="0" w:space="0" w:color="auto"/>
                <w:left w:val="none" w:sz="0" w:space="0" w:color="auto"/>
                <w:bottom w:val="none" w:sz="0" w:space="0" w:color="auto"/>
                <w:right w:val="none" w:sz="0" w:space="0" w:color="auto"/>
              </w:divBdr>
            </w:div>
          </w:divsChild>
        </w:div>
        <w:div w:id="2047561943">
          <w:marLeft w:val="0"/>
          <w:marRight w:val="0"/>
          <w:marTop w:val="0"/>
          <w:marBottom w:val="0"/>
          <w:divBdr>
            <w:top w:val="none" w:sz="0" w:space="0" w:color="auto"/>
            <w:left w:val="none" w:sz="0" w:space="0" w:color="auto"/>
            <w:bottom w:val="none" w:sz="0" w:space="0" w:color="auto"/>
            <w:right w:val="none" w:sz="0" w:space="0" w:color="auto"/>
          </w:divBdr>
          <w:divsChild>
            <w:div w:id="134003702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904944971">
      <w:bodyDiv w:val="1"/>
      <w:marLeft w:val="0"/>
      <w:marRight w:val="0"/>
      <w:marTop w:val="0"/>
      <w:marBottom w:val="0"/>
      <w:divBdr>
        <w:top w:val="none" w:sz="0" w:space="0" w:color="auto"/>
        <w:left w:val="none" w:sz="0" w:space="0" w:color="auto"/>
        <w:bottom w:val="none" w:sz="0" w:space="0" w:color="auto"/>
        <w:right w:val="none" w:sz="0" w:space="0" w:color="auto"/>
      </w:divBdr>
      <w:divsChild>
        <w:div w:id="10452276">
          <w:marLeft w:val="0"/>
          <w:marRight w:val="0"/>
          <w:marTop w:val="34"/>
          <w:marBottom w:val="34"/>
          <w:divBdr>
            <w:top w:val="none" w:sz="0" w:space="0" w:color="auto"/>
            <w:left w:val="none" w:sz="0" w:space="0" w:color="auto"/>
            <w:bottom w:val="none" w:sz="0" w:space="0" w:color="auto"/>
            <w:right w:val="none" w:sz="0" w:space="0" w:color="auto"/>
          </w:divBdr>
        </w:div>
      </w:divsChild>
    </w:div>
    <w:div w:id="1967660047">
      <w:bodyDiv w:val="1"/>
      <w:marLeft w:val="0"/>
      <w:marRight w:val="0"/>
      <w:marTop w:val="0"/>
      <w:marBottom w:val="0"/>
      <w:divBdr>
        <w:top w:val="none" w:sz="0" w:space="0" w:color="auto"/>
        <w:left w:val="none" w:sz="0" w:space="0" w:color="auto"/>
        <w:bottom w:val="none" w:sz="0" w:space="0" w:color="auto"/>
        <w:right w:val="none" w:sz="0" w:space="0" w:color="auto"/>
      </w:divBdr>
    </w:div>
    <w:div w:id="2018188628">
      <w:bodyDiv w:val="1"/>
      <w:marLeft w:val="0"/>
      <w:marRight w:val="0"/>
      <w:marTop w:val="0"/>
      <w:marBottom w:val="0"/>
      <w:divBdr>
        <w:top w:val="none" w:sz="0" w:space="0" w:color="auto"/>
        <w:left w:val="none" w:sz="0" w:space="0" w:color="auto"/>
        <w:bottom w:val="none" w:sz="0" w:space="0" w:color="auto"/>
        <w:right w:val="none" w:sz="0" w:space="0" w:color="auto"/>
      </w:divBdr>
      <w:divsChild>
        <w:div w:id="490482790">
          <w:marLeft w:val="0"/>
          <w:marRight w:val="0"/>
          <w:marTop w:val="0"/>
          <w:marBottom w:val="166"/>
          <w:divBdr>
            <w:top w:val="none" w:sz="0" w:space="0" w:color="auto"/>
            <w:left w:val="none" w:sz="0" w:space="0" w:color="auto"/>
            <w:bottom w:val="none" w:sz="0" w:space="0" w:color="auto"/>
            <w:right w:val="none" w:sz="0" w:space="0" w:color="auto"/>
          </w:divBdr>
          <w:divsChild>
            <w:div w:id="470247282">
              <w:marLeft w:val="0"/>
              <w:marRight w:val="0"/>
              <w:marTop w:val="0"/>
              <w:marBottom w:val="0"/>
              <w:divBdr>
                <w:top w:val="none" w:sz="0" w:space="0" w:color="auto"/>
                <w:left w:val="none" w:sz="0" w:space="0" w:color="auto"/>
                <w:bottom w:val="none" w:sz="0" w:space="0" w:color="auto"/>
                <w:right w:val="none" w:sz="0" w:space="0" w:color="auto"/>
              </w:divBdr>
              <w:divsChild>
                <w:div w:id="1722247533">
                  <w:marLeft w:val="0"/>
                  <w:marRight w:val="0"/>
                  <w:marTop w:val="0"/>
                  <w:marBottom w:val="0"/>
                  <w:divBdr>
                    <w:top w:val="none" w:sz="0" w:space="0" w:color="auto"/>
                    <w:left w:val="none" w:sz="0" w:space="0" w:color="auto"/>
                    <w:bottom w:val="none" w:sz="0" w:space="0" w:color="auto"/>
                    <w:right w:val="none" w:sz="0" w:space="0" w:color="auto"/>
                  </w:divBdr>
                  <w:divsChild>
                    <w:div w:id="1553493599">
                      <w:marLeft w:val="0"/>
                      <w:marRight w:val="0"/>
                      <w:marTop w:val="0"/>
                      <w:marBottom w:val="0"/>
                      <w:divBdr>
                        <w:top w:val="none" w:sz="0" w:space="0" w:color="auto"/>
                        <w:left w:val="none" w:sz="0" w:space="0" w:color="auto"/>
                        <w:bottom w:val="none" w:sz="0" w:space="0" w:color="auto"/>
                        <w:right w:val="none" w:sz="0" w:space="0" w:color="auto"/>
                      </w:divBdr>
                      <w:divsChild>
                        <w:div w:id="126708937">
                          <w:marLeft w:val="0"/>
                          <w:marRight w:val="0"/>
                          <w:marTop w:val="0"/>
                          <w:marBottom w:val="0"/>
                          <w:divBdr>
                            <w:top w:val="none" w:sz="0" w:space="0" w:color="auto"/>
                            <w:left w:val="none" w:sz="0" w:space="0" w:color="auto"/>
                            <w:bottom w:val="none" w:sz="0" w:space="0" w:color="auto"/>
                            <w:right w:val="none" w:sz="0" w:space="0" w:color="auto"/>
                          </w:divBdr>
                        </w:div>
                        <w:div w:id="2445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17975">
                  <w:marLeft w:val="0"/>
                  <w:marRight w:val="0"/>
                  <w:marTop w:val="0"/>
                  <w:marBottom w:val="0"/>
                  <w:divBdr>
                    <w:top w:val="none" w:sz="0" w:space="0" w:color="auto"/>
                    <w:left w:val="none" w:sz="0" w:space="0" w:color="auto"/>
                    <w:bottom w:val="none" w:sz="0" w:space="0" w:color="auto"/>
                    <w:right w:val="none" w:sz="0" w:space="0" w:color="auto"/>
                  </w:divBdr>
                  <w:divsChild>
                    <w:div w:id="89320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327254">
          <w:marLeft w:val="0"/>
          <w:marRight w:val="0"/>
          <w:marTop w:val="166"/>
          <w:marBottom w:val="166"/>
          <w:divBdr>
            <w:top w:val="none" w:sz="0" w:space="0" w:color="auto"/>
            <w:left w:val="none" w:sz="0" w:space="0" w:color="auto"/>
            <w:bottom w:val="none" w:sz="0" w:space="0" w:color="auto"/>
            <w:right w:val="none" w:sz="0" w:space="0" w:color="auto"/>
          </w:divBdr>
          <w:divsChild>
            <w:div w:id="1700665935">
              <w:marLeft w:val="0"/>
              <w:marRight w:val="0"/>
              <w:marTop w:val="0"/>
              <w:marBottom w:val="0"/>
              <w:divBdr>
                <w:top w:val="none" w:sz="0" w:space="0" w:color="auto"/>
                <w:left w:val="none" w:sz="0" w:space="0" w:color="auto"/>
                <w:bottom w:val="none" w:sz="0" w:space="0" w:color="auto"/>
                <w:right w:val="none" w:sz="0" w:space="0" w:color="auto"/>
              </w:divBdr>
            </w:div>
          </w:divsChild>
        </w:div>
        <w:div w:id="1291938593">
          <w:marLeft w:val="0"/>
          <w:marRight w:val="0"/>
          <w:marTop w:val="166"/>
          <w:marBottom w:val="166"/>
          <w:divBdr>
            <w:top w:val="none" w:sz="0" w:space="0" w:color="auto"/>
            <w:left w:val="none" w:sz="0" w:space="0" w:color="auto"/>
            <w:bottom w:val="none" w:sz="0" w:space="0" w:color="auto"/>
            <w:right w:val="none" w:sz="0" w:space="0" w:color="auto"/>
          </w:divBdr>
          <w:divsChild>
            <w:div w:id="97611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17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6DCA9-428D-4920-A442-D28270004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6517</Words>
  <Characters>37153</Characters>
  <Application>Microsoft Office Word</Application>
  <DocSecurity>4</DocSecurity>
  <Lines>309</Lines>
  <Paragraphs>87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VUmc</Company>
  <LinksUpToDate>false</LinksUpToDate>
  <CharactersWithSpaces>43583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Timmermans</dc:creator>
  <cp:lastModifiedBy>Karen Drake</cp:lastModifiedBy>
  <cp:revision>2</cp:revision>
  <cp:lastPrinted>2014-08-27T13:37:00Z</cp:lastPrinted>
  <dcterms:created xsi:type="dcterms:W3CDTF">2016-09-02T08:22:00Z</dcterms:created>
  <dcterms:modified xsi:type="dcterms:W3CDTF">2016-09-02T08:22:00Z</dcterms:modified>
</cp:coreProperties>
</file>