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3C56F" w14:textId="1C1B7FE7" w:rsidR="00D44147" w:rsidRDefault="00064307" w:rsidP="0067653B">
      <w:pPr>
        <w:pStyle w:val="Heading1"/>
        <w:rPr>
          <w:lang w:val="en-US"/>
        </w:rPr>
      </w:pPr>
      <w:bookmarkStart w:id="0" w:name="_GoBack"/>
      <w:bookmarkEnd w:id="0"/>
      <w:r w:rsidRPr="00064307">
        <w:rPr>
          <w:lang w:val="en-US"/>
        </w:rPr>
        <w:t>How Can Competitiveness be Achieved in post-Crisis Europe: Deregulating Employment Relations or Enhancing High Performance Work Practices?</w:t>
      </w:r>
    </w:p>
    <w:p w14:paraId="54F4110C" w14:textId="5875DC0F" w:rsidR="005E6E7C" w:rsidRDefault="00CF38CE" w:rsidP="000B3DBC">
      <w:pPr>
        <w:spacing w:before="240"/>
      </w:pPr>
      <w:r>
        <w:rPr>
          <w:b/>
        </w:rPr>
        <w:t>Abstract</w:t>
      </w:r>
      <w:r w:rsidR="00B452F4">
        <w:rPr>
          <w:b/>
        </w:rPr>
        <w:t xml:space="preserve">: </w:t>
      </w:r>
      <w:r w:rsidR="00962424">
        <w:t xml:space="preserve">The recent </w:t>
      </w:r>
      <w:r w:rsidR="003D06D7">
        <w:t>Eurozone crisis has reinvigorated</w:t>
      </w:r>
      <w:r w:rsidR="00962424">
        <w:t xml:space="preserve"> n</w:t>
      </w:r>
      <w:r>
        <w:t xml:space="preserve">eoliberal policies </w:t>
      </w:r>
      <w:r w:rsidR="003D06D7">
        <w:t>and</w:t>
      </w:r>
      <w:r w:rsidR="00962424">
        <w:t xml:space="preserve"> brought to the fore</w:t>
      </w:r>
      <w:r>
        <w:t xml:space="preserve"> </w:t>
      </w:r>
      <w:r w:rsidR="00433935">
        <w:t xml:space="preserve">an academic and policy debate over </w:t>
      </w:r>
      <w:r>
        <w:t xml:space="preserve">the </w:t>
      </w:r>
      <w:r w:rsidR="00E71CB6">
        <w:t xml:space="preserve">deregulation </w:t>
      </w:r>
      <w:r>
        <w:t xml:space="preserve">of </w:t>
      </w:r>
      <w:r w:rsidR="00EF4560">
        <w:t>employment relations’</w:t>
      </w:r>
      <w:r>
        <w:t xml:space="preserve"> institutions </w:t>
      </w:r>
      <w:r w:rsidR="006E3C27">
        <w:t>‘</w:t>
      </w:r>
      <w:r>
        <w:t>in the name of competitiveness</w:t>
      </w:r>
      <w:r w:rsidR="006E3C27">
        <w:t>’</w:t>
      </w:r>
      <w:r>
        <w:t xml:space="preserve">. In the context </w:t>
      </w:r>
      <w:r w:rsidR="00BE0D22">
        <w:t>of</w:t>
      </w:r>
      <w:r w:rsidR="00DC1C6C">
        <w:t xml:space="preserve"> this </w:t>
      </w:r>
      <w:r>
        <w:t>debate, we ask the following question:</w:t>
      </w:r>
      <w:r w:rsidR="00433935">
        <w:t xml:space="preserve"> </w:t>
      </w:r>
      <w:r w:rsidR="00E71CB6" w:rsidRPr="00E71CB6">
        <w:t>have firms with </w:t>
      </w:r>
      <w:r w:rsidR="00E71CB6">
        <w:t>employment relations</w:t>
      </w:r>
      <w:r w:rsidR="00E71CB6" w:rsidRPr="00E71CB6">
        <w:t xml:space="preserve"> institutions been le</w:t>
      </w:r>
      <w:r w:rsidR="00D0540C">
        <w:t>ss able to improve productivity</w:t>
      </w:r>
      <w:r w:rsidR="003C3C13">
        <w:t xml:space="preserve"> </w:t>
      </w:r>
      <w:r w:rsidR="00101E6F">
        <w:t>during</w:t>
      </w:r>
      <w:r w:rsidR="003C3C13">
        <w:t xml:space="preserve"> the crisis</w:t>
      </w:r>
      <w:r w:rsidR="00D0540C">
        <w:t xml:space="preserve">? </w:t>
      </w:r>
      <w:r w:rsidR="00433935">
        <w:t xml:space="preserve">We consider this question </w:t>
      </w:r>
      <w:r w:rsidR="00FB5EEB">
        <w:t xml:space="preserve">by </w:t>
      </w:r>
      <w:r w:rsidR="00D816EF">
        <w:t>examining</w:t>
      </w:r>
      <w:r w:rsidR="0014347B">
        <w:t xml:space="preserve"> </w:t>
      </w:r>
      <w:r w:rsidR="003C3C13">
        <w:t>data</w:t>
      </w:r>
      <w:r w:rsidR="0014347B">
        <w:t xml:space="preserve"> </w:t>
      </w:r>
      <w:r w:rsidR="00D22387">
        <w:t>from</w:t>
      </w:r>
      <w:r w:rsidR="00531A7A">
        <w:t xml:space="preserve"> </w:t>
      </w:r>
      <w:r w:rsidR="00D949E6">
        <w:t xml:space="preserve">the European </w:t>
      </w:r>
      <w:r w:rsidR="003C380E">
        <w:t>Com</w:t>
      </w:r>
      <w:r w:rsidR="00D949E6">
        <w:t xml:space="preserve">pany </w:t>
      </w:r>
      <w:r w:rsidR="003C380E">
        <w:t>S</w:t>
      </w:r>
      <w:r w:rsidR="00D949E6">
        <w:t>urvey</w:t>
      </w:r>
      <w:r w:rsidR="0014347B">
        <w:t>. We also</w:t>
      </w:r>
      <w:r>
        <w:t xml:space="preserve"> </w:t>
      </w:r>
      <w:r w:rsidR="00BD6308">
        <w:t>look into</w:t>
      </w:r>
      <w:r>
        <w:t xml:space="preserve"> </w:t>
      </w:r>
      <w:r w:rsidR="00EF4560">
        <w:t>different models of capitalism</w:t>
      </w:r>
      <w:r>
        <w:t xml:space="preserve"> to </w:t>
      </w:r>
      <w:r w:rsidR="00101E6F">
        <w:t xml:space="preserve">gauge </w:t>
      </w:r>
      <w:r>
        <w:t xml:space="preserve">whether there are </w:t>
      </w:r>
      <w:r w:rsidR="00D816EF">
        <w:t>context-</w:t>
      </w:r>
      <w:r w:rsidR="001F5505">
        <w:t>specific</w:t>
      </w:r>
      <w:r>
        <w:t xml:space="preserve"> institutional effects that </w:t>
      </w:r>
      <w:r w:rsidR="00A274CD">
        <w:t>may</w:t>
      </w:r>
      <w:r>
        <w:t xml:space="preserve"> mediate firm-level outcomes. Contrary to</w:t>
      </w:r>
      <w:r w:rsidR="00EF4560">
        <w:t xml:space="preserve"> </w:t>
      </w:r>
      <w:r w:rsidR="00021906">
        <w:t>the dominant neoliberal discourse</w:t>
      </w:r>
      <w:r>
        <w:t xml:space="preserve">, </w:t>
      </w:r>
      <w:r w:rsidR="00554271">
        <w:t>we do not find any</w:t>
      </w:r>
      <w:r w:rsidR="00531A7A">
        <w:t xml:space="preserve"> strong</w:t>
      </w:r>
      <w:r w:rsidR="00554271">
        <w:t xml:space="preserve"> evidence </w:t>
      </w:r>
      <w:r>
        <w:t xml:space="preserve">that </w:t>
      </w:r>
      <w:r w:rsidR="00E23442">
        <w:t>employment relations institutions</w:t>
      </w:r>
      <w:r>
        <w:t xml:space="preserve"> </w:t>
      </w:r>
      <w:r w:rsidR="00965CD6">
        <w:t>are</w:t>
      </w:r>
      <w:r>
        <w:t xml:space="preserve"> negative</w:t>
      </w:r>
      <w:r w:rsidR="00965CD6">
        <w:t>ly</w:t>
      </w:r>
      <w:r>
        <w:t xml:space="preserve"> </w:t>
      </w:r>
      <w:r w:rsidR="00965CD6">
        <w:t>associated with</w:t>
      </w:r>
      <w:r w:rsidR="00817789">
        <w:t xml:space="preserve"> productivity</w:t>
      </w:r>
      <w:r w:rsidR="00652B74">
        <w:t xml:space="preserve"> increases</w:t>
      </w:r>
      <w:r w:rsidR="00817789">
        <w:t xml:space="preserve">. </w:t>
      </w:r>
      <w:r w:rsidR="009972E3">
        <w:t xml:space="preserve">Instead, we find that certain </w:t>
      </w:r>
      <w:r w:rsidR="000F39CB">
        <w:t xml:space="preserve">high performance </w:t>
      </w:r>
      <w:r w:rsidR="009972E3">
        <w:t>work practices are positively and significantly associated with productivity increases</w:t>
      </w:r>
      <w:r w:rsidR="00CF22DB">
        <w:t xml:space="preserve"> </w:t>
      </w:r>
      <w:r w:rsidR="009232C0">
        <w:t>across EU-15 and in</w:t>
      </w:r>
      <w:r w:rsidR="00CF22DB">
        <w:t xml:space="preserve"> particular institutional contexts</w:t>
      </w:r>
      <w:r>
        <w:t xml:space="preserve">. Taken together these results </w:t>
      </w:r>
      <w:r w:rsidR="00C25F8C">
        <w:t>challenge</w:t>
      </w:r>
      <w:r>
        <w:t xml:space="preserve"> th</w:t>
      </w:r>
      <w:r w:rsidR="00C25F8C">
        <w:t>e</w:t>
      </w:r>
      <w:r w:rsidR="00C610AA">
        <w:t xml:space="preserve"> </w:t>
      </w:r>
      <w:r w:rsidR="00652B74">
        <w:t>neoliberal</w:t>
      </w:r>
      <w:r w:rsidR="00CF22DB">
        <w:t xml:space="preserve"> </w:t>
      </w:r>
      <w:r w:rsidR="00C610AA">
        <w:t>‘</w:t>
      </w:r>
      <w:r w:rsidR="00C25F8C">
        <w:t>low road</w:t>
      </w:r>
      <w:r w:rsidR="00C610AA">
        <w:t>’</w:t>
      </w:r>
      <w:r w:rsidR="00C25F8C">
        <w:t xml:space="preserve"> </w:t>
      </w:r>
      <w:r>
        <w:t xml:space="preserve">policies </w:t>
      </w:r>
      <w:r w:rsidR="00C25F8C">
        <w:t xml:space="preserve">that are </w:t>
      </w:r>
      <w:r>
        <w:t xml:space="preserve">focused on </w:t>
      </w:r>
      <w:r w:rsidR="00E71CB6">
        <w:t xml:space="preserve">dismantling </w:t>
      </w:r>
      <w:r w:rsidR="00E23442">
        <w:t>employment relations institutions</w:t>
      </w:r>
      <w:r>
        <w:t xml:space="preserve"> </w:t>
      </w:r>
      <w:r w:rsidR="00C610AA">
        <w:t xml:space="preserve">and suggest shifting </w:t>
      </w:r>
      <w:r w:rsidR="00D816EF">
        <w:t xml:space="preserve">the </w:t>
      </w:r>
      <w:r w:rsidR="00D6560D">
        <w:t xml:space="preserve">attention </w:t>
      </w:r>
      <w:r w:rsidR="00C610AA">
        <w:t xml:space="preserve">towards </w:t>
      </w:r>
      <w:r w:rsidR="00B66AC2">
        <w:t xml:space="preserve">context-sensitive </w:t>
      </w:r>
      <w:r w:rsidR="00531A7A">
        <w:t>‘</w:t>
      </w:r>
      <w:r w:rsidR="00C25F8C">
        <w:t>high road</w:t>
      </w:r>
      <w:r w:rsidR="00531A7A">
        <w:t>’</w:t>
      </w:r>
      <w:r w:rsidR="00C25F8C">
        <w:t xml:space="preserve"> </w:t>
      </w:r>
      <w:r w:rsidR="00531A7A">
        <w:t>policies</w:t>
      </w:r>
      <w:r w:rsidR="005D4115">
        <w:t xml:space="preserve"> </w:t>
      </w:r>
      <w:r w:rsidR="001241E3">
        <w:t>and practices</w:t>
      </w:r>
      <w:r w:rsidR="00E37157">
        <w:t>.</w:t>
      </w:r>
    </w:p>
    <w:p w14:paraId="04DB93A3" w14:textId="608DC90D" w:rsidR="00145F77" w:rsidRDefault="00145F77" w:rsidP="00094028">
      <w:pPr>
        <w:pStyle w:val="Heading1"/>
        <w:rPr>
          <w:b w:val="0"/>
        </w:rPr>
      </w:pPr>
      <w:r w:rsidRPr="00145F77">
        <w:lastRenderedPageBreak/>
        <w:t>Introductio</w:t>
      </w:r>
      <w:r>
        <w:t>n</w:t>
      </w:r>
    </w:p>
    <w:p w14:paraId="3419E453" w14:textId="1EC40E3D" w:rsidR="00192E25" w:rsidRDefault="0039661C" w:rsidP="00B62110">
      <w:r>
        <w:t xml:space="preserve">There is surprising consensus among scholars and commentators that the </w:t>
      </w:r>
      <w:r w:rsidR="003C3C13">
        <w:t xml:space="preserve">recent </w:t>
      </w:r>
      <w:r>
        <w:t xml:space="preserve">crisis </w:t>
      </w:r>
      <w:r w:rsidR="003C3C13">
        <w:t xml:space="preserve">has been </w:t>
      </w:r>
      <w:r>
        <w:t xml:space="preserve">‘the greatest crisis of capitalism most of us have seen in our lifetime’ </w:t>
      </w:r>
      <w:r>
        <w:fldChar w:fldCharType="begin"/>
      </w:r>
      <w:r w:rsidR="005C34A8">
        <w:instrText xml:space="preserve"> ADDIN ZOTERO_ITEM CSL_CITATION {"citationID":"MkfEC7rQ","properties":{"formattedCitation":"(Morgan et al., 2011: 150)","plainCitation":"(Morgan et al., 2011: 150)"},"citationItems":[{"id":1071,"uris":["http://zotero.org/users/local/xORFDKwB/items/42BUAEW8"],"uri":["http://zotero.org/users/local/xORFDKwB/items/42BUAEW8"],"itemData":{"id":1071,"type":"article-journal","title":"Capitalism in crisis: organizational perspectives","container-title":"Organization","page":"147-152","volume":"18","author":[{"family":"Morgan","given":"Glenn"},{"family":"Froud","given":"Julie"},{"family":"Quack","given":"Sigrid"},{"family":"Schneiberg","given":"Marc"}],"issued":{"date-parts":[["2011"]]}},"locator":"150"}],"schema":"https://github.com/citation-style-language/schema/raw/master/csl-citation.json"} </w:instrText>
      </w:r>
      <w:r>
        <w:fldChar w:fldCharType="separate"/>
      </w:r>
      <w:r w:rsidR="005C34A8">
        <w:rPr>
          <w:noProof/>
        </w:rPr>
        <w:t>(Morgan et al., 2011: 150)</w:t>
      </w:r>
      <w:r>
        <w:fldChar w:fldCharType="end"/>
      </w:r>
      <w:r>
        <w:t xml:space="preserve">. Scholars are puzzled by how quickly the </w:t>
      </w:r>
      <w:r w:rsidR="00134450">
        <w:t xml:space="preserve">US </w:t>
      </w:r>
      <w:r w:rsidR="005B6B6F">
        <w:t xml:space="preserve">Wall </w:t>
      </w:r>
      <w:r w:rsidR="00E6547A">
        <w:t>S</w:t>
      </w:r>
      <w:r w:rsidR="005B6B6F">
        <w:t>treet</w:t>
      </w:r>
      <w:r>
        <w:t xml:space="preserve"> </w:t>
      </w:r>
      <w:r w:rsidR="0048262E">
        <w:t xml:space="preserve">collapse </w:t>
      </w:r>
      <w:r>
        <w:t>mutated into a</w:t>
      </w:r>
      <w:r w:rsidR="00134450">
        <w:t xml:space="preserve"> Eurozone</w:t>
      </w:r>
      <w:r>
        <w:t xml:space="preserve"> state debt crisis</w:t>
      </w:r>
      <w:r w:rsidR="00134450">
        <w:t>, thus,</w:t>
      </w:r>
      <w:r>
        <w:t xml:space="preserve"> shifting the discourse of blame from irresponsible </w:t>
      </w:r>
      <w:r w:rsidR="00FA2F3F">
        <w:t>financialization</w:t>
      </w:r>
      <w:r w:rsidR="00F5458F">
        <w:t>,</w:t>
      </w:r>
      <w:r>
        <w:t xml:space="preserve"> onto state’s excessive </w:t>
      </w:r>
      <w:r w:rsidR="00134450">
        <w:t>borrowing and</w:t>
      </w:r>
      <w:r w:rsidR="00E71CB6">
        <w:t xml:space="preserve"> reckless</w:t>
      </w:r>
      <w:r w:rsidR="00134450">
        <w:t xml:space="preserve"> </w:t>
      </w:r>
      <w:r w:rsidR="00FA2F3F">
        <w:t>spending</w:t>
      </w:r>
      <w:r>
        <w:t xml:space="preserve">. </w:t>
      </w:r>
      <w:r w:rsidR="003C3C13">
        <w:t>W</w:t>
      </w:r>
      <w:r>
        <w:t xml:space="preserve">ith the exception of a short period that the debate was focused on containing unfettered markets, neoliberalism has come back with vengeance </w:t>
      </w:r>
      <w:r>
        <w:fldChar w:fldCharType="begin"/>
      </w:r>
      <w:r w:rsidR="006D4224">
        <w:instrText xml:space="preserve"> ADDIN ZOTERO_ITEM CSL_CITATION {"citationID":"B2yZoFbH","properties":{"formattedCitation":"(Crouch, 2011; Heyes et al., 2012)","plainCitation":"(Crouch, 2011; Heyes et al., 2012)"},"citationItems":[{"id":268,"uris":["http://zotero.org/users/local/xORFDKwB/items/4VHFJ5CX"],"uri":["http://zotero.org/users/local/xORFDKwB/items/4VHFJ5CX"],"itemData":{"id":268,"type":"book","title":"The Strange Non-Death of Neoliberalism","publisher":"Polity","publisher-place":"Cambridge","event-place":"Cambridge","author":[{"family":"Crouch","given":"Colin"}],"issued":{"date-parts":[["2011"]]}}},{"id":658,"uris":["http://zotero.org/users/local/xORFDKwB/items/NGRC642I"],"uri":["http://zotero.org/users/local/xORFDKwB/items/NGRC642I"],"itemData":{"id":658,"type":"article-journal","title":"Varieties of capitalism, neoliberalism and the economic crisis of 2008–?","container-title":"Industrial Relations Journal","page":"222-241","volume":"43","author":[{"family":"Heyes","given":"Jason"},{"family":"Lewis","given":"Paul"},{"family":"Clark","given":"Ian"}],"issued":{"date-parts":[["2012"]]}}}],"schema":"https://github.com/citation-style-language/schema/raw/master/csl-citation.json"} </w:instrText>
      </w:r>
      <w:r>
        <w:fldChar w:fldCharType="separate"/>
      </w:r>
      <w:r w:rsidR="006D4224">
        <w:rPr>
          <w:noProof/>
        </w:rPr>
        <w:t>(Crouch, 2011; Heyes et al., 2012)</w:t>
      </w:r>
      <w:r>
        <w:fldChar w:fldCharType="end"/>
      </w:r>
      <w:r>
        <w:t>.</w:t>
      </w:r>
    </w:p>
    <w:p w14:paraId="152FFBAF" w14:textId="353A4F4C" w:rsidR="00087D58" w:rsidRDefault="00D14625" w:rsidP="0076098A">
      <w:pPr>
        <w:ind w:firstLine="567"/>
      </w:pPr>
      <w:r>
        <w:t>Despite the</w:t>
      </w:r>
      <w:r w:rsidR="003B114D">
        <w:t xml:space="preserve"> subtle differences</w:t>
      </w:r>
      <w:r w:rsidR="003C3C13">
        <w:t xml:space="preserve"> among variants of neoliberalism</w:t>
      </w:r>
      <w:r w:rsidR="00D64391">
        <w:t xml:space="preserve"> </w:t>
      </w:r>
      <w:r w:rsidR="00953A93">
        <w:fldChar w:fldCharType="begin"/>
      </w:r>
      <w:r w:rsidR="00953A93">
        <w:instrText xml:space="preserve"> ADDIN ZOTERO_ITEM CSL_CITATION {"citationID":"22cgl4kami","properties":{"formattedCitation":"(Crouch, 2011)","plainCitation":"(Crouch, 2011)"},"citationItems":[{"id":268,"uris":["http://zotero.org/users/local/xORFDKwB/items/4VHFJ5CX"],"uri":["http://zotero.org/users/local/xORFDKwB/items/4VHFJ5CX"],"itemData":{"id":268,"type":"book","title":"The Strange Non-Death of Neoliberalism","publisher":"Polity","publisher-place":"Cambridge","event-place":"Cambridge","author":[{"family":"Crouch","given":"Colin"}],"issued":{"date-parts":[["2011"]]}}}],"schema":"https://github.com/citation-style-language/schema/raw/master/csl-citation.json"} </w:instrText>
      </w:r>
      <w:r w:rsidR="00953A93">
        <w:fldChar w:fldCharType="separate"/>
      </w:r>
      <w:r w:rsidR="00953A93">
        <w:rPr>
          <w:noProof/>
        </w:rPr>
        <w:t>(Crouch, 2011)</w:t>
      </w:r>
      <w:r w:rsidR="00953A93">
        <w:fldChar w:fldCharType="end"/>
      </w:r>
      <w:r w:rsidR="003B114D">
        <w:t xml:space="preserve">, </w:t>
      </w:r>
      <w:r>
        <w:t xml:space="preserve">neoliberal </w:t>
      </w:r>
      <w:r w:rsidR="00EE3B6C">
        <w:t>ideas</w:t>
      </w:r>
      <w:r w:rsidR="003B114D">
        <w:t xml:space="preserve"> </w:t>
      </w:r>
      <w:r>
        <w:t xml:space="preserve">typically </w:t>
      </w:r>
      <w:r w:rsidR="009F7306">
        <w:t>blame</w:t>
      </w:r>
      <w:r>
        <w:t xml:space="preserve"> </w:t>
      </w:r>
      <w:r w:rsidR="007F6501">
        <w:t>employment relations (</w:t>
      </w:r>
      <w:r w:rsidR="003C3C13">
        <w:t xml:space="preserve">henceforth: </w:t>
      </w:r>
      <w:r w:rsidR="007F6501">
        <w:t>ER)</w:t>
      </w:r>
      <w:r w:rsidR="00B33709">
        <w:t xml:space="preserve"> </w:t>
      </w:r>
      <w:r w:rsidR="003B114D">
        <w:t xml:space="preserve">institutions, </w:t>
      </w:r>
      <w:r w:rsidR="00D36B20">
        <w:t>such as</w:t>
      </w:r>
      <w:r w:rsidR="00134450">
        <w:t xml:space="preserve"> </w:t>
      </w:r>
      <w:r w:rsidR="003B114D">
        <w:t xml:space="preserve">representative </w:t>
      </w:r>
      <w:r w:rsidR="00134450">
        <w:t>unions and</w:t>
      </w:r>
      <w:r w:rsidR="006730DE">
        <w:t xml:space="preserve"> </w:t>
      </w:r>
      <w:r w:rsidR="0006478E">
        <w:t>collective bargaining</w:t>
      </w:r>
      <w:r w:rsidR="008058BB">
        <w:t xml:space="preserve">, for </w:t>
      </w:r>
      <w:r w:rsidR="00767D77">
        <w:t xml:space="preserve">worsening </w:t>
      </w:r>
      <w:r w:rsidR="008058BB">
        <w:t>competitiveness.</w:t>
      </w:r>
      <w:r w:rsidR="00FA3A90">
        <w:t xml:space="preserve"> </w:t>
      </w:r>
      <w:r w:rsidR="009F7306">
        <w:t xml:space="preserve">Therefore, </w:t>
      </w:r>
      <w:r w:rsidR="007F6501">
        <w:t xml:space="preserve">flexibility and deregulation are promulgated as the best recipe for competitiveness </w:t>
      </w:r>
      <w:r w:rsidR="009F7306">
        <w:t xml:space="preserve">in many European countries and at the </w:t>
      </w:r>
      <w:r w:rsidR="00401933">
        <w:t>European Union (</w:t>
      </w:r>
      <w:r w:rsidR="009F7306">
        <w:t>EU</w:t>
      </w:r>
      <w:r w:rsidR="00401933">
        <w:t>)</w:t>
      </w:r>
      <w:r w:rsidR="009F7306">
        <w:t xml:space="preserve"> level </w:t>
      </w:r>
      <w:r w:rsidR="004B5164">
        <w:fldChar w:fldCharType="begin"/>
      </w:r>
      <w:r w:rsidR="00AA6764">
        <w:instrText xml:space="preserve"> ADDIN ZOTERO_ITEM CSL_CITATION {"citationID":"I9Lu4a0W","properties":{"formattedCitation":"(Hyman, 2001: 289; Monastiriotis, 2005)","plainCitation":"(Hyman, 2001: 289; Monastiriotis, 2005)"},"citationItems":[{"id":711,"uris":["http://zotero.org/users/local/xORFDKwB/items/P9ERS6IK"],"uri":["http://zotero.org/users/local/xORFDKwB/items/P9ERS6IK"],"itemData":{"id":711,"type":"article-journal","title":"The Europeanisation -or the erosion- of industrial relations?","container-title":"Industrial Relations Journal","page":"280-294","volume":"32","author":[{"family":"Hyman","given":"Richard"}],"issued":{"date-parts":[["2001"]]}},"locator":"289"},{"id":1056,"uris":["http://zotero.org/users/local/xORFDKwB/items/F5X6D9XN"],"uri":["http://zotero.org/users/local/xORFDKwB/items/F5X6D9XN"],"itemData":{"id":1056,"type":"article-journal","title":"Labour Market Flexibility in the UK: Regional Variations and the Role of Global/Local Forces","container-title":"Economic and Industrial Democracy","page":"443-477","volume":"26","author":[{"family":"Monastiriotis","given":"Vassilis"}],"issued":{"date-parts":[["2005"]]}}}],"schema":"https://github.com/citation-style-language/schema/raw/master/csl-citation.json"} </w:instrText>
      </w:r>
      <w:r w:rsidR="004B5164">
        <w:fldChar w:fldCharType="separate"/>
      </w:r>
      <w:r w:rsidR="00AA6764">
        <w:rPr>
          <w:noProof/>
        </w:rPr>
        <w:t>(Hyman, 2001: 289; Monastiriotis, 2005)</w:t>
      </w:r>
      <w:r w:rsidR="004B5164">
        <w:fldChar w:fldCharType="end"/>
      </w:r>
      <w:r w:rsidR="004B5164">
        <w:t xml:space="preserve">. </w:t>
      </w:r>
      <w:r w:rsidR="00FA3A90">
        <w:t xml:space="preserve">However, </w:t>
      </w:r>
      <w:r w:rsidR="00E82A2F">
        <w:t>the evidence</w:t>
      </w:r>
      <w:r w:rsidR="008058BB">
        <w:t>-base</w:t>
      </w:r>
      <w:r w:rsidR="00E82A2F">
        <w:t xml:space="preserve"> </w:t>
      </w:r>
      <w:r w:rsidR="008058BB">
        <w:t>for these claims</w:t>
      </w:r>
      <w:r w:rsidR="00E82A2F">
        <w:t xml:space="preserve"> is rather weak and inconclusive</w:t>
      </w:r>
      <w:r w:rsidR="00C710F6">
        <w:t xml:space="preserve"> </w:t>
      </w:r>
      <w:r w:rsidR="00C710F6">
        <w:fldChar w:fldCharType="begin"/>
      </w:r>
      <w:r w:rsidR="00C710F6">
        <w:instrText xml:space="preserve"> ADDIN ZOTERO_ITEM CSL_CITATION {"citationID":"2a1umtc47t","properties":{"formattedCitation":"(ITUC, 2013)","plainCitation":"(ITUC, 2013)"},"citationItems":[{"id":1658,"uris":["http://zotero.org/users/local/xORFDKwB/items/PV8JU8XN"],"uri":["http://zotero.org/users/local/xORFDKwB/items/PV8JU8XN"],"itemData":{"id":1658,"type":"article","title":"Involvement of the International Monetary Fund in Labour Market Reforms in European Countries- ITUC Background Paper","publisher":"ITUC","URL":"http://www.ituc-csi.org/IMG/pdf/ituc-imf-1.europe-background-paper.0213.pdf","author":[{"family":"ITUC","given":""}],"issued":{"date-parts":[["2013"]]}}}],"schema":"https://github.com/citation-style-language/schema/raw/master/csl-citation.json"} </w:instrText>
      </w:r>
      <w:r w:rsidR="00C710F6">
        <w:fldChar w:fldCharType="separate"/>
      </w:r>
      <w:r w:rsidR="00AB14AB">
        <w:rPr>
          <w:noProof/>
        </w:rPr>
        <w:t>(ITUC, 2013)</w:t>
      </w:r>
      <w:r w:rsidR="00C710F6">
        <w:fldChar w:fldCharType="end"/>
      </w:r>
      <w:r w:rsidR="00E82A2F">
        <w:t xml:space="preserve">. To contribute to this debate, </w:t>
      </w:r>
      <w:r w:rsidR="0006478E">
        <w:t>we</w:t>
      </w:r>
      <w:r w:rsidR="00E82A2F">
        <w:t xml:space="preserve"> set out to</w:t>
      </w:r>
      <w:r w:rsidR="0006478E">
        <w:t xml:space="preserve"> </w:t>
      </w:r>
      <w:r w:rsidR="00D36B20">
        <w:t>ask</w:t>
      </w:r>
      <w:r w:rsidR="00D74ED3">
        <w:t xml:space="preserve"> the following question</w:t>
      </w:r>
      <w:r w:rsidR="00AD729D">
        <w:t xml:space="preserve">: </w:t>
      </w:r>
      <w:r w:rsidR="003C3C13" w:rsidRPr="00E71CB6">
        <w:t>have firms with </w:t>
      </w:r>
      <w:r w:rsidR="0048262E">
        <w:t>ER</w:t>
      </w:r>
      <w:r w:rsidR="003C3C13" w:rsidRPr="00E71CB6">
        <w:t xml:space="preserve"> institutions been le</w:t>
      </w:r>
      <w:r w:rsidR="003C3C13">
        <w:t>ss able to improve productivity during the crisis?</w:t>
      </w:r>
    </w:p>
    <w:p w14:paraId="777AD3F1" w14:textId="4D504ABD" w:rsidR="0048262E" w:rsidRDefault="0006478E" w:rsidP="0076098A">
      <w:pPr>
        <w:ind w:firstLine="567"/>
      </w:pPr>
      <w:r>
        <w:t xml:space="preserve">To </w:t>
      </w:r>
      <w:r w:rsidR="00401C74">
        <w:t xml:space="preserve">address </w:t>
      </w:r>
      <w:r w:rsidR="00FA3A90">
        <w:t>this</w:t>
      </w:r>
      <w:r>
        <w:t xml:space="preserve"> question </w:t>
      </w:r>
      <w:r w:rsidR="00192E25">
        <w:t>we</w:t>
      </w:r>
      <w:r w:rsidR="00E6547A">
        <w:t xml:space="preserve"> </w:t>
      </w:r>
      <w:r w:rsidR="003C3C13">
        <w:t xml:space="preserve">develop and </w:t>
      </w:r>
      <w:r w:rsidR="00E6547A">
        <w:t xml:space="preserve">examine </w:t>
      </w:r>
      <w:r w:rsidR="000B53FF">
        <w:t>hypotheses</w:t>
      </w:r>
      <w:r w:rsidR="00B33709">
        <w:t xml:space="preserve"> </w:t>
      </w:r>
      <w:r w:rsidR="003C3C13">
        <w:t xml:space="preserve">that hold </w:t>
      </w:r>
      <w:r w:rsidR="003357AE">
        <w:t>ER</w:t>
      </w:r>
      <w:r w:rsidR="003C3C13">
        <w:t xml:space="preserve"> institutions as responsible for </w:t>
      </w:r>
      <w:r w:rsidR="00AC2ECE">
        <w:t>deteriorating</w:t>
      </w:r>
      <w:r w:rsidR="003C3C13">
        <w:t xml:space="preserve"> </w:t>
      </w:r>
      <w:r w:rsidR="00AC2ECE">
        <w:t>productivity</w:t>
      </w:r>
      <w:r w:rsidR="003C3C13">
        <w:t xml:space="preserve">. Additionally, we </w:t>
      </w:r>
      <w:r w:rsidR="0048262E">
        <w:t>develop</w:t>
      </w:r>
      <w:r w:rsidR="003C3C13">
        <w:t xml:space="preserve"> alternative hypotheses that look at the relationship between</w:t>
      </w:r>
      <w:r w:rsidR="000F39CB">
        <w:t xml:space="preserve"> high </w:t>
      </w:r>
      <w:r w:rsidR="000F39CB">
        <w:lastRenderedPageBreak/>
        <w:t>performance</w:t>
      </w:r>
      <w:r w:rsidR="003C3C13">
        <w:t xml:space="preserve"> work practices and </w:t>
      </w:r>
      <w:r w:rsidR="00AC2ECE">
        <w:t>productivity</w:t>
      </w:r>
      <w:r w:rsidR="003C3C13">
        <w:t xml:space="preserve">. </w:t>
      </w:r>
      <w:r w:rsidR="00970EB1">
        <w:t xml:space="preserve">Methodologically, the paper </w:t>
      </w:r>
      <w:r w:rsidR="00AE0319">
        <w:t xml:space="preserve">analyses data from </w:t>
      </w:r>
      <w:r w:rsidR="00401C74">
        <w:t xml:space="preserve">the </w:t>
      </w:r>
      <w:r w:rsidR="00401C74" w:rsidRPr="000B3DBC">
        <w:t>European Company Survey</w:t>
      </w:r>
      <w:r w:rsidR="00064307">
        <w:t xml:space="preserve"> (ECS)</w:t>
      </w:r>
      <w:r w:rsidR="00401C74" w:rsidRPr="000B3DBC">
        <w:t xml:space="preserve"> 2009,</w:t>
      </w:r>
      <w:r w:rsidR="00401C74">
        <w:rPr>
          <w:i/>
        </w:rPr>
        <w:t xml:space="preserve"> </w:t>
      </w:r>
      <w:r w:rsidR="006B5A55">
        <w:t>a</w:t>
      </w:r>
      <w:r w:rsidR="0048262E">
        <w:t xml:space="preserve"> pan-European </w:t>
      </w:r>
      <w:r w:rsidR="000D46F6">
        <w:t>establishment-level survey</w:t>
      </w:r>
      <w:r w:rsidR="00953A93">
        <w:t xml:space="preserve">. </w:t>
      </w:r>
      <w:r w:rsidR="002719A4">
        <w:t>The ECS dataset is most suitable for our analysis for several reasons: (1)</w:t>
      </w:r>
      <w:r w:rsidR="003C3C13">
        <w:t xml:space="preserve"> the dataset was collected in 2009, which </w:t>
      </w:r>
      <w:r w:rsidR="0048262E">
        <w:t>was</w:t>
      </w:r>
      <w:r w:rsidR="003C3C13">
        <w:t xml:space="preserve"> the year with the deepest slump for most European economies</w:t>
      </w:r>
      <w:r w:rsidR="00A806F2">
        <w:t xml:space="preserve">, and this gives us valuable insights for the relationships in the context </w:t>
      </w:r>
      <w:r w:rsidR="003D3E61">
        <w:t xml:space="preserve">of </w:t>
      </w:r>
      <w:r w:rsidR="00A806F2">
        <w:t>the economic crisis</w:t>
      </w:r>
      <w:r w:rsidR="003C3C13">
        <w:t xml:space="preserve">; (2) it </w:t>
      </w:r>
      <w:r w:rsidR="002719A4">
        <w:t xml:space="preserve">is a very rich dataset with information on a wide range of relevant </w:t>
      </w:r>
      <w:r w:rsidR="003357AE">
        <w:t>ER</w:t>
      </w:r>
      <w:r w:rsidR="003C3C13">
        <w:t xml:space="preserve"> institutions and work </w:t>
      </w:r>
      <w:r w:rsidR="002719A4">
        <w:t>practices, i.e. suitable for the questions we ask</w:t>
      </w:r>
      <w:r w:rsidR="003C3C13">
        <w:t xml:space="preserve"> and</w:t>
      </w:r>
      <w:r w:rsidR="002719A4">
        <w:t xml:space="preserve"> also offers further information that allows to control for other effects; (3) it is suitable for comparative research because it uses a questionnaire</w:t>
      </w:r>
      <w:r w:rsidR="0048262E">
        <w:t xml:space="preserve"> developed by expert methodologists</w:t>
      </w:r>
      <w:r w:rsidR="000F39CB">
        <w:t>,</w:t>
      </w:r>
      <w:r w:rsidR="002719A4">
        <w:t xml:space="preserve"> which is standardized across</w:t>
      </w:r>
      <w:r w:rsidR="003C3C13">
        <w:t xml:space="preserve"> European</w:t>
      </w:r>
      <w:r w:rsidR="002719A4">
        <w:t xml:space="preserve"> countries; (4) it contains </w:t>
      </w:r>
      <w:r w:rsidR="006E644E">
        <w:t xml:space="preserve">several </w:t>
      </w:r>
      <w:r w:rsidR="00B00E0F">
        <w:t>thousand</w:t>
      </w:r>
      <w:r w:rsidR="006E644E">
        <w:t xml:space="preserve"> observations</w:t>
      </w:r>
      <w:r w:rsidR="002719A4">
        <w:t xml:space="preserve"> from different industry and country contexts</w:t>
      </w:r>
      <w:r w:rsidR="006E644E">
        <w:t>, thus,</w:t>
      </w:r>
      <w:r w:rsidR="002719A4">
        <w:t xml:space="preserve"> allowing for more generalizable conclusions. </w:t>
      </w:r>
    </w:p>
    <w:p w14:paraId="78CCAF0F" w14:textId="35DDC076" w:rsidR="00970EB1" w:rsidRDefault="00E6547A" w:rsidP="0076098A">
      <w:pPr>
        <w:ind w:firstLine="567"/>
      </w:pPr>
      <w:r>
        <w:t>We f</w:t>
      </w:r>
      <w:r w:rsidR="00D50499">
        <w:t>ocus on</w:t>
      </w:r>
      <w:r w:rsidR="00447AB5">
        <w:t xml:space="preserve"> </w:t>
      </w:r>
      <w:r w:rsidR="00D50499">
        <w:t xml:space="preserve">the </w:t>
      </w:r>
      <w:r w:rsidR="00447AB5">
        <w:t>EU-</w:t>
      </w:r>
      <w:r w:rsidR="001F0E46">
        <w:t>15</w:t>
      </w:r>
      <w:r w:rsidR="00D50499">
        <w:t xml:space="preserve"> countries</w:t>
      </w:r>
      <w:r w:rsidR="003C3C13">
        <w:rPr>
          <w:rStyle w:val="EndnoteReference"/>
        </w:rPr>
        <w:endnoteReference w:id="1"/>
      </w:r>
      <w:r>
        <w:t xml:space="preserve"> and</w:t>
      </w:r>
      <w:r w:rsidR="00D50499">
        <w:t xml:space="preserve"> w</w:t>
      </w:r>
      <w:r w:rsidR="00F76367">
        <w:t xml:space="preserve">e examine </w:t>
      </w:r>
      <w:r w:rsidR="00447AB5">
        <w:t>research</w:t>
      </w:r>
      <w:r w:rsidR="00F76367">
        <w:t xml:space="preserve"> hypotheses using ordered</w:t>
      </w:r>
      <w:r w:rsidR="006B5A55">
        <w:t>-</w:t>
      </w:r>
      <w:r w:rsidR="00F76367">
        <w:t>probit</w:t>
      </w:r>
      <w:r w:rsidR="006B5A55">
        <w:t xml:space="preserve"> regression</w:t>
      </w:r>
      <w:r w:rsidR="009F69E3">
        <w:t xml:space="preserve"> analysis.</w:t>
      </w:r>
      <w:r w:rsidR="00F76367">
        <w:t xml:space="preserve"> </w:t>
      </w:r>
      <w:r w:rsidR="0056548B">
        <w:t xml:space="preserve">The aim is twofold. </w:t>
      </w:r>
      <w:r w:rsidR="0056548B" w:rsidRPr="009B3803">
        <w:t>First</w:t>
      </w:r>
      <w:r w:rsidR="005042EF">
        <w:t xml:space="preserve">, </w:t>
      </w:r>
      <w:r w:rsidR="00407E35">
        <w:t xml:space="preserve">we aim </w:t>
      </w:r>
      <w:r w:rsidR="00D4259C">
        <w:t xml:space="preserve">to consider </w:t>
      </w:r>
      <w:r w:rsidR="00DC1C6C">
        <w:t xml:space="preserve">the </w:t>
      </w:r>
      <w:r w:rsidR="006B5A55">
        <w:t>relation</w:t>
      </w:r>
      <w:r w:rsidR="00572372">
        <w:t>ship</w:t>
      </w:r>
      <w:r w:rsidR="006B5A55">
        <w:t xml:space="preserve"> </w:t>
      </w:r>
      <w:r w:rsidR="00407E35">
        <w:t>between</w:t>
      </w:r>
      <w:r w:rsidR="006B5A55">
        <w:t xml:space="preserve"> </w:t>
      </w:r>
      <w:r w:rsidR="003357AE">
        <w:t>ER</w:t>
      </w:r>
      <w:r w:rsidR="00E23442">
        <w:t xml:space="preserve"> institutions</w:t>
      </w:r>
      <w:r w:rsidR="0056548B">
        <w:t xml:space="preserve"> and</w:t>
      </w:r>
      <w:r w:rsidR="00407E35">
        <w:t xml:space="preserve"> work</w:t>
      </w:r>
      <w:r w:rsidR="0056548B">
        <w:t xml:space="preserve"> practices</w:t>
      </w:r>
      <w:r w:rsidR="006B5A55">
        <w:t xml:space="preserve"> </w:t>
      </w:r>
      <w:r w:rsidR="00407E35">
        <w:t>with</w:t>
      </w:r>
      <w:r w:rsidR="00572372">
        <w:t xml:space="preserve"> </w:t>
      </w:r>
      <w:r w:rsidR="006B5A55">
        <w:t>productivity</w:t>
      </w:r>
      <w:r w:rsidR="00401933">
        <w:t xml:space="preserve"> using the EU-15 as a relatively homogeneous sample</w:t>
      </w:r>
      <w:r w:rsidR="00DC1C6C">
        <w:t xml:space="preserve">. </w:t>
      </w:r>
      <w:r w:rsidR="0056548B" w:rsidRPr="009B3803">
        <w:t>Second</w:t>
      </w:r>
      <w:r w:rsidR="0056548B">
        <w:t>,</w:t>
      </w:r>
      <w:r w:rsidR="00D862E5">
        <w:t xml:space="preserve"> we </w:t>
      </w:r>
      <w:r w:rsidR="00401933">
        <w:t xml:space="preserve">aim to explore </w:t>
      </w:r>
      <w:r w:rsidR="00407E35">
        <w:t>the same hypotheses across clusters of capitalism</w:t>
      </w:r>
      <w:r w:rsidR="0048262E">
        <w:t>,</w:t>
      </w:r>
      <w:r w:rsidR="00407E35">
        <w:t xml:space="preserve"> so as</w:t>
      </w:r>
      <w:r w:rsidR="00D4259C">
        <w:t xml:space="preserve"> to </w:t>
      </w:r>
      <w:r w:rsidR="00180F52">
        <w:t>gauge</w:t>
      </w:r>
      <w:r w:rsidR="00F76367">
        <w:t xml:space="preserve"> whether the</w:t>
      </w:r>
      <w:r w:rsidR="00C625E6">
        <w:t>re</w:t>
      </w:r>
      <w:r w:rsidR="00F76367">
        <w:t xml:space="preserve"> </w:t>
      </w:r>
      <w:r w:rsidR="00C625E6">
        <w:t xml:space="preserve">are </w:t>
      </w:r>
      <w:r w:rsidR="00407E35">
        <w:t xml:space="preserve">any </w:t>
      </w:r>
      <w:r w:rsidR="006B5A55">
        <w:t>context-specific</w:t>
      </w:r>
      <w:r w:rsidR="00D4259C">
        <w:t xml:space="preserve"> institutional effects</w:t>
      </w:r>
      <w:r w:rsidR="00C625E6">
        <w:t xml:space="preserve"> that </w:t>
      </w:r>
      <w:r w:rsidR="0048262E">
        <w:t xml:space="preserve">may </w:t>
      </w:r>
      <w:r w:rsidR="00C625E6">
        <w:t>mediate firm-level outcomes.</w:t>
      </w:r>
    </w:p>
    <w:p w14:paraId="52075A48" w14:textId="1C501266" w:rsidR="00D50499" w:rsidRPr="009B3803" w:rsidRDefault="00D4259C" w:rsidP="0076098A">
      <w:pPr>
        <w:ind w:firstLine="567"/>
      </w:pPr>
      <w:r>
        <w:t xml:space="preserve">The </w:t>
      </w:r>
      <w:r w:rsidR="00D73CF4">
        <w:t>rest</w:t>
      </w:r>
      <w:r>
        <w:t xml:space="preserve"> of the paper is structured as follows. The </w:t>
      </w:r>
      <w:r w:rsidR="00D73CF4">
        <w:t>second</w:t>
      </w:r>
      <w:r>
        <w:t xml:space="preserve"> section </w:t>
      </w:r>
      <w:r w:rsidR="00401933">
        <w:t xml:space="preserve">sets the scene by discussing </w:t>
      </w:r>
      <w:r w:rsidR="00441EA5">
        <w:t>the</w:t>
      </w:r>
      <w:r>
        <w:t xml:space="preserve"> </w:t>
      </w:r>
      <w:r w:rsidR="00401933">
        <w:t>link between deregulation and the aim of improving</w:t>
      </w:r>
      <w:r>
        <w:t xml:space="preserve"> </w:t>
      </w:r>
      <w:r w:rsidR="00401933">
        <w:t xml:space="preserve">firm </w:t>
      </w:r>
      <w:r>
        <w:lastRenderedPageBreak/>
        <w:t>competitiveness</w:t>
      </w:r>
      <w:r w:rsidR="00441EA5">
        <w:t xml:space="preserve"> </w:t>
      </w:r>
      <w:r w:rsidR="00401933">
        <w:t xml:space="preserve">at the EU level and the manifestation of neoliberal policies </w:t>
      </w:r>
      <w:r w:rsidR="00226FCC">
        <w:t xml:space="preserve">across </w:t>
      </w:r>
      <w:r w:rsidR="00D36F64">
        <w:t>models of European capitalism</w:t>
      </w:r>
      <w:r>
        <w:t xml:space="preserve">. </w:t>
      </w:r>
      <w:r w:rsidR="00D73CF4">
        <w:t>The third section develop</w:t>
      </w:r>
      <w:r w:rsidR="004500AE">
        <w:t>s</w:t>
      </w:r>
      <w:r w:rsidR="00D73CF4">
        <w:t xml:space="preserve"> hypotheses </w:t>
      </w:r>
      <w:r w:rsidR="00401933">
        <w:t>on the basis of</w:t>
      </w:r>
      <w:r w:rsidR="000D7CC8">
        <w:t xml:space="preserve"> neoliberal arguments</w:t>
      </w:r>
      <w:r w:rsidR="00D36F64">
        <w:t xml:space="preserve"> </w:t>
      </w:r>
      <w:r w:rsidR="00401933">
        <w:t>about</w:t>
      </w:r>
      <w:r w:rsidR="00D36F64">
        <w:t xml:space="preserve"> the relationship between </w:t>
      </w:r>
      <w:r w:rsidR="003357AE">
        <w:t>ER</w:t>
      </w:r>
      <w:r w:rsidR="00D36F64">
        <w:t xml:space="preserve"> institutions and productivity</w:t>
      </w:r>
      <w:r w:rsidR="00401933">
        <w:t xml:space="preserve">. Additionally, </w:t>
      </w:r>
      <w:r w:rsidR="00D36F64">
        <w:t>it develops alternative hypotheses on the relation between work practices and productivity</w:t>
      </w:r>
      <w:r w:rsidR="002623A3">
        <w:t xml:space="preserve"> drawing on </w:t>
      </w:r>
      <w:r w:rsidR="000F39CB">
        <w:t xml:space="preserve">the </w:t>
      </w:r>
      <w:r w:rsidR="00064307">
        <w:t>High Performance Work Systems (</w:t>
      </w:r>
      <w:r w:rsidR="002623A3">
        <w:t>HPWS</w:t>
      </w:r>
      <w:r w:rsidR="00064307">
        <w:t>)</w:t>
      </w:r>
      <w:r w:rsidR="002623A3">
        <w:t xml:space="preserve"> literature</w:t>
      </w:r>
      <w:r w:rsidR="00D36F64">
        <w:t>.</w:t>
      </w:r>
      <w:r w:rsidR="00D73CF4">
        <w:t xml:space="preserve"> The fourth section presents the</w:t>
      </w:r>
      <w:r w:rsidR="00884B3E">
        <w:t xml:space="preserve"> dataset and outlines the</w:t>
      </w:r>
      <w:r w:rsidR="00D73CF4">
        <w:t xml:space="preserve"> </w:t>
      </w:r>
      <w:r w:rsidR="00CF510A">
        <w:t>methodology of the study</w:t>
      </w:r>
      <w:r w:rsidR="005E4199">
        <w:t xml:space="preserve">. The fifth section </w:t>
      </w:r>
      <w:r w:rsidR="00A10029">
        <w:t xml:space="preserve">presents and </w:t>
      </w:r>
      <w:r w:rsidR="00884B3E">
        <w:t>discusses</w:t>
      </w:r>
      <w:r w:rsidR="00D73CF4">
        <w:t xml:space="preserve"> the findings of our </w:t>
      </w:r>
      <w:r w:rsidR="00CF510A">
        <w:t>statistical</w:t>
      </w:r>
      <w:r w:rsidR="00D73CF4">
        <w:t xml:space="preserve"> analysis. </w:t>
      </w:r>
      <w:r w:rsidR="009B3803">
        <w:t xml:space="preserve">The </w:t>
      </w:r>
      <w:r w:rsidR="00D73CF4">
        <w:t xml:space="preserve">final section </w:t>
      </w:r>
      <w:r w:rsidR="0062300A">
        <w:t>summarises</w:t>
      </w:r>
      <w:r w:rsidR="00401933">
        <w:t xml:space="preserve"> the key </w:t>
      </w:r>
      <w:r w:rsidR="0062300A">
        <w:t>findings</w:t>
      </w:r>
      <w:r w:rsidR="00401933">
        <w:t xml:space="preserve"> of this article</w:t>
      </w:r>
      <w:r w:rsidR="00C71465">
        <w:rPr>
          <w:lang w:val="en-US"/>
        </w:rPr>
        <w:t>,</w:t>
      </w:r>
      <w:r w:rsidR="00CF510A">
        <w:t xml:space="preserve"> </w:t>
      </w:r>
      <w:r w:rsidR="00C71465">
        <w:t>acknowledg</w:t>
      </w:r>
      <w:r w:rsidR="004500AE">
        <w:t xml:space="preserve">es </w:t>
      </w:r>
      <w:r w:rsidR="009B3803">
        <w:t>the</w:t>
      </w:r>
      <w:r w:rsidR="00AB22EC">
        <w:t xml:space="preserve"> limitations of this analysis</w:t>
      </w:r>
      <w:r w:rsidR="00EA7D15">
        <w:t xml:space="preserve"> and considers</w:t>
      </w:r>
      <w:r w:rsidR="00AE0319">
        <w:t xml:space="preserve"> </w:t>
      </w:r>
      <w:r w:rsidR="0062300A">
        <w:t>implications for policy and practice</w:t>
      </w:r>
      <w:r w:rsidR="00D73CF4">
        <w:t>.</w:t>
      </w:r>
    </w:p>
    <w:p w14:paraId="3BF6F5EB" w14:textId="00A47599" w:rsidR="00145F77" w:rsidRPr="000248B4" w:rsidRDefault="003061BD" w:rsidP="00094028">
      <w:pPr>
        <w:pStyle w:val="Heading1"/>
      </w:pPr>
      <w:r>
        <w:t xml:space="preserve">Competitiveness </w:t>
      </w:r>
      <w:r w:rsidR="00DB401B" w:rsidRPr="000248B4">
        <w:t xml:space="preserve">in </w:t>
      </w:r>
      <w:r w:rsidR="00DF5586">
        <w:t>Europe</w:t>
      </w:r>
      <w:r>
        <w:t xml:space="preserve">: </w:t>
      </w:r>
      <w:r w:rsidR="000106E2">
        <w:t>I</w:t>
      </w:r>
      <w:r w:rsidR="004A69A9">
        <w:t>ntensifying d</w:t>
      </w:r>
      <w:r w:rsidR="00EA7D15">
        <w:t>eregulation</w:t>
      </w:r>
      <w:r w:rsidR="00401933">
        <w:t xml:space="preserve"> across European </w:t>
      </w:r>
      <w:r w:rsidR="004A69A9">
        <w:t>models of c</w:t>
      </w:r>
      <w:r w:rsidR="00401933">
        <w:t>apitalism</w:t>
      </w:r>
    </w:p>
    <w:p w14:paraId="6C776CDE" w14:textId="2869FB79" w:rsidR="00E0644A" w:rsidRDefault="00CE5DBA" w:rsidP="00E0644A">
      <w:r>
        <w:t xml:space="preserve">Ever since the </w:t>
      </w:r>
      <w:r w:rsidRPr="00DC1C6C">
        <w:t>Lisbon Agenda</w:t>
      </w:r>
      <w:r>
        <w:t>, t</w:t>
      </w:r>
      <w:r w:rsidR="004B4FEE">
        <w:t xml:space="preserve">he pursuit of competitiveness has been a central part of the EU </w:t>
      </w:r>
      <w:r w:rsidR="00401933">
        <w:t>priorities and</w:t>
      </w:r>
      <w:r w:rsidR="004B4FEE">
        <w:t xml:space="preserve"> policies</w:t>
      </w:r>
      <w:r w:rsidR="001F0E46" w:rsidRPr="00DC1C6C">
        <w:t>.</w:t>
      </w:r>
      <w:r w:rsidR="00D65F5C" w:rsidRPr="00DC1C6C">
        <w:t xml:space="preserve"> </w:t>
      </w:r>
      <w:r w:rsidR="004B4FEE">
        <w:t xml:space="preserve">This aim was reiterated in the Commission’s </w:t>
      </w:r>
      <w:r w:rsidR="004B4FEE" w:rsidRPr="000B3DBC">
        <w:t>Europe 2020</w:t>
      </w:r>
      <w:r w:rsidR="004B4FEE">
        <w:t xml:space="preserve"> strategy, where competitiveness </w:t>
      </w:r>
      <w:r w:rsidR="006E3C27">
        <w:t>‘</w:t>
      </w:r>
      <w:r w:rsidR="004B4FEE">
        <w:t>through higher productivity</w:t>
      </w:r>
      <w:r w:rsidR="006E3C27">
        <w:t>’</w:t>
      </w:r>
      <w:r w:rsidR="004B4FEE">
        <w:t xml:space="preserve"> formed one of the pillars for the achievement of </w:t>
      </w:r>
      <w:r w:rsidR="00387B7F">
        <w:t xml:space="preserve">smart, </w:t>
      </w:r>
      <w:r w:rsidR="004B4FEE">
        <w:t xml:space="preserve">sustainable </w:t>
      </w:r>
      <w:r w:rsidR="00387B7F">
        <w:t xml:space="preserve">and inclusive </w:t>
      </w:r>
      <w:r w:rsidR="004B4FEE">
        <w:t xml:space="preserve">growth </w:t>
      </w:r>
      <w:r w:rsidR="00C1624D">
        <w:fldChar w:fldCharType="begin"/>
      </w:r>
      <w:r w:rsidR="00C1624D">
        <w:instrText xml:space="preserve"> ADDIN ZOTERO_ITEM CSL_CITATION {"citationID":"bl4o8do7t","properties":{"formattedCitation":"(European Commission, 2010: 12)","plainCitation":"(European Commission, 2010: 12)"},"citationItems":[{"id":267,"uris":["http://zotero.org/users/local/xORFDKwB/items/VCDJ36KQ"],"uri":["http://zotero.org/users/local/xORFDKwB/items/VCDJ36KQ"],"itemData":{"id":267,"type":"book","title":"Europe 2020: a strategy for smart, sustainable and inclusive growth","publisher":"EU Commission","publisher-place":"Brussels","event-place":"Brussels","author":[{"family":"European Commission","given":""}],"issued":{"date-parts":[["2010"]]}},"locator":"12"}],"schema":"https://github.com/citation-style-language/schema/raw/master/csl-citation.json"} </w:instrText>
      </w:r>
      <w:r w:rsidR="00C1624D">
        <w:fldChar w:fldCharType="separate"/>
      </w:r>
      <w:r w:rsidR="00C1624D">
        <w:rPr>
          <w:noProof/>
        </w:rPr>
        <w:t>(European Commission, 2010: 12)</w:t>
      </w:r>
      <w:r w:rsidR="00C1624D">
        <w:fldChar w:fldCharType="end"/>
      </w:r>
      <w:r w:rsidR="004B4FEE" w:rsidRPr="00865CD4">
        <w:t>.</w:t>
      </w:r>
      <w:r w:rsidR="004B4FEE">
        <w:t xml:space="preserve"> The main employment-related policies to</w:t>
      </w:r>
      <w:r w:rsidR="00E0644A">
        <w:t xml:space="preserve"> achieve this target concern the increase in flexibility in the labour market</w:t>
      </w:r>
      <w:r w:rsidR="004B4FEE" w:rsidRPr="00547D30">
        <w:t>.</w:t>
      </w:r>
      <w:r w:rsidR="004B4FEE">
        <w:t xml:space="preserve"> </w:t>
      </w:r>
      <w:r w:rsidR="00E0644A" w:rsidRPr="00412F98">
        <w:t>Despite the lack of any conclusive empirical evidence on the</w:t>
      </w:r>
      <w:r w:rsidR="00E0644A">
        <w:t xml:space="preserve"> positive</w:t>
      </w:r>
      <w:r w:rsidR="00E0644A" w:rsidRPr="00412F98">
        <w:t xml:space="preserve"> effects of deregulation </w:t>
      </w:r>
      <w:r w:rsidR="00E0644A">
        <w:t xml:space="preserve">or the negative effects of ER institutions on productivity </w:t>
      </w:r>
      <w:r w:rsidR="00E0644A">
        <w:fldChar w:fldCharType="begin"/>
      </w:r>
      <w:r w:rsidR="00177DB1">
        <w:instrText xml:space="preserve"> ADDIN ZOTERO_ITEM CSL_CITATION {"citationID":"b8FYZsNa","properties":{"formattedCitation":"(Marginson, 2015; Vergeer and Kleinknecht, 2014)","plainCitation":"(Marginson, 2015; Vergeer and Kleinknecht, 2014)"},"citationItems":[{"id":1663,"uris":["http://zotero.org/users/local/xORFDKwB/items/ZRHR4MEE"],"uri":["http://zotero.org/users/local/xORFDKwB/items/ZRHR4MEE"],"itemData":{"id":1663,"type":"article-journal","title":"Coordinated bargaining in Europe: From incremental corrosion to frontal assault?","container-title":"European Journal of Industrial Relations","page":"97-114","volume":"21","issue":"2","author":[{"family":"Marginson","given":"Paul"}],"issued":{"date-parts":[["2015"]]}}},{"id":1687,"uris":["http://zotero.org/users/local/xORFDKwB/items/42UKC7NX"],"uri":["http://zotero.org/users/local/xORFDKwB/items/42UKC7NX"],"itemData":{"id":1687,"type":"article-journal","title":"Do labour market reforms reduce labour productivity growth? A panel data analysis of 20 OECD countries (1960–2004)","container-title":"International Labor Review","page":"365-393","volume":"153","issue":"3","author":[{"family":"Vergeer","given":"R"},{"family":"Kleinknecht","given":"A"}],"issued":{"date-parts":[["2014"]]}}}],"schema":"https://github.com/citation-style-language/schema/raw/master/csl-citation.json"} </w:instrText>
      </w:r>
      <w:r w:rsidR="00E0644A">
        <w:fldChar w:fldCharType="separate"/>
      </w:r>
      <w:r w:rsidR="00177DB1">
        <w:rPr>
          <w:noProof/>
        </w:rPr>
        <w:t>(Marginson, 2015; Vergeer and Kleinknecht, 2014)</w:t>
      </w:r>
      <w:r w:rsidR="00E0644A">
        <w:fldChar w:fldCharType="end"/>
      </w:r>
      <w:r w:rsidR="00E0644A" w:rsidRPr="00412F98">
        <w:t xml:space="preserve">, the EU promoted a programme of labour </w:t>
      </w:r>
      <w:r w:rsidR="00E0644A" w:rsidRPr="00412F98">
        <w:lastRenderedPageBreak/>
        <w:t xml:space="preserve">market </w:t>
      </w:r>
      <w:r w:rsidR="00401933">
        <w:t>deregulation</w:t>
      </w:r>
      <w:r w:rsidR="00401933" w:rsidRPr="00412F98">
        <w:t xml:space="preserve"> </w:t>
      </w:r>
      <w:r w:rsidR="00E0644A" w:rsidRPr="00412F98">
        <w:t xml:space="preserve">in which </w:t>
      </w:r>
      <w:r w:rsidR="00E0644A">
        <w:t>‘</w:t>
      </w:r>
      <w:r w:rsidR="00E0644A" w:rsidRPr="00412F98">
        <w:t xml:space="preserve">the central aim was reworking the precise mix of labour market policies and </w:t>
      </w:r>
      <w:r w:rsidR="00E0644A" w:rsidRPr="00A93514">
        <w:t>institutions to best reconcile economic competitiveness and social solidarity</w:t>
      </w:r>
      <w:r w:rsidR="00E0644A">
        <w:t>’</w:t>
      </w:r>
      <w:r w:rsidR="00E0644A" w:rsidRPr="00A93514">
        <w:t xml:space="preserve"> </w:t>
      </w:r>
      <w:r w:rsidR="00E0644A" w:rsidRPr="00A93514">
        <w:fldChar w:fldCharType="begin"/>
      </w:r>
      <w:r w:rsidR="00E0644A" w:rsidRPr="00A93514">
        <w:instrText xml:space="preserve"> ADDIN ZOTERO_ITEM CSL_CITATION {"citationID":"10e8tgkd43","properties":{"formattedCitation":"(Clasen et al., 2012)","plainCitation":"(Clasen et al., 2012)"},"citationItems":[{"id":1681,"uris":["http://zotero.org/users/local/xORFDKwB/items/2JVENNAS"],"uri":["http://zotero.org/users/local/xORFDKwB/items/2JVENNAS"],"itemData":{"id":1681,"type":"article","title":"European labour market policies in (the) crisis","publisher":"ETUI Working Papers Series","author":[{"family":"Clasen","given":"Jochen"},{"family":"Clegg","given":"Daniel"},{"family":"Kvist","given":"J"}],"issued":{"date-parts":[["2012"]]}}}],"schema":"https://github.com/citation-style-language/schema/raw/master/csl-citation.json"} </w:instrText>
      </w:r>
      <w:r w:rsidR="00E0644A" w:rsidRPr="00A93514">
        <w:fldChar w:fldCharType="separate"/>
      </w:r>
      <w:r w:rsidR="00E0644A" w:rsidRPr="00A93514">
        <w:rPr>
          <w:noProof/>
        </w:rPr>
        <w:t>(Clasen et al., 2012</w:t>
      </w:r>
      <w:r w:rsidR="00CF49E7">
        <w:rPr>
          <w:noProof/>
        </w:rPr>
        <w:t>: 5</w:t>
      </w:r>
      <w:r w:rsidR="00E0644A" w:rsidRPr="00A93514">
        <w:rPr>
          <w:noProof/>
        </w:rPr>
        <w:t>)</w:t>
      </w:r>
      <w:r w:rsidR="00E0644A" w:rsidRPr="00A93514">
        <w:fldChar w:fldCharType="end"/>
      </w:r>
      <w:r w:rsidR="00E0644A">
        <w:t>.</w:t>
      </w:r>
      <w:r w:rsidR="00E0644A" w:rsidRPr="00A93514">
        <w:t xml:space="preserve"> </w:t>
      </w:r>
      <w:r w:rsidR="00D421C0">
        <w:t>It was assumed that a</w:t>
      </w:r>
      <w:r w:rsidR="004B4FEE">
        <w:t xml:space="preserve"> more flexible </w:t>
      </w:r>
      <w:r w:rsidR="003357AE">
        <w:t>ER</w:t>
      </w:r>
      <w:r w:rsidR="004B4FEE">
        <w:t xml:space="preserve"> framework </w:t>
      </w:r>
      <w:r w:rsidR="00401933">
        <w:t xml:space="preserve">would </w:t>
      </w:r>
      <w:r w:rsidR="004B4FEE">
        <w:t>allow the adjustment of labour supply to the needs of the employers</w:t>
      </w:r>
      <w:r w:rsidR="00260BFF">
        <w:t xml:space="preserve"> </w:t>
      </w:r>
      <w:r w:rsidR="00D421C0">
        <w:t>by</w:t>
      </w:r>
      <w:r w:rsidR="004B4FEE">
        <w:t xml:space="preserve"> </w:t>
      </w:r>
      <w:r w:rsidR="00D421C0">
        <w:t xml:space="preserve">reducing </w:t>
      </w:r>
      <w:r w:rsidR="00401933">
        <w:t xml:space="preserve">their </w:t>
      </w:r>
      <w:r w:rsidR="004B4FEE">
        <w:t>auxiliary costs (</w:t>
      </w:r>
      <w:r w:rsidR="00D421C0">
        <w:t>e.g.</w:t>
      </w:r>
      <w:r w:rsidR="004B4FEE">
        <w:t xml:space="preserve"> redundancy costs)</w:t>
      </w:r>
      <w:r w:rsidR="00D421C0">
        <w:t xml:space="preserve"> and improving response to market changes</w:t>
      </w:r>
      <w:r w:rsidR="00260BFF">
        <w:t>.</w:t>
      </w:r>
      <w:r w:rsidR="00E0644A">
        <w:t xml:space="preserve"> </w:t>
      </w:r>
      <w:r w:rsidR="00401933">
        <w:t>T</w:t>
      </w:r>
      <w:r w:rsidR="00E0644A">
        <w:t xml:space="preserve">he EU aimed to facilitate the </w:t>
      </w:r>
      <w:r w:rsidR="00D7387A">
        <w:t>increase in flexibility by issuing</w:t>
      </w:r>
      <w:r w:rsidR="00D7387A" w:rsidRPr="00A93514">
        <w:t xml:space="preserve"> Country Specific Recommendations (CSRs) to each</w:t>
      </w:r>
      <w:r w:rsidR="00D7387A">
        <w:t xml:space="preserve"> member-state, </w:t>
      </w:r>
      <w:r w:rsidR="00E0644A">
        <w:t xml:space="preserve">and required the reform of national collective bargaining systems in order to improve competitiveness </w:t>
      </w:r>
      <w:r w:rsidR="00E0644A">
        <w:fldChar w:fldCharType="begin"/>
      </w:r>
      <w:r w:rsidR="00646D20">
        <w:instrText xml:space="preserve"> ADDIN ZOTERO_ITEM CSL_CITATION {"citationID":"VBCbKTGy","properties":{"formattedCitation":"(Clauwaert, 2014)","plainCitation":"(Clauwaert, 2014)"},"citationItems":[{"id":1690,"uris":["http://zotero.org/users/local/xORFDKwB/items/SS7XRVIJ"],"uri":["http://zotero.org/users/local/xORFDKwB/items/SS7XRVIJ"],"itemData":{"id":1690,"type":"article","title":"The country-specific recommendations (CSRs) in the social field. An overview and comparison Update including the CSRs 2014-2015","publisher":"ETUI Working Papers Series","author":[{"family":"Clauwaert","given":"S"}],"issued":{"date-parts":[["2014"]]}}}],"schema":"https://github.com/citation-style-language/schema/raw/master/csl-citation.json"} </w:instrText>
      </w:r>
      <w:r w:rsidR="00E0644A">
        <w:fldChar w:fldCharType="separate"/>
      </w:r>
      <w:r w:rsidR="00646D20">
        <w:rPr>
          <w:noProof/>
        </w:rPr>
        <w:t>(Clauwaert, 2014)</w:t>
      </w:r>
      <w:r w:rsidR="00E0644A">
        <w:fldChar w:fldCharType="end"/>
      </w:r>
      <w:r w:rsidR="00E0644A">
        <w:t xml:space="preserve">. </w:t>
      </w:r>
    </w:p>
    <w:p w14:paraId="313D453D" w14:textId="46DE8F72" w:rsidR="00D36F64" w:rsidRDefault="0069565D">
      <w:pPr>
        <w:ind w:firstLine="567"/>
        <w:rPr>
          <w:b/>
          <w:sz w:val="26"/>
          <w:szCs w:val="26"/>
        </w:rPr>
      </w:pPr>
      <w:r>
        <w:t xml:space="preserve">Interestingly, the advent of the 2009 economic crisis significantly accelerated the implementation of neoliberal policies in Europe. This makes this exploration even more relevant and timely, since some Southern European countries –such as Greece and Portugal– were obliged to abruptly deregulate their ER systems to improve competitiveness </w:t>
      </w:r>
      <w:r>
        <w:fldChar w:fldCharType="begin"/>
      </w:r>
      <w:r>
        <w:instrText xml:space="preserve"> ADDIN ZOTERO_ITEM CSL_CITATION {"citationID":"F5PATDtA","properties":{"formattedCitation":"(Kornelakis and Voskeritsian, 2014; Molina, 2014)","plainCitation":"(Kornelakis and Voskeritsian, 2014; Molina, 2014)"},"citationItems":[{"id":1689,"uris":["http://zotero.org/users/local/xORFDKwB/items/GNX2XBDE"],"uri":["http://zotero.org/users/local/xORFDKwB/items/GNX2XBDE"],"itemData":{"id":1689,"type":"article-journal","title":"The Transformation of Employment Regulation in Greece: Towards a Dysfunctional Liberal Market Economy?","container-title":"Relations Industrielles/Industrial Relations","page":"344-366","volume":"69","issue":"2","author":[{"family":"Kornelakis","given":"Andreas"},{"family":"Voskeritsian","given":"Horen"}],"issued":{"date-parts":[["2014"]]}}},{"id":1691,"uris":["http://zotero.org/users/local/xORFDKwB/items/SUHMCC4C"],"uri":["http://zotero.org/users/local/xORFDKwB/items/SUHMCC4C"],"itemData":{"id":1691,"type":"article-journal","title":"Self-regulation and the state in industrial relations in Southern Europe: Back to the future?","container-title":"European Journal of Industrial Relations","page":"21-36","volume":"20","issue":"1","author":[{"family":"Molina","given":"Oscar"}],"issued":{"date-parts":[["2014"]]}}}],"schema":"https://github.com/citation-style-language/schema/raw/master/csl-citation.json"} </w:instrText>
      </w:r>
      <w:r>
        <w:fldChar w:fldCharType="separate"/>
      </w:r>
      <w:r>
        <w:rPr>
          <w:noProof/>
        </w:rPr>
        <w:t>(Kornelakis and Voskeritsian, 2014; Molina, 2014)</w:t>
      </w:r>
      <w:r>
        <w:fldChar w:fldCharType="end"/>
      </w:r>
      <w:r>
        <w:t xml:space="preserve">. The main aims of the bailout packages were to ‘expose workers to the full force of global labour market competition, requiring [countries] to compete in low prices alone…’ </w:t>
      </w:r>
      <w:r>
        <w:fldChar w:fldCharType="begin"/>
      </w:r>
      <w:r>
        <w:instrText xml:space="preserve"> ADDIN ZOTERO_ITEM CSL_CITATION {"citationID":"2dk2a21vp6","properties":{"formattedCitation":"(Crouch, 2014: 13)","plainCitation":"(Crouch, 2014: 13)"},"citationItems":[{"id":1678,"uris":["http://zotero.org/users/local/xORFDKwB/items/PUUT9Q76"],"uri":["http://zotero.org/users/local/xORFDKwB/items/PUUT9Q76"],"itemData":{"id":1678,"type":"article-journal","title":"Introduction: labour markets and social policy after the crisis","container-title":"Transfer: European Review of Labour and Research","page":"7-22","volume":"20","author":[{"family":"Crouch","given":"Colin"}],"issued":{"date-parts":[["2014"]]}},"locator":"13"}],"schema":"https://github.com/citation-style-language/schema/raw/master/csl-citation.json"} </w:instrText>
      </w:r>
      <w:r>
        <w:fldChar w:fldCharType="separate"/>
      </w:r>
      <w:r>
        <w:rPr>
          <w:noProof/>
        </w:rPr>
        <w:t>(Crouch, 2014: 13)</w:t>
      </w:r>
      <w:r>
        <w:fldChar w:fldCharType="end"/>
      </w:r>
      <w:r w:rsidRPr="00526A4E">
        <w:t>.</w:t>
      </w:r>
      <w:r>
        <w:t xml:space="preserve"> Other Southern countries</w:t>
      </w:r>
      <w:r w:rsidR="000F39CB">
        <w:t>,</w:t>
      </w:r>
      <w:r>
        <w:t xml:space="preserve"> which were not </w:t>
      </w:r>
      <w:r w:rsidR="00A04676">
        <w:t>subject to strict conditionality programmes</w:t>
      </w:r>
      <w:r>
        <w:t xml:space="preserve"> –such as Italy, Spain and </w:t>
      </w:r>
      <w:r w:rsidR="00A04676">
        <w:t xml:space="preserve">very </w:t>
      </w:r>
      <w:r>
        <w:t>recently France– deregulate</w:t>
      </w:r>
      <w:r w:rsidR="00A3610A">
        <w:t>d</w:t>
      </w:r>
      <w:r w:rsidRPr="009A4860">
        <w:t xml:space="preserve"> </w:t>
      </w:r>
      <w:r>
        <w:t>their</w:t>
      </w:r>
      <w:r w:rsidRPr="009A4860">
        <w:t xml:space="preserve"> </w:t>
      </w:r>
      <w:r>
        <w:t>ER institutions</w:t>
      </w:r>
      <w:r w:rsidRPr="009A4860">
        <w:t xml:space="preserve"> </w:t>
      </w:r>
      <w:r>
        <w:t xml:space="preserve">for the same reason </w:t>
      </w:r>
      <w:r>
        <w:fldChar w:fldCharType="begin"/>
      </w:r>
      <w:r>
        <w:instrText xml:space="preserve"> ADDIN ZOTERO_ITEM CSL_CITATION {"citationID":"8AyWoGS5","properties":{"formattedCitation":"(Clauwaert, 2014; Molina, 2014)","plainCitation":"(Clauwaert, 2014; Molina, 2014)"},"citationItems":[{"id":1690,"uris":["http://zotero.org/users/local/xORFDKwB/items/SS7XRVIJ"],"uri":["http://zotero.org/users/local/xORFDKwB/items/SS7XRVIJ"],"itemData":{"id":1690,"type":"article","title":"The country-specific recommendations (CSRs) in the social field. An overview and comparison Update including the CSRs 2014-2015","publisher":"ETUI Working Papers Series","author":[{"family":"Clauwaert","given":"S"}],"issued":{"date-parts":[["2014"]]}}},{"id":1691,"uris":["http://zotero.org/users/local/xORFDKwB/items/SUHMCC4C"],"uri":["http://zotero.org/users/local/xORFDKwB/items/SUHMCC4C"],"itemData":{"id":1691,"type":"article-journal","title":"Self-regulation and the state in industrial relations in Southern Europe: Back to the future?","container-title":"European Journal of Industrial Relations","page":"21-36","volume":"20","issue":"1","author":[{"family":"Molina","given":"Oscar"}],"issued":{"date-parts":[["2014"]]}}}],"schema":"https://github.com/citation-style-language/schema/raw/master/csl-citation.json"} </w:instrText>
      </w:r>
      <w:r>
        <w:fldChar w:fldCharType="separate"/>
      </w:r>
      <w:r>
        <w:rPr>
          <w:noProof/>
        </w:rPr>
        <w:t>(Clauwaert, 2014; Molina, 2014)</w:t>
      </w:r>
      <w:r>
        <w:fldChar w:fldCharType="end"/>
      </w:r>
      <w:r>
        <w:t>. In sum, the Eurozone crisis intensified the deregulation of ER institutions across models of capitalism ‘in the name of competitiveness’.</w:t>
      </w:r>
    </w:p>
    <w:p w14:paraId="0DA5B06E" w14:textId="0F8DFE51" w:rsidR="00DF1667" w:rsidRDefault="004B4FEE">
      <w:pPr>
        <w:ind w:firstLine="567"/>
      </w:pPr>
      <w:r>
        <w:t xml:space="preserve">Although </w:t>
      </w:r>
      <w:r w:rsidR="00524EE7">
        <w:t xml:space="preserve">the </w:t>
      </w:r>
      <w:r>
        <w:t xml:space="preserve">process of </w:t>
      </w:r>
      <w:r w:rsidR="00D36F64">
        <w:t xml:space="preserve">deregulation and </w:t>
      </w:r>
      <w:r>
        <w:t>marketization</w:t>
      </w:r>
      <w:r w:rsidR="00CD480A">
        <w:t xml:space="preserve"> </w:t>
      </w:r>
      <w:r w:rsidR="00CD480A">
        <w:fldChar w:fldCharType="begin"/>
      </w:r>
      <w:r w:rsidR="00CD480A">
        <w:instrText xml:space="preserve"> ADDIN ZOTERO_ITEM CSL_CITATION {"citationID":"rtd03uui5","properties":{"formattedCitation":"(Crouch, 2014)","plainCitation":"(Crouch, 2014)"},"citationItems":[{"id":1678,"uris":["http://zotero.org/users/local/xORFDKwB/items/PUUT9Q76"],"uri":["http://zotero.org/users/local/xORFDKwB/items/PUUT9Q76"],"itemData":{"id":1678,"type":"article-journal","title":"Introduction: labour markets and social policy after the crisis","container-title":"Transfer: European Review of Labour and Research","page":"7-22","volume":"20","author":[{"family":"Crouch","given":"Colin"}],"issued":{"date-parts":[["2014"]]}}}],"schema":"https://github.com/citation-style-language/schema/raw/master/csl-citation.json"} </w:instrText>
      </w:r>
      <w:r w:rsidR="00CD480A">
        <w:fldChar w:fldCharType="separate"/>
      </w:r>
      <w:r w:rsidR="00CD480A">
        <w:rPr>
          <w:noProof/>
        </w:rPr>
        <w:t>(Crouch, 2014)</w:t>
      </w:r>
      <w:r w:rsidR="00CD480A">
        <w:fldChar w:fldCharType="end"/>
      </w:r>
      <w:r w:rsidR="00CD480A">
        <w:t xml:space="preserve"> </w:t>
      </w:r>
      <w:r>
        <w:t xml:space="preserve">is being </w:t>
      </w:r>
      <w:r w:rsidR="00AE0319">
        <w:t xml:space="preserve">more </w:t>
      </w:r>
      <w:r w:rsidR="00D7387A">
        <w:t xml:space="preserve">explicitly </w:t>
      </w:r>
      <w:r>
        <w:t xml:space="preserve">promoted by the EU in </w:t>
      </w:r>
      <w:r w:rsidR="00387B7F">
        <w:t>recent</w:t>
      </w:r>
      <w:r>
        <w:t xml:space="preserve"> years, it is by no means new.</w:t>
      </w:r>
      <w:r w:rsidR="009C3083">
        <w:t xml:space="preserve"> The trend towards deregulation of </w:t>
      </w:r>
      <w:r w:rsidR="003357AE">
        <w:t>ER</w:t>
      </w:r>
      <w:r w:rsidR="009C3083">
        <w:t xml:space="preserve"> institutions is observed </w:t>
      </w:r>
      <w:r w:rsidR="00D421C0">
        <w:t>in a number of</w:t>
      </w:r>
      <w:r w:rsidR="009C3083">
        <w:t xml:space="preserve"> </w:t>
      </w:r>
      <w:r w:rsidR="00810162">
        <w:t>European countries;</w:t>
      </w:r>
      <w:r w:rsidR="009C3083">
        <w:t xml:space="preserve"> however, the pace of </w:t>
      </w:r>
      <w:r w:rsidR="00D421C0">
        <w:t>deregulation</w:t>
      </w:r>
      <w:r w:rsidR="009C3083">
        <w:t xml:space="preserve"> </w:t>
      </w:r>
      <w:r w:rsidR="00D36F64">
        <w:t xml:space="preserve">has been </w:t>
      </w:r>
      <w:r w:rsidR="009C3083">
        <w:t>variable</w:t>
      </w:r>
      <w:r w:rsidR="00810162">
        <w:t xml:space="preserve"> </w:t>
      </w:r>
      <w:r w:rsidR="00EA7D15">
        <w:t>across</w:t>
      </w:r>
      <w:r w:rsidR="00810162">
        <w:t xml:space="preserve"> </w:t>
      </w:r>
      <w:r w:rsidR="00D36F64">
        <w:t>different</w:t>
      </w:r>
      <w:r w:rsidR="00DF1667">
        <w:t xml:space="preserve"> </w:t>
      </w:r>
      <w:r w:rsidR="00810162">
        <w:t>models of capitalism</w:t>
      </w:r>
      <w:r w:rsidR="009C3083">
        <w:t xml:space="preserve">. </w:t>
      </w:r>
      <w:r w:rsidR="00D7387A">
        <w:t>While t</w:t>
      </w:r>
      <w:r w:rsidR="00827870">
        <w:t xml:space="preserve">here is no universal agreement on the clustering of countries, </w:t>
      </w:r>
      <w:r w:rsidR="00EA7D15">
        <w:t xml:space="preserve">several </w:t>
      </w:r>
      <w:r w:rsidR="00D421C0">
        <w:t>scholars</w:t>
      </w:r>
      <w:r w:rsidR="00EA7D15">
        <w:t xml:space="preserve"> </w:t>
      </w:r>
      <w:r w:rsidR="00D7387A">
        <w:t xml:space="preserve">tend to </w:t>
      </w:r>
      <w:r w:rsidR="00EA7D15">
        <w:t>agree that there exist</w:t>
      </w:r>
      <w:r w:rsidR="00827870">
        <w:t xml:space="preserve"> four distinct models of capitalism in Europe: the </w:t>
      </w:r>
      <w:r w:rsidR="00827870" w:rsidRPr="000B3DBC">
        <w:rPr>
          <w:i/>
        </w:rPr>
        <w:t xml:space="preserve">Liberal </w:t>
      </w:r>
      <w:r w:rsidR="00D36F64" w:rsidRPr="000B3DBC">
        <w:rPr>
          <w:i/>
        </w:rPr>
        <w:t>M</w:t>
      </w:r>
      <w:r w:rsidR="00827870" w:rsidRPr="000B3DBC">
        <w:rPr>
          <w:i/>
        </w:rPr>
        <w:t xml:space="preserve">arket </w:t>
      </w:r>
      <w:r w:rsidR="00D36F64" w:rsidRPr="000B3DBC">
        <w:rPr>
          <w:i/>
        </w:rPr>
        <w:t>Econom</w:t>
      </w:r>
      <w:r w:rsidR="00EA7D15">
        <w:rPr>
          <w:i/>
        </w:rPr>
        <w:t>ies</w:t>
      </w:r>
      <w:r w:rsidR="00D36F64" w:rsidRPr="000B3DBC">
        <w:rPr>
          <w:i/>
        </w:rPr>
        <w:t xml:space="preserve">/Anglo-Saxon </w:t>
      </w:r>
      <w:r w:rsidR="00827870" w:rsidRPr="000B3DBC">
        <w:rPr>
          <w:i/>
        </w:rPr>
        <w:t>capitalism</w:t>
      </w:r>
      <w:r w:rsidR="00827870">
        <w:t xml:space="preserve">, the </w:t>
      </w:r>
      <w:r w:rsidR="00D36F64" w:rsidRPr="000B3DBC">
        <w:rPr>
          <w:i/>
        </w:rPr>
        <w:t>Coordinated/</w:t>
      </w:r>
      <w:r w:rsidR="00827870" w:rsidRPr="000B3DBC">
        <w:rPr>
          <w:i/>
        </w:rPr>
        <w:t xml:space="preserve">Continental European </w:t>
      </w:r>
      <w:r w:rsidR="00DF1667" w:rsidRPr="000B3DBC">
        <w:rPr>
          <w:i/>
        </w:rPr>
        <w:t>capitalism</w:t>
      </w:r>
      <w:r w:rsidR="00827870">
        <w:t xml:space="preserve">, the </w:t>
      </w:r>
      <w:r w:rsidR="00827870" w:rsidRPr="000B3DBC">
        <w:rPr>
          <w:i/>
        </w:rPr>
        <w:t xml:space="preserve">Nordic </w:t>
      </w:r>
      <w:r w:rsidR="00D421C0">
        <w:rPr>
          <w:i/>
        </w:rPr>
        <w:t>M</w:t>
      </w:r>
      <w:r w:rsidR="00D36F64" w:rsidRPr="000B3DBC">
        <w:rPr>
          <w:i/>
        </w:rPr>
        <w:t xml:space="preserve">odel of </w:t>
      </w:r>
      <w:r w:rsidR="00DF1667" w:rsidRPr="000B3DBC">
        <w:rPr>
          <w:i/>
        </w:rPr>
        <w:t>capitalism</w:t>
      </w:r>
      <w:r w:rsidR="00827870">
        <w:t xml:space="preserve"> and the </w:t>
      </w:r>
      <w:r w:rsidR="00827870" w:rsidRPr="000B3DBC">
        <w:rPr>
          <w:i/>
        </w:rPr>
        <w:t xml:space="preserve">Southern European </w:t>
      </w:r>
      <w:r w:rsidR="00D421C0">
        <w:rPr>
          <w:i/>
        </w:rPr>
        <w:t>M</w:t>
      </w:r>
      <w:r w:rsidR="00D36F64" w:rsidRPr="000B3DBC">
        <w:rPr>
          <w:i/>
        </w:rPr>
        <w:t xml:space="preserve">odel of </w:t>
      </w:r>
      <w:r w:rsidR="00DF1667" w:rsidRPr="000B3DBC">
        <w:rPr>
          <w:i/>
        </w:rPr>
        <w:t>capitalism</w:t>
      </w:r>
      <w:r w:rsidR="00827870">
        <w:t xml:space="preserve"> </w:t>
      </w:r>
      <w:r w:rsidR="00827870">
        <w:fldChar w:fldCharType="begin"/>
      </w:r>
      <w:r w:rsidR="00827870">
        <w:instrText xml:space="preserve"> ADDIN ZOTERO_ITEM CSL_CITATION {"citationID":"1tfq6dklva","properties":{"formattedCitation":"(Amable, 2003; Becker, 2009; Hyman, 2004)","plainCitation":"(Amable, 2003; Becker, 2009; Hyman, 2004)"},"citationItems":[{"id":22,"uris":["http://zotero.org/users/local/xORFDKwB/items/8JD64DDK"],"uri":["http://zotero.org/users/local/xORFDKwB/items/8JD64DDK"],"itemData":{"id":22,"type":"book","title":"The Diversity of Modern Capitalism","publisher":"Oxford University Press","publisher-place":"Oxford","event-place":"Oxford","shortTitle":"Diversity of Modern Capitalism","author":[{"family":"Amable","given":"Bruno"}],"issued":{"date-parts":[["2003"]]}}},{"id":109,"uris":["http://zotero.org/users/local/xORFDKwB/items/IVWW4CDU"],"uri":["http://zotero.org/users/local/xORFDKwB/items/IVWW4CDU"],"itemData":{"id":109,"type":"book","title":"Open Varieties of Capitalism: Continuity, Change and Performances","publisher":"Palgrave Macmillan","publisher-place":"Basingstoke","event-place":"Basingstoke","author":[{"family":"Becker","given":"Uwe"}],"issued":{"date-parts":[["2009"]]}}},{"id":713,"uris":["http://zotero.org/users/local/xORFDKwB/items/XBM7HCG4"],"uri":["http://zotero.org/users/local/xORFDKwB/items/XBM7HCG4"],"itemData":{"id":713,"type":"chapter","title":"Varieties of Capitalism, National Industrial Relations Systems and Transnational Challenges","container-title":"International Human Resource Management.","publisher":"Sage","publisher-place":"London","page":"411-432","event-place":"London","author":[{"family":"Hyman","given":"Richard"}],"editor":[{"family":"Harzing","given":"Anne-Wil"},{"family":"van Ruysseveldt","given":"Joris"}],"issued":{"date-parts":[["2004"]]}}}],"schema":"https://github.com/citation-style-language/schema/raw/master/csl-citation.json"} </w:instrText>
      </w:r>
      <w:r w:rsidR="00827870">
        <w:fldChar w:fldCharType="separate"/>
      </w:r>
      <w:r w:rsidR="00827870">
        <w:rPr>
          <w:noProof/>
        </w:rPr>
        <w:t>(Amable, 2003; Becker, 2009; Hyman, 2004)</w:t>
      </w:r>
      <w:r w:rsidR="00827870">
        <w:fldChar w:fldCharType="end"/>
      </w:r>
      <w:r w:rsidR="00827870">
        <w:t xml:space="preserve">. </w:t>
      </w:r>
      <w:r w:rsidR="00D7387A">
        <w:t>This</w:t>
      </w:r>
      <w:r w:rsidR="00827870">
        <w:t xml:space="preserve"> clustering</w:t>
      </w:r>
      <w:r w:rsidR="00D7387A">
        <w:t xml:space="preserve"> is</w:t>
      </w:r>
      <w:r w:rsidR="00827870">
        <w:t xml:space="preserve"> theoretically strong and empirically robust. Theoretically it is </w:t>
      </w:r>
      <w:r w:rsidR="00EA7D15">
        <w:t>grounded</w:t>
      </w:r>
      <w:r w:rsidR="00827870">
        <w:t xml:space="preserve"> </w:t>
      </w:r>
      <w:r w:rsidR="00EA7D15">
        <w:t>in</w:t>
      </w:r>
      <w:r w:rsidR="00827870">
        <w:t xml:space="preserve"> the different historical constellation</w:t>
      </w:r>
      <w:r w:rsidR="00DF1667">
        <w:t>s</w:t>
      </w:r>
      <w:r w:rsidR="00827870">
        <w:t xml:space="preserve"> of power relations between capital, state and labour </w:t>
      </w:r>
      <w:r w:rsidR="00827870">
        <w:fldChar w:fldCharType="begin"/>
      </w:r>
      <w:r w:rsidR="00827870">
        <w:instrText xml:space="preserve"> ADDIN ZOTERO_ITEM CSL_CITATION {"citationID":"25iut17qj9","properties":{"formattedCitation":"(Becker, 2009)","plainCitation":"(Becker, 2009)"},"citationItems":[{"id":109,"uris":["http://zotero.org/users/local/xORFDKwB/items/IVWW4CDU"],"uri":["http://zotero.org/users/local/xORFDKwB/items/IVWW4CDU"],"itemData":{"id":109,"type":"book","title":"Open Varieties of Capitalism: Continuity, Change and Performances","publisher":"Palgrave Macmillan","publisher-place":"Basingstoke","event-place":"Basingstoke","author":[{"family":"Becker","given":"Uwe"}],"issued":{"date-parts":[["2009"]]}}}],"schema":"https://github.com/citation-style-language/schema/raw/master/csl-citation.json"} </w:instrText>
      </w:r>
      <w:r w:rsidR="00827870">
        <w:fldChar w:fldCharType="separate"/>
      </w:r>
      <w:r w:rsidR="00827870">
        <w:rPr>
          <w:noProof/>
        </w:rPr>
        <w:t>(Becker, 2009)</w:t>
      </w:r>
      <w:r w:rsidR="00827870">
        <w:fldChar w:fldCharType="end"/>
      </w:r>
      <w:r w:rsidR="00827870">
        <w:t xml:space="preserve">, as well </w:t>
      </w:r>
      <w:r w:rsidR="00A3610A">
        <w:t xml:space="preserve">as </w:t>
      </w:r>
      <w:r w:rsidR="00EA7D15">
        <w:t>based on</w:t>
      </w:r>
      <w:r w:rsidR="00827870">
        <w:t xml:space="preserve"> </w:t>
      </w:r>
      <w:r w:rsidR="00EA7D15">
        <w:t>variable</w:t>
      </w:r>
      <w:r w:rsidR="00827870">
        <w:t xml:space="preserve"> </w:t>
      </w:r>
      <w:r w:rsidR="00D36F64">
        <w:t>degrees</w:t>
      </w:r>
      <w:r w:rsidR="00827870">
        <w:t xml:space="preserve"> of decommodification of labour </w:t>
      </w:r>
      <w:r w:rsidR="00827870">
        <w:fldChar w:fldCharType="begin"/>
      </w:r>
      <w:r w:rsidR="00DF1667">
        <w:instrText xml:space="preserve"> ADDIN ZOTERO_ITEM CSL_CITATION {"citationID":"19p156cf94","properties":{"formattedCitation":"(Hyman, 2004)","plainCitation":"(Hyman, 2004)"},"citationItems":[{"id":713,"uris":["http://zotero.org/users/local/xORFDKwB/items/XBM7HCG4"],"uri":["http://zotero.org/users/local/xORFDKwB/items/XBM7HCG4"],"itemData":{"id":713,"type":"chapter","title":"Varieties of Capitalism, National Industrial Relations Systems and Transnational Challenges","container-title":"International Human Resource Management.","publisher":"Sage","publisher-place":"London","page":"411-432","event-place":"London","author":[{"family":"Hyman","given":"Richard"}],"editor":[{"family":"Harzing","given":"Anne-Wil"},{"family":"van Ruysseveldt","given":"Joris"}],"issued":{"date-parts":[["2004"]]}}}],"schema":"https://github.com/citation-style-language/schema/raw/master/csl-citation.json"} </w:instrText>
      </w:r>
      <w:r w:rsidR="00827870">
        <w:fldChar w:fldCharType="separate"/>
      </w:r>
      <w:r w:rsidR="00DF1667">
        <w:rPr>
          <w:noProof/>
        </w:rPr>
        <w:t>(Hyman, 2004)</w:t>
      </w:r>
      <w:r w:rsidR="00827870">
        <w:fldChar w:fldCharType="end"/>
      </w:r>
      <w:r w:rsidR="00DF1667">
        <w:t xml:space="preserve">. Empirically, it has been verified by the work of Bruno Amable </w:t>
      </w:r>
      <w:r w:rsidR="00DF1667">
        <w:fldChar w:fldCharType="begin"/>
      </w:r>
      <w:r w:rsidR="00DF1667">
        <w:instrText xml:space="preserve"> ADDIN ZOTERO_ITEM CSL_CITATION {"citationID":"m88opc4iq","properties":{"formattedCitation":"(2003)","plainCitation":"(2003)"},"citationItems":[{"id":22,"uris":["http://zotero.org/users/local/xORFDKwB/items/8JD64DDK"],"uri":["http://zotero.org/users/local/xORFDKwB/items/8JD64DDK"],"itemData":{"id":22,"type":"book","title":"The Diversity of Modern Capitalism","publisher":"Oxford University Press","publisher-place":"Oxford","event-place":"Oxford","shortTitle":"Diversity of Modern Capitalism","author":[{"family":"Amable","given":"Bruno"}],"issued":{"date-parts":[["2003"]]}},"suppress-author":true}],"schema":"https://github.com/citation-style-language/schema/raw/master/csl-citation.json"} </w:instrText>
      </w:r>
      <w:r w:rsidR="00DF1667">
        <w:fldChar w:fldCharType="separate"/>
      </w:r>
      <w:r w:rsidR="00DF1667">
        <w:rPr>
          <w:noProof/>
        </w:rPr>
        <w:t>(2003)</w:t>
      </w:r>
      <w:r w:rsidR="00DF1667">
        <w:fldChar w:fldCharType="end"/>
      </w:r>
      <w:r w:rsidR="00DF1667">
        <w:t xml:space="preserve">, who used cluster analysis to come up with this classification </w:t>
      </w:r>
      <w:r w:rsidR="00D7387A">
        <w:t>drawing</w:t>
      </w:r>
      <w:r w:rsidR="00DF1667">
        <w:t xml:space="preserve"> on a very rich dataset of indicators that comprise the different institutional arrangements in the labour market, welfare regime, product market</w:t>
      </w:r>
      <w:r w:rsidR="00D36F64">
        <w:t xml:space="preserve"> and corporate governance.</w:t>
      </w:r>
    </w:p>
    <w:p w14:paraId="331B4F94" w14:textId="6331F1B0" w:rsidR="00DF1667" w:rsidRDefault="001C1BDD" w:rsidP="0076098A">
      <w:pPr>
        <w:ind w:firstLine="567"/>
      </w:pPr>
      <w:r>
        <w:t>The clustering of countries has important implications for the analysis</w:t>
      </w:r>
      <w:r w:rsidR="00143D08">
        <w:t xml:space="preserve">. </w:t>
      </w:r>
      <w:r w:rsidR="0069565D">
        <w:t>To begin with</w:t>
      </w:r>
      <w:r w:rsidR="00143D08">
        <w:t xml:space="preserve">, </w:t>
      </w:r>
      <w:r>
        <w:t>it provides the opportunity to gauge whether there</w:t>
      </w:r>
      <w:r w:rsidR="00D36F64">
        <w:t xml:space="preserve"> are any</w:t>
      </w:r>
      <w:r>
        <w:t xml:space="preserve"> context-specific effects that </w:t>
      </w:r>
      <w:r w:rsidR="00143D08">
        <w:t xml:space="preserve">may </w:t>
      </w:r>
      <w:r>
        <w:t xml:space="preserve">alter the relationship between </w:t>
      </w:r>
      <w:r w:rsidR="003357AE">
        <w:t>ER</w:t>
      </w:r>
      <w:r>
        <w:t xml:space="preserve"> </w:t>
      </w:r>
      <w:r w:rsidR="00143D08">
        <w:t xml:space="preserve">institutions </w:t>
      </w:r>
      <w:r>
        <w:t xml:space="preserve">and </w:t>
      </w:r>
      <w:r w:rsidR="00143D08">
        <w:t>competitiveness</w:t>
      </w:r>
      <w:r>
        <w:t xml:space="preserve">. </w:t>
      </w:r>
      <w:r w:rsidR="00D36F64">
        <w:t>O</w:t>
      </w:r>
      <w:r w:rsidR="00DF1667">
        <w:t xml:space="preserve">ne of the key insights of the models of capitalism literature is that </w:t>
      </w:r>
      <w:r w:rsidR="003357AE">
        <w:t>ER</w:t>
      </w:r>
      <w:r w:rsidR="00DF1667">
        <w:t xml:space="preserve"> institutions may provide ‘institutional complementarities’ </w:t>
      </w:r>
      <w:r w:rsidR="00D36F64">
        <w:fldChar w:fldCharType="begin"/>
      </w:r>
      <w:r w:rsidR="00D36F64">
        <w:instrText xml:space="preserve"> ADDIN ZOTERO_ITEM CSL_CITATION {"citationID":"2brtn46as7","properties":{"formattedCitation":"(Hall and Soskice, 2001: 21)","plainCitation":"(Hall and Soskice, 2001: 21)"},"citationItems":[{"id":609,"uris":["http://zotero.org/users/local/xORFDKwB/items/7KD4QUF3"],"uri":["http://zotero.org/users/local/xORFDKwB/items/7KD4QUF3"],"itemData":{"id":609,"type":"book","title":"Varieties of Capitalism: Institutional Foundations of Comparative Advantage","publisher":"Oxford University Press","publisher-place":"Oxford","event-place":"Oxford","author":[{"family":"Hall","given":"Peter"},{"family":"Soskice","given":"David"}],"issued":{"date-parts":[["2001"]]}},"locator":"21"}],"schema":"https://github.com/citation-style-language/schema/raw/master/csl-citation.json"} </w:instrText>
      </w:r>
      <w:r w:rsidR="00D36F64">
        <w:fldChar w:fldCharType="separate"/>
      </w:r>
      <w:r w:rsidR="00D36F64">
        <w:rPr>
          <w:noProof/>
        </w:rPr>
        <w:t>(Hall and Soskice, 2001: 21)</w:t>
      </w:r>
      <w:r w:rsidR="00D36F64">
        <w:fldChar w:fldCharType="end"/>
      </w:r>
      <w:r w:rsidR="00D36F64">
        <w:t xml:space="preserve"> </w:t>
      </w:r>
      <w:r w:rsidR="00DF1667">
        <w:t>and together with other institutions may reinforce positive feedback effects</w:t>
      </w:r>
      <w:r w:rsidR="000F39CB">
        <w:t>,</w:t>
      </w:r>
      <w:r w:rsidR="00DF1667">
        <w:t xml:space="preserve"> which would increase firm competitiveness. </w:t>
      </w:r>
      <w:r>
        <w:t>Hence,</w:t>
      </w:r>
      <w:r w:rsidR="00DF1667">
        <w:t xml:space="preserve"> the relationship between </w:t>
      </w:r>
      <w:r w:rsidR="003357AE">
        <w:t>ER</w:t>
      </w:r>
      <w:r w:rsidR="00DF1667">
        <w:t xml:space="preserve"> institutions and </w:t>
      </w:r>
      <w:r>
        <w:t>firm competitiveness may</w:t>
      </w:r>
      <w:r w:rsidR="00DF1667">
        <w:t xml:space="preserve"> </w:t>
      </w:r>
      <w:r>
        <w:t>vary</w:t>
      </w:r>
      <w:r w:rsidR="00DF1667">
        <w:t xml:space="preserve"> across </w:t>
      </w:r>
      <w:r>
        <w:t>clusters,</w:t>
      </w:r>
      <w:r w:rsidR="00DF1667">
        <w:t xml:space="preserve"> as countries find themselves at different stages of </w:t>
      </w:r>
      <w:r w:rsidR="00D36F64">
        <w:t>labour market (de)</w:t>
      </w:r>
      <w:r w:rsidR="00DF1667">
        <w:t xml:space="preserve">regulation. Indeed, </w:t>
      </w:r>
      <w:r w:rsidR="004B4FEE">
        <w:t xml:space="preserve">since the late 1970s, the revival of neo-liberal policies in Britain paved the way for the deregulation of its </w:t>
      </w:r>
      <w:r w:rsidR="003357AE">
        <w:t>ER</w:t>
      </w:r>
      <w:r w:rsidR="004B4FEE">
        <w:t xml:space="preserve"> framework</w:t>
      </w:r>
      <w:r w:rsidR="00CD480A">
        <w:t xml:space="preserve"> </w:t>
      </w:r>
      <w:r w:rsidR="00CD480A">
        <w:fldChar w:fldCharType="begin"/>
      </w:r>
      <w:r w:rsidR="00646D20">
        <w:instrText xml:space="preserve"> ADDIN ZOTERO_ITEM CSL_CITATION {"citationID":"X03ZbLuj","properties":{"formattedCitation":"(Crouch, 2011; Heyes et al., 2012)","plainCitation":"(Crouch, 2011; Heyes et al., 2012)"},"citationItems":[{"id":268,"uris":["http://zotero.org/users/local/xORFDKwB/items/4VHFJ5CX"],"uri":["http://zotero.org/users/local/xORFDKwB/items/4VHFJ5CX"],"itemData":{"id":268,"type":"book","title":"The Strange Non-Death of Neoliberalism","publisher":"Polity","publisher-place":"Cambridge","event-place":"Cambridge","author":[{"family":"Crouch","given":"Colin"}],"issued":{"date-parts":[["2011"]]}}},{"id":658,"uris":["http://zotero.org/users/local/xORFDKwB/items/NGRC642I"],"uri":["http://zotero.org/users/local/xORFDKwB/items/NGRC642I"],"itemData":{"id":658,"type":"article-journal","title":"Varieties of capitalism, neoliberalism and the economic crisis of 2008–?","container-title":"Industrial Relations Journal","page":"222-241","volume":"43","author":[{"family":"Heyes","given":"Jason"},{"family":"Lewis","given":"Paul"},{"family":"Clark","given":"Ian"}],"issued":{"date-parts":[["2012"]]}}}],"schema":"https://github.com/citation-style-language/schema/raw/master/csl-citation.json"} </w:instrText>
      </w:r>
      <w:r w:rsidR="00CD480A">
        <w:fldChar w:fldCharType="separate"/>
      </w:r>
      <w:r w:rsidR="00646D20">
        <w:rPr>
          <w:noProof/>
        </w:rPr>
        <w:t>(Crouch, 2011; Heyes et al., 2012)</w:t>
      </w:r>
      <w:r w:rsidR="00CD480A">
        <w:fldChar w:fldCharType="end"/>
      </w:r>
      <w:r w:rsidR="004B4FEE">
        <w:t xml:space="preserve">. </w:t>
      </w:r>
      <w:r w:rsidR="00F0156E">
        <w:t>I</w:t>
      </w:r>
      <w:r w:rsidR="004B4FEE">
        <w:t xml:space="preserve">n the </w:t>
      </w:r>
      <w:r w:rsidR="00F0156E">
        <w:t>British</w:t>
      </w:r>
      <w:r w:rsidR="004B4FEE">
        <w:t xml:space="preserve"> case</w:t>
      </w:r>
      <w:r w:rsidR="00394886">
        <w:t>,</w:t>
      </w:r>
      <w:r w:rsidR="004B4FEE">
        <w:t xml:space="preserve"> the </w:t>
      </w:r>
      <w:r w:rsidR="00E0644A">
        <w:t>deregulation</w:t>
      </w:r>
      <w:r w:rsidR="004B4FEE">
        <w:t xml:space="preserve"> of the labour market was part of a </w:t>
      </w:r>
      <w:r w:rsidR="00F0156E">
        <w:t>government</w:t>
      </w:r>
      <w:r w:rsidR="004B4FEE">
        <w:t xml:space="preserve"> programme forcing marketization and financialization in every part of the economy</w:t>
      </w:r>
      <w:r w:rsidR="00CE5DBA">
        <w:t xml:space="preserve">. </w:t>
      </w:r>
      <w:r w:rsidR="00DF1667">
        <w:t xml:space="preserve">Overall, </w:t>
      </w:r>
      <w:r w:rsidR="00D36F64">
        <w:t>the</w:t>
      </w:r>
      <w:r w:rsidR="00DF1667">
        <w:t xml:space="preserve"> Liberal Market economies, notably the UK and Ireland, have</w:t>
      </w:r>
      <w:r w:rsidR="00DF1667" w:rsidRPr="00A93514">
        <w:t xml:space="preserve"> already made important steps towards greater flexibility in their labour markets</w:t>
      </w:r>
      <w:r w:rsidR="00DF1667">
        <w:t xml:space="preserve">. The implication of this trajectory for our analysis may be that since </w:t>
      </w:r>
      <w:r w:rsidR="003357AE">
        <w:t>ER</w:t>
      </w:r>
      <w:r w:rsidR="00DF1667">
        <w:t xml:space="preserve"> institutions have become very weak, their hypothesised negative effects on productivity may have diminished.</w:t>
      </w:r>
    </w:p>
    <w:p w14:paraId="072932F6" w14:textId="4FE731B0" w:rsidR="0074174C" w:rsidRDefault="00DF1667">
      <w:pPr>
        <w:ind w:firstLine="567"/>
      </w:pPr>
      <w:r>
        <w:t xml:space="preserve">For this reason the analysis shall also proceed to examine the relationship between </w:t>
      </w:r>
      <w:r w:rsidR="003357AE">
        <w:t>ER</w:t>
      </w:r>
      <w:r>
        <w:t xml:space="preserve"> institutions and </w:t>
      </w:r>
      <w:r w:rsidR="003357AE">
        <w:t>productivity</w:t>
      </w:r>
      <w:r>
        <w:t xml:space="preserve"> change in other clusters of countries. </w:t>
      </w:r>
      <w:r w:rsidR="00CE5DBA">
        <w:t xml:space="preserve">In </w:t>
      </w:r>
      <w:r>
        <w:t xml:space="preserve">Continental </w:t>
      </w:r>
      <w:r w:rsidR="008F6409">
        <w:t xml:space="preserve">European </w:t>
      </w:r>
      <w:r>
        <w:t xml:space="preserve">capitalist </w:t>
      </w:r>
      <w:r w:rsidR="00F0156E">
        <w:t>countries</w:t>
      </w:r>
      <w:r w:rsidR="00CE5DBA">
        <w:t>,</w:t>
      </w:r>
      <w:r w:rsidR="00F0156E">
        <w:t xml:space="preserve"> such as Germany</w:t>
      </w:r>
      <w:r w:rsidR="00C55D54">
        <w:t>,</w:t>
      </w:r>
      <w:r w:rsidR="00F0156E">
        <w:t xml:space="preserve"> it was </w:t>
      </w:r>
      <w:r w:rsidR="003B4BB6">
        <w:t xml:space="preserve">the </w:t>
      </w:r>
      <w:r w:rsidR="00F0156E">
        <w:t xml:space="preserve">employers </w:t>
      </w:r>
      <w:r w:rsidR="003B4BB6">
        <w:t xml:space="preserve">who </w:t>
      </w:r>
      <w:r w:rsidR="00F0156E">
        <w:t>contributed to the incremental</w:t>
      </w:r>
      <w:r w:rsidR="004B4FEE">
        <w:t xml:space="preserve"> erosion of the </w:t>
      </w:r>
      <w:r w:rsidR="000F19BC">
        <w:t>coordinated</w:t>
      </w:r>
      <w:r w:rsidR="004B4FEE">
        <w:t xml:space="preserve"> industrial relations </w:t>
      </w:r>
      <w:r w:rsidR="00C55D54">
        <w:t>regime</w:t>
      </w:r>
      <w:r w:rsidR="004B4FEE">
        <w:t xml:space="preserve"> </w:t>
      </w:r>
      <w:r w:rsidR="007F3FE2">
        <w:fldChar w:fldCharType="begin"/>
      </w:r>
      <w:r w:rsidR="00EE59CD">
        <w:instrText xml:space="preserve"> ADDIN ZOTERO_ITEM CSL_CITATION {"citationID":"qQTzl6tt","properties":{"formattedCitation":"(Gumbrell-McGormick and Hyman, 2013; Hassel, 2014)","plainCitation":"(Gumbrell-McGormick and Hyman, 2013; Hassel, 2014)"},"citationItems":[{"id":1680,"uris":["http://zotero.org/users/local/xORFDKwB/items/NM7C7AF5"],"uri":["http://zotero.org/users/local/xORFDKwB/items/NM7C7AF5"],"itemData":{"id":1680,"type":"book","title":"Trade Unions in Western Europe: Hard Times, Hard Choices","publisher":"Oxford University Press","publisher-place":"Oxford","event-place":"Oxford","author":[{"family":"Gumbrell-McGormick","given":"Rebecca"},{"family":"Hyman","given":"Richard"}],"issued":{"date-parts":[["2013"]]}}},{"id":637,"uris":["http://zotero.org/users/local/xORFDKwB/items/E94RH8Z7"],"uri":["http://zotero.org/users/local/xORFDKwB/items/E94RH8Z7"],"itemData":{"id":637,"type":"article-journal","title":"The Paradox of Liberalization- Understanding Dualism and the Recovery of the German Political Economy","container-title":"British Journal of Industrial Relations","page":"57-81","volume":"52","issue":"1","author":[{"family":"Hassel","given":"Anke"}],"issued":{"date-parts":[["2014"]]}}}],"schema":"https://github.com/citation-style-language/schema/raw/master/csl-citation.json"} </w:instrText>
      </w:r>
      <w:r w:rsidR="007F3FE2">
        <w:fldChar w:fldCharType="separate"/>
      </w:r>
      <w:r w:rsidR="00EE59CD">
        <w:rPr>
          <w:noProof/>
        </w:rPr>
        <w:t>(Gumbrell-McGormick and Hyman, 2013; Hassel, 2014)</w:t>
      </w:r>
      <w:r w:rsidR="007F3FE2">
        <w:fldChar w:fldCharType="end"/>
      </w:r>
      <w:r w:rsidR="004B4FEE">
        <w:t xml:space="preserve">. </w:t>
      </w:r>
      <w:r w:rsidR="001C1BDD">
        <w:t>Despite the fact that</w:t>
      </w:r>
      <w:r w:rsidR="00F1492A" w:rsidRPr="00260BFF">
        <w:t xml:space="preserve"> </w:t>
      </w:r>
      <w:r>
        <w:t>C</w:t>
      </w:r>
      <w:r w:rsidRPr="00260BFF">
        <w:t xml:space="preserve">ontinental </w:t>
      </w:r>
      <w:r w:rsidR="00F1492A" w:rsidRPr="00260BFF">
        <w:t xml:space="preserve">European governments adopted policies facilitating </w:t>
      </w:r>
      <w:r w:rsidR="00C55D54" w:rsidRPr="00260BFF">
        <w:t>labour market deregulation</w:t>
      </w:r>
      <w:r w:rsidR="000F19BC" w:rsidRPr="00260BFF">
        <w:t xml:space="preserve"> </w:t>
      </w:r>
      <w:r w:rsidR="006E3C27" w:rsidRPr="00260BFF">
        <w:t>‘</w:t>
      </w:r>
      <w:r w:rsidR="000F19BC" w:rsidRPr="00260BFF">
        <w:t>in the name of competitiveness</w:t>
      </w:r>
      <w:r w:rsidR="006E3C27" w:rsidRPr="00260BFF">
        <w:t>’</w:t>
      </w:r>
      <w:r w:rsidR="00B26624" w:rsidRPr="00260BFF">
        <w:t xml:space="preserve"> </w:t>
      </w:r>
      <w:r w:rsidR="00B26624" w:rsidRPr="00260BFF">
        <w:fldChar w:fldCharType="begin"/>
      </w:r>
      <w:r w:rsidR="00EC324C">
        <w:instrText xml:space="preserve"> ADDIN ZOTERO_ITEM CSL_CITATION {"citationID":"9lwjA9OV","properties":{"formattedCitation":"(Marginson, 2015)","plainCitation":"(Marginson, 2015)"},"citationItems":[{"id":1663,"uris":["http://zotero.org/users/local/xORFDKwB/items/ZRHR4MEE"],"uri":["http://zotero.org/users/local/xORFDKwB/items/ZRHR4MEE"],"itemData":{"id":1663,"type":"article-journal","title":"Coordinated bargaining in Europe: From incremental corrosion to frontal assault?","container-title":"European Journal of Industrial Relations","page":"97-114","volume":"21","issue":"2","author":[{"family":"Marginson","given":"Paul"}],"issued":{"date-parts":[["2015"]]}}}],"schema":"https://github.com/citation-style-language/schema/raw/master/csl-citation.json"} </w:instrText>
      </w:r>
      <w:r w:rsidR="00B26624" w:rsidRPr="00260BFF">
        <w:fldChar w:fldCharType="separate"/>
      </w:r>
      <w:r w:rsidR="00EC324C">
        <w:rPr>
          <w:noProof/>
        </w:rPr>
        <w:t>(Marginson, 2015)</w:t>
      </w:r>
      <w:r w:rsidR="00B26624" w:rsidRPr="00260BFF">
        <w:fldChar w:fldCharType="end"/>
      </w:r>
      <w:r w:rsidR="00293D8D">
        <w:t>,</w:t>
      </w:r>
      <w:r w:rsidR="001C1BDD">
        <w:t xml:space="preserve"> their </w:t>
      </w:r>
      <w:r w:rsidR="003357AE">
        <w:t>ER</w:t>
      </w:r>
      <w:r w:rsidR="001C1BDD">
        <w:t xml:space="preserve"> institutions remain much stronger than Liberal </w:t>
      </w:r>
      <w:r w:rsidR="00111A1E">
        <w:t xml:space="preserve">market </w:t>
      </w:r>
      <w:r w:rsidR="001C1BDD">
        <w:t xml:space="preserve">capitalist countries. The same rationale applies to Nordic capitalist countries, in which trade unions remain </w:t>
      </w:r>
      <w:r w:rsidR="00D36F64">
        <w:t>important</w:t>
      </w:r>
      <w:r w:rsidR="001C1BDD">
        <w:t xml:space="preserve"> with </w:t>
      </w:r>
      <w:r w:rsidR="00D36F64">
        <w:t xml:space="preserve">very </w:t>
      </w:r>
      <w:r w:rsidR="001C1BDD">
        <w:t xml:space="preserve">high </w:t>
      </w:r>
      <w:r w:rsidR="00D36F64">
        <w:t>membership rates</w:t>
      </w:r>
      <w:r w:rsidR="001C1BDD">
        <w:t>, while the</w:t>
      </w:r>
      <w:r w:rsidR="00D36F64">
        <w:t>ir</w:t>
      </w:r>
      <w:r w:rsidR="001C1BDD">
        <w:t xml:space="preserve"> competitiveness is </w:t>
      </w:r>
      <w:r w:rsidR="00157124">
        <w:t>considered as world leading</w:t>
      </w:r>
      <w:r w:rsidR="001C1BDD">
        <w:t>. Finally, S</w:t>
      </w:r>
      <w:r w:rsidR="001C1BDD" w:rsidRPr="00A93514">
        <w:t xml:space="preserve">outhern </w:t>
      </w:r>
      <w:r w:rsidR="00293D8D">
        <w:t xml:space="preserve">European </w:t>
      </w:r>
      <w:r w:rsidR="00157124">
        <w:t>capitalist countries</w:t>
      </w:r>
      <w:r w:rsidR="004B4FEE" w:rsidRPr="00A93514">
        <w:t xml:space="preserve"> </w:t>
      </w:r>
      <w:r w:rsidR="001C1BDD">
        <w:t xml:space="preserve">provide us with a cluster </w:t>
      </w:r>
      <w:r w:rsidR="00157124">
        <w:t>that exhibits</w:t>
      </w:r>
      <w:r w:rsidR="001C1BDD">
        <w:t xml:space="preserve"> high </w:t>
      </w:r>
      <w:r w:rsidR="00157124">
        <w:t xml:space="preserve">levels of </w:t>
      </w:r>
      <w:r w:rsidR="001C1BDD">
        <w:t xml:space="preserve">collective bargaining </w:t>
      </w:r>
      <w:r w:rsidR="00157124">
        <w:t>centralization</w:t>
      </w:r>
      <w:r w:rsidR="001C1BDD">
        <w:t xml:space="preserve">, </w:t>
      </w:r>
      <w:r w:rsidR="00D36F64">
        <w:t>but</w:t>
      </w:r>
      <w:r w:rsidR="001C1BDD">
        <w:t xml:space="preserve"> </w:t>
      </w:r>
      <w:r w:rsidR="00157124">
        <w:t>its competitiveness</w:t>
      </w:r>
      <w:r w:rsidR="001C1BDD">
        <w:t xml:space="preserve"> has been </w:t>
      </w:r>
      <w:r w:rsidR="00157124">
        <w:t xml:space="preserve">historically </w:t>
      </w:r>
      <w:r w:rsidR="004A69A9">
        <w:t>low</w:t>
      </w:r>
      <w:r w:rsidR="001C1BDD">
        <w:t>.</w:t>
      </w:r>
    </w:p>
    <w:p w14:paraId="54993E14" w14:textId="20EBA035" w:rsidR="007A2B1C" w:rsidRPr="00441A60" w:rsidRDefault="00F76AFB" w:rsidP="00094028">
      <w:pPr>
        <w:pStyle w:val="Heading1"/>
      </w:pPr>
      <w:r>
        <w:t xml:space="preserve">Firm </w:t>
      </w:r>
      <w:r w:rsidR="001C60A7">
        <w:t>c</w:t>
      </w:r>
      <w:r w:rsidR="003E1633">
        <w:t>ompetitiveness</w:t>
      </w:r>
      <w:r w:rsidR="00140C6E">
        <w:t xml:space="preserve">: </w:t>
      </w:r>
      <w:r w:rsidR="00C75727">
        <w:t xml:space="preserve">Between </w:t>
      </w:r>
      <w:r w:rsidR="001C60A7">
        <w:t>i</w:t>
      </w:r>
      <w:r w:rsidR="00140C6E">
        <w:t>nsti</w:t>
      </w:r>
      <w:r w:rsidR="000C5914">
        <w:t xml:space="preserve">tutions </w:t>
      </w:r>
      <w:r w:rsidR="00480A79">
        <w:t>and</w:t>
      </w:r>
      <w:r w:rsidR="000C5914">
        <w:t xml:space="preserve"> </w:t>
      </w:r>
      <w:r w:rsidR="001C60A7">
        <w:t>p</w:t>
      </w:r>
      <w:r w:rsidR="00480A79">
        <w:t>ractices</w:t>
      </w:r>
    </w:p>
    <w:p w14:paraId="3FAF683B" w14:textId="0E11CEA6" w:rsidR="00064307" w:rsidRDefault="00FF5272" w:rsidP="000B3DBC">
      <w:r>
        <w:t xml:space="preserve">Central to the neoliberal </w:t>
      </w:r>
      <w:r w:rsidR="00B85138">
        <w:t xml:space="preserve">arguments </w:t>
      </w:r>
      <w:r>
        <w:t xml:space="preserve">is the premise that </w:t>
      </w:r>
      <w:r w:rsidR="003357AE">
        <w:t>ER</w:t>
      </w:r>
      <w:r>
        <w:t xml:space="preserve"> institutions hinder</w:t>
      </w:r>
      <w:r w:rsidR="00B4563C">
        <w:t xml:space="preserve"> </w:t>
      </w:r>
      <w:r w:rsidR="000A7B1F">
        <w:t xml:space="preserve">national </w:t>
      </w:r>
      <w:r w:rsidR="006E3C27">
        <w:t>‘</w:t>
      </w:r>
      <w:r w:rsidR="00B4563C">
        <w:t>competitiveness</w:t>
      </w:r>
      <w:r w:rsidR="006E3C27">
        <w:t>’</w:t>
      </w:r>
      <w:r w:rsidR="00B4563C">
        <w:t xml:space="preserve">. </w:t>
      </w:r>
      <w:r w:rsidR="003D6781">
        <w:t xml:space="preserve">Admittedly, </w:t>
      </w:r>
      <w:r w:rsidR="00140C6E">
        <w:t xml:space="preserve">competitiveness </w:t>
      </w:r>
      <w:r>
        <w:t>is</w:t>
      </w:r>
      <w:r w:rsidR="00140C6E">
        <w:t xml:space="preserve"> a fuzzy concept</w:t>
      </w:r>
      <w:r w:rsidR="003D6781">
        <w:t xml:space="preserve">. </w:t>
      </w:r>
      <w:r w:rsidR="00B47485">
        <w:t>T</w:t>
      </w:r>
      <w:r w:rsidR="003D6781">
        <w:t>he World Economic Fo</w:t>
      </w:r>
      <w:r w:rsidR="005F28EA">
        <w:t>rum defines competitiveness</w:t>
      </w:r>
      <w:r w:rsidR="000F39CB">
        <w:t xml:space="preserve"> very broadly</w:t>
      </w:r>
      <w:r w:rsidR="005F28EA">
        <w:t xml:space="preserve"> as </w:t>
      </w:r>
      <w:r w:rsidR="008E3A5A">
        <w:t>‘</w:t>
      </w:r>
      <w:r w:rsidR="003D6781" w:rsidRPr="00A15A0D">
        <w:rPr>
          <w:rFonts w:eastAsia="Times New Roman" w:cs="Times New Roman"/>
          <w:iCs/>
        </w:rPr>
        <w:t>the set of institutions, policies and factors that determine the level of productivity of a country</w:t>
      </w:r>
      <w:r w:rsidR="008E3A5A">
        <w:rPr>
          <w:rFonts w:eastAsia="Times New Roman" w:cs="Times New Roman"/>
          <w:iCs/>
        </w:rPr>
        <w:t>’</w:t>
      </w:r>
      <w:r w:rsidR="003D6781">
        <w:rPr>
          <w:rFonts w:eastAsia="Times New Roman" w:cs="Times New Roman"/>
          <w:iCs/>
        </w:rPr>
        <w:t xml:space="preserve"> </w:t>
      </w:r>
      <w:r w:rsidR="00B10D56">
        <w:rPr>
          <w:rFonts w:eastAsia="Times New Roman" w:cs="Times New Roman"/>
          <w:iCs/>
        </w:rPr>
        <w:fldChar w:fldCharType="begin"/>
      </w:r>
      <w:r w:rsidR="00B10D56">
        <w:rPr>
          <w:rFonts w:eastAsia="Times New Roman" w:cs="Times New Roman"/>
          <w:iCs/>
        </w:rPr>
        <w:instrText xml:space="preserve"> ADDIN ZOTERO_ITEM CSL_CITATION {"citationID":"1bdpd8vm7d","properties":{"formattedCitation":"(Schwab and Sala i Martin, 2013)","plainCitation":"(Schwab and Sala i Martin, 2013)"},"citationItems":[{"id":1692,"uris":["http://zotero.org/users/local/xORFDKwB/items/IQRPJXZG"],"uri":["http://zotero.org/users/local/xORFDKwB/items/IQRPJXZG"],"itemData":{"id":1692,"type":"book","title":"The Global Competitiveness Report 2013-2014","publisher":"World Economic Forum","publisher-place":"Geneva","event-place":"Geneva","author":[{"family":"Schwab","given":"Klaus"},{"family":"Sala i Martin","given":"Xavier"}],"issued":{"date-parts":[["2013"]]}}}],"schema":"https://github.com/citation-style-language/schema/raw/master/csl-citation.json"} </w:instrText>
      </w:r>
      <w:r w:rsidR="00B10D56">
        <w:rPr>
          <w:rFonts w:eastAsia="Times New Roman" w:cs="Times New Roman"/>
          <w:iCs/>
        </w:rPr>
        <w:fldChar w:fldCharType="separate"/>
      </w:r>
      <w:r w:rsidR="00B10D56">
        <w:rPr>
          <w:rFonts w:eastAsia="Times New Roman" w:cs="Times New Roman"/>
          <w:iCs/>
          <w:noProof/>
        </w:rPr>
        <w:t>(Schwab and Sala i Martin, 2013</w:t>
      </w:r>
      <w:r w:rsidR="00CF49E7">
        <w:rPr>
          <w:rFonts w:eastAsia="Times New Roman" w:cs="Times New Roman"/>
          <w:iCs/>
          <w:noProof/>
        </w:rPr>
        <w:t>: 4</w:t>
      </w:r>
      <w:r w:rsidR="00B10D56">
        <w:rPr>
          <w:rFonts w:eastAsia="Times New Roman" w:cs="Times New Roman"/>
          <w:iCs/>
          <w:noProof/>
        </w:rPr>
        <w:t>)</w:t>
      </w:r>
      <w:r w:rsidR="00B10D56">
        <w:rPr>
          <w:rFonts w:eastAsia="Times New Roman" w:cs="Times New Roman"/>
          <w:iCs/>
        </w:rPr>
        <w:fldChar w:fldCharType="end"/>
      </w:r>
      <w:r w:rsidR="003D6781">
        <w:rPr>
          <w:rFonts w:eastAsia="Times New Roman" w:cs="Times New Roman"/>
          <w:iCs/>
        </w:rPr>
        <w:t>.</w:t>
      </w:r>
      <w:r w:rsidR="00140C6E">
        <w:t xml:space="preserve"> </w:t>
      </w:r>
      <w:r w:rsidR="00B85138">
        <w:t xml:space="preserve">More helpfully, </w:t>
      </w:r>
      <w:r w:rsidR="00782649">
        <w:t>Porter</w:t>
      </w:r>
      <w:r>
        <w:t xml:space="preserve"> </w:t>
      </w:r>
      <w:r w:rsidR="00B10D56">
        <w:fldChar w:fldCharType="begin"/>
      </w:r>
      <w:r w:rsidR="00B10D56">
        <w:instrText xml:space="preserve"> ADDIN ZOTERO_ITEM CSL_CITATION {"citationID":"jisnot1hs","properties":{"formattedCitation":"(1990)","plainCitation":"(1990)"},"citationItems":[{"id":1674,"uris":["http://zotero.org/users/local/xORFDKwB/items/95B7FF5Q"],"uri":["http://zotero.org/users/local/xORFDKwB/items/95B7FF5Q"],"itemData":{"id":1674,"type":"article-journal","title":"What is National Competitiveness","container-title":"Harvard Business Review","page":"84-85","author":[{"family":"Porter","given":"Michael"}],"issued":{"date-parts":[["1990"]]}},"suppress-author":true}],"schema":"https://github.com/citation-style-language/schema/raw/master/csl-citation.json"} </w:instrText>
      </w:r>
      <w:r w:rsidR="00B10D56">
        <w:fldChar w:fldCharType="separate"/>
      </w:r>
      <w:r w:rsidR="00B10D56">
        <w:rPr>
          <w:noProof/>
        </w:rPr>
        <w:t>(1990)</w:t>
      </w:r>
      <w:r w:rsidR="00B10D56">
        <w:fldChar w:fldCharType="end"/>
      </w:r>
      <w:r w:rsidR="00E0644A">
        <w:t xml:space="preserve"> </w:t>
      </w:r>
      <w:r w:rsidR="00B85138">
        <w:t xml:space="preserve">suggests </w:t>
      </w:r>
      <w:r w:rsidR="00715084">
        <w:t xml:space="preserve">that </w:t>
      </w:r>
      <w:r w:rsidR="00782649">
        <w:t xml:space="preserve">competitiveness </w:t>
      </w:r>
      <w:r w:rsidR="003D6781">
        <w:t xml:space="preserve">should </w:t>
      </w:r>
      <w:r w:rsidR="002B45EE">
        <w:t>reflect</w:t>
      </w:r>
      <w:r w:rsidR="00382238">
        <w:t xml:space="preserve"> </w:t>
      </w:r>
      <w:r w:rsidR="003B266E">
        <w:t>high productivity</w:t>
      </w:r>
      <w:r w:rsidR="003D6781">
        <w:t xml:space="preserve"> </w:t>
      </w:r>
      <w:r w:rsidR="00DF7B0A">
        <w:t xml:space="preserve">measured </w:t>
      </w:r>
      <w:r w:rsidR="003D6781">
        <w:t xml:space="preserve">either </w:t>
      </w:r>
      <w:r w:rsidR="00DF7B0A">
        <w:t>at the national, sectoral or establishment-level</w:t>
      </w:r>
      <w:r w:rsidR="003B266E">
        <w:t xml:space="preserve">. </w:t>
      </w:r>
      <w:r w:rsidR="00B47485">
        <w:t>Indeed</w:t>
      </w:r>
      <w:r w:rsidR="0050163F">
        <w:t xml:space="preserve">, establishment-level productivity has been one of the standard measures of firm competitiveness in the </w:t>
      </w:r>
      <w:r w:rsidR="00064307">
        <w:t>Human Resource Management (</w:t>
      </w:r>
      <w:r w:rsidR="0050163F">
        <w:t>HRM</w:t>
      </w:r>
      <w:r w:rsidR="00064307">
        <w:t>)</w:t>
      </w:r>
      <w:r w:rsidR="0050163F">
        <w:t xml:space="preserve"> literature </w:t>
      </w:r>
      <w:r w:rsidR="0050163F" w:rsidRPr="00234B69">
        <w:fldChar w:fldCharType="begin"/>
      </w:r>
      <w:r w:rsidR="0050163F" w:rsidRPr="00234B69">
        <w:instrText xml:space="preserve"> ADDIN ZOTERO_ITEM CSL_CITATION {"citationID":"1kkafcfqb2","properties":{"formattedCitation":"(Huselid, 1995)","plainCitation":"(Huselid, 1995)"},"citationItems":[{"id":693,"uris":["http://zotero.org/users/local/xORFDKwB/items/5AQFA6Q5"],"uri":["http://zotero.org/users/local/xORFDKwB/items/5AQFA6Q5"],"itemData":{"id":693,"type":"article-journal","title":"The Impact of Human Resource Management Practices on Turnover, Productivity, and Corporate Financial Performance","container-title":"Academy of Management Journal","page":"635-672","volume":"38","author":[{"family":"Huselid","given":"Mark"}],"issued":{"date-parts":[["1995"]]}}}],"schema":"https://github.com/citation-style-language/schema/raw/master/csl-citation.json"} </w:instrText>
      </w:r>
      <w:r w:rsidR="0050163F" w:rsidRPr="00234B69">
        <w:fldChar w:fldCharType="separate"/>
      </w:r>
      <w:r w:rsidR="0050163F" w:rsidRPr="00234B69">
        <w:rPr>
          <w:noProof/>
        </w:rPr>
        <w:t>(Huselid, 1995)</w:t>
      </w:r>
      <w:r w:rsidR="0050163F" w:rsidRPr="00234B69">
        <w:fldChar w:fldCharType="end"/>
      </w:r>
      <w:r w:rsidR="0050163F">
        <w:t xml:space="preserve">. On the basis of the above, we </w:t>
      </w:r>
      <w:r w:rsidR="00B47485">
        <w:t xml:space="preserve">examine </w:t>
      </w:r>
      <w:r w:rsidR="0050163F">
        <w:t xml:space="preserve">firm competitiveness </w:t>
      </w:r>
      <w:r w:rsidR="00B47485">
        <w:t xml:space="preserve">through the proxy of </w:t>
      </w:r>
      <w:r w:rsidR="00B85138">
        <w:t xml:space="preserve">improved </w:t>
      </w:r>
      <w:r w:rsidR="0050163F">
        <w:t>productivity at the establishment level.</w:t>
      </w:r>
      <w:r w:rsidR="00B85138">
        <w:t xml:space="preserve"> </w:t>
      </w:r>
    </w:p>
    <w:p w14:paraId="43A259E3" w14:textId="77777777" w:rsidR="00064307" w:rsidRDefault="00064307" w:rsidP="000B3DBC"/>
    <w:p w14:paraId="618FA6D1" w14:textId="4BAFDECB" w:rsidR="00470AAD" w:rsidRDefault="00BA2207" w:rsidP="000B3DBC">
      <w:r>
        <w:t xml:space="preserve">We </w:t>
      </w:r>
      <w:r w:rsidR="00E962CE">
        <w:t>unpack</w:t>
      </w:r>
      <w:r w:rsidR="00356A0C">
        <w:t xml:space="preserve"> the </w:t>
      </w:r>
      <w:r w:rsidR="00B85138">
        <w:t xml:space="preserve">relations </w:t>
      </w:r>
      <w:r w:rsidR="00356A0C">
        <w:t>between institutions, practices and productivity in</w:t>
      </w:r>
      <w:r w:rsidR="000E37D2">
        <w:t xml:space="preserve"> more detail below</w:t>
      </w:r>
      <w:r w:rsidR="00470AAD">
        <w:t>.</w:t>
      </w:r>
      <w:r w:rsidR="00A23780">
        <w:t xml:space="preserve"> </w:t>
      </w:r>
      <w:r w:rsidR="00064307">
        <w:t xml:space="preserve">On the one hand, we draw on </w:t>
      </w:r>
      <w:r w:rsidR="000F39CB">
        <w:t xml:space="preserve">economic and </w:t>
      </w:r>
      <w:r w:rsidR="00064307">
        <w:t xml:space="preserve">employment relations literature to </w:t>
      </w:r>
      <w:r w:rsidR="00625482">
        <w:t>examine</w:t>
      </w:r>
      <w:r w:rsidR="00064307">
        <w:t xml:space="preserve"> the relationship between ER institutions and productivity. On the other hand, we draw on the HPWS literature to deduce the relationship between </w:t>
      </w:r>
      <w:r w:rsidR="00625482">
        <w:t>selected</w:t>
      </w:r>
      <w:r w:rsidR="00064307">
        <w:t xml:space="preserve"> work practices (performance pay, training, and teamwork) and productivity. Schematically, the first group of testable hypotheses we set out below correspond</w:t>
      </w:r>
      <w:r w:rsidR="00625482">
        <w:t>s</w:t>
      </w:r>
      <w:r w:rsidR="00064307">
        <w:t xml:space="preserve"> to the ‘low road’ to firm competitiveness</w:t>
      </w:r>
      <w:r w:rsidR="00625482">
        <w:t xml:space="preserve">, which is focused on </w:t>
      </w:r>
      <w:r w:rsidR="003260F7">
        <w:t>increasing flexibility</w:t>
      </w:r>
      <w:r w:rsidR="00625482">
        <w:t xml:space="preserve"> by </w:t>
      </w:r>
      <w:r w:rsidR="00064307">
        <w:t>deregulating employment relations institutions</w:t>
      </w:r>
      <w:r w:rsidR="00625482">
        <w:t>. T</w:t>
      </w:r>
      <w:r w:rsidR="00064307">
        <w:t xml:space="preserve">he second </w:t>
      </w:r>
      <w:r w:rsidR="00625482">
        <w:t>group</w:t>
      </w:r>
      <w:r w:rsidR="00064307">
        <w:t xml:space="preserve"> of hypotheses correspond</w:t>
      </w:r>
      <w:r w:rsidR="00625482">
        <w:t>s</w:t>
      </w:r>
      <w:r w:rsidR="00064307">
        <w:t xml:space="preserve"> to the ‘high road’ to firm competitiveness</w:t>
      </w:r>
      <w:r w:rsidR="00625482">
        <w:t xml:space="preserve">, which is focused on investing in the abilities </w:t>
      </w:r>
      <w:r w:rsidR="003260F7">
        <w:t>and motivation of the workforce</w:t>
      </w:r>
      <w:r w:rsidR="00A23780">
        <w:t>.</w:t>
      </w:r>
    </w:p>
    <w:p w14:paraId="2761146A" w14:textId="7E653FF4" w:rsidR="00BA5789" w:rsidRPr="00BA5789" w:rsidRDefault="00E71CB6" w:rsidP="00094028">
      <w:pPr>
        <w:pStyle w:val="Heading2"/>
      </w:pPr>
      <w:r>
        <w:t>E</w:t>
      </w:r>
      <w:r w:rsidR="00E23442">
        <w:t>mployment relations institutions</w:t>
      </w:r>
      <w:r w:rsidR="00094028">
        <w:t xml:space="preserve"> and p</w:t>
      </w:r>
      <w:r w:rsidR="00BA5789">
        <w:t>roductivity</w:t>
      </w:r>
    </w:p>
    <w:p w14:paraId="5A4F0BD0" w14:textId="11BA499D" w:rsidR="00C334B6" w:rsidRPr="000B3DBC" w:rsidRDefault="00624499" w:rsidP="003F2A41">
      <w:pPr>
        <w:ind w:firstLine="567"/>
        <w:rPr>
          <w:lang w:val="en-US"/>
        </w:rPr>
      </w:pPr>
      <w:r>
        <w:t xml:space="preserve">The neoliberal arguments are broadly premised on the model of the ‘monopoly face’ of unions </w:t>
      </w:r>
      <w:r>
        <w:fldChar w:fldCharType="begin"/>
      </w:r>
      <w:r>
        <w:instrText xml:space="preserve"> ADDIN ZOTERO_ITEM CSL_CITATION {"citationID":"865voda3o","properties":{"formattedCitation":"(Hayek, 1990)","plainCitation":"(Hayek, 1990)"},"citationItems":[{"id":1694,"uris":["http://zotero.org/users/local/xORFDKwB/items/MJC4I6GU"],"uri":["http://zotero.org/users/local/xORFDKwB/items/MJC4I6GU"],"itemData":{"id":1694,"type":"book","title":"The Constitution of Liberty","publisher":"Routledge","publisher-place":"London","event-place":"London","author":[{"family":"Hayek","given":"F"}],"issued":{"date-parts":[["1990"]]}}}],"schema":"https://github.com/citation-style-language/schema/raw/master/csl-citation.json"} </w:instrText>
      </w:r>
      <w:r>
        <w:fldChar w:fldCharType="separate"/>
      </w:r>
      <w:r>
        <w:rPr>
          <w:noProof/>
        </w:rPr>
        <w:t>(Hayek, 1990)</w:t>
      </w:r>
      <w:r>
        <w:fldChar w:fldCharType="end"/>
      </w:r>
      <w:r>
        <w:t xml:space="preserve">. </w:t>
      </w:r>
      <w:r w:rsidR="009E6727">
        <w:t xml:space="preserve">One </w:t>
      </w:r>
      <w:r>
        <w:t>version of the neoliberal argument distinguishes</w:t>
      </w:r>
      <w:r w:rsidR="005A74DB">
        <w:t xml:space="preserve"> between centralised and decentralised bargaining</w:t>
      </w:r>
      <w:r w:rsidR="00EC324C">
        <w:t>. The argument goes that</w:t>
      </w:r>
      <w:r w:rsidR="005A74DB">
        <w:t xml:space="preserve"> centralised bargaining </w:t>
      </w:r>
      <w:r w:rsidR="00B85138">
        <w:t xml:space="preserve">may inhibit </w:t>
      </w:r>
      <w:r w:rsidR="00260167">
        <w:t>the flexibility of individual firms by placing a straightjacket on them</w:t>
      </w:r>
      <w:r w:rsidR="0043166A">
        <w:t xml:space="preserve"> and ignoring company-specific needs</w:t>
      </w:r>
      <w:r w:rsidR="0021246B">
        <w:t xml:space="preserve"> </w:t>
      </w:r>
      <w:r w:rsidR="0021246B">
        <w:fldChar w:fldCharType="begin"/>
      </w:r>
      <w:r w:rsidR="0021246B">
        <w:instrText xml:space="preserve"> ADDIN ZOTERO_ITEM CSL_CITATION {"citationID":"25pcej6tpc","properties":{"formattedCitation":"(Zagelmeyer, 2005)","plainCitation":"(Zagelmeyer, 2005)"},"citationItems":[{"id":1606,"uris":["http://zotero.org/users/local/xORFDKwB/items/DZ9EADEE"],"uri":["http://zotero.org/users/local/xORFDKwB/items/DZ9EADEE"],"itemData":{"id":1606,"type":"article-journal","title":"The Employer's Perspective on Collective Bargaining Centralization: an Analytical Framework","container-title":"The International Journal of Human Resource Management","page":"1623-1639","volume":"16","author":[{"family":"Zagelmeyer","given":"Stefan"}],"issued":{"date-parts":[["2005"]]}}}],"schema":"https://github.com/citation-style-language/schema/raw/master/csl-citation.json"} </w:instrText>
      </w:r>
      <w:r w:rsidR="0021246B">
        <w:fldChar w:fldCharType="separate"/>
      </w:r>
      <w:r w:rsidR="0021246B">
        <w:rPr>
          <w:noProof/>
        </w:rPr>
        <w:t>(Zagelmeyer, 2005)</w:t>
      </w:r>
      <w:r w:rsidR="0021246B">
        <w:fldChar w:fldCharType="end"/>
      </w:r>
      <w:r w:rsidR="00260167">
        <w:t xml:space="preserve">. </w:t>
      </w:r>
      <w:r w:rsidR="00EC324C">
        <w:t xml:space="preserve">More specifically, it may hinder productivity-enhancing improvements in work organization through the universal standards that are imposed </w:t>
      </w:r>
      <w:r w:rsidR="00EC324C">
        <w:fldChar w:fldCharType="begin"/>
      </w:r>
      <w:r w:rsidR="00EC324C">
        <w:instrText xml:space="preserve"> ADDIN ZOTERO_ITEM CSL_CITATION {"citationID":"24th5rrul1","properties":{"formattedCitation":"(Marginson, 2015: 111)","plainCitation":"(Marginson, 2015: 111)"},"citationItems":[{"id":1663,"uris":["http://zotero.org/users/local/xORFDKwB/items/ZRHR4MEE"],"uri":["http://zotero.org/users/local/xORFDKwB/items/ZRHR4MEE"],"itemData":{"id":1663,"type":"article-journal","title":"Coordinated bargaining in Europe: From incremental corrosion to frontal assault?","container-title":"European Journal of Industrial Relations","page":"97-114","volume":"21","issue":"2","author":[{"family":"Marginson","given":"Paul"}],"issued":{"date-parts":[["2015"]]}},"locator":"111"}],"schema":"https://github.com/citation-style-language/schema/raw/master/csl-citation.json"} </w:instrText>
      </w:r>
      <w:r w:rsidR="00EC324C">
        <w:fldChar w:fldCharType="separate"/>
      </w:r>
      <w:r w:rsidR="00EC324C">
        <w:rPr>
          <w:noProof/>
        </w:rPr>
        <w:t>(Marginson, 2015: 111)</w:t>
      </w:r>
      <w:r w:rsidR="00EC324C">
        <w:fldChar w:fldCharType="end"/>
      </w:r>
      <w:r w:rsidR="00EC324C">
        <w:t xml:space="preserve">. </w:t>
      </w:r>
      <w:r w:rsidR="0043166A">
        <w:t xml:space="preserve">Instead, decentralised </w:t>
      </w:r>
      <w:r w:rsidR="005A5999">
        <w:t xml:space="preserve">bargaining is thought to be more responsive to companies’ needs. </w:t>
      </w:r>
      <w:r w:rsidR="00EC31E0">
        <w:t>This monolithic conception misses the point that</w:t>
      </w:r>
      <w:r w:rsidR="00C334B6">
        <w:t xml:space="preserve"> the institution of collective bargaining resembles a process, and its outcome</w:t>
      </w:r>
      <w:r w:rsidR="005A74DB">
        <w:t xml:space="preserve"> is not pre-determined</w:t>
      </w:r>
      <w:r w:rsidR="00B85138">
        <w:t xml:space="preserve"> as it may take </w:t>
      </w:r>
      <w:r w:rsidR="00B67189">
        <w:t xml:space="preserve">the form of </w:t>
      </w:r>
      <w:r w:rsidR="00B85138">
        <w:t xml:space="preserve">either integrative (positive-sum) or </w:t>
      </w:r>
      <w:r w:rsidR="00EC31E0" w:rsidRPr="000B3DBC">
        <w:t>distributive</w:t>
      </w:r>
      <w:r w:rsidR="00B85138">
        <w:t xml:space="preserve"> (zero-sum)</w:t>
      </w:r>
      <w:r w:rsidR="00EC31E0" w:rsidRPr="00EC31E0">
        <w:rPr>
          <w:i/>
        </w:rPr>
        <w:t xml:space="preserve"> </w:t>
      </w:r>
      <w:r w:rsidR="00EC31E0" w:rsidRPr="000B3DBC">
        <w:t>bargaining</w:t>
      </w:r>
      <w:r w:rsidR="00C334B6">
        <w:t>.</w:t>
      </w:r>
      <w:r w:rsidR="005A74DB">
        <w:t xml:space="preserve"> </w:t>
      </w:r>
    </w:p>
    <w:p w14:paraId="6475758D" w14:textId="1FAF2A5A" w:rsidR="000D6B90" w:rsidRDefault="00B85138" w:rsidP="0076098A">
      <w:pPr>
        <w:ind w:firstLine="567"/>
      </w:pPr>
      <w:r>
        <w:t xml:space="preserve">A </w:t>
      </w:r>
      <w:r w:rsidR="000D6B90">
        <w:t>stronger ve</w:t>
      </w:r>
      <w:r w:rsidR="00394886">
        <w:t>rsion of this line of reasoning</w:t>
      </w:r>
      <w:r w:rsidR="000D6B90">
        <w:t xml:space="preserve"> distinguishes between unionised</w:t>
      </w:r>
      <w:r w:rsidR="009E6727">
        <w:t xml:space="preserve"> </w:t>
      </w:r>
      <w:r w:rsidR="000D6B90">
        <w:t>and non-union</w:t>
      </w:r>
      <w:r w:rsidR="00990ECD">
        <w:t>ised</w:t>
      </w:r>
      <w:r w:rsidR="000D6B90">
        <w:t xml:space="preserve"> workplaces, and suggests that the presence of unions in firms </w:t>
      </w:r>
      <w:r w:rsidR="009E6727">
        <w:t>(</w:t>
      </w:r>
      <w:r w:rsidR="0043166A">
        <w:t xml:space="preserve">i.e. </w:t>
      </w:r>
      <w:r w:rsidR="009E6727">
        <w:t xml:space="preserve">irrespective of bargaining level) </w:t>
      </w:r>
      <w:r w:rsidR="000D6B90">
        <w:t xml:space="preserve">may hinder </w:t>
      </w:r>
      <w:r w:rsidR="00624499">
        <w:t>productivity</w:t>
      </w:r>
      <w:r w:rsidR="000D6B90">
        <w:t xml:space="preserve">. This reflects the typical </w:t>
      </w:r>
      <w:r w:rsidR="00D9072C">
        <w:t xml:space="preserve">neoclassical economics </w:t>
      </w:r>
      <w:r w:rsidR="000D6B90">
        <w:t>treatment of trade unions as vested interests</w:t>
      </w:r>
      <w:r w:rsidR="009E6727">
        <w:t>,</w:t>
      </w:r>
      <w:r w:rsidR="000D6B90">
        <w:t xml:space="preserve"> which </w:t>
      </w:r>
      <w:r w:rsidR="00394886">
        <w:t>exploit</w:t>
      </w:r>
      <w:r w:rsidR="000D6B90">
        <w:t xml:space="preserve"> their bargaining power (e.g. due to skills/labour shortages) to extract ‘rents’ from employers </w:t>
      </w:r>
      <w:r w:rsidR="000D6B90">
        <w:fldChar w:fldCharType="begin"/>
      </w:r>
      <w:r w:rsidR="000D6B90">
        <w:instrText xml:space="preserve"> ADDIN ZOTERO_ITEM CSL_CITATION {"citationID":"1hmj5cq07e","properties":{"formattedCitation":"(Borjas, 2005)","plainCitation":"(Borjas, 2005)"},"citationItems":[{"id":149,"uris":["http://zotero.org/users/local/xORFDKwB/items/VIMQGEC3"],"uri":["http://zotero.org/users/local/xORFDKwB/items/VIMQGEC3"],"itemData":{"id":149,"type":"book","title":"Labor Economics","publisher":"McGraw-Hill","publisher-place":"New York ; London","edition":"3rd","event-place":"New York ; London","author":[{"family":"Borjas","given":"George"}],"issued":{"date-parts":[["2005"]]}}}],"schema":"https://github.com/citation-style-language/schema/raw/master/csl-citation.json"} </w:instrText>
      </w:r>
      <w:r w:rsidR="000D6B90">
        <w:fldChar w:fldCharType="separate"/>
      </w:r>
      <w:r w:rsidR="000D6B90">
        <w:rPr>
          <w:noProof/>
        </w:rPr>
        <w:t>(Borjas, 2005)</w:t>
      </w:r>
      <w:r w:rsidR="000D6B90">
        <w:fldChar w:fldCharType="end"/>
      </w:r>
      <w:r w:rsidR="000D6B90">
        <w:t xml:space="preserve">. Trade unions might therefore use their power to impose restrictive practices on output, and thus reduce productivity. One example might be the so-called ‘featherbedding’ practices, whereby the same number of tasks is shared across more union members. This </w:t>
      </w:r>
      <w:r w:rsidR="00FF6648">
        <w:t>thesis</w:t>
      </w:r>
      <w:r w:rsidR="000D6B90">
        <w:t xml:space="preserve"> ignores the potential for alternative </w:t>
      </w:r>
      <w:r w:rsidR="00FF6648">
        <w:t>views</w:t>
      </w:r>
      <w:r w:rsidR="000D6B90">
        <w:t xml:space="preserve"> in favour of ‘institutional voice’ effects </w:t>
      </w:r>
      <w:r w:rsidR="000D6B90">
        <w:fldChar w:fldCharType="begin"/>
      </w:r>
      <w:r w:rsidR="000D6B90">
        <w:instrText xml:space="preserve"> ADDIN ZOTERO_ITEM CSL_CITATION {"citationID":"24n32l2ijj","properties":{"formattedCitation":"(Freeman and Medoff, 1984)","plainCitation":"(Freeman and Medoff, 1984)"},"citationItems":[{"id":504,"uris":["http://zotero.org/users/local/xORFDKwB/items/ACIJ56IR"],"uri":["http://zotero.org/users/local/xORFDKwB/items/ACIJ56IR"],"itemData":{"id":504,"type":"book","title":"What do unions do?","publisher":"Basic Books","publisher-place":"New York","event-place":"New York","author":[{"family":"Freeman","given":"Richard"},{"family":"Medoff","given":"John"}],"issued":{"date-parts":[["1984"]]}}}],"schema":"https://github.com/citation-style-language/schema/raw/master/csl-citation.json"} </w:instrText>
      </w:r>
      <w:r w:rsidR="000D6B90">
        <w:fldChar w:fldCharType="separate"/>
      </w:r>
      <w:r w:rsidR="000D6B90">
        <w:rPr>
          <w:noProof/>
        </w:rPr>
        <w:t>(Freeman and Medoff, 1984)</w:t>
      </w:r>
      <w:r w:rsidR="000D6B90">
        <w:fldChar w:fldCharType="end"/>
      </w:r>
      <w:r w:rsidR="000D6B90">
        <w:t>.</w:t>
      </w:r>
    </w:p>
    <w:p w14:paraId="0900C381" w14:textId="2A6EB1F6" w:rsidR="001917E5" w:rsidRDefault="00260167" w:rsidP="0076098A">
      <w:pPr>
        <w:ind w:firstLine="567"/>
      </w:pPr>
      <w:r>
        <w:t xml:space="preserve">Finally, the same line of reasoning </w:t>
      </w:r>
      <w:r w:rsidR="00B9184F">
        <w:t>of ‘monopoly effects’</w:t>
      </w:r>
      <w:r w:rsidR="00126D36">
        <w:t xml:space="preserve"> </w:t>
      </w:r>
      <w:r>
        <w:t>has been applied to</w:t>
      </w:r>
      <w:r w:rsidR="00126D36">
        <w:t xml:space="preserve"> works councils</w:t>
      </w:r>
      <w:r w:rsidR="00B9184F">
        <w:t xml:space="preserve"> </w:t>
      </w:r>
      <w:r>
        <w:fldChar w:fldCharType="begin"/>
      </w:r>
      <w:r w:rsidR="00CE249B">
        <w:instrText xml:space="preserve"> ADDIN ZOTERO_ITEM CSL_CITATION {"citationID":"Pvre8vkM","properties":{"formattedCitation":"(Hirsch et al., 2010)","plainCitation":"(Hirsch et al., 2010)"},"citationItems":[{"id":1684,"uris":["http://zotero.org/users/local/xORFDKwB/items/E2CSBUZA"],"uri":["http://zotero.org/users/local/xORFDKwB/items/E2CSBUZA"],"itemData":{"id":1684,"type":"article-journal","title":"Works Councils and Separations: Voice, Monopoly, and Insurance Effects","container-title":"Industrial Relations","page":"566-592","volume":"49","issue":"4","author":[{"family":"Hirsch","given":"Boris"},{"family":"Thorsten","given":"Schank"},{"family":"Schnabel","given":"Claus"}],"issued":{"date-parts":[["2010"]]}}}],"schema":"https://github.com/citation-style-language/schema/raw/master/csl-citation.json"} </w:instrText>
      </w:r>
      <w:r>
        <w:fldChar w:fldCharType="separate"/>
      </w:r>
      <w:r w:rsidR="00CE249B">
        <w:rPr>
          <w:lang w:val="en-US"/>
        </w:rPr>
        <w:t>(Hirsch et al., 2010)</w:t>
      </w:r>
      <w:r>
        <w:fldChar w:fldCharType="end"/>
      </w:r>
      <w:r>
        <w:t xml:space="preserve">. </w:t>
      </w:r>
      <w:r w:rsidR="00251D3A">
        <w:t>Works councils and</w:t>
      </w:r>
      <w:r w:rsidR="004743F8">
        <w:t xml:space="preserve"> their </w:t>
      </w:r>
      <w:r w:rsidR="00CE249B">
        <w:t>consultation powers</w:t>
      </w:r>
      <w:r w:rsidR="004743F8">
        <w:t xml:space="preserve"> </w:t>
      </w:r>
      <w:r w:rsidR="00251D3A">
        <w:t xml:space="preserve">may be used </w:t>
      </w:r>
      <w:r w:rsidR="004743F8">
        <w:t>in order to convince employers not to lay-off employees</w:t>
      </w:r>
      <w:r w:rsidR="00CE249B">
        <w:t xml:space="preserve"> </w:t>
      </w:r>
      <w:r w:rsidR="00CE249B">
        <w:fldChar w:fldCharType="begin"/>
      </w:r>
      <w:r w:rsidR="00CE249B">
        <w:instrText xml:space="preserve"> ADDIN ZOTERO_ITEM CSL_CITATION {"citationID":"2ge4vmfbub","properties":{"formattedCitation":"{\\rtf (Hirsch et al., 2010: 570\\uc0\\u8211{}571)}","plainCitation":"(Hirsch et al., 2010: 570–571)"},"citationItems":[{"id":1684,"uris":["http://zotero.org/users/local/xORFDKwB/items/E2CSBUZA"],"uri":["http://zotero.org/users/local/xORFDKwB/items/E2CSBUZA"],"itemData":{"id":1684,"type":"article-journal","title":"Works Councils and Separations: Voice, Monopoly, and Insurance Effects","container-title":"Industrial Relations","page":"566-592","volume":"49","issue":"4","author":[{"family":"Hirsch","given":"Boris"},{"family":"Thorsten","given":"Schank"},{"family":"Schnabel","given":"Claus"}],"issued":{"date-parts":[["2010"]]}},"locator":"570-571"}],"schema":"https://github.com/citation-style-language/schema/raw/master/csl-citation.json"} </w:instrText>
      </w:r>
      <w:r w:rsidR="00CE249B">
        <w:fldChar w:fldCharType="separate"/>
      </w:r>
      <w:r w:rsidR="00CE249B" w:rsidRPr="00CE249B">
        <w:rPr>
          <w:lang w:val="en-US"/>
        </w:rPr>
        <w:t>(Hirsch et al., 2010: 570–571)</w:t>
      </w:r>
      <w:r w:rsidR="00CE249B">
        <w:fldChar w:fldCharType="end"/>
      </w:r>
      <w:r w:rsidR="004743F8">
        <w:t xml:space="preserve">. </w:t>
      </w:r>
      <w:r w:rsidR="00534465">
        <w:t>If</w:t>
      </w:r>
      <w:r w:rsidR="00CE249B">
        <w:t xml:space="preserve"> </w:t>
      </w:r>
      <w:r w:rsidR="00534465">
        <w:t>works councils</w:t>
      </w:r>
      <w:r w:rsidR="00CE249B">
        <w:t xml:space="preserve"> insist on</w:t>
      </w:r>
      <w:r w:rsidR="004743F8">
        <w:t xml:space="preserve"> the seniority principle (Last</w:t>
      </w:r>
      <w:r w:rsidR="00CE249B">
        <w:t>-</w:t>
      </w:r>
      <w:r w:rsidR="004743F8">
        <w:t>In</w:t>
      </w:r>
      <w:r w:rsidR="00CE249B">
        <w:t>-</w:t>
      </w:r>
      <w:r w:rsidR="004743F8">
        <w:t>First</w:t>
      </w:r>
      <w:r w:rsidR="00CE249B">
        <w:t>-</w:t>
      </w:r>
      <w:r w:rsidR="004743F8">
        <w:t>Out),</w:t>
      </w:r>
      <w:r w:rsidR="00CE249B">
        <w:t xml:space="preserve"> </w:t>
      </w:r>
      <w:r w:rsidR="00534465">
        <w:t>then</w:t>
      </w:r>
      <w:r w:rsidR="004743F8">
        <w:t xml:space="preserve"> less productive employees might retain their jobs and thus, works councils might be seen as detrimental to productivity.</w:t>
      </w:r>
      <w:r w:rsidR="00F71A81">
        <w:t xml:space="preserve"> </w:t>
      </w:r>
      <w:r w:rsidR="004743F8">
        <w:t xml:space="preserve">Again, </w:t>
      </w:r>
      <w:r w:rsidR="00F71A81">
        <w:t>there are alternative arguments</w:t>
      </w:r>
      <w:r w:rsidR="00CE249B">
        <w:t xml:space="preserve"> and evidence</w:t>
      </w:r>
      <w:r w:rsidR="00F71A81">
        <w:t xml:space="preserve"> in favour of ‘institutional voice’ effects </w:t>
      </w:r>
      <w:r w:rsidR="00F71A81">
        <w:fldChar w:fldCharType="begin"/>
      </w:r>
      <w:r w:rsidR="003A2F38">
        <w:instrText xml:space="preserve"> ADDIN ZOTERO_ITEM CSL_CITATION {"citationID":"QWNW0vs5","properties":{"formattedCitation":"(Freeman and Medoff, 1984)","plainCitation":"(Freeman and Medoff, 1984)"},"citationItems":[{"id":504,"uris":["http://zotero.org/users/local/xORFDKwB/items/ACIJ56IR"],"uri":["http://zotero.org/users/local/xORFDKwB/items/ACIJ56IR"],"itemData":{"id":504,"type":"book","title":"What do unions do?","publisher":"Basic Books","publisher-place":"New York","event-place":"New York","author":[{"family":"Freeman","given":"Richard"},{"family":"Medoff","given":"John"}],"issued":{"date-parts":[["1984"]]}}}],"schema":"https://github.com/citation-style-language/schema/raw/master/csl-citation.json"} </w:instrText>
      </w:r>
      <w:r w:rsidR="00F71A81">
        <w:fldChar w:fldCharType="separate"/>
      </w:r>
      <w:r w:rsidR="00F71A81">
        <w:rPr>
          <w:noProof/>
        </w:rPr>
        <w:t>(Freeman and Medoff, 1984)</w:t>
      </w:r>
      <w:r w:rsidR="00F71A81">
        <w:fldChar w:fldCharType="end"/>
      </w:r>
      <w:r w:rsidR="00F71A81">
        <w:t xml:space="preserve"> </w:t>
      </w:r>
      <w:r w:rsidR="004743F8">
        <w:t>for works councils</w:t>
      </w:r>
      <w:r w:rsidR="00F0547D">
        <w:t xml:space="preserve"> as well</w:t>
      </w:r>
      <w:r w:rsidR="00F71A81">
        <w:t xml:space="preserve">. </w:t>
      </w:r>
      <w:r>
        <w:t>In sum, the above relationships lead</w:t>
      </w:r>
      <w:r w:rsidR="00A37444">
        <w:t xml:space="preserve"> to </w:t>
      </w:r>
      <w:r>
        <w:t xml:space="preserve">the formulation of </w:t>
      </w:r>
      <w:r w:rsidR="00A37444">
        <w:t>the following hypothes</w:t>
      </w:r>
      <w:r w:rsidR="005E41CE">
        <w:t>e</w:t>
      </w:r>
      <w:r w:rsidR="00A37444">
        <w:t>s:</w:t>
      </w:r>
    </w:p>
    <w:p w14:paraId="30EE3D28" w14:textId="73ADF9F0" w:rsidR="00172AF4" w:rsidRPr="00F0547D" w:rsidRDefault="00B47485" w:rsidP="00172AF4">
      <w:r>
        <w:rPr>
          <w:b/>
        </w:rPr>
        <w:t>H</w:t>
      </w:r>
      <w:r w:rsidR="00172AF4" w:rsidRPr="00A15A0D">
        <w:rPr>
          <w:b/>
        </w:rPr>
        <w:t xml:space="preserve">1: </w:t>
      </w:r>
      <w:r w:rsidR="00172AF4" w:rsidRPr="00A15A0D">
        <w:rPr>
          <w:i/>
        </w:rPr>
        <w:t xml:space="preserve">Higher levels of bargaining </w:t>
      </w:r>
      <w:r w:rsidR="00954DAF" w:rsidRPr="00A15A0D">
        <w:rPr>
          <w:i/>
        </w:rPr>
        <w:t xml:space="preserve">in European workplaces </w:t>
      </w:r>
      <w:r w:rsidR="00172AF4" w:rsidRPr="00A15A0D">
        <w:rPr>
          <w:i/>
        </w:rPr>
        <w:t xml:space="preserve">are </w:t>
      </w:r>
      <w:r w:rsidR="00172AF4" w:rsidRPr="00E704B1">
        <w:rPr>
          <w:i/>
        </w:rPr>
        <w:t>negatively</w:t>
      </w:r>
      <w:r w:rsidR="00172AF4" w:rsidRPr="00A15A0D">
        <w:rPr>
          <w:i/>
        </w:rPr>
        <w:t xml:space="preserve"> associated with productivity increases. </w:t>
      </w:r>
    </w:p>
    <w:p w14:paraId="4D0426B5" w14:textId="745A68A4" w:rsidR="00172AF4" w:rsidRPr="00F0547D" w:rsidRDefault="00B47485" w:rsidP="00172AF4">
      <w:r>
        <w:rPr>
          <w:b/>
        </w:rPr>
        <w:t>H</w:t>
      </w:r>
      <w:r w:rsidR="00172AF4" w:rsidRPr="00A15A0D">
        <w:rPr>
          <w:b/>
        </w:rPr>
        <w:t xml:space="preserve">2: </w:t>
      </w:r>
      <w:r w:rsidR="00172AF4" w:rsidRPr="00A15A0D">
        <w:rPr>
          <w:i/>
        </w:rPr>
        <w:t>T</w:t>
      </w:r>
      <w:r w:rsidR="00954DAF">
        <w:rPr>
          <w:i/>
        </w:rPr>
        <w:t>he presence of t</w:t>
      </w:r>
      <w:r w:rsidR="00172AF4" w:rsidRPr="00A15A0D">
        <w:rPr>
          <w:i/>
        </w:rPr>
        <w:t>ra</w:t>
      </w:r>
      <w:r w:rsidR="00954DAF">
        <w:rPr>
          <w:i/>
        </w:rPr>
        <w:t xml:space="preserve">de unions </w:t>
      </w:r>
      <w:r w:rsidR="00172AF4" w:rsidRPr="00A15A0D">
        <w:rPr>
          <w:i/>
        </w:rPr>
        <w:t xml:space="preserve">in European workplaces is </w:t>
      </w:r>
      <w:r w:rsidR="00172AF4" w:rsidRPr="00E704B1">
        <w:rPr>
          <w:i/>
        </w:rPr>
        <w:t>negatively</w:t>
      </w:r>
      <w:r w:rsidR="00172AF4" w:rsidRPr="00A15A0D">
        <w:rPr>
          <w:i/>
        </w:rPr>
        <w:t xml:space="preserve"> associated with productivity increases. </w:t>
      </w:r>
    </w:p>
    <w:p w14:paraId="13647B4E" w14:textId="3106AE40" w:rsidR="00172AF4" w:rsidRPr="00F0547D" w:rsidRDefault="00B47485" w:rsidP="00172AF4">
      <w:r>
        <w:rPr>
          <w:b/>
        </w:rPr>
        <w:t>H</w:t>
      </w:r>
      <w:r w:rsidR="00172AF4">
        <w:rPr>
          <w:b/>
        </w:rPr>
        <w:t xml:space="preserve">3: </w:t>
      </w:r>
      <w:r w:rsidR="00172AF4" w:rsidRPr="00A15A0D">
        <w:rPr>
          <w:i/>
        </w:rPr>
        <w:t>The presence of works councils</w:t>
      </w:r>
      <w:r w:rsidR="000B34B8">
        <w:rPr>
          <w:i/>
        </w:rPr>
        <w:t xml:space="preserve"> (or similar bodies)</w:t>
      </w:r>
      <w:r w:rsidR="00172AF4" w:rsidRPr="00A15A0D">
        <w:rPr>
          <w:i/>
        </w:rPr>
        <w:t xml:space="preserve"> in European workplaces is </w:t>
      </w:r>
      <w:r w:rsidR="00172AF4" w:rsidRPr="00E704B1">
        <w:rPr>
          <w:i/>
        </w:rPr>
        <w:t>negatively</w:t>
      </w:r>
      <w:r w:rsidR="00172AF4" w:rsidRPr="00A15A0D">
        <w:rPr>
          <w:i/>
        </w:rPr>
        <w:t xml:space="preserve"> associated with productivity increases.</w:t>
      </w:r>
    </w:p>
    <w:p w14:paraId="1DF87C37" w14:textId="77777777" w:rsidR="00D9072C" w:rsidRDefault="00D9072C" w:rsidP="00094028">
      <w:pPr>
        <w:pStyle w:val="Heading2"/>
      </w:pPr>
    </w:p>
    <w:p w14:paraId="3B750AF5" w14:textId="74A3E670" w:rsidR="00A37444" w:rsidRPr="005E41CE" w:rsidRDefault="00DD624A" w:rsidP="00094028">
      <w:pPr>
        <w:pStyle w:val="Heading2"/>
      </w:pPr>
      <w:r>
        <w:t>Workplace</w:t>
      </w:r>
      <w:r w:rsidR="00E24D5B">
        <w:t xml:space="preserve"> </w:t>
      </w:r>
      <w:r w:rsidR="001C60A7">
        <w:t>p</w:t>
      </w:r>
      <w:r w:rsidR="005E41CE">
        <w:t>ractices</w:t>
      </w:r>
      <w:r w:rsidR="00BA5789">
        <w:t xml:space="preserve"> and </w:t>
      </w:r>
      <w:r w:rsidR="001C60A7">
        <w:t>p</w:t>
      </w:r>
      <w:r w:rsidR="006E5BF7">
        <w:t>roductivity</w:t>
      </w:r>
    </w:p>
    <w:p w14:paraId="35599885" w14:textId="12F0B6DA" w:rsidR="00B85138" w:rsidRPr="00F963FB" w:rsidRDefault="00B43503" w:rsidP="000B3DBC">
      <w:r>
        <w:t>A</w:t>
      </w:r>
      <w:r w:rsidR="00E4297F">
        <w:t xml:space="preserve"> </w:t>
      </w:r>
      <w:r w:rsidR="00DB4B8C">
        <w:t xml:space="preserve">large </w:t>
      </w:r>
      <w:r w:rsidR="00E4297F">
        <w:t xml:space="preserve">body of literature looks into the work practices that contribute to high performance in organisations </w:t>
      </w:r>
      <w:r w:rsidR="00990D7F">
        <w:fldChar w:fldCharType="begin"/>
      </w:r>
      <w:r w:rsidR="00950A1C">
        <w:instrText xml:space="preserve"> ADDIN ZOTERO_ITEM CSL_CITATION {"citationID":"MqjyLsNp","properties":{"formattedCitation":"(Appelbaum et al., 2000; Huselid, 1995)","plainCitation":"(Appelbaum et al., 2000; Huselid, 1995)"},"citationItems":[{"id":40,"uris":["http://zotero.org/users/local/xORFDKwB/items/BE6WT223"],"uri":["http://zotero.org/users/local/xORFDKwB/items/BE6WT223"],"itemData":{"id":40,"type":"book","title":"Manufacturing Advantage: Why High-performance Work Systems Pay off","publisher":"Cornell University Press","publisher-place":"Ithaca","event-place":"Ithaca","author":[{"family":"Appelbaum","given":"Eileen"},{"family":"Bailey","given":"T."},{"family":"Berg","given":"P."},{"family":"Kalleberg","given":"A."}],"issued":{"date-parts":[["2000"]]}}},{"id":693,"uris":["http://zotero.org/users/local/xORFDKwB/items/5AQFA6Q5"],"uri":["http://zotero.org/users/local/xORFDKwB/items/5AQFA6Q5"],"itemData":{"id":693,"type":"article-journal","title":"The Impact of Human Resource Management Practices on Turnover, Productivity, and Corporate Financial Performance","container-title":"Academy of Management Journal","page":"635-672","volume":"38","author":[{"family":"Huselid","given":"Mark"}],"issued":{"date-parts":[["1995"]]}}}],"schema":"https://github.com/citation-style-language/schema/raw/master/csl-citation.json"} </w:instrText>
      </w:r>
      <w:r w:rsidR="00990D7F">
        <w:fldChar w:fldCharType="separate"/>
      </w:r>
      <w:r w:rsidR="00950A1C">
        <w:rPr>
          <w:noProof/>
        </w:rPr>
        <w:t>(Appelbaum et al., 2000; Huselid, 1995)</w:t>
      </w:r>
      <w:r w:rsidR="00990D7F">
        <w:fldChar w:fldCharType="end"/>
      </w:r>
      <w:r w:rsidR="00971F08">
        <w:t xml:space="preserve">. </w:t>
      </w:r>
      <w:r w:rsidR="00035682">
        <w:t xml:space="preserve">Although the links between progressive </w:t>
      </w:r>
      <w:r w:rsidR="00064307">
        <w:t>human resources (</w:t>
      </w:r>
      <w:r w:rsidR="00035682">
        <w:t>HR</w:t>
      </w:r>
      <w:r w:rsidR="00064307">
        <w:t>)</w:t>
      </w:r>
      <w:r w:rsidR="00035682">
        <w:t xml:space="preserve"> practices and firm performance resemble more of a ‘black box’</w:t>
      </w:r>
      <w:r w:rsidR="002948B7">
        <w:t>,</w:t>
      </w:r>
      <w:r w:rsidR="00035682">
        <w:t xml:space="preserve"> due to the various factors that mediate the relationship </w:t>
      </w:r>
      <w:r w:rsidR="00035682">
        <w:fldChar w:fldCharType="begin"/>
      </w:r>
      <w:r w:rsidR="00B67451">
        <w:instrText xml:space="preserve"> ADDIN ZOTERO_ITEM CSL_CITATION {"citationID":"bKO4f5BA","properties":{"formattedCitation":"(Chowhan, 2016; Hefferman and Dundon, 2016; Jiang et al., 2013)","plainCitation":"(Chowhan, 2016; Hefferman and Dundon, 2016; Jiang et al., 2013)"},"citationItems":[{"id":452,"uris":["http://zotero.org/users/2360415/items/CZJTKFP9"],"uri":["http://zotero.org/users/2360415/items/CZJTKFP9"],"itemData":{"id":452,"type":"article-journal","title":"Unpacking the black box: understanding the relationship between strategy, HRM practices, innovation and organizational performance","container-title":"Human Resource Management Journal","page":"112-133","volume":"26","issue":"2","source":"Wiley Online Library","abstract":"The links between HRM practices and organizational performance have received considerable research attention as significant contributors to sustained competitive advantage. However, the processes that link HRM practices and organizational performance are not fully understood. This study examines the relationships between skill-enhancing, motivation-enhancing and opportunity-enhancing bundles of practices, innovation and organizational performance, and looks at the mediating effect of innovation over time at the workplace level. The results indicate that the temporal pathway from skill-enhancing practices to innovation to organizational performance is positive and significant even after controlling for reverse causality. Strategic activity is also explored and is found to be a significant moderator. This is an indication of the importance of aligning strategy with HRM practices and innovation to achieve improved organizational performance outcomes.","DOI":"10.1111/1748-8583.12097","ISSN":"1748-8583","shortTitle":"Unpacking the black box","journalAbbreviation":"Human Resource Management Journal","language":"en","author":[{"family":"Chowhan","given":"James"}],"issued":{"date-parts":[["2016",4,1]]}}},{"id":1642,"uris":["http://zotero.org/users/local/xORFDKwB/items/7J9QD7F7"],"uri":["http://zotero.org/users/local/xORFDKwB/items/7J9QD7F7"],"itemData":{"id":1642,"type":"article-journal","title":"Cross-level effects of high-performance work systems (HPWS) and employee well-being: the mediating effect of organisational justice","container-title":"Human Resource Management Journal","page":"211-231","volume":"26","issue":"2","author":[{"family":"Hefferman","given":"Margaret"},{"family":"Dundon","given":"Tony"}],"issued":{"date-parts":[["2016"]]}}},{"id":268,"uris":["http://zotero.org/users/2360415/items/9URQ7QBJ"],"uri":["http://zotero.org/users/2360415/items/9URQ7QBJ"],"itemData":{"id":268,"type":"article-journal","title":"Where do We Go From Here? New Perspectives on the Black Box in Strategic Human Resource Management Research","container-title":"Journal of Management Studies","page":"1448-1480","volume":"50","issue":"8","source":"Wiley Online Library","abstract":"The main objective of the present research is to briefly review the strategic human resource management (HRM) literature from multilevel theoretical perspectives to summarize what we know about mediating mechanisms in the HR–performance relationship. By doing so, we highlight future research needs to advance theoretical understanding of the ‘black box’ in strategic HRM research. Furthermore, by offering additional theoretical perspectives that can be used to understand the mediating mechanisms at different levels, we suggest future research directions that capture the complexities associated with strategic HRM through a multilevel theoretical lens. Implications of the model are discussed.","DOI":"10.1111/joms.12057","ISSN":"1467-6486","shortTitle":"Where do We Go From Here?","journalAbbreviation":"Journal of Management Studies","language":"en","author":[{"family":"Jiang","given":"Kaifeng"},{"family":"Takeuchi","given":"Riki"},{"family":"Lepak","given":"David P."}],"issued":{"date-parts":[["2013",12,1]]}}}],"schema":"https://github.com/citation-style-language/schema/raw/master/csl-citation.json"} </w:instrText>
      </w:r>
      <w:r w:rsidR="00035682">
        <w:fldChar w:fldCharType="separate"/>
      </w:r>
      <w:r w:rsidR="00B67451">
        <w:t>(Chowhan, 2016; Hefferman and Dundon, 2016; Jiang et al., 2013)</w:t>
      </w:r>
      <w:r w:rsidR="00035682">
        <w:fldChar w:fldCharType="end"/>
      </w:r>
      <w:r w:rsidR="00035682">
        <w:t xml:space="preserve">, it is largely acknowledged that ‘high road’ HR practices may be correlated </w:t>
      </w:r>
      <w:r w:rsidR="0043166A">
        <w:t>with</w:t>
      </w:r>
      <w:r w:rsidR="00035682">
        <w:t xml:space="preserve"> positive organisational outcomes. Hence, t</w:t>
      </w:r>
      <w:r w:rsidR="005A25C2">
        <w:t xml:space="preserve">he </w:t>
      </w:r>
      <w:r w:rsidR="005A25C2" w:rsidRPr="00F963FB">
        <w:t>HPWS</w:t>
      </w:r>
      <w:r w:rsidR="00322776">
        <w:t xml:space="preserve"> </w:t>
      </w:r>
      <w:r w:rsidR="005A25C2" w:rsidRPr="00F963FB">
        <w:t>literature suggest</w:t>
      </w:r>
      <w:r w:rsidR="00B47485">
        <w:t>s</w:t>
      </w:r>
      <w:r w:rsidR="005A25C2" w:rsidRPr="00F963FB">
        <w:t xml:space="preserve"> that </w:t>
      </w:r>
      <w:r w:rsidR="00F963FB" w:rsidRPr="00F963FB">
        <w:t>certain work</w:t>
      </w:r>
      <w:r w:rsidR="00234B69" w:rsidRPr="00F963FB">
        <w:t xml:space="preserve"> practices</w:t>
      </w:r>
      <w:r w:rsidR="00194F86" w:rsidRPr="00F963FB">
        <w:t xml:space="preserve"> </w:t>
      </w:r>
      <w:r w:rsidR="00971F08" w:rsidRPr="00F963FB">
        <w:t xml:space="preserve">have positive effects on individual </w:t>
      </w:r>
      <w:r w:rsidR="005A25C2" w:rsidRPr="00F963FB">
        <w:t xml:space="preserve">and group </w:t>
      </w:r>
      <w:r w:rsidR="00971F08" w:rsidRPr="00F963FB">
        <w:t>productivity</w:t>
      </w:r>
      <w:r w:rsidR="00D9072C">
        <w:t>,</w:t>
      </w:r>
      <w:r w:rsidR="00971F08" w:rsidRPr="00F963FB">
        <w:t xml:space="preserve"> </w:t>
      </w:r>
      <w:r w:rsidR="005A25C2" w:rsidRPr="00F963FB">
        <w:t xml:space="preserve">because </w:t>
      </w:r>
      <w:r w:rsidR="00267F72" w:rsidRPr="00F963FB">
        <w:t xml:space="preserve">they </w:t>
      </w:r>
      <w:r w:rsidR="009734AA">
        <w:t>improve</w:t>
      </w:r>
      <w:r w:rsidR="00322776">
        <w:t>, among others,</w:t>
      </w:r>
      <w:r w:rsidR="00267F72" w:rsidRPr="00F963FB">
        <w:t xml:space="preserve"> </w:t>
      </w:r>
      <w:r w:rsidR="002948B7">
        <w:t xml:space="preserve">the organisational climate, </w:t>
      </w:r>
      <w:r w:rsidR="00322776">
        <w:t xml:space="preserve">motivation, </w:t>
      </w:r>
      <w:r w:rsidR="00267F72" w:rsidRPr="00F963FB">
        <w:t xml:space="preserve">employee </w:t>
      </w:r>
      <w:r w:rsidR="009734AA">
        <w:t xml:space="preserve">empowerment, </w:t>
      </w:r>
      <w:r w:rsidR="00267F72" w:rsidRPr="00F963FB">
        <w:t>loyalty and commitment</w:t>
      </w:r>
      <w:r w:rsidR="00322776">
        <w:t xml:space="preserve">, </w:t>
      </w:r>
      <w:r w:rsidR="002948B7">
        <w:t>and</w:t>
      </w:r>
      <w:r w:rsidR="004F573C">
        <w:t xml:space="preserve"> </w:t>
      </w:r>
      <w:r w:rsidR="00322776">
        <w:t>lower</w:t>
      </w:r>
      <w:r w:rsidR="00971F08" w:rsidRPr="00F963FB">
        <w:t xml:space="preserve"> turnover rates, </w:t>
      </w:r>
      <w:r w:rsidR="00322776">
        <w:fldChar w:fldCharType="begin"/>
      </w:r>
      <w:r w:rsidR="008A39B8">
        <w:instrText xml:space="preserve"> ADDIN ZOTERO_ITEM CSL_CITATION {"citationID":"3hbi3DZ5","properties":{"formattedCitation":"(Camps and Luna-Arocas, 2009; Shin and Konrad, 2014; Tregaskis et al., 2013)","plainCitation":"(Camps and Luna-Arocas, 2009; Shin and Konrad, 2014; Tregaskis et al., 2013)"},"citationItems":[{"id":584,"uris":["http://zotero.org/users/2360415/items/WSJZTP4M"],"uri":["http://zotero.org/users/2360415/items/WSJZTP4M"],"itemData":{"id":584,"type":"article-journal","title":"High involvement work practices and firm performance","container-title":"The International Journal of Human Resource Management","page":"1056-1077","volume":"20","issue":"5","source":"Taylor and Francis+NEJM","abstract":"During the past two decades the chain of three links organizational strategy – human resources practices – organizational performance has been deeply analysed. However, the mediator role of organizational structure in the first link of this chain remains relatively uninvestigated. In this article we analyse a model of relationships among organizational strategy, organizational structure, human resources practices, and organizational performance. Through a structural equation methodology applied to a sample of 183 Spanish companies, we will try to confirm that organizations with differentiation strategies are more likely to implement high involvement work practices. As a novelty we will introduce organizational structure as a mediator of this relationship. For that we will use the construct control mechanisms (centralization, formalization and socialization). Further, we will analyse the effect on firm performance of these proposed relationships among differentiation strategy, control mechanisms and high involvement work practices.","DOI":"10.1080/09585190902850273","ISSN":"0958-5192","author":[{"family":"Camps","given":"Joaquín"},{"family":"Luna-Arocas","given":"Roberto"}],"issued":{"date-parts":[["2009",5,1]]}}},{"id":420,"uris":["http://zotero.org/users/2360415/items/9M3TTB9E"],"uri":["http://zotero.org/users/2360415/items/9M3TTB9E"],"itemData":{"id":420,"type":"article-journal","title":"Causality Between High-Performance Work Systems and Organizational Performance","container-title":"Journal of Management","source":"jom.sagepub.com","abstract":"Previous researchers have questioned whether the association between high-performance work systems (HPWS) and organizational performance indicates causality. Strategic human resource management theories, including the resource-based view of the firm and the behavioral perspective, have provided explanations linking human resource management practices to organizational performance. We add arguments based upon general systems theory to suggest a more complex relationship where performance provides feedback on HPWS in the form of information and resources. This feedback generates both the data and the slack resources needed to support an adaptive process of HPWS implementation. We test the causal associations between HPWS and performance using a large longitudinal data set with three time points. Findings showed that past HPWS positively contributes to later productivity as well as the reverse. The reciprocal relationship supports the need to extend strategic human resource management theory by considering productivity as an antecedent as well as an outcome of human resource management practices.","URL":"http://jom.sagepub.com/content/early/2014/07/29/0149206314544746","DOI":"10.1177/0149206314544746","ISSN":"0149-2063, 1557-1211","journalAbbreviation":"Journal of Management","language":"en","author":[{"family":"Shin","given":"Duckjung"},{"family":"Konrad","given":"Alison M."}],"issued":{"date-parts":[["2014",7,31]]},"accessed":{"date-parts":[["2016",5,12]]}}},{"id":586,"uris":["http://zotero.org/users/2360415/items/SN6ENFJ5"],"uri":["http://zotero.org/users/2360415/items/SN6ENFJ5"],"itemData":{"id":586,"type":"article-journal","title":"High Performance Work Practices and Firm Performance: A Longitudinal Case Study","container-title":"British Journal of Management","page":"225-244","volume":"24","issue":"2","source":"Wiley Online Library","abstract":"Accumulating research suggests that the adoption of high performance work practices (HPWPs) is related to organizations' performance. The evidence base is limited by its reliance on retrospective survey reports. This study uses an intervention, including longitudinal interview and survey reports, of the implementation and outcomes of the introduction of HPWPs alongside time series data of objective performance metrics recorded before and after the intervention. The results showed that the implementation of HPWPs was associated with subsequent and sustained increases in productivity and safety performance. The study suggests that a specifically designed intervention involving HPWPs can have beneficial effects both on productivity and safety, but other intermediary variables associated with the implementation process may be critical in mitigating potentially detrimental worker welfare effects arising from work intensification.","DOI":"10.1111/j.1467-8551.2011.00800.x","ISSN":"1467-8551","shortTitle":"High Performance Work Practices and Firm Performance","journalAbbreviation":"Brit J Manage","language":"en","author":[{"family":"Tregaskis","given":"Olga"},{"family":"Daniels","given":"Kevin"},{"family":"Glover","given":"Linda"},{"family":"Butler","given":"Peter"},{"family":"Meyer","given":"Michael"}],"issued":{"date-parts":[["2013",6,1]]}}}],"schema":"https://github.com/citation-style-language/schema/raw/master/csl-citation.json"} </w:instrText>
      </w:r>
      <w:r w:rsidR="00322776">
        <w:fldChar w:fldCharType="separate"/>
      </w:r>
      <w:r w:rsidR="008A39B8">
        <w:t>(Camps and Luna-Arocas, 2009; Shin and Konrad, 2014; Tregaskis et al., 2013)</w:t>
      </w:r>
      <w:r w:rsidR="00322776">
        <w:fldChar w:fldCharType="end"/>
      </w:r>
      <w:r w:rsidR="00B85138">
        <w:t xml:space="preserve">. </w:t>
      </w:r>
      <w:r w:rsidR="002948B7">
        <w:t xml:space="preserve">Although the ECS does not allow us to examine an extensive set of HR bundles, it </w:t>
      </w:r>
      <w:r w:rsidR="00B85138">
        <w:t>does include</w:t>
      </w:r>
      <w:r w:rsidR="002948B7">
        <w:t xml:space="preserve"> information on three </w:t>
      </w:r>
      <w:r w:rsidR="00B85138">
        <w:t>work</w:t>
      </w:r>
      <w:r w:rsidR="002948B7">
        <w:t xml:space="preserve"> practices that are usually linked to high-road HR </w:t>
      </w:r>
      <w:r w:rsidR="00E81D08">
        <w:t>bundles: PRP, teamwork and training</w:t>
      </w:r>
      <w:r w:rsidR="002948B7">
        <w:t>.</w:t>
      </w:r>
      <w:r w:rsidR="00E81D08">
        <w:t xml:space="preserve"> </w:t>
      </w:r>
    </w:p>
    <w:p w14:paraId="2694B03F" w14:textId="042C8871" w:rsidR="004E499A" w:rsidRDefault="00E81D08" w:rsidP="003F2A41">
      <w:pPr>
        <w:ind w:firstLine="567"/>
      </w:pPr>
      <w:r>
        <w:t>To begin with</w:t>
      </w:r>
      <w:r w:rsidR="002652CC">
        <w:t>, performance-related pay (PRP)</w:t>
      </w:r>
      <w:r>
        <w:t xml:space="preserve"> is usually associated with increased productivity</w:t>
      </w:r>
      <w:r w:rsidR="009D3B42">
        <w:t xml:space="preserve"> </w:t>
      </w:r>
      <w:r w:rsidR="004F345A">
        <w:fldChar w:fldCharType="begin"/>
      </w:r>
      <w:r>
        <w:instrText xml:space="preserve"> ADDIN ZOTERO_ITEM CSL_CITATION {"citationID":"xlxgWmQO","properties":{"formattedCitation":"(Huselid, 1995)","plainCitation":"(Huselid, 1995)"},"citationItems":[{"id":693,"uris":["http://zotero.org/users/local/xORFDKwB/items/5AQFA6Q5"],"uri":["http://zotero.org/users/local/xORFDKwB/items/5AQFA6Q5"],"itemData":{"id":693,"type":"article-journal","title":"The Impact of Human Resource Management Practices on Turnover, Productivity, and Corporate Financial Performance","container-title":"Academy of Management Journal","page":"635-672","volume":"38","author":[{"family":"Huselid","given":"Mark"}],"issued":{"date-parts":[["1995"]]}}}],"schema":"https://github.com/citation-style-language/schema/raw/master/csl-citation.json"} </w:instrText>
      </w:r>
      <w:r w:rsidR="004F345A">
        <w:fldChar w:fldCharType="separate"/>
      </w:r>
      <w:r>
        <w:rPr>
          <w:noProof/>
        </w:rPr>
        <w:t>(Huselid, 1995)</w:t>
      </w:r>
      <w:r w:rsidR="004F345A">
        <w:fldChar w:fldCharType="end"/>
      </w:r>
      <w:r w:rsidR="002652CC">
        <w:t xml:space="preserve">. </w:t>
      </w:r>
      <w:r w:rsidR="000014F3">
        <w:t>Although there is some debate in the literature, we follow those approaches that include performance</w:t>
      </w:r>
      <w:r>
        <w:t>-related</w:t>
      </w:r>
      <w:r w:rsidR="000014F3">
        <w:t xml:space="preserve"> pay as a </w:t>
      </w:r>
      <w:r>
        <w:t>core</w:t>
      </w:r>
      <w:r w:rsidR="000014F3">
        <w:t xml:space="preserve"> part of high performance work systems</w:t>
      </w:r>
      <w:r w:rsidR="00B67451">
        <w:t xml:space="preserve"> </w:t>
      </w:r>
      <w:r w:rsidR="00B67451">
        <w:fldChar w:fldCharType="begin"/>
      </w:r>
      <w:r>
        <w:instrText xml:space="preserve"> ADDIN ZOTERO_ITEM CSL_CITATION {"citationID":"hVoK2BZ5","properties":{"formattedCitation":"(Chowhan, 2016: 116; Hefferman and Dundon, 2016: 212; Posthuma et al., 2013: 1192)","plainCitation":"(Chowhan, 2016: 116; Hefferman and Dundon, 2016: 212; Posthuma et al., 2013: 1192)"},"citationItems":[{"id":"TTiPW1YC/hQSOM240","uris":["http://zotero.org/users/2360415/items/CZJTKFP9"],"uri":["http://zotero.org/users/2360415/items/CZJTKFP9"],"itemData":{"id":"TTiPW1YC/hQSOM240","type":"article-journal","title":"Unpacking the black box: understanding the relationship between strategy, HRM practices, innovation and organizational performance","container-title":"Human Resource Management Journal","page":"112-133","volume":"26","issue":"2","source":"Wiley Online Library","abstract":"The links between HRM practices and organizational performance have received considerable research attention as significant contributors to sustained competitive advantage. However, the processes that link HRM practices and organizational performance are not fully understood. This study examines the relationships between skill-enhancing, motivation-enhancing and opportunity-enhancing bundles of practices, innovation and organizational performance, and looks at the mediating effect of innovation over time at the workplace level. The results indicate that the temporal pathway from skill-enhancing practices to innovation to organizational performance is positive and significant even after controlling for reverse causality. Strategic activity is also explored and is found to be a significant moderator. This is an indication of the importance of aligning strategy with HRM practices and innovation to achieve improved organizational performance outcomes.","DOI":"10.1111/1748-8583.12097","ISSN":"1748-8583","shortTitle":"Unpacking the black box","journalAbbreviation":"Human Resource Management Journal","language":"en","author":[{"family":"Chowhan","given":"James"}],"issued":{"year":2016,"month":4,"day":1},"page-first":"112","title-short":"Unpacking the black box","container-title-short":"Hum. Resour. Manag. J."},"locator":"116"},{"id":1642,"uris":["http://zotero.org/users/local/xORFDKwB/items/7J9QD7F7"],"uri":["http://zotero.org/users/local/xORFDKwB/items/7J9QD7F7"],"itemData":{"id":1642,"type":"article-journal","title":"Cross-level effects of high-performance work systems (HPWS) and employee well-being: the mediating effect of organisational justice","container-title":"Human Resource Management Journal","page":"211-231","volume":"26","issue":"2","author":[{"family":"Hefferman","given":"Margaret"},{"family":"Dundon","given":"Tony"}],"issued":{"date-parts":[["2016"]]}},"locator":"212"},{"id":1664,"uris":["http://zotero.org/users/local/xORFDKwB/items/NTNRB4EN"],"uri":["http://zotero.org/users/local/xORFDKwB/items/NTNRB4EN"],"itemData":{"id":1664,"type":"article-journal","title":"A High Performance Work Practices Taxonomy: Integrating the Literature and Directing Future Research","container-title":"Journal of Management","page":"1184-1220","volume":"39","issue":"5","author":[{"family":"Posthuma","given":"Richard A."},{"family":"Campion","given":"Michael C."},{"family":"Masimova","given":"Malika"},{"family":"Campion","given":"Michael A."}],"issued":{"date-parts":[["2013"]]}},"locator":"1192"}],"schema":"https://github.com/citation-style-language/schema/raw/master/csl-citation.json"} </w:instrText>
      </w:r>
      <w:r w:rsidR="00B67451">
        <w:fldChar w:fldCharType="separate"/>
      </w:r>
      <w:r>
        <w:rPr>
          <w:noProof/>
        </w:rPr>
        <w:t>(Chowhan, 2016: 116; Hefferman and Dundon, 2016: 212; Posthuma et al., 2013: 1192)</w:t>
      </w:r>
      <w:r w:rsidR="00B67451">
        <w:fldChar w:fldCharType="end"/>
      </w:r>
      <w:r w:rsidR="00B67451">
        <w:t>.</w:t>
      </w:r>
      <w:r w:rsidR="000014F3">
        <w:t xml:space="preserve"> </w:t>
      </w:r>
      <w:r w:rsidR="002652CC">
        <w:t>The effect of PRP on productivity may be direct or indirect.</w:t>
      </w:r>
      <w:r w:rsidR="004F345A">
        <w:t xml:space="preserve"> </w:t>
      </w:r>
      <w:r w:rsidR="002652CC">
        <w:t xml:space="preserve">On the one hand, </w:t>
      </w:r>
      <w:r w:rsidR="00E56CB1">
        <w:t xml:space="preserve">PRP is expected to increase employees’ productivity by altering their incentive structures and </w:t>
      </w:r>
      <w:r w:rsidR="002652CC">
        <w:t>elicit more effort</w:t>
      </w:r>
      <w:r w:rsidR="00E56CB1">
        <w:t xml:space="preserve"> </w:t>
      </w:r>
      <w:r w:rsidR="00E56CB1">
        <w:fldChar w:fldCharType="begin"/>
      </w:r>
      <w:r w:rsidR="002652CC">
        <w:instrText xml:space="preserve"> ADDIN ZOTERO_ITEM CSL_CITATION {"citationID":"tW8vg9jJ","properties":{"formattedCitation":"(Chowhan, 2016: 116)","plainCitation":"(Chowhan, 2016: 116)"},"citationItems":[{"id":"TTiPW1YC/hQSOM240","uris":["http://zotero.org/users/2360415/items/CZJTKFP9"],"uri":["http://zotero.org/users/2360415/items/CZJTKFP9"],"itemData":{"id":"TTiPW1YC/hQSOM240","type":"article-journal","title":"Unpacking the black box: understanding the relationship between strategy, HRM practices, innovation and organizational performance","container-title":"Human Resource Management Journal","page":"112-133","volume":"26","issue":"2","source":"Wiley Online Library","abstract":"The links between HRM practices and organizational performance have received considerable research attention as significant contributors to sustained competitive advantage. However, the processes that link HRM practices and organizational performance are not fully understood. This study examines the relationships between skill-enhancing, motivation-enhancing and opportunity-enhancing bundles of practices, innovation and organizational performance, and looks at the mediating effect of innovation over time at the workplace level. The results indicate that the temporal pathway from skill-enhancing practices to innovation to organizational performance is positive and significant even after controlling for reverse causality. Strategic activity is also explored and is found to be a significant moderator. This is an indication of the importance of aligning strategy with HRM practices and innovation to achieve improved organizational performance outcomes.","DOI":"10.1111/1748-8583.12097","ISSN":"1748-8583","shortTitle":"Unpacking the black box","journalAbbreviation":"Human Resource Management Journal","language":"en","author":[{"family":"Chowhan","given":"James"}],"issued":{"year":2016,"month":4,"day":1},"page-first":"112","title-short":"Unpacking the black box","container-title-short":"Hum. Resour. Manag. J."},"locator":"116"}],"schema":"https://github.com/citation-style-language/schema/raw/master/csl-citation.json"} </w:instrText>
      </w:r>
      <w:r w:rsidR="00E56CB1">
        <w:fldChar w:fldCharType="separate"/>
      </w:r>
      <w:r w:rsidR="002652CC">
        <w:t>(Chowhan, 2016: 116)</w:t>
      </w:r>
      <w:r w:rsidR="00E56CB1">
        <w:fldChar w:fldCharType="end"/>
      </w:r>
      <w:r w:rsidR="00B47485">
        <w:t>.</w:t>
      </w:r>
      <w:r w:rsidR="002652CC">
        <w:t xml:space="preserve"> On the other hand, it may act indirectly </w:t>
      </w:r>
      <w:r w:rsidR="00B67451">
        <w:t>by</w:t>
      </w:r>
      <w:r w:rsidR="002652CC">
        <w:t xml:space="preserve"> attracting </w:t>
      </w:r>
      <w:r w:rsidR="00B67451">
        <w:t xml:space="preserve">a </w:t>
      </w:r>
      <w:r w:rsidR="002652CC">
        <w:t>more</w:t>
      </w:r>
      <w:r w:rsidR="00B67451">
        <w:t xml:space="preserve"> capable</w:t>
      </w:r>
      <w:r w:rsidR="002652CC">
        <w:t xml:space="preserve"> workforce </w:t>
      </w:r>
      <w:r w:rsidR="002652CC">
        <w:fldChar w:fldCharType="begin"/>
      </w:r>
      <w:r w:rsidR="002652CC">
        <w:instrText xml:space="preserve"> ADDIN ZOTERO_ITEM CSL_CITATION {"citationID":"1trju518cb","properties":{"formattedCitation":"(Lazear, 2000)","plainCitation":"(Lazear, 2000)"},"citationItems":[{"id":464,"uris":["http://zotero.org/users/2360415/items/TJCZVMB9"],"uri":["http://zotero.org/users/2360415/items/TJCZVMB9"],"itemData":{"id":464,"type":"article-journal","title":"Performance Pay and Productivity","container-title":"The American Economic Review","page":"1346-1361","volume":"90","issue":"5","source":"JSTOR","abstract":"Much of the theory in personnel economics relates to effects of monetary incentives on output, but the theory was untested because appropriate data were unavailable. A new data set for the Safelite Glass Corporation tests the predictions that average productivity will rise, the firm will attract a more able workforce, and variance in output across individuals at the firm will rise when it shifts to piece rates. In Safelite, productivity effects amount to a 44-percent increase in output per worker. This firm apparently had selected a suboptimal compensation system, as profits also increased with the change.","ISSN":"0002-8282","journalAbbreviation":"The American Economic Review","author":[{"family":"Lazear","given":"Edward P."}],"issued":{"date-parts":[["2000"]]}}}],"schema":"https://github.com/citation-style-language/schema/raw/master/csl-citation.json"} </w:instrText>
      </w:r>
      <w:r w:rsidR="002652CC">
        <w:fldChar w:fldCharType="separate"/>
      </w:r>
      <w:r w:rsidR="002652CC" w:rsidRPr="00E56CB1">
        <w:t>(Lazear, 2000)</w:t>
      </w:r>
      <w:r w:rsidR="002652CC">
        <w:fldChar w:fldCharType="end"/>
      </w:r>
      <w:r w:rsidR="002652CC">
        <w:t xml:space="preserve">. </w:t>
      </w:r>
      <w:r>
        <w:t>Either way the expected outcome is increased productivity.</w:t>
      </w:r>
    </w:p>
    <w:p w14:paraId="719994A2" w14:textId="0DE01AC6" w:rsidR="004E499A" w:rsidRDefault="00E81D08" w:rsidP="0076098A">
      <w:pPr>
        <w:ind w:firstLine="567"/>
      </w:pPr>
      <w:r>
        <w:t>Second, we consider</w:t>
      </w:r>
      <w:r w:rsidR="007B3C8F">
        <w:t xml:space="preserve"> t</w:t>
      </w:r>
      <w:r w:rsidR="00E4297F" w:rsidRPr="007E6F61">
        <w:t>eamwork</w:t>
      </w:r>
      <w:r w:rsidR="00E4297F">
        <w:t xml:space="preserve"> </w:t>
      </w:r>
      <w:r>
        <w:t xml:space="preserve">as being broadly </w:t>
      </w:r>
      <w:r w:rsidR="00A350E9">
        <w:t>a</w:t>
      </w:r>
      <w:r>
        <w:t xml:space="preserve"> part of HPWS practices </w:t>
      </w:r>
      <w:r>
        <w:fldChar w:fldCharType="begin"/>
      </w:r>
      <w:r>
        <w:instrText xml:space="preserve"> ADDIN ZOTERO_ITEM CSL_CITATION {"citationID":"1vj939kmbh","properties":{"formattedCitation":"(Posthuma et al., 2013: 1192)","plainCitation":"(Posthuma et al., 2013: 1192)"},"citationItems":[{"id":1664,"uris":["http://zotero.org/users/local/xORFDKwB/items/NTNRB4EN"],"uri":["http://zotero.org/users/local/xORFDKwB/items/NTNRB4EN"],"itemData":{"id":1664,"type":"article-journal","title":"A High Performance Work Practices Taxonomy: Integrating the Literature and Directing Future Research","container-title":"Journal of Management","page":"1184-1220","volume":"39","issue":"5","author":[{"family":"Posthuma","given":"Richard A."},{"family":"Campion","given":"Michael C."},{"family":"Masimova","given":"Malika"},{"family":"Campion","given":"Michael A."}],"issued":{"date-parts":[["2013"]]}},"locator":"1192"}],"schema":"https://github.com/citation-style-language/schema/raw/master/csl-citation.json"} </w:instrText>
      </w:r>
      <w:r>
        <w:fldChar w:fldCharType="separate"/>
      </w:r>
      <w:r>
        <w:rPr>
          <w:noProof/>
        </w:rPr>
        <w:t>(Posthuma et al., 2013: 1192)</w:t>
      </w:r>
      <w:r>
        <w:fldChar w:fldCharType="end"/>
      </w:r>
      <w:r>
        <w:t xml:space="preserve">. </w:t>
      </w:r>
      <w:r w:rsidR="0045563E">
        <w:t>There are several reasons why teamwork may enhance productivity</w:t>
      </w:r>
      <w:r w:rsidR="00B67451">
        <w:t xml:space="preserve">; </w:t>
      </w:r>
      <w:r w:rsidR="0045563E">
        <w:t xml:space="preserve">employees may work smarter because they combine different problem-solving skills or self-directed teams may be more efficient as some layers of supervision and middle-management are eliminated </w:t>
      </w:r>
      <w:r w:rsidR="0045563E">
        <w:fldChar w:fldCharType="begin"/>
      </w:r>
      <w:r w:rsidR="0045563E">
        <w:instrText xml:space="preserve"> ADDIN ZOTERO_ITEM CSL_CITATION {"citationID":"ailhb1up3","properties":{"formattedCitation":"(Delarue et al., 2008: 130)","plainCitation":"(Delarue et al., 2008: 130)"},"citationItems":[{"id":"TTiPW1YC/Ski3OXa3","uris":["http://zotero.org/users/2360415/items/6T9ICF4A"],"uri":["http://zotero.org/users/2360415/items/6T9ICF4A"],"itemData":{"id":"TTiPW1YC/Ski3OXa3","type":"article-journal","title":"Teamworking and organizational performance: A review of survey-based research","container-title":"International Journal of Management Reviews","page":"127-148","volume":"10","issue":"2","source":"Wiley Online Library","abstract":"This paper presents a review of recent survey-based research looking at the contribution of teamwork to organizational performance. In particular, it focuses on empirical studies in which both teamwork and performance are directly measured in a quantitative way. The paper begins by identifying four interrelated dimensions of teamwork effectiveness: attitudinal, behavioural, operational and financial. The first two represent transmission mechanisms by which organizational performance can be improved. The latter two provide direct measures of organizational outcomes. The review shows that teamworking has a positive impact on all four dimensions of performance. It also reveals that, when teamwork is combined with structural change, performance can be further enhanced. The paper concludes by highlighting some important research gaps that future studies could address.","DOI":"10.1111/j.1468-2370.2007.00227.x","ISSN":"1468-2370","shortTitle":"Teamworking and organizational performance","language":"en","author":[{"family":"Delarue","given":"Anne"},{"family":"Van Hootegem","given":"Geert"},{"family":"Procter","given":"Stephen"},{"family":"Burridge","given":"Mark"}],"issued":{"year":2008,"month":6,"day":1},"page-first":"127","title-short":"Teamworking and organizational performance","container-title-short":"Int. J. Manag. Rev."},"locator":"130"}],"schema":"https://github.com/citation-style-language/schema/raw/master/csl-citation.json"} </w:instrText>
      </w:r>
      <w:r w:rsidR="0045563E">
        <w:fldChar w:fldCharType="separate"/>
      </w:r>
      <w:r w:rsidR="0045563E">
        <w:rPr>
          <w:noProof/>
        </w:rPr>
        <w:t>(Delarue et al., 2008: 130)</w:t>
      </w:r>
      <w:r w:rsidR="0045563E">
        <w:fldChar w:fldCharType="end"/>
      </w:r>
      <w:r w:rsidR="0045563E">
        <w:t xml:space="preserve">. </w:t>
      </w:r>
      <w:r w:rsidR="00B67451">
        <w:t>Another reason might be that employees may voluntarily work harder</w:t>
      </w:r>
      <w:r w:rsidR="00D9072C">
        <w:t>,</w:t>
      </w:r>
      <w:r w:rsidR="00B67451">
        <w:t xml:space="preserve"> because of peer-pressure norms </w:t>
      </w:r>
      <w:r w:rsidR="00B67451">
        <w:fldChar w:fldCharType="begin"/>
      </w:r>
      <w:r w:rsidR="00B67451">
        <w:instrText xml:space="preserve"> ADDIN ZOTERO_ITEM CSL_CITATION {"citationID":"2jcme9d7gm","properties":{"formattedCitation":"(Tregaskis et al., 2013: 228)","plainCitation":"(Tregaskis et al., 2013: 228)"},"citationItems":[{"id":"TTiPW1YC/2hNuLLQi","uris":["http://zotero.org/users/2360415/items/SN6ENFJ5"],"uri":["http://zotero.org/users/2360415/items/SN6ENFJ5"],"itemData":{"id":"TTiPW1YC/2hNuLLQi","type":"article-journal","title":"High Performance Work Practices and Firm Performance: A Longitudinal Case Study","container-title":"British Journal of Management","page":"225-244","volume":"24","issue":"2","source":"Wiley Online Library","abstract":"Accumulating research suggests that the adoption of high performance work practices (HPWPs) is related to organizations' performance. The evidence base is limited by its reliance on retrospective survey reports. This study uses an intervention, including longitudinal interview and survey reports, of the implementation and outcomes of the introduction of HPWPs alongside time series data of objective performance metrics recorded before and after the intervention. The results showed that the implementation of HPWPs was associated with subsequent and sustained increases in productivity and safety performance. The study suggests that a specifically designed intervention involving HPWPs can have beneficial effects both on productivity and safety, but other intermediary variables associated with the implementation process may be critical in mitigating potentially detrimental worker welfare effects arising from work intensification.","DOI":"10.1111/j.1467-8551.2011.00800.x","ISSN":"1467-8551","shortTitle":"High Performance Work Practices and Firm Performance","journalAbbreviation":"Brit J Manage","language":"en","author":[{"family":"Tregaskis","given":"Olga"},{"family":"Daniels","given":"Kevin"},{"family":"Glover","given":"Linda"},{"family":"Butler","given":"Peter"},{"family":"Meyer","given":"Michael"}],"issued":{"year":2013,"month":6,"day":1},"page-first":"225","title-short":"High Performance Work Practices and Firm Performance","container-title-short":"Br. J. Manag."},"locator":"228"}],"schema":"https://github.com/citation-style-language/schema/raw/master/csl-citation.json"} </w:instrText>
      </w:r>
      <w:r w:rsidR="00B67451">
        <w:fldChar w:fldCharType="separate"/>
      </w:r>
      <w:r w:rsidR="00B67451">
        <w:rPr>
          <w:noProof/>
        </w:rPr>
        <w:t>(Tregaskis et al., 2013: 228)</w:t>
      </w:r>
      <w:r w:rsidR="00B67451">
        <w:fldChar w:fldCharType="end"/>
      </w:r>
      <w:r w:rsidR="00B67451">
        <w:t xml:space="preserve">. </w:t>
      </w:r>
      <w:r w:rsidR="0045563E">
        <w:t>Overall, a</w:t>
      </w:r>
      <w:r w:rsidR="00E56CB1">
        <w:t xml:space="preserve"> meta-analysis on the effect of teamwork on organisational performance</w:t>
      </w:r>
      <w:r w:rsidR="0045563E">
        <w:t xml:space="preserve"> has concluded that teamwork is generally associated with enhanced organisational and individual outcomes, although their effects may be contingent on bundling with other practices</w:t>
      </w:r>
      <w:r w:rsidR="00E56CB1">
        <w:t xml:space="preserve"> </w:t>
      </w:r>
      <w:r w:rsidR="00E56CB1">
        <w:fldChar w:fldCharType="begin"/>
      </w:r>
      <w:r w:rsidR="00E56CB1">
        <w:instrText xml:space="preserve"> ADDIN ZOTERO_ITEM CSL_CITATION {"citationID":"1k2vlbiua2","properties":{"formattedCitation":"(Delarue et al., 2008)","plainCitation":"(Delarue et al., 2008)"},"citationItems":[{"id":299,"uris":["http://zotero.org/users/2360415/items/6T9ICF4A"],"uri":["http://zotero.org/users/2360415/items/6T9ICF4A"],"itemData":{"id":299,"type":"article-journal","title":"Teamworking and organizational performance: A review of survey-based research","container-title":"International Journal of Management Reviews","page":"127-148","volume":"10","issue":"2","source":"Wiley Online Library","abstract":"This paper presents a review of recent survey-based research looking at the contribution of teamwork to organizational performance. In particular, it focuses on empirical studies in which both teamwork and performance are directly measured in a quantitative way. The paper begins by identifying four interrelated dimensions of teamwork effectiveness: attitudinal, behavioural, operational and financial. The first two represent transmission mechanisms by which organizational performance can be improved. The latter two provide direct measures of organizational outcomes. The review shows that teamworking has a positive impact on all four dimensions of performance. It also reveals that, when teamwork is combined with structural change, performance can be further enhanced. The paper concludes by highlighting some important research gaps that future studies could address.","DOI":"10.1111/j.1468-2370.2007.00227.x","ISSN":"1468-2370","shortTitle":"Teamworking and organizational performance","language":"en","author":[{"family":"Delarue","given":"Anne"},{"family":"Van Hootegem","given":"Geert"},{"family":"Procter","given":"Stephen"},{"family":"Burridge","given":"Mark"}],"issued":{"date-parts":[["2008",6,1]]}}}],"schema":"https://github.com/citation-style-language/schema/raw/master/csl-citation.json"} </w:instrText>
      </w:r>
      <w:r w:rsidR="00E56CB1">
        <w:fldChar w:fldCharType="separate"/>
      </w:r>
      <w:r w:rsidR="00E56CB1" w:rsidRPr="00E56CB1">
        <w:t>(Delarue et al., 2008)</w:t>
      </w:r>
      <w:r w:rsidR="00E56CB1">
        <w:fldChar w:fldCharType="end"/>
      </w:r>
      <w:r w:rsidR="006B0259">
        <w:t xml:space="preserve">. </w:t>
      </w:r>
    </w:p>
    <w:p w14:paraId="5945D962" w14:textId="217806EA" w:rsidR="005E41CE" w:rsidRDefault="00E81D08" w:rsidP="0076098A">
      <w:pPr>
        <w:ind w:firstLine="567"/>
      </w:pPr>
      <w:r>
        <w:t>Finally</w:t>
      </w:r>
      <w:r w:rsidR="006B0259">
        <w:t xml:space="preserve">, </w:t>
      </w:r>
      <w:r>
        <w:t>training</w:t>
      </w:r>
      <w:r w:rsidR="007B3C8F">
        <w:t xml:space="preserve"> is typically </w:t>
      </w:r>
      <w:r>
        <w:t>included as a part of the core HPWS</w:t>
      </w:r>
      <w:r w:rsidR="006B0259">
        <w:t xml:space="preserve"> practices</w:t>
      </w:r>
      <w:r w:rsidR="004F345A">
        <w:t xml:space="preserve"> </w:t>
      </w:r>
      <w:r w:rsidR="004F345A">
        <w:fldChar w:fldCharType="begin"/>
      </w:r>
      <w:r>
        <w:instrText xml:space="preserve"> ADDIN ZOTERO_ITEM CSL_CITATION {"citationID":"oE3qTC3U","properties":{"formattedCitation":"(Appelbaum et al., 2000; Camps and Luna-Arocas, 2009: 1061; Huselid, 1995; Posthuma et al., 2013: 1192; Shin and Konrad, 2014: 11)","plainCitation":"(Appelbaum et al., 2000; Camps and Luna-Arocas, 2009: 1061; Huselid, 1995; Posthuma et al., 2013: 1192; Shin and Konrad, 2014: 11)"},"citationItems":[{"id":40,"uris":["http://zotero.org/users/local/xORFDKwB/items/BE6WT223"],"uri":["http://zotero.org/users/local/xORFDKwB/items/BE6WT223"],"itemData":{"id":40,"type":"book","title":"Manufacturing Advantage: Why High-performance Work Systems Pay off","publisher":"Cornell University Press","publisher-place":"Ithaca","event-place":"Ithaca","author":[{"family":"Appelbaum","given":"Eileen"},{"family":"Bailey","given":"T."},{"family":"Berg","given":"P."},{"family":"Kalleberg","given":"A."}],"issued":{"date-parts":[["2000"]]}}},{"id":"TTiPW1YC/DsGNIju5","uris":["http://zotero.org/users/2360415/items/WSJZTP4M"],"uri":["http://zotero.org/users/2360415/items/WSJZTP4M"],"itemData":{"id":"TTiPW1YC/DsGNIju5","type":"article-journal","title":"High involvement work practices and firm performance","container-title":"The International Journal of Human Resource Management","page":"1056-1077","volume":"20","issue":"5","source":"Taylor and Francis+NEJM","abstract":"During the past two decades the chain of three links organizational strategy – human resources practices – organizational performance has been deeply analysed. However, the mediator role of organizational structure in the first link of this chain remains relatively uninvestigated. In this article we analyse a model of relationships among organizational strategy, organizational structure, human resources practices, and organizational performance. Through a structural equation methodology applied to a sample of 183 Spanish companies, we will try to confirm that organizations with differentiation strategies are more likely to implement high involvement work practices. As a novelty we will introduce organizational structure as a mediator of this relationship. For that we will use the construct control mechanisms (centralization, formalization and socialization). Further, we will analyse the effect on firm performance of these proposed relationships among differentiation strategy, control mechanisms and high involvement work practices.","DOI":"10.1080/09585190902850273","ISSN":"0958-5192","author":[{"family":"Camps","given":"Joaquín"},{"family":"Luna-Arocas","given":"Roberto"}],"issued":{"year":2009,"month":5,"day":1},"page-first":"1056","container-title-short":"Int. J. Hum. Resour. Manag."},"locator":"1061"},{"id":693,"uris":["http://zotero.org/users/local/xORFDKwB/items/5AQFA6Q5"],"uri":["http://zotero.org/users/local/xORFDKwB/items/5AQFA6Q5"],"itemData":{"id":693,"type":"article-journal","title":"The Impact of Human Resource Management Practices on Turnover, Productivity, and Corporate Financial Performance","container-title":"Academy of Management Journal","page":"635-672","volume":"38","author":[{"family":"Huselid","given":"Mark"}],"issued":{"date-parts":[["1995"]]}}},{"id":1664,"uris":["http://zotero.org/users/local/xORFDKwB/items/NTNRB4EN"],"uri":["http://zotero.org/users/local/xORFDKwB/items/NTNRB4EN"],"itemData":{"id":1664,"type":"article-journal","title":"A High Performance Work Practices Taxonomy: Integrating the Literature and Directing Future Research","container-title":"Journal of Management","page":"1184-1220","volume":"39","issue":"5","author":[{"family":"Posthuma","given":"Richard A."},{"family":"Campion","given":"Michael C."},{"family":"Masimova","given":"Malika"},{"family":"Campion","given":"Michael A."}],"issued":{"date-parts":[["2013"]]}},"locator":"1192"},{"id":"TTiPW1YC/T7SYXlCK","uris":["http://zotero.org/users/2360415/items/9M3TTB9E"],"uri":["http://zotero.org/users/2360415/items/9M3TTB9E"],"itemData":{"id":"TTiPW1YC/T7SYXlCK","type":"article-journal","title":"Causality Between High-Performance Work Systems and Organizational Performance","container-title":"Journal of Management","source":"jom.sagepub.com","abstract":"Previous researchers have questioned whether the association between high-performance work systems (HPWS) and organizational performance indicates causality. Strategic human resource management theories, including the resource-based view of the firm and the behavioral perspective, have provided explanations linking human resource management practices to organizational performance. We add arguments based upon general systems theory to suggest a more complex relationship where performance provides feedback on HPWS in the form of information and resources. This feedback generates both the data and the slack resources needed to support an adaptive process of HPWS implementation. We test the causal associations between HPWS and performance using a large longitudinal data set with three time points. Findings showed that past HPWS positively contributes to later productivity as well as the reverse. The reciprocal relationship supports the need to extend strategic human resource management theory by considering productivity as an antecedent as well as an outcome of human resource management practices.","URL":"http://jom.sagepub.com/content/early/2014/07/29/0149206314544746","DOI":"10.1177/0149206314544746","ISSN":"0149-2063, 1557-1211","journalAbbreviation":"Journal of Management","language":"en","author":[{"family":"Shin","given":"Duckjung"},{"family":"Konrad","given":"Alison M."}],"issued":{"year":2014,"month":7,"day":31},"accessed":{"year":2016,"month":5,"day":12},"container-title-short":"J. Manag."},"locator":"11"}],"schema":"https://github.com/citation-style-language/schema/raw/master/csl-citation.json"} </w:instrText>
      </w:r>
      <w:r w:rsidR="004F345A">
        <w:fldChar w:fldCharType="separate"/>
      </w:r>
      <w:r>
        <w:rPr>
          <w:noProof/>
        </w:rPr>
        <w:t>(Appelbaum et al., 2000; Camps and Luna-Arocas, 2009: 1061; Huselid, 1995; Posthuma et al., 2013: 1192; Shin and Konrad, 2014: 11)</w:t>
      </w:r>
      <w:r w:rsidR="004F345A">
        <w:fldChar w:fldCharType="end"/>
      </w:r>
      <w:r w:rsidR="007B3C8F">
        <w:t>. Training</w:t>
      </w:r>
      <w:r w:rsidR="00A9143A">
        <w:t xml:space="preserve"> may fill skills gaps or update skills through formal processes of training needs analyses</w:t>
      </w:r>
      <w:r w:rsidR="004E499A">
        <w:t>.</w:t>
      </w:r>
      <w:r w:rsidR="00FB77D5">
        <w:t xml:space="preserve"> Thus, </w:t>
      </w:r>
      <w:r w:rsidR="004A05FB">
        <w:t>it</w:t>
      </w:r>
      <w:r w:rsidR="00FB77D5">
        <w:t xml:space="preserve"> may have a positive impact on the development of employee</w:t>
      </w:r>
      <w:r w:rsidR="004A05FB">
        <w:t xml:space="preserve"> knowledge, skills and ability to perform in their jobs </w:t>
      </w:r>
      <w:r w:rsidR="004A05FB">
        <w:fldChar w:fldCharType="begin"/>
      </w:r>
      <w:r w:rsidR="004A05FB">
        <w:instrText xml:space="preserve"> ADDIN ZOTERO_ITEM CSL_CITATION {"citationID":"2k23b8uj82","properties":{"formattedCitation":"(Jiang et al., 2013: 1469)","plainCitation":"(Jiang et al., 2013: 1469)"},"citationItems":[{"id":"TTiPW1YC/0qNjS0mu","uris":["http://zotero.org/users/2360415/items/9URQ7QBJ"],"uri":["http://zotero.org/users/2360415/items/9URQ7QBJ"],"itemData":{"id":"TTiPW1YC/0qNjS0mu","type":"article-journal","title":"Where do We Go From Here? New Perspectives on the Black Box in Strategic Human Resource Management Research","container-title":"Journal of Management Studies","page":"1448-1480","volume":"50","issue":"8","source":"Wiley Online Library","abstract":"The main objective of the present research is to briefly review the strategic human resource management (HRM) literature from multilevel theoretical perspectives to summarize what we know about mediating mechanisms in the HR–performance relationship. By doing so, we highlight future research needs to advance theoretical understanding of the ‘black box’ in strategic HRM research. Furthermore, by offering additional theoretical perspectives that can be used to understand the mediating mechanisms at different levels, we suggest future research directions that capture the complexities associated with strategic HRM through a multilevel theoretical lens. Implications of the model are discussed.","DOI":"10.1111/joms.12057","ISSN":"1467-6486","shortTitle":"Where do We Go From Here?","journalAbbreviation":"Journal of Management Studies","language":"en","author":[{"family":"Jiang","given":"Kaifeng"},{"family":"Takeuchi","given":"Riki"},{"family":"Lepak","given":"David P."}],"issued":{"year":2013,"month":12,"day":1},"page-first":"1448","title-short":"Where do We Go From Here?","container-title-short":"J. Manag. Stud."},"locator":"1469"}],"schema":"https://github.com/citation-style-language/schema/raw/master/csl-citation.json"} </w:instrText>
      </w:r>
      <w:r w:rsidR="004A05FB">
        <w:fldChar w:fldCharType="separate"/>
      </w:r>
      <w:r w:rsidR="004A05FB">
        <w:rPr>
          <w:noProof/>
        </w:rPr>
        <w:t>(Jiang et al., 2013: 1469)</w:t>
      </w:r>
      <w:r w:rsidR="004A05FB">
        <w:fldChar w:fldCharType="end"/>
      </w:r>
      <w:r>
        <w:t xml:space="preserve">. Another way to enhance productivity is through the </w:t>
      </w:r>
      <w:r w:rsidR="004A05FB">
        <w:t>develop</w:t>
      </w:r>
      <w:r>
        <w:t>ment of</w:t>
      </w:r>
      <w:r w:rsidR="004A05FB">
        <w:t xml:space="preserve"> problem-solving skills </w:t>
      </w:r>
      <w:r w:rsidR="004A05FB">
        <w:fldChar w:fldCharType="begin"/>
      </w:r>
      <w:r w:rsidR="004A05FB">
        <w:instrText xml:space="preserve"> ADDIN ZOTERO_ITEM CSL_CITATION {"citationID":"b0oecjs7v","properties":{"formattedCitation":"(Tregaskis et al., 2013: 227)","plainCitation":"(Tregaskis et al., 2013: 227)"},"citationItems":[{"id":"TTiPW1YC/2hNuLLQi","uris":["http://zotero.org/users/2360415/items/SN6ENFJ5"],"uri":["http://zotero.org/users/2360415/items/SN6ENFJ5"],"itemData":{"id":"TTiPW1YC/2hNuLLQi","type":"article-journal","title":"High Performance Work Practices and Firm Performance: A Longitudinal Case Study","container-title":"British Journal of Management","page":"225-244","volume":"24","issue":"2","source":"Wiley Online Library","abstract":"Accumulating research suggests that the adoption of high performance work practices (HPWPs) is related to organizations' performance. The evidence base is limited by its reliance on retrospective survey reports. This study uses an intervention, including longitudinal interview and survey reports, of the implementation and outcomes of the introduction of HPWPs alongside time series data of objective performance metrics recorded before and after the intervention. The results showed that the implementation of HPWPs was associated with subsequent and sustained increases in productivity and safety performance. The study suggests that a specifically designed intervention involving HPWPs can have beneficial effects both on productivity and safety, but other intermediary variables associated with the implementation process may be critical in mitigating potentially detrimental worker welfare effects arising from work intensification.","DOI":"10.1111/j.1467-8551.2011.00800.x","ISSN":"1467-8551","shortTitle":"High Performance Work Practices and Firm Performance","journalAbbreviation":"Brit J Manage","language":"en","author":[{"family":"Tregaskis","given":"Olga"},{"family":"Daniels","given":"Kevin"},{"family":"Glover","given":"Linda"},{"family":"Butler","given":"Peter"},{"family":"Meyer","given":"Michael"}],"issued":{"year":2013,"month":6,"day":1},"page-first":"225","title-short":"High Performance Work Practices and Firm Performance","container-title-short":"Br. J. Manag."},"locator":"227"}],"schema":"https://github.com/citation-style-language/schema/raw/master/csl-citation.json"} </w:instrText>
      </w:r>
      <w:r w:rsidR="004A05FB">
        <w:fldChar w:fldCharType="separate"/>
      </w:r>
      <w:r w:rsidR="004A05FB">
        <w:rPr>
          <w:noProof/>
        </w:rPr>
        <w:t>(Tregaskis et al., 2013: 227)</w:t>
      </w:r>
      <w:r w:rsidR="004A05FB">
        <w:fldChar w:fldCharType="end"/>
      </w:r>
      <w:r w:rsidR="004A05FB">
        <w:t>.</w:t>
      </w:r>
      <w:r w:rsidR="004E499A">
        <w:t xml:space="preserve"> </w:t>
      </w:r>
      <w:r w:rsidR="004A05FB">
        <w:t>Overall, t</w:t>
      </w:r>
      <w:r w:rsidR="004E499A">
        <w:t>his upgrading in human capital (or upskilling) is expected to have a positive impact on</w:t>
      </w:r>
      <w:r w:rsidR="00A9143A">
        <w:t xml:space="preserve"> productivity. </w:t>
      </w:r>
      <w:r w:rsidR="004E499A">
        <w:t xml:space="preserve">In sum, the </w:t>
      </w:r>
      <w:r w:rsidR="005E41CE">
        <w:t>above</w:t>
      </w:r>
      <w:r w:rsidR="004E499A">
        <w:t xml:space="preserve"> relationships lead</w:t>
      </w:r>
      <w:r w:rsidR="007B3C8F">
        <w:t xml:space="preserve"> </w:t>
      </w:r>
      <w:r w:rsidR="005E41CE">
        <w:t xml:space="preserve">to the </w:t>
      </w:r>
      <w:r w:rsidR="004E499A">
        <w:t xml:space="preserve">formulation of the </w:t>
      </w:r>
      <w:r w:rsidR="005E41CE">
        <w:t>following hypotheses:</w:t>
      </w:r>
    </w:p>
    <w:p w14:paraId="13869B18" w14:textId="14AE1075" w:rsidR="00387C14" w:rsidRPr="00F76AFB" w:rsidRDefault="00B47485" w:rsidP="00387C14">
      <w:r>
        <w:rPr>
          <w:b/>
        </w:rPr>
        <w:t>H</w:t>
      </w:r>
      <w:r w:rsidR="008E2594" w:rsidRPr="00F76AFB">
        <w:rPr>
          <w:b/>
        </w:rPr>
        <w:t xml:space="preserve">4: </w:t>
      </w:r>
      <w:r w:rsidR="00AE6C07">
        <w:rPr>
          <w:i/>
        </w:rPr>
        <w:t>P</w:t>
      </w:r>
      <w:r w:rsidR="008E2594" w:rsidRPr="00F76AFB">
        <w:rPr>
          <w:i/>
        </w:rPr>
        <w:t>e</w:t>
      </w:r>
      <w:r w:rsidR="00387C14" w:rsidRPr="00F76AFB">
        <w:rPr>
          <w:i/>
        </w:rPr>
        <w:t>rformance-</w:t>
      </w:r>
      <w:r w:rsidR="00AE6C07">
        <w:rPr>
          <w:i/>
        </w:rPr>
        <w:t>R</w:t>
      </w:r>
      <w:r w:rsidR="00387C14" w:rsidRPr="00F76AFB">
        <w:rPr>
          <w:i/>
        </w:rPr>
        <w:t xml:space="preserve">elated </w:t>
      </w:r>
      <w:r w:rsidR="00AE6C07">
        <w:rPr>
          <w:i/>
        </w:rPr>
        <w:t>P</w:t>
      </w:r>
      <w:r w:rsidR="00387C14" w:rsidRPr="00F76AFB">
        <w:rPr>
          <w:i/>
        </w:rPr>
        <w:t>ay</w:t>
      </w:r>
      <w:r w:rsidR="00AE6C07">
        <w:rPr>
          <w:i/>
        </w:rPr>
        <w:t xml:space="preserve"> (PRP)</w:t>
      </w:r>
      <w:r w:rsidR="00387C14" w:rsidRPr="00F76AFB">
        <w:rPr>
          <w:i/>
        </w:rPr>
        <w:t xml:space="preserve"> in European workplaces is </w:t>
      </w:r>
      <w:r w:rsidR="00387C14" w:rsidRPr="004E499A">
        <w:rPr>
          <w:i/>
        </w:rPr>
        <w:t>positively</w:t>
      </w:r>
      <w:r w:rsidR="00387C14" w:rsidRPr="00F76AFB">
        <w:rPr>
          <w:i/>
        </w:rPr>
        <w:t xml:space="preserve"> associated with productivity increases</w:t>
      </w:r>
      <w:r w:rsidR="00387C14" w:rsidRPr="00F76AFB">
        <w:t>.</w:t>
      </w:r>
    </w:p>
    <w:p w14:paraId="6410C743" w14:textId="74BA1CFC" w:rsidR="00020A8C" w:rsidRPr="00F76AFB" w:rsidRDefault="00B47485" w:rsidP="00020A8C">
      <w:r>
        <w:rPr>
          <w:b/>
        </w:rPr>
        <w:t>H</w:t>
      </w:r>
      <w:r w:rsidR="00020A8C" w:rsidRPr="00F76AFB">
        <w:rPr>
          <w:b/>
        </w:rPr>
        <w:t xml:space="preserve">5: </w:t>
      </w:r>
      <w:r w:rsidR="00AE6C07">
        <w:rPr>
          <w:i/>
        </w:rPr>
        <w:t>T</w:t>
      </w:r>
      <w:r w:rsidR="00020A8C" w:rsidRPr="00F76AFB">
        <w:rPr>
          <w:i/>
        </w:rPr>
        <w:t xml:space="preserve">eamwork in European workplaces is </w:t>
      </w:r>
      <w:r w:rsidR="00020A8C" w:rsidRPr="004E499A">
        <w:rPr>
          <w:i/>
        </w:rPr>
        <w:t>positively</w:t>
      </w:r>
      <w:r w:rsidR="00020A8C" w:rsidRPr="00F76AFB">
        <w:rPr>
          <w:i/>
        </w:rPr>
        <w:t xml:space="preserve"> associated with productivity increases</w:t>
      </w:r>
      <w:r w:rsidR="00020A8C" w:rsidRPr="00F76AFB">
        <w:t>.</w:t>
      </w:r>
    </w:p>
    <w:p w14:paraId="1CAC98CB" w14:textId="22F6F080" w:rsidR="00020A8C" w:rsidRPr="001C60A7" w:rsidRDefault="00B47485" w:rsidP="00020A8C">
      <w:r>
        <w:rPr>
          <w:b/>
        </w:rPr>
        <w:t>H</w:t>
      </w:r>
      <w:r w:rsidR="008E2594" w:rsidRPr="00F76AFB">
        <w:rPr>
          <w:b/>
        </w:rPr>
        <w:t xml:space="preserve">6: </w:t>
      </w:r>
      <w:r w:rsidR="00AE6C07">
        <w:rPr>
          <w:i/>
        </w:rPr>
        <w:t>T</w:t>
      </w:r>
      <w:r w:rsidR="008E2594" w:rsidRPr="00F76AFB">
        <w:rPr>
          <w:i/>
        </w:rPr>
        <w:t xml:space="preserve">raining in European workplaces is </w:t>
      </w:r>
      <w:r w:rsidR="008E2594" w:rsidRPr="004E499A">
        <w:rPr>
          <w:i/>
        </w:rPr>
        <w:t>positively</w:t>
      </w:r>
      <w:r w:rsidR="008E2594" w:rsidRPr="00F76AFB">
        <w:rPr>
          <w:i/>
        </w:rPr>
        <w:t xml:space="preserve"> associated with productivity increases</w:t>
      </w:r>
      <w:r w:rsidR="00F963FB">
        <w:rPr>
          <w:i/>
        </w:rPr>
        <w:t>.</w:t>
      </w:r>
    </w:p>
    <w:p w14:paraId="4ADD2108" w14:textId="5931E65E" w:rsidR="00441A60" w:rsidRPr="007B3C8F" w:rsidRDefault="004B4FEE" w:rsidP="00094028">
      <w:pPr>
        <w:pStyle w:val="Heading1"/>
      </w:pPr>
      <w:r w:rsidRPr="007B3C8F">
        <w:t xml:space="preserve">Data, </w:t>
      </w:r>
      <w:r w:rsidR="001C60A7">
        <w:t>v</w:t>
      </w:r>
      <w:r w:rsidRPr="007B3C8F">
        <w:t xml:space="preserve">ariables and </w:t>
      </w:r>
      <w:r w:rsidR="001C60A7">
        <w:t>m</w:t>
      </w:r>
      <w:r w:rsidRPr="007B3C8F">
        <w:t>ethods</w:t>
      </w:r>
    </w:p>
    <w:p w14:paraId="5D58024B" w14:textId="0A4CB1BC" w:rsidR="0005166F" w:rsidRDefault="004B4FEE" w:rsidP="0005166F">
      <w:pPr>
        <w:rPr>
          <w:rFonts w:eastAsia="MS Mincho" w:cs="Times New Roman"/>
        </w:rPr>
      </w:pPr>
      <w:r>
        <w:rPr>
          <w:rFonts w:eastAsia="MS Mincho" w:cs="Times New Roman"/>
        </w:rPr>
        <w:t xml:space="preserve">To test the hypotheses specified above, we use data from the 2009 European Company Survey (ECS), a survey of </w:t>
      </w:r>
      <w:r w:rsidR="00DF5779">
        <w:rPr>
          <w:rFonts w:eastAsia="MS Mincho" w:cs="Times New Roman"/>
        </w:rPr>
        <w:t>approx</w:t>
      </w:r>
      <w:r w:rsidR="00D737B6">
        <w:rPr>
          <w:rFonts w:eastAsia="MS Mincho" w:cs="Times New Roman"/>
        </w:rPr>
        <w:t>imately</w:t>
      </w:r>
      <w:r w:rsidR="00DF5779">
        <w:rPr>
          <w:rFonts w:eastAsia="MS Mincho" w:cs="Times New Roman"/>
        </w:rPr>
        <w:t xml:space="preserve"> </w:t>
      </w:r>
      <w:r w:rsidR="00767CB8" w:rsidRPr="00953A93">
        <w:t>27,</w:t>
      </w:r>
      <w:r w:rsidR="00515000">
        <w:t>000</w:t>
      </w:r>
      <w:r w:rsidR="00767CB8" w:rsidRPr="00953A93">
        <w:t xml:space="preserve"> establishments </w:t>
      </w:r>
      <w:r>
        <w:rPr>
          <w:rFonts w:eastAsia="MS Mincho" w:cs="Times New Roman"/>
        </w:rPr>
        <w:t>that took place between January and May 2009 across the whole EU-2</w:t>
      </w:r>
      <w:r w:rsidR="000A48FB">
        <w:rPr>
          <w:rFonts w:eastAsia="MS Mincho" w:cs="Times New Roman"/>
        </w:rPr>
        <w:t>8</w:t>
      </w:r>
      <w:r>
        <w:rPr>
          <w:rFonts w:eastAsia="MS Mincho" w:cs="Times New Roman"/>
        </w:rPr>
        <w:t xml:space="preserve"> (plus FYROM and Turkey). </w:t>
      </w:r>
      <w:r w:rsidR="00FC0FD2">
        <w:rPr>
          <w:rFonts w:eastAsia="MS Mincho" w:cs="Times New Roman"/>
        </w:rPr>
        <w:t xml:space="preserve">TNS </w:t>
      </w:r>
      <w:r w:rsidR="00FC0FD2" w:rsidRPr="00526CEF">
        <w:rPr>
          <w:rFonts w:eastAsia="MS Mincho" w:cs="Times New Roman"/>
          <w:i/>
        </w:rPr>
        <w:t>Infratest Sozialforschung</w:t>
      </w:r>
      <w:r w:rsidR="009E25BA">
        <w:rPr>
          <w:rFonts w:eastAsia="MS Mincho" w:cs="Times New Roman"/>
        </w:rPr>
        <w:t xml:space="preserve"> </w:t>
      </w:r>
      <w:r w:rsidR="00FC0FD2">
        <w:rPr>
          <w:rFonts w:eastAsia="MS Mincho" w:cs="Times New Roman"/>
        </w:rPr>
        <w:t>administered the survey</w:t>
      </w:r>
      <w:r w:rsidR="009E25BA">
        <w:rPr>
          <w:rFonts w:eastAsia="MS Mincho" w:cs="Times New Roman"/>
        </w:rPr>
        <w:t>, on behalf of the European Foundation</w:t>
      </w:r>
      <w:r>
        <w:rPr>
          <w:rFonts w:eastAsia="MS Mincho" w:cs="Times New Roman"/>
        </w:rPr>
        <w:t xml:space="preserve"> for the Improvement of</w:t>
      </w:r>
      <w:r w:rsidR="00137FC3">
        <w:rPr>
          <w:rFonts w:eastAsia="MS Mincho" w:cs="Times New Roman"/>
        </w:rPr>
        <w:t xml:space="preserve"> Living and Working Conditions</w:t>
      </w:r>
      <w:r w:rsidR="007F1FB5">
        <w:rPr>
          <w:rFonts w:eastAsia="MS Mincho" w:cs="Times New Roman"/>
        </w:rPr>
        <w:t xml:space="preserve"> </w:t>
      </w:r>
      <w:r w:rsidR="00137FC3">
        <w:rPr>
          <w:rFonts w:eastAsia="MS Mincho" w:cs="Times New Roman"/>
        </w:rPr>
        <w:fldChar w:fldCharType="begin"/>
      </w:r>
      <w:r w:rsidR="00137FC3">
        <w:rPr>
          <w:rFonts w:eastAsia="MS Mincho" w:cs="Times New Roman"/>
        </w:rPr>
        <w:instrText xml:space="preserve"> ADDIN ZOTERO_ITEM CSL_CITATION {"citationID":"17mphgfhai","properties":{"formattedCitation":"(Eurofound and TNS Infratest Sozialforschung, 2010)","plainCitation":"(Eurofound and TNS Infratest Sozialforschung, 2010)"},"citationItems":[{"id":1697,"uris":["http://zotero.org/users/local/xORFDKwB/items/I867KW7G"],"uri":["http://zotero.org/users/local/xORFDKwB/items/I867KW7G"],"itemData":{"id":1697,"type":"book","title":"European Company Survey, 2009 [computer file with dataset]","publisher":"UK Data Archive","publisher-place":"Colchester, Essex","event-place":"Colchester, Essex","shortTitle":"http://dx.doi.org/10.5255/UKDA-SN-6568-1","author":[{"family":"Eurofound","given":""},{"family":"TNS Infratest Sozialforschung","given":""}],"issued":{"date-parts":[["2010"]]}}}],"schema":"https://github.com/citation-style-language/schema/raw/master/csl-citation.json"} </w:instrText>
      </w:r>
      <w:r w:rsidR="00137FC3">
        <w:rPr>
          <w:rFonts w:eastAsia="MS Mincho" w:cs="Times New Roman"/>
        </w:rPr>
        <w:fldChar w:fldCharType="separate"/>
      </w:r>
      <w:r w:rsidR="00137FC3">
        <w:rPr>
          <w:rFonts w:eastAsia="MS Mincho" w:cs="Times New Roman"/>
          <w:noProof/>
        </w:rPr>
        <w:t>(Eurofound and TNS Infratest Sozialforschung, 2010)</w:t>
      </w:r>
      <w:r w:rsidR="00137FC3">
        <w:rPr>
          <w:rFonts w:eastAsia="MS Mincho" w:cs="Times New Roman"/>
        </w:rPr>
        <w:fldChar w:fldCharType="end"/>
      </w:r>
      <w:r w:rsidR="00897F58">
        <w:rPr>
          <w:rFonts w:eastAsia="MS Mincho" w:cs="Times New Roman"/>
        </w:rPr>
        <w:t xml:space="preserve"> and the</w:t>
      </w:r>
      <w:r w:rsidR="00897F58" w:rsidRPr="007F1FB5">
        <w:rPr>
          <w:rFonts w:eastAsia="MS Mincho" w:cs="Times New Roman"/>
        </w:rPr>
        <w:t xml:space="preserve"> ov</w:t>
      </w:r>
      <w:r w:rsidR="00897F58">
        <w:rPr>
          <w:rFonts w:eastAsia="MS Mincho" w:cs="Times New Roman"/>
        </w:rPr>
        <w:t>erview report was published on 30</w:t>
      </w:r>
      <w:r w:rsidR="00897F58" w:rsidRPr="007F1FB5">
        <w:rPr>
          <w:rFonts w:eastAsia="MS Mincho" w:cs="Times New Roman"/>
        </w:rPr>
        <w:t xml:space="preserve"> </w:t>
      </w:r>
      <w:r w:rsidR="00897F58">
        <w:rPr>
          <w:rFonts w:eastAsia="MS Mincho" w:cs="Times New Roman"/>
        </w:rPr>
        <w:t>May</w:t>
      </w:r>
      <w:r w:rsidR="00897F58" w:rsidRPr="007F1FB5">
        <w:rPr>
          <w:rFonts w:eastAsia="MS Mincho" w:cs="Times New Roman"/>
        </w:rPr>
        <w:t xml:space="preserve"> 201</w:t>
      </w:r>
      <w:r w:rsidR="00897F58">
        <w:rPr>
          <w:rFonts w:eastAsia="MS Mincho" w:cs="Times New Roman"/>
        </w:rPr>
        <w:t xml:space="preserve">1 </w:t>
      </w:r>
      <w:r w:rsidR="00897F58">
        <w:rPr>
          <w:rFonts w:eastAsia="MS Mincho" w:cs="Times New Roman"/>
        </w:rPr>
        <w:fldChar w:fldCharType="begin"/>
      </w:r>
      <w:r w:rsidR="00897F58">
        <w:rPr>
          <w:rFonts w:eastAsia="MS Mincho" w:cs="Times New Roman"/>
        </w:rPr>
        <w:instrText xml:space="preserve"> ADDIN ZOTERO_ITEM CSL_CITATION {"citationID":"2m8t0e3qo5","properties":{"formattedCitation":"(Eurofound et al., 2011)","plainCitation":"(Eurofound et al., 2011)"},"citationItems":[{"id":1676,"uris":["http://zotero.org/users/local/xORFDKwB/items/XT95RS9Q"],"uri":["http://zotero.org/users/local/xORFDKwB/items/XT95RS9Q"],"itemData":{"id":1676,"type":"book","title":"European Company Survey 2009: Overview","publisher":"Office for Official Publications of the European Communities","publisher-place":"Luxembourg","event-place":"Luxembourg","author":[{"family":"Eurofound","given":""},{"family":"Riedmann","given":"Arnold"},{"family":"Van Gyes","given":"Guy"},{"family":"Román","given":"Amelia"},{"family":"Kerkhofs","given":"Marcel"},{"family":"Bechmann","given":"Sebastian"}],"issued":{"date-parts":[["2011"]]}}}],"schema":"https://github.com/citation-style-language/schema/raw/master/csl-citation.json"} </w:instrText>
      </w:r>
      <w:r w:rsidR="00897F58">
        <w:rPr>
          <w:rFonts w:eastAsia="MS Mincho" w:cs="Times New Roman"/>
        </w:rPr>
        <w:fldChar w:fldCharType="separate"/>
      </w:r>
      <w:r w:rsidR="00897F58">
        <w:rPr>
          <w:rFonts w:eastAsia="MS Mincho" w:cs="Times New Roman"/>
          <w:noProof/>
        </w:rPr>
        <w:t>(Eurofound et al., 2011)</w:t>
      </w:r>
      <w:r w:rsidR="00897F58">
        <w:rPr>
          <w:rFonts w:eastAsia="MS Mincho" w:cs="Times New Roman"/>
        </w:rPr>
        <w:fldChar w:fldCharType="end"/>
      </w:r>
      <w:r>
        <w:rPr>
          <w:rFonts w:eastAsia="MS Mincho" w:cs="Times New Roman"/>
        </w:rPr>
        <w:t>.</w:t>
      </w:r>
    </w:p>
    <w:p w14:paraId="1BABC4A6" w14:textId="145CD5CF" w:rsidR="004B4FEE" w:rsidRPr="00BF04D6" w:rsidRDefault="004B4FEE" w:rsidP="0005166F">
      <w:pPr>
        <w:ind w:firstLine="567"/>
        <w:rPr>
          <w:rFonts w:eastAsia="MS Mincho" w:cs="Times New Roman"/>
        </w:rPr>
      </w:pPr>
      <w:r>
        <w:rPr>
          <w:rFonts w:eastAsia="MS Mincho" w:cs="Times New Roman"/>
        </w:rPr>
        <w:t xml:space="preserve">By design, the universe for the survey only includes establishments with 10 or more employees, while it excludes workplaces in </w:t>
      </w:r>
      <w:r w:rsidR="00DF5779">
        <w:rPr>
          <w:rFonts w:eastAsia="MS Mincho" w:cs="Times New Roman"/>
        </w:rPr>
        <w:t>Agriculture, Forestry and Fishing (NACE Rev. 1.1 A and B), Private Households (P) and Extraterritorial Organizations (Q)</w:t>
      </w:r>
      <w:r>
        <w:rPr>
          <w:rFonts w:eastAsia="MS Mincho" w:cs="Times New Roman"/>
        </w:rPr>
        <w:t xml:space="preserve">. In our analysis, we focus our attention only to </w:t>
      </w:r>
      <w:r w:rsidRPr="009B654F">
        <w:rPr>
          <w:rFonts w:eastAsia="MS Mincho" w:cs="Times New Roman"/>
          <w:i/>
        </w:rPr>
        <w:t>private</w:t>
      </w:r>
      <w:r>
        <w:rPr>
          <w:rFonts w:eastAsia="MS Mincho" w:cs="Times New Roman"/>
        </w:rPr>
        <w:t xml:space="preserve"> sector workplaces in the </w:t>
      </w:r>
      <w:r w:rsidR="00113E90">
        <w:rPr>
          <w:rFonts w:eastAsia="MS Mincho" w:cs="Times New Roman"/>
        </w:rPr>
        <w:t>EU-1</w:t>
      </w:r>
      <w:r w:rsidR="009B654F">
        <w:rPr>
          <w:rFonts w:eastAsia="MS Mincho" w:cs="Times New Roman"/>
        </w:rPr>
        <w:t>5</w:t>
      </w:r>
      <w:r>
        <w:rPr>
          <w:rFonts w:eastAsia="MS Mincho" w:cs="Times New Roman"/>
        </w:rPr>
        <w:t xml:space="preserve"> countries</w:t>
      </w:r>
      <w:r w:rsidR="000D46F6">
        <w:rPr>
          <w:rFonts w:eastAsia="MS Mincho" w:cs="Times New Roman"/>
        </w:rPr>
        <w:t xml:space="preserve">. </w:t>
      </w:r>
      <w:r>
        <w:rPr>
          <w:rFonts w:eastAsia="MS Mincho" w:cs="Times New Roman"/>
        </w:rPr>
        <w:t xml:space="preserve">Since the sampling method used leads to an over-representation of larger </w:t>
      </w:r>
      <w:r w:rsidRPr="00BF04D6">
        <w:rPr>
          <w:rFonts w:eastAsia="MS Mincho" w:cs="Times New Roman"/>
        </w:rPr>
        <w:t xml:space="preserve">workplaces and those in smaller industries and countries in the final sample </w:t>
      </w:r>
      <w:r w:rsidR="00AA0C4B">
        <w:rPr>
          <w:rFonts w:eastAsia="MS Mincho" w:cs="Times New Roman"/>
        </w:rPr>
        <w:fldChar w:fldCharType="begin"/>
      </w:r>
      <w:r w:rsidR="00AA0C4B">
        <w:rPr>
          <w:rFonts w:eastAsia="MS Mincho" w:cs="Times New Roman"/>
        </w:rPr>
        <w:instrText xml:space="preserve"> ADDIN ZOTERO_ITEM CSL_CITATION {"citationID":"17mnb8o5lg","properties":{"formattedCitation":"(Bryson et al., 2012)","plainCitation":"(Bryson et al., 2012)"},"citationItems":[{"id":1699,"uris":["http://zotero.org/users/local/xORFDKwB/items/VJ5RSWCW"],"uri":["http://zotero.org/users/local/xORFDKwB/items/VJ5RSWCW"],"itemData":{"id":1699,"type":"book","title":"Workplace Employee Representation in Europe","publisher":"Eurofound","publisher-place":"Dublin","event-place":"Dublin","author":[{"family":"Bryson","given":"Alex"},{"family":"Forth","given":"John"},{"family":"George","given":"A"}],"issued":{"date-parts":[["2012"]]}}}],"schema":"https://github.com/citation-style-language/schema/raw/master/csl-citation.json"} </w:instrText>
      </w:r>
      <w:r w:rsidR="00AA0C4B">
        <w:rPr>
          <w:rFonts w:eastAsia="MS Mincho" w:cs="Times New Roman"/>
        </w:rPr>
        <w:fldChar w:fldCharType="separate"/>
      </w:r>
      <w:r w:rsidR="00AA0C4B">
        <w:rPr>
          <w:rFonts w:eastAsia="MS Mincho" w:cs="Times New Roman"/>
          <w:noProof/>
        </w:rPr>
        <w:t>(Bryson et al., 2012)</w:t>
      </w:r>
      <w:r w:rsidR="00AA0C4B">
        <w:rPr>
          <w:rFonts w:eastAsia="MS Mincho" w:cs="Times New Roman"/>
        </w:rPr>
        <w:fldChar w:fldCharType="end"/>
      </w:r>
      <w:r w:rsidRPr="00BF04D6">
        <w:rPr>
          <w:rFonts w:eastAsia="MS Mincho" w:cs="Times New Roman"/>
        </w:rPr>
        <w:t>, establishment weights that are provided with the dataset are used throughout our analysis.</w:t>
      </w:r>
      <w:r w:rsidR="00EA1EB8" w:rsidRPr="00BF04D6">
        <w:rPr>
          <w:rFonts w:eastAsia="MS Mincho" w:cs="Times New Roman"/>
        </w:rPr>
        <w:t xml:space="preserve"> </w:t>
      </w:r>
      <w:r w:rsidR="00C40563">
        <w:rPr>
          <w:rFonts w:eastAsia="MS Mincho" w:cs="Times New Roman"/>
        </w:rPr>
        <w:t>M</w:t>
      </w:r>
      <w:r w:rsidR="007777D3" w:rsidRPr="007777D3">
        <w:rPr>
          <w:rFonts w:eastAsia="MS Mincho" w:cs="Times New Roman"/>
        </w:rPr>
        <w:t xml:space="preserve">ore technical details about the survey </w:t>
      </w:r>
      <w:r w:rsidR="00C40563">
        <w:rPr>
          <w:rFonts w:eastAsia="MS Mincho" w:cs="Times New Roman"/>
        </w:rPr>
        <w:t>can be found in</w:t>
      </w:r>
      <w:r w:rsidR="007777D3" w:rsidRPr="007777D3">
        <w:rPr>
          <w:rFonts w:eastAsia="MS Mincho" w:cs="Times New Roman"/>
        </w:rPr>
        <w:t xml:space="preserve"> its Technical Report</w:t>
      </w:r>
      <w:r w:rsidR="003A2F38">
        <w:rPr>
          <w:rFonts w:eastAsia="MS Mincho" w:cs="Times New Roman"/>
        </w:rPr>
        <w:t xml:space="preserve"> </w:t>
      </w:r>
      <w:r w:rsidR="003A2F38">
        <w:rPr>
          <w:rFonts w:eastAsia="MS Mincho" w:cs="Times New Roman"/>
        </w:rPr>
        <w:fldChar w:fldCharType="begin"/>
      </w:r>
      <w:r w:rsidR="003A2F38">
        <w:rPr>
          <w:rFonts w:eastAsia="MS Mincho" w:cs="Times New Roman"/>
        </w:rPr>
        <w:instrText xml:space="preserve"> ADDIN ZOTERO_ITEM CSL_CITATION {"citationID":"mkrocs8dr","properties":{"formattedCitation":"(Riedmann et al., 2009)","plainCitation":"(Riedmann et al., 2009)"},"citationItems":[{"id":1701,"uris":["http://zotero.org/users/local/xORFDKwB/items/5DMVICHG"],"uri":["http://zotero.org/users/local/xORFDKwB/items/5DMVICHG"],"itemData":{"id":1701,"type":"book","title":"European Company Survey (ECS 2009) – Technical Report: Methodology, Questionnaire Development and Fieldwork","publisher":"TNS Infratest Sozialforschung","publisher-place":"Munich","event-place":"Munich","author":[{"family":"Riedmann","given":"Arnold"},{"family":"Van Gyes","given":"Guy"},{"family":"Román","given":"Amelia"},{"family":"Kerkhofs","given":"Marcel"},{"family":"Bechmann","given":"Sebastian"}],"issued":{"date-parts":[["2009"]]}}}],"schema":"https://github.com/citation-style-language/schema/raw/master/csl-citation.json"} </w:instrText>
      </w:r>
      <w:r w:rsidR="003A2F38">
        <w:rPr>
          <w:rFonts w:eastAsia="MS Mincho" w:cs="Times New Roman"/>
        </w:rPr>
        <w:fldChar w:fldCharType="separate"/>
      </w:r>
      <w:r w:rsidR="003A2F38">
        <w:rPr>
          <w:rFonts w:eastAsia="MS Mincho" w:cs="Times New Roman"/>
          <w:noProof/>
        </w:rPr>
        <w:t>(Riedmann et al., 2009)</w:t>
      </w:r>
      <w:r w:rsidR="003A2F38">
        <w:rPr>
          <w:rFonts w:eastAsia="MS Mincho" w:cs="Times New Roman"/>
        </w:rPr>
        <w:fldChar w:fldCharType="end"/>
      </w:r>
      <w:r w:rsidR="007777D3" w:rsidRPr="007777D3">
        <w:rPr>
          <w:rFonts w:eastAsia="MS Mincho" w:cs="Times New Roman"/>
        </w:rPr>
        <w:t>.</w:t>
      </w:r>
    </w:p>
    <w:p w14:paraId="716A74C6" w14:textId="74212B31" w:rsidR="003036C6" w:rsidRDefault="004B4FEE" w:rsidP="0076098A">
      <w:pPr>
        <w:ind w:firstLine="567"/>
        <w:rPr>
          <w:rFonts w:eastAsia="MS Mincho" w:cs="Times New Roman"/>
        </w:rPr>
      </w:pPr>
      <w:r w:rsidRPr="00BF04D6">
        <w:rPr>
          <w:rFonts w:eastAsia="MS Mincho" w:cs="Times New Roman"/>
        </w:rPr>
        <w:t>In all establishments, an interview was conducted with a management representative responsible for personnel. This interview provides a wealth of information concerning workplace and workforce characteristics, collective bargaining and employee representation</w:t>
      </w:r>
      <w:r w:rsidRPr="00EA605F">
        <w:rPr>
          <w:rFonts w:eastAsia="MS Mincho" w:cs="Times New Roman"/>
        </w:rPr>
        <w:t xml:space="preserve">, HRM/work organization practices and subjective measures of workplace performance. </w:t>
      </w:r>
    </w:p>
    <w:p w14:paraId="599381B6" w14:textId="136DB5DB" w:rsidR="004B4FEE" w:rsidRPr="001C60A7" w:rsidRDefault="00DB02BD" w:rsidP="0076098A">
      <w:pPr>
        <w:ind w:firstLine="567"/>
      </w:pPr>
      <w:r w:rsidRPr="00EA605F">
        <w:rPr>
          <w:rFonts w:eastAsia="MS Mincho" w:cs="Times New Roman"/>
        </w:rPr>
        <w:t xml:space="preserve">Following the classification in the </w:t>
      </w:r>
      <w:r w:rsidR="003036C6">
        <w:rPr>
          <w:rFonts w:eastAsia="MS Mincho" w:cs="Times New Roman"/>
        </w:rPr>
        <w:t>m</w:t>
      </w:r>
      <w:r w:rsidR="003357AE">
        <w:rPr>
          <w:rFonts w:eastAsia="MS Mincho" w:cs="Times New Roman"/>
        </w:rPr>
        <w:t>odels</w:t>
      </w:r>
      <w:r w:rsidR="003357AE" w:rsidRPr="00EA605F">
        <w:rPr>
          <w:rFonts w:eastAsia="MS Mincho" w:cs="Times New Roman"/>
        </w:rPr>
        <w:t xml:space="preserve"> </w:t>
      </w:r>
      <w:r w:rsidRPr="00EA605F">
        <w:rPr>
          <w:rFonts w:eastAsia="MS Mincho" w:cs="Times New Roman"/>
        </w:rPr>
        <w:t xml:space="preserve">of </w:t>
      </w:r>
      <w:r w:rsidR="003036C6">
        <w:rPr>
          <w:rFonts w:eastAsia="MS Mincho" w:cs="Times New Roman"/>
        </w:rPr>
        <w:t>c</w:t>
      </w:r>
      <w:r w:rsidR="003036C6" w:rsidRPr="00EA605F">
        <w:rPr>
          <w:rFonts w:eastAsia="MS Mincho" w:cs="Times New Roman"/>
        </w:rPr>
        <w:t>apitalism</w:t>
      </w:r>
      <w:r w:rsidR="00A350E9">
        <w:rPr>
          <w:rFonts w:eastAsia="MS Mincho" w:cs="Times New Roman"/>
        </w:rPr>
        <w:t xml:space="preserve"> literature</w:t>
      </w:r>
      <w:r w:rsidR="003036C6" w:rsidRPr="00EA605F">
        <w:rPr>
          <w:rFonts w:eastAsia="MS Mincho" w:cs="Times New Roman"/>
        </w:rPr>
        <w:t xml:space="preserve"> </w:t>
      </w:r>
      <w:r w:rsidRPr="00EA605F">
        <w:rPr>
          <w:rFonts w:eastAsia="MS Mincho" w:cs="Times New Roman"/>
        </w:rPr>
        <w:fldChar w:fldCharType="begin"/>
      </w:r>
      <w:r w:rsidR="003036C6">
        <w:rPr>
          <w:rFonts w:eastAsia="MS Mincho" w:cs="Times New Roman"/>
        </w:rPr>
        <w:instrText xml:space="preserve"> ADDIN ZOTERO_ITEM CSL_CITATION {"citationID":"M6XPzdBg","properties":{"formattedCitation":"(Amable, 2003; Becker, 2009)","plainCitation":"(Amable, 2003; Becker, 2009)"},"citationItems":[{"id":22,"uris":["http://zotero.org/users/local/xORFDKwB/items/8JD64DDK"],"uri":["http://zotero.org/users/local/xORFDKwB/items/8JD64DDK"],"itemData":{"id":22,"type":"book","title":"The Diversity of Modern Capitalism","publisher":"Oxford University Press","publisher-place":"Oxford","event-place":"Oxford","shortTitle":"Diversity of Modern Capitalism","author":[{"family":"Amable","given":"Bruno"}],"issued":{"date-parts":[["2003"]]}}},{"id":109,"uris":["http://zotero.org/users/local/xORFDKwB/items/IVWW4CDU"],"uri":["http://zotero.org/users/local/xORFDKwB/items/IVWW4CDU"],"itemData":{"id":109,"type":"book","title":"Open Varieties of Capitalism: Continuity, Change and Performances","publisher":"Palgrave Macmillan","publisher-place":"Basingstoke","event-place":"Basingstoke","author":[{"family":"Becker","given":"Uwe"}],"issued":{"date-parts":[["2009"]]}}}],"schema":"https://github.com/citation-style-language/schema/raw/master/csl-citation.json"} </w:instrText>
      </w:r>
      <w:r w:rsidRPr="00EA605F">
        <w:rPr>
          <w:rFonts w:eastAsia="MS Mincho" w:cs="Times New Roman"/>
        </w:rPr>
        <w:fldChar w:fldCharType="separate"/>
      </w:r>
      <w:r w:rsidR="003036C6">
        <w:rPr>
          <w:lang w:val="en-US"/>
        </w:rPr>
        <w:t>(Amable, 2003; Becker, 2009)</w:t>
      </w:r>
      <w:r w:rsidRPr="00EA605F">
        <w:rPr>
          <w:rFonts w:eastAsia="MS Mincho" w:cs="Times New Roman"/>
        </w:rPr>
        <w:fldChar w:fldCharType="end"/>
      </w:r>
      <w:r w:rsidRPr="00EA605F">
        <w:rPr>
          <w:rFonts w:eastAsia="MS Mincho" w:cs="Times New Roman"/>
        </w:rPr>
        <w:t xml:space="preserve"> and the </w:t>
      </w:r>
      <w:r w:rsidR="003036C6">
        <w:rPr>
          <w:rFonts w:eastAsia="MS Mincho" w:cs="Times New Roman"/>
        </w:rPr>
        <w:t>industrial relations regimes</w:t>
      </w:r>
      <w:r w:rsidR="00A350E9">
        <w:rPr>
          <w:rFonts w:eastAsia="MS Mincho" w:cs="Times New Roman"/>
        </w:rPr>
        <w:t xml:space="preserve"> literature</w:t>
      </w:r>
      <w:r w:rsidR="00AA0C4B">
        <w:rPr>
          <w:rFonts w:eastAsia="MS Mincho" w:cs="Times New Roman"/>
        </w:rPr>
        <w:t xml:space="preserve"> </w:t>
      </w:r>
      <w:r w:rsidR="00AA0C4B">
        <w:rPr>
          <w:rFonts w:eastAsia="MS Mincho" w:cs="Times New Roman"/>
        </w:rPr>
        <w:fldChar w:fldCharType="begin"/>
      </w:r>
      <w:r w:rsidR="003036C6">
        <w:rPr>
          <w:rFonts w:eastAsia="MS Mincho" w:cs="Times New Roman"/>
        </w:rPr>
        <w:instrText xml:space="preserve"> ADDIN ZOTERO_ITEM CSL_CITATION {"citationID":"xjX7GrUY","properties":{"formattedCitation":"(Gumbrell-McGormick and Hyman, 2013; Hyman, 2004)","plainCitation":"(Gumbrell-McGormick and Hyman, 2013; Hyman, 2004)"},"citationItems":[{"id":1680,"uris":["http://zotero.org/users/local/xORFDKwB/items/NM7C7AF5"],"uri":["http://zotero.org/users/local/xORFDKwB/items/NM7C7AF5"],"itemData":{"id":1680,"type":"book","title":"Trade Unions in Western Europe: Hard Times, Hard Choices","publisher":"Oxford University Press","publisher-place":"Oxford","event-place":"Oxford","author":[{"family":"Gumbrell-McGormick","given":"Rebecca"},{"family":"Hyman","given":"Richard"}],"issued":{"date-parts":[["2013"]]}}},{"id":713,"uris":["http://zotero.org/users/local/xORFDKwB/items/XBM7HCG4"],"uri":["http://zotero.org/users/local/xORFDKwB/items/XBM7HCG4"],"itemData":{"id":713,"type":"chapter","title":"Varieties of Capitalism, National Industrial Relations Systems and Transnational Challenges","container-title":"International Human Resource Management.","publisher":"Sage","publisher-place":"London","page":"411-432","event-place":"London","author":[{"family":"Hyman","given":"Richard"}],"editor":[{"family":"Harzing","given":"Anne-Wil"},{"family":"van Ruysseveldt","given":"Joris"}],"issued":{"date-parts":[["2004"]]}}}],"schema":"https://github.com/citation-style-language/schema/raw/master/csl-citation.json"} </w:instrText>
      </w:r>
      <w:r w:rsidR="00AA0C4B">
        <w:rPr>
          <w:rFonts w:eastAsia="MS Mincho" w:cs="Times New Roman"/>
        </w:rPr>
        <w:fldChar w:fldCharType="separate"/>
      </w:r>
      <w:r w:rsidR="003036C6">
        <w:rPr>
          <w:rFonts w:eastAsia="MS Mincho" w:cs="Times New Roman"/>
          <w:noProof/>
        </w:rPr>
        <w:t>(Gumbrell-McGormick and Hyman, 2013; Hyman, 2004)</w:t>
      </w:r>
      <w:r w:rsidR="00AA0C4B">
        <w:rPr>
          <w:rFonts w:eastAsia="MS Mincho" w:cs="Times New Roman"/>
        </w:rPr>
        <w:fldChar w:fldCharType="end"/>
      </w:r>
      <w:r w:rsidRPr="00EA605F">
        <w:rPr>
          <w:rFonts w:eastAsia="MS Mincho" w:cs="Times New Roman"/>
        </w:rPr>
        <w:t xml:space="preserve">, we </w:t>
      </w:r>
      <w:r w:rsidR="003357AE">
        <w:rPr>
          <w:rFonts w:eastAsia="MS Mincho" w:cs="Times New Roman"/>
        </w:rPr>
        <w:t>categorize</w:t>
      </w:r>
      <w:r w:rsidR="003357AE" w:rsidRPr="00EA605F">
        <w:rPr>
          <w:rFonts w:eastAsia="MS Mincho" w:cs="Times New Roman"/>
        </w:rPr>
        <w:t xml:space="preserve"> </w:t>
      </w:r>
      <w:r w:rsidRPr="00EA605F">
        <w:rPr>
          <w:rFonts w:eastAsia="MS Mincho" w:cs="Times New Roman"/>
        </w:rPr>
        <w:t xml:space="preserve">the EU-15 countries in four clusters: the </w:t>
      </w:r>
      <w:r w:rsidRPr="006E23BC">
        <w:rPr>
          <w:rFonts w:eastAsia="MS Mincho" w:cs="Times New Roman"/>
          <w:i/>
        </w:rPr>
        <w:t>Southern</w:t>
      </w:r>
      <w:r w:rsidRPr="0005166F">
        <w:rPr>
          <w:rFonts w:eastAsia="MS Mincho" w:cs="Times New Roman"/>
          <w:b/>
        </w:rPr>
        <w:t xml:space="preserve"> </w:t>
      </w:r>
      <w:r w:rsidRPr="00211C6B">
        <w:rPr>
          <w:rFonts w:eastAsia="MS Mincho" w:cs="Times New Roman"/>
        </w:rPr>
        <w:t>countries</w:t>
      </w:r>
      <w:r w:rsidRPr="00EA605F">
        <w:rPr>
          <w:rFonts w:eastAsia="MS Mincho" w:cs="Times New Roman"/>
        </w:rPr>
        <w:t xml:space="preserve"> (</w:t>
      </w:r>
      <w:r w:rsidR="005E41CE" w:rsidRPr="00EA605F">
        <w:rPr>
          <w:rFonts w:eastAsia="MS Mincho" w:cs="Times New Roman"/>
        </w:rPr>
        <w:t>Greece,</w:t>
      </w:r>
      <w:r w:rsidR="00D12172" w:rsidRPr="00EA605F">
        <w:rPr>
          <w:rFonts w:eastAsia="MS Mincho" w:cs="Times New Roman"/>
        </w:rPr>
        <w:t xml:space="preserve"> Portugal, </w:t>
      </w:r>
      <w:r w:rsidR="00556E16" w:rsidRPr="00EA605F">
        <w:rPr>
          <w:rFonts w:eastAsia="MS Mincho" w:cs="Times New Roman"/>
        </w:rPr>
        <w:t>Italy</w:t>
      </w:r>
      <w:r w:rsidR="005E41CE" w:rsidRPr="00EA605F">
        <w:rPr>
          <w:rFonts w:eastAsia="MS Mincho" w:cs="Times New Roman"/>
        </w:rPr>
        <w:t xml:space="preserve"> </w:t>
      </w:r>
      <w:r w:rsidR="00FB5F07" w:rsidRPr="00EA605F">
        <w:rPr>
          <w:rFonts w:eastAsia="MS Mincho" w:cs="Times New Roman"/>
        </w:rPr>
        <w:t>and France</w:t>
      </w:r>
      <w:r w:rsidRPr="00EA605F">
        <w:rPr>
          <w:rFonts w:eastAsia="MS Mincho" w:cs="Times New Roman"/>
        </w:rPr>
        <w:t>)</w:t>
      </w:r>
      <w:r w:rsidR="009F69E3">
        <w:rPr>
          <w:rStyle w:val="EndnoteReference"/>
          <w:rFonts w:eastAsia="MS Mincho" w:cs="Times New Roman"/>
        </w:rPr>
        <w:endnoteReference w:id="2"/>
      </w:r>
      <w:r w:rsidR="00EA1EB8" w:rsidRPr="00EA605F">
        <w:rPr>
          <w:rFonts w:eastAsia="MS Mincho" w:cs="Times New Roman"/>
        </w:rPr>
        <w:t>,</w:t>
      </w:r>
      <w:r w:rsidRPr="00EA605F">
        <w:rPr>
          <w:rFonts w:eastAsia="MS Mincho" w:cs="Times New Roman"/>
        </w:rPr>
        <w:t xml:space="preserve"> the </w:t>
      </w:r>
      <w:r w:rsidR="000F6C34" w:rsidRPr="006E23BC">
        <w:rPr>
          <w:rFonts w:eastAsia="MS Mincho" w:cs="Times New Roman"/>
          <w:i/>
        </w:rPr>
        <w:t>Continental</w:t>
      </w:r>
      <w:r w:rsidR="000F6C34" w:rsidRPr="00EA605F">
        <w:rPr>
          <w:rFonts w:eastAsia="MS Mincho" w:cs="Times New Roman"/>
        </w:rPr>
        <w:t xml:space="preserve"> </w:t>
      </w:r>
      <w:r w:rsidRPr="00EA605F">
        <w:rPr>
          <w:rFonts w:eastAsia="MS Mincho" w:cs="Times New Roman"/>
        </w:rPr>
        <w:t>countries (</w:t>
      </w:r>
      <w:r w:rsidR="004B4FEE" w:rsidRPr="00EA605F">
        <w:rPr>
          <w:rFonts w:eastAsia="MS Mincho" w:cs="Times New Roman"/>
        </w:rPr>
        <w:t>Austria, Belgium, Germany,</w:t>
      </w:r>
      <w:r w:rsidR="00550B32" w:rsidRPr="00EA605F">
        <w:rPr>
          <w:rFonts w:eastAsia="MS Mincho" w:cs="Times New Roman"/>
        </w:rPr>
        <w:t xml:space="preserve"> </w:t>
      </w:r>
      <w:r w:rsidR="00556E16" w:rsidRPr="00EA605F">
        <w:rPr>
          <w:rFonts w:eastAsia="MS Mincho" w:cs="Times New Roman"/>
        </w:rPr>
        <w:t>Luxembourg,</w:t>
      </w:r>
      <w:r w:rsidRPr="00EA605F">
        <w:rPr>
          <w:rFonts w:eastAsia="MS Mincho" w:cs="Times New Roman"/>
        </w:rPr>
        <w:t xml:space="preserve"> and the Netherlands</w:t>
      </w:r>
      <w:r w:rsidRPr="008226B0">
        <w:rPr>
          <w:rFonts w:eastAsia="MS Mincho" w:cs="Times New Roman"/>
        </w:rPr>
        <w:t xml:space="preserve">), the </w:t>
      </w:r>
      <w:r w:rsidRPr="006E23BC">
        <w:rPr>
          <w:rFonts w:eastAsia="MS Mincho" w:cs="Times New Roman"/>
          <w:i/>
        </w:rPr>
        <w:t>Nord</w:t>
      </w:r>
      <w:r w:rsidR="008226B0" w:rsidRPr="006E23BC">
        <w:rPr>
          <w:rFonts w:eastAsia="MS Mincho" w:cs="Times New Roman"/>
          <w:i/>
        </w:rPr>
        <w:t>ic</w:t>
      </w:r>
      <w:r w:rsidR="008226B0">
        <w:rPr>
          <w:rFonts w:eastAsia="MS Mincho" w:cs="Times New Roman"/>
        </w:rPr>
        <w:t xml:space="preserve"> countries (</w:t>
      </w:r>
      <w:r w:rsidR="004B4FEE" w:rsidRPr="008226B0">
        <w:rPr>
          <w:rFonts w:eastAsia="MS Mincho" w:cs="Times New Roman"/>
        </w:rPr>
        <w:t>Denmark, Finland and Sweden</w:t>
      </w:r>
      <w:r w:rsidRPr="008226B0">
        <w:rPr>
          <w:rFonts w:eastAsia="MS Mincho" w:cs="Times New Roman"/>
        </w:rPr>
        <w:t>)</w:t>
      </w:r>
      <w:r w:rsidR="00550B32" w:rsidRPr="008226B0">
        <w:rPr>
          <w:rFonts w:eastAsia="MS Mincho" w:cs="Times New Roman"/>
        </w:rPr>
        <w:t xml:space="preserve">; and </w:t>
      </w:r>
      <w:r w:rsidR="00D86DDF">
        <w:rPr>
          <w:rFonts w:eastAsia="MS Mincho" w:cs="Times New Roman"/>
        </w:rPr>
        <w:t xml:space="preserve">the </w:t>
      </w:r>
      <w:r w:rsidRPr="006E23BC">
        <w:rPr>
          <w:rFonts w:eastAsia="MS Mincho" w:cs="Times New Roman"/>
          <w:i/>
        </w:rPr>
        <w:t>Liberal</w:t>
      </w:r>
      <w:r w:rsidRPr="0005166F">
        <w:rPr>
          <w:rFonts w:eastAsia="MS Mincho" w:cs="Times New Roman"/>
          <w:b/>
        </w:rPr>
        <w:t xml:space="preserve"> </w:t>
      </w:r>
      <w:r w:rsidRPr="008226B0">
        <w:rPr>
          <w:rFonts w:eastAsia="MS Mincho" w:cs="Times New Roman"/>
        </w:rPr>
        <w:t>countries (</w:t>
      </w:r>
      <w:r w:rsidR="004B4FEE" w:rsidRPr="008226B0">
        <w:rPr>
          <w:rFonts w:eastAsia="MS Mincho" w:cs="Times New Roman"/>
        </w:rPr>
        <w:t>Ireland and the UK</w:t>
      </w:r>
      <w:r w:rsidRPr="008226B0">
        <w:rPr>
          <w:rFonts w:eastAsia="MS Mincho" w:cs="Times New Roman"/>
        </w:rPr>
        <w:t>)</w:t>
      </w:r>
      <w:r w:rsidR="00B43C85" w:rsidRPr="008226B0">
        <w:rPr>
          <w:rFonts w:eastAsia="MS Mincho" w:cs="Times New Roman"/>
        </w:rPr>
        <w:t>.</w:t>
      </w:r>
    </w:p>
    <w:p w14:paraId="620FD18E" w14:textId="0C4FF385" w:rsidR="00C36C20" w:rsidRPr="00C36C20" w:rsidRDefault="00094028" w:rsidP="00094028">
      <w:pPr>
        <w:pStyle w:val="Heading2"/>
      </w:pPr>
      <w:r>
        <w:t>Dependent v</w:t>
      </w:r>
      <w:r w:rsidR="00CC7EE9">
        <w:t>ariable</w:t>
      </w:r>
    </w:p>
    <w:p w14:paraId="0AE408A6" w14:textId="7BDC6941" w:rsidR="004B4FEE" w:rsidRDefault="00EE59CD" w:rsidP="0076098A">
      <w:pPr>
        <w:ind w:firstLine="567"/>
        <w:rPr>
          <w:rFonts w:eastAsia="MS Mincho" w:cs="Times New Roman"/>
        </w:rPr>
      </w:pPr>
      <w:r>
        <w:rPr>
          <w:rFonts w:eastAsia="MS Mincho" w:cs="Times New Roman"/>
        </w:rPr>
        <w:t>T</w:t>
      </w:r>
      <w:r w:rsidR="004B4FEE">
        <w:rPr>
          <w:rFonts w:eastAsia="MS Mincho" w:cs="Times New Roman"/>
        </w:rPr>
        <w:t xml:space="preserve">he dependent variable comes from the </w:t>
      </w:r>
      <w:r w:rsidR="006E3C27">
        <w:rPr>
          <w:rFonts w:eastAsia="MS Mincho" w:cs="Times New Roman"/>
        </w:rPr>
        <w:t>‘</w:t>
      </w:r>
      <w:r w:rsidR="004B4FEE">
        <w:rPr>
          <w:rFonts w:eastAsia="MS Mincho" w:cs="Times New Roman"/>
        </w:rPr>
        <w:t>Performance and Productivity Indicators</w:t>
      </w:r>
      <w:r w:rsidR="006E3C27">
        <w:rPr>
          <w:rFonts w:eastAsia="MS Mincho" w:cs="Times New Roman"/>
        </w:rPr>
        <w:t>’</w:t>
      </w:r>
      <w:r w:rsidR="004B4FEE">
        <w:rPr>
          <w:rFonts w:eastAsia="MS Mincho" w:cs="Times New Roman"/>
        </w:rPr>
        <w:t xml:space="preserve"> section of the management questionnaire</w:t>
      </w:r>
      <w:r>
        <w:rPr>
          <w:rFonts w:eastAsia="MS Mincho" w:cs="Times New Roman"/>
        </w:rPr>
        <w:t xml:space="preserve"> and</w:t>
      </w:r>
      <w:r w:rsidR="004B4FEE">
        <w:rPr>
          <w:rFonts w:eastAsia="MS Mincho" w:cs="Times New Roman"/>
        </w:rPr>
        <w:t xml:space="preserve"> the following question: </w:t>
      </w:r>
    </w:p>
    <w:p w14:paraId="6B4A912E" w14:textId="0DBE085D" w:rsidR="004B4FEE" w:rsidRDefault="008E3A5A" w:rsidP="00820EA0">
      <w:pPr>
        <w:ind w:left="567"/>
        <w:rPr>
          <w:rFonts w:eastAsia="MS Mincho" w:cs="Times New Roman"/>
        </w:rPr>
      </w:pPr>
      <w:r>
        <w:rPr>
          <w:rFonts w:eastAsia="MS Mincho" w:cs="Times New Roman"/>
        </w:rPr>
        <w:t>‘</w:t>
      </w:r>
      <w:r w:rsidR="004B4FEE" w:rsidRPr="0045419B">
        <w:rPr>
          <w:rFonts w:eastAsia="MS Mincho" w:cs="Times New Roman"/>
          <w:i/>
        </w:rPr>
        <w:t xml:space="preserve">And if you compare your establishment’s current labour productivity to the situation 3 years ago: Has it increased considerably, has it slightly increased, has it remained about the same </w:t>
      </w:r>
      <w:r w:rsidR="004B4FEE">
        <w:rPr>
          <w:rFonts w:eastAsia="MS Mincho" w:cs="Times New Roman"/>
          <w:i/>
        </w:rPr>
        <w:t>or has it decreased since then?</w:t>
      </w:r>
      <w:r>
        <w:rPr>
          <w:rFonts w:eastAsia="MS Mincho" w:cs="Times New Roman"/>
        </w:rPr>
        <w:t>’</w:t>
      </w:r>
    </w:p>
    <w:p w14:paraId="5A5FA348" w14:textId="6E81EB94" w:rsidR="004B4FEE" w:rsidRDefault="004B4FEE" w:rsidP="006B1105">
      <w:pPr>
        <w:ind w:firstLine="567"/>
        <w:rPr>
          <w:rFonts w:eastAsia="MS Mincho" w:cs="Times New Roman"/>
        </w:rPr>
      </w:pPr>
      <w:r>
        <w:rPr>
          <w:rFonts w:eastAsia="MS Mincho" w:cs="Times New Roman"/>
        </w:rPr>
        <w:t xml:space="preserve">Using these answers, we create an ordinal variable for </w:t>
      </w:r>
      <w:r w:rsidRPr="00F76AFB">
        <w:rPr>
          <w:rFonts w:eastAsia="MS Mincho" w:cs="Times New Roman"/>
          <w:i/>
        </w:rPr>
        <w:t xml:space="preserve">labour </w:t>
      </w:r>
      <w:r w:rsidRPr="005F3762">
        <w:rPr>
          <w:rFonts w:eastAsia="MS Mincho" w:cs="Times New Roman"/>
          <w:i/>
        </w:rPr>
        <w:t>productivity changes</w:t>
      </w:r>
      <w:r>
        <w:rPr>
          <w:rFonts w:eastAsia="MS Mincho" w:cs="Times New Roman"/>
        </w:rPr>
        <w:t xml:space="preserve"> that ranges from 0 (decreased) to 3 (increased considerably). Consequently, an ordered probit model is used for the examination of the productivity </w:t>
      </w:r>
      <w:r w:rsidR="00421281">
        <w:rPr>
          <w:rFonts w:eastAsia="MS Mincho" w:cs="Times New Roman"/>
        </w:rPr>
        <w:t>change variable</w:t>
      </w:r>
      <w:r>
        <w:rPr>
          <w:rFonts w:eastAsia="MS Mincho" w:cs="Times New Roman"/>
        </w:rPr>
        <w:t>.</w:t>
      </w:r>
      <w:r w:rsidR="005D274D">
        <w:rPr>
          <w:rFonts w:eastAsia="MS Mincho" w:cs="Times New Roman"/>
        </w:rPr>
        <w:t xml:space="preserve"> </w:t>
      </w:r>
      <w:r w:rsidR="003357AE">
        <w:rPr>
          <w:rFonts w:eastAsia="MS Mincho" w:cs="Times New Roman"/>
        </w:rPr>
        <w:t>A</w:t>
      </w:r>
      <w:r w:rsidR="005D274D">
        <w:rPr>
          <w:rFonts w:eastAsia="MS Mincho" w:cs="Times New Roman"/>
        </w:rPr>
        <w:t xml:space="preserve">n </w:t>
      </w:r>
      <w:r w:rsidR="006B1105">
        <w:rPr>
          <w:rFonts w:eastAsia="MS Mincho" w:cs="Times New Roman"/>
        </w:rPr>
        <w:t xml:space="preserve">alternative </w:t>
      </w:r>
      <w:r w:rsidR="005D274D">
        <w:rPr>
          <w:rFonts w:eastAsia="MS Mincho" w:cs="Times New Roman"/>
        </w:rPr>
        <w:t>measure available in the survey</w:t>
      </w:r>
      <w:r w:rsidR="00BA14B2">
        <w:rPr>
          <w:rFonts w:eastAsia="MS Mincho" w:cs="Times New Roman"/>
        </w:rPr>
        <w:t xml:space="preserve"> </w:t>
      </w:r>
      <w:r w:rsidR="005D274D">
        <w:rPr>
          <w:rFonts w:eastAsia="MS Mincho" w:cs="Times New Roman"/>
        </w:rPr>
        <w:t xml:space="preserve">asks the management representative to subjectively assess the </w:t>
      </w:r>
      <w:r w:rsidR="005D274D" w:rsidRPr="004D374A">
        <w:rPr>
          <w:rFonts w:eastAsia="MS Mincho" w:cs="Times New Roman"/>
          <w:i/>
        </w:rPr>
        <w:t xml:space="preserve">relative </w:t>
      </w:r>
      <w:r w:rsidR="005D274D" w:rsidRPr="00E47C26">
        <w:rPr>
          <w:rFonts w:eastAsia="MS Mincho" w:cs="Times New Roman"/>
        </w:rPr>
        <w:t>labour productivity</w:t>
      </w:r>
      <w:r w:rsidR="005D274D">
        <w:rPr>
          <w:rFonts w:eastAsia="MS Mincho" w:cs="Times New Roman"/>
        </w:rPr>
        <w:t xml:space="preserve"> of the establishment compared with other establishments in the same sector. </w:t>
      </w:r>
      <w:r w:rsidR="003357AE">
        <w:rPr>
          <w:rFonts w:eastAsia="MS Mincho" w:cs="Times New Roman"/>
        </w:rPr>
        <w:t>W</w:t>
      </w:r>
      <w:r w:rsidR="005D274D">
        <w:rPr>
          <w:rFonts w:eastAsia="MS Mincho" w:cs="Times New Roman"/>
        </w:rPr>
        <w:t xml:space="preserve">e judge that the survey respondents are more likely to be aware of </w:t>
      </w:r>
      <w:r w:rsidR="005D274D" w:rsidRPr="00412F49">
        <w:rPr>
          <w:rFonts w:eastAsia="MS Mincho" w:cs="Times New Roman"/>
          <w:i/>
        </w:rPr>
        <w:t>changes</w:t>
      </w:r>
      <w:r w:rsidR="005D274D">
        <w:rPr>
          <w:rFonts w:eastAsia="MS Mincho" w:cs="Times New Roman"/>
        </w:rPr>
        <w:t xml:space="preserve"> in labour productivity that took place in the recent past in the establishment than about the establishment’s ranking in the sectoral productivity distribution. </w:t>
      </w:r>
      <w:r w:rsidR="003A37D8">
        <w:rPr>
          <w:rFonts w:eastAsia="MS Mincho" w:cs="Times New Roman"/>
        </w:rPr>
        <w:t>In other words, productiv</w:t>
      </w:r>
      <w:r w:rsidR="0086049E">
        <w:rPr>
          <w:rFonts w:eastAsia="MS Mincho" w:cs="Times New Roman"/>
        </w:rPr>
        <w:t xml:space="preserve">ity change in the past </w:t>
      </w:r>
      <w:r w:rsidR="00B00E0F">
        <w:rPr>
          <w:rFonts w:eastAsia="MS Mincho" w:cs="Times New Roman"/>
        </w:rPr>
        <w:t>three</w:t>
      </w:r>
      <w:r w:rsidR="0086049E">
        <w:rPr>
          <w:rFonts w:eastAsia="MS Mincho" w:cs="Times New Roman"/>
        </w:rPr>
        <w:t xml:space="preserve"> years </w:t>
      </w:r>
      <w:r w:rsidR="003A37D8">
        <w:rPr>
          <w:rFonts w:eastAsia="MS Mincho" w:cs="Times New Roman"/>
        </w:rPr>
        <w:t xml:space="preserve">is a better indicator of an informed managerial assessment of establishment performance. </w:t>
      </w:r>
      <w:r w:rsidR="005D274D">
        <w:rPr>
          <w:rFonts w:eastAsia="MS Mincho" w:cs="Times New Roman"/>
        </w:rPr>
        <w:t xml:space="preserve">Moreover, the </w:t>
      </w:r>
      <w:r w:rsidR="0051235C">
        <w:rPr>
          <w:rFonts w:eastAsia="MS Mincho" w:cs="Times New Roman"/>
        </w:rPr>
        <w:t xml:space="preserve">independent </w:t>
      </w:r>
      <w:r w:rsidR="005D274D">
        <w:rPr>
          <w:rFonts w:eastAsia="MS Mincho" w:cs="Times New Roman"/>
        </w:rPr>
        <w:t>variables of interest to us (</w:t>
      </w:r>
      <w:r w:rsidR="003357AE">
        <w:rPr>
          <w:rFonts w:eastAsia="MS Mincho" w:cs="Times New Roman"/>
        </w:rPr>
        <w:t>ER</w:t>
      </w:r>
      <w:r w:rsidR="00E23442">
        <w:rPr>
          <w:rFonts w:eastAsia="MS Mincho" w:cs="Times New Roman"/>
        </w:rPr>
        <w:t xml:space="preserve"> institutions</w:t>
      </w:r>
      <w:r w:rsidR="005D274D">
        <w:rPr>
          <w:rFonts w:eastAsia="MS Mincho" w:cs="Times New Roman"/>
        </w:rPr>
        <w:t xml:space="preserve"> and</w:t>
      </w:r>
      <w:r w:rsidR="00460935">
        <w:rPr>
          <w:rFonts w:eastAsia="MS Mincho" w:cs="Times New Roman"/>
        </w:rPr>
        <w:t xml:space="preserve"> practices) are variables that </w:t>
      </w:r>
      <w:r w:rsidR="005D274D">
        <w:rPr>
          <w:rFonts w:eastAsia="MS Mincho" w:cs="Times New Roman"/>
        </w:rPr>
        <w:t xml:space="preserve">can be </w:t>
      </w:r>
      <w:r w:rsidR="00B00E0F">
        <w:rPr>
          <w:rFonts w:eastAsia="MS Mincho" w:cs="Times New Roman"/>
        </w:rPr>
        <w:t xml:space="preserve">considered </w:t>
      </w:r>
      <w:r w:rsidR="005D274D">
        <w:rPr>
          <w:rFonts w:eastAsia="MS Mincho" w:cs="Times New Roman"/>
        </w:rPr>
        <w:t xml:space="preserve">as relatively constant for long periods of time in the same establishment. Hence, </w:t>
      </w:r>
      <w:r w:rsidR="00556BC4">
        <w:rPr>
          <w:rFonts w:eastAsia="MS Mincho" w:cs="Times New Roman"/>
        </w:rPr>
        <w:t xml:space="preserve">any </w:t>
      </w:r>
      <w:r w:rsidR="005D274D">
        <w:rPr>
          <w:rFonts w:eastAsia="MS Mincho" w:cs="Times New Roman"/>
        </w:rPr>
        <w:t xml:space="preserve">biases </w:t>
      </w:r>
      <w:r w:rsidR="00556BC4">
        <w:rPr>
          <w:rFonts w:eastAsia="MS Mincho" w:cs="Times New Roman"/>
        </w:rPr>
        <w:t xml:space="preserve">that arise due to the fact that </w:t>
      </w:r>
      <w:r w:rsidR="005D274D">
        <w:rPr>
          <w:rFonts w:eastAsia="MS Mincho" w:cs="Times New Roman"/>
        </w:rPr>
        <w:t xml:space="preserve">the chosen productivity </w:t>
      </w:r>
      <w:r w:rsidR="005D274D" w:rsidRPr="00556BC4">
        <w:rPr>
          <w:rFonts w:eastAsia="MS Mincho" w:cs="Times New Roman"/>
        </w:rPr>
        <w:t>change</w:t>
      </w:r>
      <w:r w:rsidR="005D274D">
        <w:rPr>
          <w:rFonts w:eastAsia="MS Mincho" w:cs="Times New Roman"/>
        </w:rPr>
        <w:t xml:space="preserve"> measure </w:t>
      </w:r>
      <w:r w:rsidR="00556BC4">
        <w:rPr>
          <w:rFonts w:eastAsia="MS Mincho" w:cs="Times New Roman"/>
        </w:rPr>
        <w:t xml:space="preserve">is regressed on variables measured in the current period </w:t>
      </w:r>
      <w:r w:rsidR="005D274D">
        <w:rPr>
          <w:rFonts w:eastAsia="MS Mincho" w:cs="Times New Roman"/>
        </w:rPr>
        <w:t xml:space="preserve">should be relatively small. </w:t>
      </w:r>
    </w:p>
    <w:p w14:paraId="57283F04" w14:textId="5C89C741" w:rsidR="00C36C20" w:rsidRPr="00EA605F" w:rsidRDefault="004B4FEE" w:rsidP="0076098A">
      <w:pPr>
        <w:ind w:firstLine="567"/>
        <w:rPr>
          <w:rFonts w:eastAsia="MS Mincho" w:cs="Times New Roman"/>
        </w:rPr>
      </w:pPr>
      <w:r>
        <w:rPr>
          <w:rFonts w:eastAsia="MS Mincho" w:cs="Times New Roman"/>
        </w:rPr>
        <w:t xml:space="preserve">We are </w:t>
      </w:r>
      <w:r w:rsidR="006B1105">
        <w:rPr>
          <w:rFonts w:eastAsia="MS Mincho" w:cs="Times New Roman"/>
        </w:rPr>
        <w:t xml:space="preserve">also </w:t>
      </w:r>
      <w:r>
        <w:rPr>
          <w:rFonts w:eastAsia="MS Mincho" w:cs="Times New Roman"/>
        </w:rPr>
        <w:t xml:space="preserve">aware </w:t>
      </w:r>
      <w:r w:rsidR="00094028">
        <w:rPr>
          <w:rFonts w:eastAsia="MS Mincho" w:cs="Times New Roman"/>
        </w:rPr>
        <w:t xml:space="preserve">of the limitations of </w:t>
      </w:r>
      <w:r w:rsidR="005D7FF7">
        <w:rPr>
          <w:rFonts w:eastAsia="MS Mincho" w:cs="Times New Roman"/>
        </w:rPr>
        <w:t xml:space="preserve">the </w:t>
      </w:r>
      <w:r w:rsidR="001205CA" w:rsidRPr="00EA605F">
        <w:rPr>
          <w:rFonts w:eastAsia="MS Mincho" w:cs="Times New Roman"/>
        </w:rPr>
        <w:t xml:space="preserve">use of </w:t>
      </w:r>
      <w:r w:rsidR="001205CA" w:rsidRPr="00EA605F">
        <w:rPr>
          <w:rFonts w:eastAsia="MS Mincho" w:cs="Times New Roman"/>
          <w:i/>
        </w:rPr>
        <w:t>subjective</w:t>
      </w:r>
      <w:r w:rsidR="001205CA" w:rsidRPr="00EA605F">
        <w:rPr>
          <w:rFonts w:eastAsia="MS Mincho" w:cs="Times New Roman"/>
        </w:rPr>
        <w:t xml:space="preserve"> measures of workplace performance </w:t>
      </w:r>
      <w:r w:rsidR="005D7FF7" w:rsidRPr="00EA605F">
        <w:rPr>
          <w:rFonts w:eastAsia="MS Mincho" w:cs="Times New Roman"/>
        </w:rPr>
        <w:t>but</w:t>
      </w:r>
      <w:r w:rsidRPr="00EA605F">
        <w:rPr>
          <w:rFonts w:eastAsia="MS Mincho" w:cs="Times New Roman"/>
        </w:rPr>
        <w:t xml:space="preserve">, </w:t>
      </w:r>
      <w:r w:rsidR="005D7FF7" w:rsidRPr="00EA605F">
        <w:rPr>
          <w:rFonts w:eastAsia="MS Mincho" w:cs="Times New Roman"/>
        </w:rPr>
        <w:t xml:space="preserve">as </w:t>
      </w:r>
      <w:r w:rsidRPr="00EA605F">
        <w:rPr>
          <w:rFonts w:eastAsia="MS Mincho" w:cs="Times New Roman"/>
        </w:rPr>
        <w:t xml:space="preserve">Forth and McNabb </w:t>
      </w:r>
      <w:r w:rsidR="00AA0C4B">
        <w:rPr>
          <w:rFonts w:eastAsia="MS Mincho" w:cs="Times New Roman"/>
        </w:rPr>
        <w:fldChar w:fldCharType="begin"/>
      </w:r>
      <w:r w:rsidR="00AA0C4B">
        <w:rPr>
          <w:rFonts w:eastAsia="MS Mincho" w:cs="Times New Roman"/>
        </w:rPr>
        <w:instrText xml:space="preserve"> ADDIN ZOTERO_ITEM CSL_CITATION {"citationID":"1vndnt84n7","properties":{"formattedCitation":"(2008)","plainCitation":"(2008)"},"citationItems":[{"id":1700,"uris":["http://zotero.org/users/local/xORFDKwB/items/52AQQ6NB"],"uri":["http://zotero.org/users/local/xORFDKwB/items/52AQQ6NB"],"itemData":{"id":1700,"type":"article-journal","title":"Workplace performance: a comparison of subjective and objective measures in the 2004 Workplace Employment Relations Survey","container-title":"Industrial Relations Journal","page":"104-123","volume":"39","issue":"2","author":[{"family":"Forth","given":"John"},{"family":"McNabb","given":"R"}],"issued":{"date-parts":[["2008"]]}},"suppress-author":true}],"schema":"https://github.com/citation-style-language/schema/raw/master/csl-citation.json"} </w:instrText>
      </w:r>
      <w:r w:rsidR="00AA0C4B">
        <w:rPr>
          <w:rFonts w:eastAsia="MS Mincho" w:cs="Times New Roman"/>
        </w:rPr>
        <w:fldChar w:fldCharType="separate"/>
      </w:r>
      <w:r w:rsidR="00AA0C4B">
        <w:rPr>
          <w:rFonts w:eastAsia="MS Mincho" w:cs="Times New Roman"/>
          <w:noProof/>
        </w:rPr>
        <w:t>(2008)</w:t>
      </w:r>
      <w:r w:rsidR="00AA0C4B">
        <w:rPr>
          <w:rFonts w:eastAsia="MS Mincho" w:cs="Times New Roman"/>
        </w:rPr>
        <w:fldChar w:fldCharType="end"/>
      </w:r>
      <w:r w:rsidR="00AA0C4B">
        <w:rPr>
          <w:rFonts w:eastAsia="MS Mincho" w:cs="Times New Roman"/>
        </w:rPr>
        <w:t xml:space="preserve"> and Bryson et al. </w:t>
      </w:r>
      <w:r w:rsidR="00AA0C4B">
        <w:rPr>
          <w:rFonts w:eastAsia="MS Mincho" w:cs="Times New Roman"/>
        </w:rPr>
        <w:fldChar w:fldCharType="begin"/>
      </w:r>
      <w:r w:rsidR="00AA0C4B">
        <w:rPr>
          <w:rFonts w:eastAsia="MS Mincho" w:cs="Times New Roman"/>
        </w:rPr>
        <w:instrText xml:space="preserve"> ADDIN ZOTERO_ITEM CSL_CITATION {"citationID":"QIYA28YU","properties":{"formattedCitation":"(2006)","plainCitation":"(2006)"},"citationItems":[{"id":1698,"uris":["http://zotero.org/users/local/xORFDKwB/items/3ATU5HBS"],"uri":["http://zotero.org/users/local/xORFDKwB/items/3ATU5HBS"],"itemData":{"id":1698,"type":"article-journal","title":"Worker voice, managerial response and labour productivity: an empirical investigation","container-title":"Industrial Relations Journal","page":"438-455","volume":"37","issue":"5","author":[{"family":"Bryson","given":"Alex"},{"family":"Charlwood","given":"Andy"},{"family":"Forth","given":"John"}],"issued":{"date-parts":[["2006"]]}},"suppress-author":true}],"schema":"https://github.com/citation-style-language/schema/raw/master/csl-citation.json"} </w:instrText>
      </w:r>
      <w:r w:rsidR="00AA0C4B">
        <w:rPr>
          <w:rFonts w:eastAsia="MS Mincho" w:cs="Times New Roman"/>
        </w:rPr>
        <w:fldChar w:fldCharType="separate"/>
      </w:r>
      <w:r w:rsidR="00AA0C4B">
        <w:rPr>
          <w:rFonts w:eastAsia="MS Mincho" w:cs="Times New Roman"/>
          <w:noProof/>
        </w:rPr>
        <w:t>(2006)</w:t>
      </w:r>
      <w:r w:rsidR="00AA0C4B">
        <w:rPr>
          <w:rFonts w:eastAsia="MS Mincho" w:cs="Times New Roman"/>
        </w:rPr>
        <w:fldChar w:fldCharType="end"/>
      </w:r>
      <w:r w:rsidR="00AA0C4B">
        <w:rPr>
          <w:rFonts w:eastAsia="MS Mincho" w:cs="Times New Roman"/>
        </w:rPr>
        <w:t xml:space="preserve"> </w:t>
      </w:r>
      <w:r w:rsidR="00917FB0">
        <w:rPr>
          <w:rFonts w:eastAsia="MS Mincho" w:cs="Times New Roman"/>
        </w:rPr>
        <w:t>argue</w:t>
      </w:r>
      <w:r w:rsidR="005D7FF7" w:rsidRPr="00EA605F">
        <w:rPr>
          <w:rFonts w:eastAsia="MS Mincho" w:cs="Times New Roman"/>
        </w:rPr>
        <w:t>,</w:t>
      </w:r>
      <w:r w:rsidR="00917FB0">
        <w:rPr>
          <w:rFonts w:eastAsia="MS Mincho" w:cs="Times New Roman"/>
        </w:rPr>
        <w:t xml:space="preserve"> </w:t>
      </w:r>
      <w:r w:rsidR="005D7FF7" w:rsidRPr="00EA605F">
        <w:rPr>
          <w:rFonts w:eastAsia="MS Mincho" w:cs="Times New Roman"/>
        </w:rPr>
        <w:t xml:space="preserve">so </w:t>
      </w:r>
      <w:r w:rsidR="00094028">
        <w:rPr>
          <w:rFonts w:eastAsia="MS Mincho" w:cs="Times New Roman"/>
        </w:rPr>
        <w:t>is the case with</w:t>
      </w:r>
      <w:r w:rsidRPr="00EA605F">
        <w:rPr>
          <w:rFonts w:eastAsia="MS Mincho" w:cs="Times New Roman"/>
        </w:rPr>
        <w:t xml:space="preserve"> </w:t>
      </w:r>
      <w:r w:rsidRPr="00EA605F">
        <w:rPr>
          <w:rFonts w:eastAsia="MS Mincho" w:cs="Times New Roman"/>
          <w:i/>
        </w:rPr>
        <w:t>objective</w:t>
      </w:r>
      <w:r w:rsidRPr="00EA605F">
        <w:rPr>
          <w:rFonts w:eastAsia="MS Mincho" w:cs="Times New Roman"/>
        </w:rPr>
        <w:t xml:space="preserve"> performance indicators</w:t>
      </w:r>
      <w:r w:rsidR="00D736AE" w:rsidRPr="00EA605F">
        <w:rPr>
          <w:rFonts w:eastAsia="MS Mincho" w:cs="Times New Roman"/>
        </w:rPr>
        <w:t>; for this reason, a</w:t>
      </w:r>
      <w:r w:rsidR="005D7FF7" w:rsidRPr="00EA605F">
        <w:rPr>
          <w:rFonts w:eastAsia="MS Mincho" w:cs="Times New Roman"/>
        </w:rPr>
        <w:t xml:space="preserve">n </w:t>
      </w:r>
      <w:r w:rsidRPr="00EA605F">
        <w:rPr>
          <w:rFonts w:eastAsia="MS Mincho" w:cs="Times New Roman"/>
        </w:rPr>
        <w:t xml:space="preserve">analysis of both would be the most appropriate approach. </w:t>
      </w:r>
      <w:r w:rsidR="005D7FF7" w:rsidRPr="00EA605F">
        <w:rPr>
          <w:rFonts w:eastAsia="MS Mincho" w:cs="Times New Roman"/>
        </w:rPr>
        <w:t>Yet s</w:t>
      </w:r>
      <w:r w:rsidRPr="00EA605F">
        <w:rPr>
          <w:rFonts w:eastAsia="MS Mincho" w:cs="Times New Roman"/>
        </w:rPr>
        <w:t>ince objective, accounts-based</w:t>
      </w:r>
      <w:r w:rsidR="00304FB3">
        <w:rPr>
          <w:rFonts w:eastAsia="MS Mincho" w:cs="Times New Roman"/>
        </w:rPr>
        <w:t>,</w:t>
      </w:r>
      <w:r w:rsidR="00D736AE" w:rsidRPr="00EA605F">
        <w:rPr>
          <w:rFonts w:eastAsia="MS Mincho" w:cs="Times New Roman"/>
        </w:rPr>
        <w:t xml:space="preserve"> </w:t>
      </w:r>
      <w:r w:rsidRPr="00EA605F">
        <w:rPr>
          <w:rFonts w:eastAsia="MS Mincho" w:cs="Times New Roman"/>
        </w:rPr>
        <w:t>indicators are not available in the ECS, we proceed with this subjective measure of productivity</w:t>
      </w:r>
      <w:r w:rsidR="006B1105">
        <w:rPr>
          <w:rFonts w:eastAsia="MS Mincho" w:cs="Times New Roman"/>
        </w:rPr>
        <w:t xml:space="preserve"> change</w:t>
      </w:r>
      <w:r w:rsidRPr="00EA605F">
        <w:rPr>
          <w:rFonts w:eastAsia="MS Mincho" w:cs="Times New Roman"/>
        </w:rPr>
        <w:t xml:space="preserve">. Note that a preliminary examination showed that this measure is strongly correlated (and in the expected direction) with workplace outcomes also available in ECS that can be thought as intermediary ones </w:t>
      </w:r>
      <w:r w:rsidR="00AA0C4B">
        <w:rPr>
          <w:rFonts w:eastAsia="MS Mincho" w:cs="Times New Roman"/>
        </w:rPr>
        <w:fldChar w:fldCharType="begin"/>
      </w:r>
      <w:r w:rsidR="00AA0C4B">
        <w:rPr>
          <w:rFonts w:eastAsia="MS Mincho" w:cs="Times New Roman"/>
        </w:rPr>
        <w:instrText xml:space="preserve"> ADDIN ZOTERO_ITEM CSL_CITATION {"citationID":"1l0s82p7mm","properties":{"formattedCitation":"(Forth and McNabb, 2008: 106)","plainCitation":"(Forth and McNabb, 2008: 106)"},"citationItems":[{"id":1700,"uris":["http://zotero.org/users/local/xORFDKwB/items/52AQQ6NB"],"uri":["http://zotero.org/users/local/xORFDKwB/items/52AQQ6NB"],"itemData":{"id":1700,"type":"article-journal","title":"Workplace performance: a comparison of subjective and objective measures in the 2004 Workplace Employment Relations Survey","container-title":"Industrial Relations Journal","page":"104-123","volume":"39","issue":"2","author":[{"family":"Forth","given":"John"},{"family":"McNabb","given":"R"}],"issued":{"date-parts":[["2008"]]}},"locator":"106"}],"schema":"https://github.com/citation-style-language/schema/raw/master/csl-citation.json"} </w:instrText>
      </w:r>
      <w:r w:rsidR="00AA0C4B">
        <w:rPr>
          <w:rFonts w:eastAsia="MS Mincho" w:cs="Times New Roman"/>
        </w:rPr>
        <w:fldChar w:fldCharType="separate"/>
      </w:r>
      <w:r w:rsidR="00AA0C4B">
        <w:rPr>
          <w:rFonts w:eastAsia="MS Mincho" w:cs="Times New Roman"/>
          <w:noProof/>
        </w:rPr>
        <w:t>(Forth and McNabb, 2008: 106)</w:t>
      </w:r>
      <w:r w:rsidR="00AA0C4B">
        <w:rPr>
          <w:rFonts w:eastAsia="MS Mincho" w:cs="Times New Roman"/>
        </w:rPr>
        <w:fldChar w:fldCharType="end"/>
      </w:r>
      <w:r w:rsidRPr="00EA605F">
        <w:rPr>
          <w:rFonts w:eastAsia="MS Mincho" w:cs="Times New Roman"/>
        </w:rPr>
        <w:t>, such as employee absenteeism and low motivation</w:t>
      </w:r>
      <w:r w:rsidR="00917FB0">
        <w:rPr>
          <w:rFonts w:eastAsia="MS Mincho" w:cs="Times New Roman"/>
        </w:rPr>
        <w:t xml:space="preserve">. </w:t>
      </w:r>
      <w:r w:rsidRPr="00EA605F">
        <w:rPr>
          <w:rFonts w:eastAsia="MS Mincho" w:cs="Times New Roman"/>
        </w:rPr>
        <w:t>This provides a further reassurance that we are indeed examining a meaningful measure of establishment productivity.</w:t>
      </w:r>
    </w:p>
    <w:p w14:paraId="6963EDD6" w14:textId="091A2800" w:rsidR="00C36C20" w:rsidRPr="00EA605F" w:rsidRDefault="00C36C20" w:rsidP="00094028">
      <w:pPr>
        <w:pStyle w:val="Heading2"/>
      </w:pPr>
      <w:r w:rsidRPr="00EA605F">
        <w:t xml:space="preserve">Independent </w:t>
      </w:r>
      <w:r w:rsidR="001C60A7">
        <w:t>v</w:t>
      </w:r>
      <w:r w:rsidRPr="00EA605F">
        <w:t>ariables</w:t>
      </w:r>
    </w:p>
    <w:p w14:paraId="53F2D23E" w14:textId="3BE3A160" w:rsidR="004B4FEE" w:rsidRPr="00EA605F" w:rsidRDefault="004B4FEE" w:rsidP="0076098A">
      <w:pPr>
        <w:ind w:firstLine="567"/>
        <w:rPr>
          <w:rFonts w:eastAsia="MS Mincho" w:cs="Times New Roman"/>
        </w:rPr>
      </w:pPr>
      <w:r w:rsidRPr="00EA605F">
        <w:rPr>
          <w:rFonts w:eastAsia="MS Mincho" w:cs="Times New Roman"/>
        </w:rPr>
        <w:t xml:space="preserve">The bargaining level is measured using information from two questions. The management representative is first asked about the percentage of employees at the establishment that are covered by a collective wage agreement. If this is zero, the establishment is coded as having </w:t>
      </w:r>
      <w:r w:rsidR="006E3C27" w:rsidRPr="00EA605F">
        <w:rPr>
          <w:rFonts w:eastAsia="MS Mincho" w:cs="Times New Roman"/>
        </w:rPr>
        <w:t>‘</w:t>
      </w:r>
      <w:r w:rsidRPr="00EA605F">
        <w:rPr>
          <w:rFonts w:eastAsia="MS Mincho" w:cs="Times New Roman"/>
        </w:rPr>
        <w:t>no collective bargaining</w:t>
      </w:r>
      <w:r w:rsidR="006E3C27" w:rsidRPr="00EA605F">
        <w:rPr>
          <w:rFonts w:eastAsia="MS Mincho" w:cs="Times New Roman"/>
        </w:rPr>
        <w:t>’</w:t>
      </w:r>
      <w:r>
        <w:rPr>
          <w:rFonts w:eastAsia="MS Mincho" w:cs="Times New Roman"/>
        </w:rPr>
        <w:t xml:space="preserve">. If it is greater than zero, a second question asks about the level at which the negotiations take place. We </w:t>
      </w:r>
      <w:r w:rsidRPr="00EA605F">
        <w:rPr>
          <w:rFonts w:eastAsia="MS Mincho" w:cs="Times New Roman"/>
        </w:rPr>
        <w:t>distinguish between three kinds of establishments: those where bargaining takes place at the establishment or company level (</w:t>
      </w:r>
      <w:r w:rsidR="0029405C" w:rsidRPr="00EA605F">
        <w:rPr>
          <w:rFonts w:eastAsia="MS Mincho" w:cs="Times New Roman"/>
        </w:rPr>
        <w:t>decentralised</w:t>
      </w:r>
      <w:r w:rsidRPr="00EA605F">
        <w:rPr>
          <w:rFonts w:eastAsia="MS Mincho" w:cs="Times New Roman"/>
        </w:rPr>
        <w:t>), those with higher level bargaining (</w:t>
      </w:r>
      <w:r w:rsidR="0029405C" w:rsidRPr="00EA605F">
        <w:rPr>
          <w:rFonts w:eastAsia="MS Mincho" w:cs="Times New Roman"/>
        </w:rPr>
        <w:t>centralised</w:t>
      </w:r>
      <w:r w:rsidRPr="00EA605F">
        <w:rPr>
          <w:rFonts w:eastAsia="MS Mincho" w:cs="Times New Roman"/>
        </w:rPr>
        <w:t>), i.e. regional, sectoral or national, and those where both types of negotiations apply (</w:t>
      </w:r>
      <w:r w:rsidR="0029405C" w:rsidRPr="00EA605F">
        <w:rPr>
          <w:rFonts w:eastAsia="MS Mincho" w:cs="Times New Roman"/>
        </w:rPr>
        <w:t>two-tier</w:t>
      </w:r>
      <w:r w:rsidRPr="00EA605F">
        <w:rPr>
          <w:rFonts w:eastAsia="MS Mincho" w:cs="Times New Roman"/>
        </w:rPr>
        <w:t>).</w:t>
      </w:r>
      <w:r w:rsidR="00110124">
        <w:rPr>
          <w:rStyle w:val="EndnoteReference"/>
          <w:rFonts w:eastAsia="MS Mincho" w:cs="Times New Roman"/>
        </w:rPr>
        <w:endnoteReference w:id="3"/>
      </w:r>
      <w:r w:rsidRPr="00EA605F">
        <w:rPr>
          <w:rFonts w:eastAsia="MS Mincho" w:cs="Times New Roman"/>
        </w:rPr>
        <w:t xml:space="preserve"> </w:t>
      </w:r>
    </w:p>
    <w:p w14:paraId="1C142A95" w14:textId="323ACA96" w:rsidR="004B4FEE" w:rsidRDefault="00EF3A05" w:rsidP="0076098A">
      <w:pPr>
        <w:ind w:firstLine="567"/>
        <w:rPr>
          <w:rFonts w:eastAsia="MS Mincho" w:cs="Times New Roman"/>
        </w:rPr>
      </w:pPr>
      <w:r>
        <w:rPr>
          <w:rFonts w:eastAsia="MS Mincho" w:cs="Times New Roman"/>
        </w:rPr>
        <w:t>F</w:t>
      </w:r>
      <w:r w:rsidR="004B4FEE" w:rsidRPr="00EA605F">
        <w:rPr>
          <w:rFonts w:eastAsia="MS Mincho" w:cs="Times New Roman"/>
        </w:rPr>
        <w:t>ollow</w:t>
      </w:r>
      <w:r>
        <w:rPr>
          <w:rFonts w:eastAsia="MS Mincho" w:cs="Times New Roman"/>
        </w:rPr>
        <w:t>ing</w:t>
      </w:r>
      <w:r w:rsidR="004B4FEE" w:rsidRPr="00EA605F">
        <w:rPr>
          <w:rFonts w:eastAsia="MS Mincho" w:cs="Times New Roman"/>
        </w:rPr>
        <w:t xml:space="preserve"> Bryson et al. </w:t>
      </w:r>
      <w:r w:rsidR="00AA0C4B">
        <w:rPr>
          <w:rFonts w:eastAsia="MS Mincho" w:cs="Times New Roman"/>
        </w:rPr>
        <w:fldChar w:fldCharType="begin"/>
      </w:r>
      <w:r w:rsidR="00AA0C4B">
        <w:rPr>
          <w:rFonts w:eastAsia="MS Mincho" w:cs="Times New Roman"/>
        </w:rPr>
        <w:instrText xml:space="preserve"> ADDIN ZOTERO_ITEM CSL_CITATION {"citationID":"19n341fffe","properties":{"formattedCitation":"(2012)","plainCitation":"(2012)"},"citationItems":[{"id":1699,"uris":["http://zotero.org/users/local/xORFDKwB/items/VJ5RSWCW"],"uri":["http://zotero.org/users/local/xORFDKwB/items/VJ5RSWCW"],"itemData":{"id":1699,"type":"book","title":"Workplace Employee Representation in Europe","publisher":"Eurofound","publisher-place":"Dublin","event-place":"Dublin","author":[{"family":"Bryson","given":"Alex"},{"family":"Forth","given":"John"},{"family":"George","given":"A"}],"issued":{"date-parts":[["2012"]]}},"suppress-author":true}],"schema":"https://github.com/citation-style-language/schema/raw/master/csl-citation.json"} </w:instrText>
      </w:r>
      <w:r w:rsidR="00AA0C4B">
        <w:rPr>
          <w:rFonts w:eastAsia="MS Mincho" w:cs="Times New Roman"/>
        </w:rPr>
        <w:fldChar w:fldCharType="separate"/>
      </w:r>
      <w:r w:rsidR="00AA0C4B">
        <w:rPr>
          <w:rFonts w:eastAsia="MS Mincho" w:cs="Times New Roman"/>
          <w:noProof/>
        </w:rPr>
        <w:t>(2012)</w:t>
      </w:r>
      <w:r w:rsidR="00AA0C4B">
        <w:rPr>
          <w:rFonts w:eastAsia="MS Mincho" w:cs="Times New Roman"/>
        </w:rPr>
        <w:fldChar w:fldCharType="end"/>
      </w:r>
      <w:r w:rsidR="004B4FEE" w:rsidRPr="00EA605F">
        <w:rPr>
          <w:rFonts w:eastAsia="MS Mincho" w:cs="Times New Roman"/>
        </w:rPr>
        <w:t xml:space="preserve"> for the coding of the variables concerning employee representation, </w:t>
      </w:r>
      <w:r>
        <w:rPr>
          <w:rFonts w:eastAsia="MS Mincho" w:cs="Times New Roman"/>
        </w:rPr>
        <w:t xml:space="preserve">we </w:t>
      </w:r>
      <w:r w:rsidR="004B4FEE" w:rsidRPr="00EA605F">
        <w:rPr>
          <w:rFonts w:eastAsia="MS Mincho" w:cs="Times New Roman"/>
        </w:rPr>
        <w:t>focus on institutional or statutory forms of representation. Hence, we distinguish between trade union</w:t>
      </w:r>
      <w:r>
        <w:rPr>
          <w:rFonts w:eastAsia="MS Mincho" w:cs="Times New Roman"/>
        </w:rPr>
        <w:t xml:space="preserve"> </w:t>
      </w:r>
      <w:r w:rsidRPr="00EA605F">
        <w:rPr>
          <w:rFonts w:eastAsia="MS Mincho" w:cs="Times New Roman"/>
        </w:rPr>
        <w:t>(TU)</w:t>
      </w:r>
      <w:r w:rsidR="004B4FEE" w:rsidRPr="00EA605F">
        <w:rPr>
          <w:rFonts w:eastAsia="MS Mincho" w:cs="Times New Roman"/>
        </w:rPr>
        <w:t xml:space="preserve"> </w:t>
      </w:r>
      <w:r w:rsidR="00CE4220" w:rsidRPr="00EA605F">
        <w:rPr>
          <w:rFonts w:eastAsia="MS Mincho" w:cs="Times New Roman"/>
        </w:rPr>
        <w:t>representation and</w:t>
      </w:r>
      <w:r w:rsidR="004B4FEE" w:rsidRPr="00EA605F">
        <w:rPr>
          <w:rFonts w:eastAsia="MS Mincho" w:cs="Times New Roman"/>
        </w:rPr>
        <w:t xml:space="preserve"> works councils</w:t>
      </w:r>
      <w:r w:rsidR="00CE4220">
        <w:rPr>
          <w:rFonts w:eastAsia="MS Mincho" w:cs="Times New Roman"/>
        </w:rPr>
        <w:t>’</w:t>
      </w:r>
      <w:r w:rsidR="00AA0C4B">
        <w:rPr>
          <w:rFonts w:eastAsia="MS Mincho" w:cs="Times New Roman"/>
        </w:rPr>
        <w:t xml:space="preserve"> (WC</w:t>
      </w:r>
      <w:r w:rsidR="004B4FEE" w:rsidRPr="00EA605F">
        <w:rPr>
          <w:rFonts w:eastAsia="MS Mincho" w:cs="Times New Roman"/>
        </w:rPr>
        <w:t>)</w:t>
      </w:r>
      <w:r w:rsidR="00AA0C4B">
        <w:rPr>
          <w:rFonts w:eastAsia="MS Mincho" w:cs="Times New Roman"/>
        </w:rPr>
        <w:t xml:space="preserve"> representation,</w:t>
      </w:r>
      <w:r w:rsidR="004B4FEE" w:rsidRPr="00EA605F">
        <w:rPr>
          <w:rFonts w:eastAsia="MS Mincho" w:cs="Times New Roman"/>
        </w:rPr>
        <w:t xml:space="preserve"> based on the management responses about specific bodies that are available in each workplace and country</w:t>
      </w:r>
      <w:r w:rsidR="00AA0C4B">
        <w:rPr>
          <w:rFonts w:eastAsia="MS Mincho" w:cs="Times New Roman"/>
        </w:rPr>
        <w:t xml:space="preserve"> </w:t>
      </w:r>
      <w:r w:rsidR="00AA0C4B">
        <w:rPr>
          <w:rFonts w:eastAsia="MS Mincho" w:cs="Times New Roman"/>
        </w:rPr>
        <w:fldChar w:fldCharType="begin"/>
      </w:r>
      <w:r w:rsidR="00AA0C4B">
        <w:rPr>
          <w:rFonts w:eastAsia="MS Mincho" w:cs="Times New Roman"/>
        </w:rPr>
        <w:instrText xml:space="preserve"> ADDIN ZOTERO_ITEM CSL_CITATION {"citationID":"2cp5397ta8","properties":{"formattedCitation":"{\\rtf (for the specific bodies in each country, see Bryson et al., 2012: 65\\uc0\\u8211{}66)}","plainCitation":"(for the specific bodies in each country, see Bryson et al., 2012: 65–66)"},"citationItems":[{"id":1699,"uris":["http://zotero.org/users/local/xORFDKwB/items/VJ5RSWCW"],"uri":["http://zotero.org/users/local/xORFDKwB/items/VJ5RSWCW"],"itemData":{"id":1699,"type":"book","title":"Workplace Employee Representation in Europe","publisher":"Eurofound","publisher-place":"Dublin","event-place":"Dublin","author":[{"family":"Bryson","given":"Alex"},{"family":"Forth","given":"John"},{"family":"George","given":"A"}],"issued":{"date-parts":[["2012"]]}},"locator":"65-66","prefix":"for the specific bodies in each country, see "}],"schema":"https://github.com/citation-style-language/schema/raw/master/csl-citation.json"} </w:instrText>
      </w:r>
      <w:r w:rsidR="00AA0C4B">
        <w:rPr>
          <w:rFonts w:eastAsia="MS Mincho" w:cs="Times New Roman"/>
        </w:rPr>
        <w:fldChar w:fldCharType="separate"/>
      </w:r>
      <w:r w:rsidR="00AA0C4B" w:rsidRPr="00AA0C4B">
        <w:rPr>
          <w:lang w:val="en-US"/>
        </w:rPr>
        <w:t>(for the specific bodies in each country, see Bryson et al., 2012: 65–66)</w:t>
      </w:r>
      <w:r w:rsidR="00AA0C4B">
        <w:rPr>
          <w:rFonts w:eastAsia="MS Mincho" w:cs="Times New Roman"/>
        </w:rPr>
        <w:fldChar w:fldCharType="end"/>
      </w:r>
      <w:r w:rsidR="004B4FEE" w:rsidRPr="00EA605F">
        <w:rPr>
          <w:rFonts w:eastAsia="MS Mincho" w:cs="Times New Roman"/>
        </w:rPr>
        <w:t>. Dummy variables are then constructed for TU-only representation, WC-type-only representation and both types of representation available at the workplace (the reference category is the absence of any form of representation</w:t>
      </w:r>
      <w:r w:rsidR="004B4FEE">
        <w:rPr>
          <w:rFonts w:eastAsia="MS Mincho" w:cs="Times New Roman"/>
        </w:rPr>
        <w:t>).</w:t>
      </w:r>
    </w:p>
    <w:p w14:paraId="72D7C1C6" w14:textId="3A40B993" w:rsidR="004B4FEE" w:rsidRDefault="005B6D4E" w:rsidP="0076098A">
      <w:pPr>
        <w:ind w:firstLine="567"/>
        <w:rPr>
          <w:rFonts w:eastAsia="MS Mincho" w:cs="Times New Roman"/>
        </w:rPr>
      </w:pPr>
      <w:r>
        <w:rPr>
          <w:rFonts w:eastAsia="MS Mincho" w:cs="Times New Roman"/>
        </w:rPr>
        <w:t>To test our hypotheses concerning workplace practices,</w:t>
      </w:r>
      <w:r w:rsidR="004B4FEE">
        <w:rPr>
          <w:rFonts w:eastAsia="MS Mincho" w:cs="Times New Roman"/>
        </w:rPr>
        <w:t xml:space="preserve"> </w:t>
      </w:r>
      <w:r>
        <w:rPr>
          <w:rFonts w:eastAsia="MS Mincho" w:cs="Times New Roman"/>
        </w:rPr>
        <w:t xml:space="preserve">we </w:t>
      </w:r>
      <w:r w:rsidR="004B4FEE">
        <w:rPr>
          <w:rFonts w:eastAsia="MS Mincho" w:cs="Times New Roman"/>
        </w:rPr>
        <w:t xml:space="preserve">code a dummy variable for the existence of performance related pay schemes in the workplace, while teamwork is measured by a dummy variable that takes the value of 1 </w:t>
      </w:r>
      <w:r>
        <w:rPr>
          <w:rFonts w:eastAsia="MS Mincho" w:cs="Times New Roman"/>
        </w:rPr>
        <w:t>in</w:t>
      </w:r>
      <w:r w:rsidR="004B4FEE">
        <w:rPr>
          <w:rFonts w:eastAsia="MS Mincho" w:cs="Times New Roman"/>
        </w:rPr>
        <w:t xml:space="preserve"> the workplaces where the management representative reported that work in teams is an important characteristic of the work organization in the establishment. Finally, for training incidence we code a dummy variable that indicates a positive answer to the question whether any of the employees have been given time off in the past 12 months in order to undergo training. </w:t>
      </w:r>
    </w:p>
    <w:p w14:paraId="41B91DCA" w14:textId="23FA8B0D" w:rsidR="004B4FEE" w:rsidRDefault="00304FB3" w:rsidP="0076098A">
      <w:pPr>
        <w:ind w:firstLine="567"/>
        <w:rPr>
          <w:rFonts w:eastAsia="MS Mincho" w:cs="Times New Roman"/>
        </w:rPr>
      </w:pPr>
      <w:r>
        <w:rPr>
          <w:rFonts w:eastAsia="MS Mincho" w:cs="Times New Roman"/>
        </w:rPr>
        <w:t>However, t</w:t>
      </w:r>
      <w:r w:rsidR="004B4FEE">
        <w:rPr>
          <w:rFonts w:eastAsia="MS Mincho" w:cs="Times New Roman"/>
        </w:rPr>
        <w:t>he above in</w:t>
      </w:r>
      <w:r>
        <w:rPr>
          <w:rFonts w:eastAsia="MS Mincho" w:cs="Times New Roman"/>
        </w:rPr>
        <w:t>dependent variables of interest</w:t>
      </w:r>
      <w:r w:rsidR="004B4FEE">
        <w:rPr>
          <w:rFonts w:eastAsia="MS Mincho" w:cs="Times New Roman"/>
        </w:rPr>
        <w:t xml:space="preserve"> may be correlated with other observable workplace characteristics that determine esta</w:t>
      </w:r>
      <w:r w:rsidR="0030670E">
        <w:rPr>
          <w:rFonts w:eastAsia="MS Mincho" w:cs="Times New Roman"/>
        </w:rPr>
        <w:t xml:space="preserve">blishment productivity changes. </w:t>
      </w:r>
      <w:r w:rsidR="004B4FEE">
        <w:rPr>
          <w:rFonts w:eastAsia="MS Mincho" w:cs="Times New Roman"/>
        </w:rPr>
        <w:t xml:space="preserve">For this reason, we further control for a range of such characteristics, namely: establishment size (four dummies), </w:t>
      </w:r>
      <w:r w:rsidR="00BA14B2">
        <w:rPr>
          <w:rFonts w:eastAsia="MS Mincho" w:cs="Times New Roman"/>
        </w:rPr>
        <w:t xml:space="preserve">industry (ten dummies based on </w:t>
      </w:r>
      <w:r w:rsidR="009477D0">
        <w:rPr>
          <w:rFonts w:eastAsia="MS Mincho" w:cs="Times New Roman"/>
        </w:rPr>
        <w:t xml:space="preserve">the </w:t>
      </w:r>
      <w:r w:rsidR="00BA14B2">
        <w:rPr>
          <w:rFonts w:eastAsia="MS Mincho" w:cs="Times New Roman"/>
        </w:rPr>
        <w:t xml:space="preserve">NACE Rev. 1.1 one-digit codes) </w:t>
      </w:r>
      <w:r w:rsidR="004B4FEE">
        <w:rPr>
          <w:rFonts w:eastAsia="MS Mincho" w:cs="Times New Roman"/>
        </w:rPr>
        <w:t xml:space="preserve">whether the establishment is a branch of a company (and not a single independent organization), whether it is foreign owned, the proportion of female, of part-time, </w:t>
      </w:r>
      <w:r w:rsidR="00F4047B">
        <w:rPr>
          <w:rFonts w:eastAsia="MS Mincho" w:cs="Times New Roman"/>
        </w:rPr>
        <w:t xml:space="preserve">of highly skilled, </w:t>
      </w:r>
      <w:r w:rsidR="004B4FEE">
        <w:rPr>
          <w:rFonts w:eastAsia="MS Mincho" w:cs="Times New Roman"/>
        </w:rPr>
        <w:t>and of fixed-term employees, the existence of a profit sharing scheme, a share ownership scheme, whether there is shift working patterns in the establishment, whether there are any employees regularly working at non-standard times/days (nights, Saturdays or Sundays), whether there was any work reorganization in the last three years (such as changes in the remuneration system, in the organization of the work process, in working time arrangements, or restructuring measures), and whether the organization was involved in any acquisition, takeover, merger, relocation or demerger in the last three years.</w:t>
      </w:r>
      <w:r w:rsidR="00EA1EB8">
        <w:rPr>
          <w:rFonts w:eastAsia="MS Mincho" w:cs="Times New Roman"/>
        </w:rPr>
        <w:t xml:space="preserve"> </w:t>
      </w:r>
      <w:r w:rsidR="002F764E" w:rsidRPr="002F764E">
        <w:rPr>
          <w:rFonts w:eastAsia="MS Mincho" w:cs="Times New Roman"/>
        </w:rPr>
        <w:t xml:space="preserve">These latter two variables can </w:t>
      </w:r>
      <w:r w:rsidR="002F764E">
        <w:rPr>
          <w:rFonts w:eastAsia="MS Mincho" w:cs="Times New Roman"/>
        </w:rPr>
        <w:t xml:space="preserve">additionally </w:t>
      </w:r>
      <w:r w:rsidR="002F764E" w:rsidRPr="002F764E">
        <w:rPr>
          <w:rFonts w:eastAsia="MS Mincho" w:cs="Times New Roman"/>
        </w:rPr>
        <w:t xml:space="preserve">deal to some extent with any biases that may arise because of the reference of the dependent variable to what happened in the past three years. </w:t>
      </w:r>
      <w:r w:rsidR="00557C70">
        <w:rPr>
          <w:rFonts w:eastAsia="MS Mincho" w:cs="Times New Roman"/>
        </w:rPr>
        <w:t>Finally, c</w:t>
      </w:r>
      <w:r w:rsidR="004B4FEE">
        <w:rPr>
          <w:rFonts w:eastAsia="MS Mincho" w:cs="Times New Roman"/>
        </w:rPr>
        <w:t>ountry dummies that account for common unobserved country</w:t>
      </w:r>
      <w:r w:rsidR="00F4047B">
        <w:rPr>
          <w:rFonts w:eastAsia="MS Mincho" w:cs="Times New Roman"/>
        </w:rPr>
        <w:t xml:space="preserve"> or institutional</w:t>
      </w:r>
      <w:r w:rsidR="004B4FEE">
        <w:rPr>
          <w:rFonts w:eastAsia="MS Mincho" w:cs="Times New Roman"/>
        </w:rPr>
        <w:t xml:space="preserve"> effects are also includ</w:t>
      </w:r>
      <w:r w:rsidR="00557C70">
        <w:rPr>
          <w:rFonts w:eastAsia="MS Mincho" w:cs="Times New Roman"/>
        </w:rPr>
        <w:t>ed in all our estimated models.</w:t>
      </w:r>
      <w:r w:rsidR="00CC76BD">
        <w:rPr>
          <w:rStyle w:val="EndnoteReference"/>
          <w:rFonts w:eastAsia="MS Mincho" w:cs="Times New Roman"/>
        </w:rPr>
        <w:endnoteReference w:id="4"/>
      </w:r>
    </w:p>
    <w:p w14:paraId="452C2622" w14:textId="272A390D" w:rsidR="004B4FEE" w:rsidRDefault="004B4FEE" w:rsidP="0076098A">
      <w:pPr>
        <w:ind w:firstLine="567"/>
        <w:rPr>
          <w:rFonts w:eastAsia="MS Mincho" w:cs="Times New Roman"/>
        </w:rPr>
      </w:pPr>
      <w:r>
        <w:rPr>
          <w:rFonts w:eastAsia="MS Mincho" w:cs="Times New Roman"/>
        </w:rPr>
        <w:t xml:space="preserve">After dropping observations with missing values in any of the variables inserted in our model, we end up with a final sample of </w:t>
      </w:r>
      <w:r w:rsidR="003E331D">
        <w:rPr>
          <w:rFonts w:eastAsia="MS Mincho" w:cs="Times New Roman"/>
        </w:rPr>
        <w:t xml:space="preserve">10,048 </w:t>
      </w:r>
      <w:r>
        <w:rPr>
          <w:rFonts w:eastAsia="MS Mincho" w:cs="Times New Roman"/>
        </w:rPr>
        <w:t xml:space="preserve">observations across the </w:t>
      </w:r>
      <w:r w:rsidR="0030670E">
        <w:rPr>
          <w:rFonts w:eastAsia="MS Mincho" w:cs="Times New Roman"/>
        </w:rPr>
        <w:t>EU-15</w:t>
      </w:r>
      <w:r w:rsidR="003E331D">
        <w:rPr>
          <w:rFonts w:eastAsia="MS Mincho" w:cs="Times New Roman"/>
        </w:rPr>
        <w:t xml:space="preserve">. </w:t>
      </w:r>
      <w:r>
        <w:rPr>
          <w:rFonts w:eastAsia="MS Mincho" w:cs="Times New Roman"/>
        </w:rPr>
        <w:t xml:space="preserve">These are allocated across the different country groupings as follows: </w:t>
      </w:r>
      <w:r w:rsidR="003E331D">
        <w:rPr>
          <w:rFonts w:eastAsia="MS Mincho" w:cs="Times New Roman"/>
        </w:rPr>
        <w:t>3,216</w:t>
      </w:r>
      <w:r>
        <w:rPr>
          <w:rFonts w:eastAsia="MS Mincho" w:cs="Times New Roman"/>
        </w:rPr>
        <w:t xml:space="preserve"> in the South</w:t>
      </w:r>
      <w:r w:rsidR="00DB02BD">
        <w:rPr>
          <w:rFonts w:eastAsia="MS Mincho" w:cs="Times New Roman"/>
        </w:rPr>
        <w:t>ern cluster</w:t>
      </w:r>
      <w:r>
        <w:rPr>
          <w:rFonts w:eastAsia="MS Mincho" w:cs="Times New Roman"/>
        </w:rPr>
        <w:t xml:space="preserve">, </w:t>
      </w:r>
      <w:r w:rsidR="003E331D">
        <w:rPr>
          <w:rFonts w:eastAsia="MS Mincho" w:cs="Times New Roman"/>
        </w:rPr>
        <w:t xml:space="preserve">3,462 </w:t>
      </w:r>
      <w:r>
        <w:rPr>
          <w:rFonts w:eastAsia="MS Mincho" w:cs="Times New Roman"/>
        </w:rPr>
        <w:t xml:space="preserve">in the </w:t>
      </w:r>
      <w:r w:rsidR="00DC62F4">
        <w:rPr>
          <w:rFonts w:eastAsia="MS Mincho" w:cs="Times New Roman"/>
        </w:rPr>
        <w:t>Continental</w:t>
      </w:r>
      <w:r w:rsidR="00DB02BD">
        <w:rPr>
          <w:rFonts w:eastAsia="MS Mincho" w:cs="Times New Roman"/>
        </w:rPr>
        <w:t xml:space="preserve"> countries</w:t>
      </w:r>
      <w:r>
        <w:rPr>
          <w:rFonts w:eastAsia="MS Mincho" w:cs="Times New Roman"/>
        </w:rPr>
        <w:t xml:space="preserve">, 1,992 in the </w:t>
      </w:r>
      <w:r w:rsidR="00DB02BD">
        <w:rPr>
          <w:rFonts w:eastAsia="MS Mincho" w:cs="Times New Roman"/>
        </w:rPr>
        <w:t>Nordic ones</w:t>
      </w:r>
      <w:r>
        <w:rPr>
          <w:rFonts w:eastAsia="MS Mincho" w:cs="Times New Roman"/>
        </w:rPr>
        <w:t xml:space="preserve">, and 1,378 in the Liberal countries. </w:t>
      </w:r>
    </w:p>
    <w:p w14:paraId="77F7BD3E" w14:textId="732BF64F" w:rsidR="004B4FEE" w:rsidRPr="00744923" w:rsidRDefault="00623329" w:rsidP="00094028">
      <w:pPr>
        <w:pStyle w:val="Heading1"/>
      </w:pPr>
      <w:r>
        <w:t xml:space="preserve">Results </w:t>
      </w:r>
      <w:r w:rsidR="0053519D">
        <w:t>and d</w:t>
      </w:r>
      <w:r w:rsidR="002544A1">
        <w:t>iscussion</w:t>
      </w:r>
    </w:p>
    <w:p w14:paraId="5D3B6D74" w14:textId="2FAF9FE1" w:rsidR="004B4FEE" w:rsidRPr="00744923" w:rsidRDefault="004B4FEE" w:rsidP="00094028">
      <w:pPr>
        <w:pStyle w:val="Heading2"/>
      </w:pPr>
      <w:r w:rsidRPr="00744923">
        <w:t xml:space="preserve">Descriptive </w:t>
      </w:r>
      <w:r w:rsidR="008B74E8">
        <w:t>statistics</w:t>
      </w:r>
    </w:p>
    <w:p w14:paraId="58EBE907" w14:textId="6671EC41" w:rsidR="004B4FEE" w:rsidRDefault="004B4FEE" w:rsidP="0076098A">
      <w:pPr>
        <w:ind w:firstLine="567"/>
        <w:rPr>
          <w:rFonts w:eastAsia="MS Mincho" w:cs="Times New Roman"/>
        </w:rPr>
      </w:pPr>
      <w:r>
        <w:rPr>
          <w:rFonts w:eastAsia="MS Mincho" w:cs="Times New Roman"/>
        </w:rPr>
        <w:t xml:space="preserve">Table 1 reports the distribution of our dependent variable across </w:t>
      </w:r>
      <w:r w:rsidR="00113E90">
        <w:rPr>
          <w:rFonts w:eastAsia="MS Mincho" w:cs="Times New Roman"/>
        </w:rPr>
        <w:t>EU-1</w:t>
      </w:r>
      <w:r w:rsidR="007B3C8F">
        <w:rPr>
          <w:rFonts w:eastAsia="MS Mincho" w:cs="Times New Roman"/>
        </w:rPr>
        <w:t>5</w:t>
      </w:r>
      <w:r>
        <w:rPr>
          <w:rFonts w:eastAsia="MS Mincho" w:cs="Times New Roman"/>
        </w:rPr>
        <w:t xml:space="preserve">, as well as separately for each country </w:t>
      </w:r>
      <w:r w:rsidR="007B3C8F">
        <w:rPr>
          <w:rFonts w:eastAsia="MS Mincho" w:cs="Times New Roman"/>
        </w:rPr>
        <w:t xml:space="preserve">cluster. </w:t>
      </w:r>
      <w:r>
        <w:rPr>
          <w:rFonts w:eastAsia="MS Mincho" w:cs="Times New Roman"/>
        </w:rPr>
        <w:t xml:space="preserve">Most establishments, irrespective of </w:t>
      </w:r>
      <w:r w:rsidR="00CE6413" w:rsidRPr="00CE6413">
        <w:rPr>
          <w:rFonts w:eastAsia="MS Mincho" w:cs="Times New Roman"/>
        </w:rPr>
        <w:t xml:space="preserve">country </w:t>
      </w:r>
      <w:r w:rsidR="007B3C8F">
        <w:rPr>
          <w:rFonts w:eastAsia="MS Mincho" w:cs="Times New Roman"/>
        </w:rPr>
        <w:t>cluster</w:t>
      </w:r>
      <w:r>
        <w:rPr>
          <w:rFonts w:eastAsia="MS Mincho" w:cs="Times New Roman"/>
        </w:rPr>
        <w:t xml:space="preserve">, either report that productivity did not change during the past </w:t>
      </w:r>
      <w:r w:rsidR="00186977">
        <w:rPr>
          <w:rFonts w:eastAsia="MS Mincho" w:cs="Times New Roman"/>
        </w:rPr>
        <w:t>three</w:t>
      </w:r>
      <w:r>
        <w:rPr>
          <w:rFonts w:eastAsia="MS Mincho" w:cs="Times New Roman"/>
        </w:rPr>
        <w:t xml:space="preserve"> years or that it increased slightly. However, significant numbers are also observed in t</w:t>
      </w:r>
      <w:r w:rsidR="00841A72">
        <w:rPr>
          <w:rFonts w:eastAsia="MS Mincho" w:cs="Times New Roman"/>
        </w:rPr>
        <w:t xml:space="preserve">he two extremes, and especially in the highest category of the dependent variable. </w:t>
      </w:r>
      <w:r>
        <w:rPr>
          <w:rFonts w:eastAsia="MS Mincho" w:cs="Times New Roman"/>
        </w:rPr>
        <w:t xml:space="preserve">On average, the best performing establishments are </w:t>
      </w:r>
      <w:r w:rsidR="00EF3A05">
        <w:rPr>
          <w:rFonts w:eastAsia="MS Mincho" w:cs="Times New Roman"/>
        </w:rPr>
        <w:t xml:space="preserve">found </w:t>
      </w:r>
      <w:r>
        <w:rPr>
          <w:rFonts w:eastAsia="MS Mincho" w:cs="Times New Roman"/>
        </w:rPr>
        <w:t>in the Nor</w:t>
      </w:r>
      <w:r w:rsidR="00CE6413">
        <w:rPr>
          <w:rFonts w:eastAsia="MS Mincho" w:cs="Times New Roman"/>
        </w:rPr>
        <w:t>dic countries</w:t>
      </w:r>
      <w:r w:rsidR="00907851">
        <w:rPr>
          <w:rFonts w:eastAsia="MS Mincho" w:cs="Times New Roman"/>
        </w:rPr>
        <w:t xml:space="preserve"> (with 64% of establishments reporting an increase in productivity), </w:t>
      </w:r>
      <w:r w:rsidR="00442FE8">
        <w:rPr>
          <w:rFonts w:eastAsia="MS Mincho" w:cs="Times New Roman"/>
        </w:rPr>
        <w:t xml:space="preserve">whereas </w:t>
      </w:r>
      <w:r w:rsidR="00907851">
        <w:rPr>
          <w:rFonts w:eastAsia="MS Mincho" w:cs="Times New Roman"/>
        </w:rPr>
        <w:t>the worst performing ones are found either in the Southern or the Liberal cluster (with only around 50% of establishments</w:t>
      </w:r>
      <w:r w:rsidR="00442FE8">
        <w:rPr>
          <w:rFonts w:eastAsia="MS Mincho" w:cs="Times New Roman"/>
        </w:rPr>
        <w:t xml:space="preserve"> in </w:t>
      </w:r>
      <w:r w:rsidR="0072069E">
        <w:rPr>
          <w:rFonts w:eastAsia="MS Mincho" w:cs="Times New Roman"/>
        </w:rPr>
        <w:t>each group</w:t>
      </w:r>
      <w:r w:rsidR="00442FE8">
        <w:rPr>
          <w:rFonts w:eastAsia="MS Mincho" w:cs="Times New Roman"/>
        </w:rPr>
        <w:t xml:space="preserve"> </w:t>
      </w:r>
      <w:r w:rsidR="00907851">
        <w:rPr>
          <w:rFonts w:eastAsia="MS Mincho" w:cs="Times New Roman"/>
        </w:rPr>
        <w:t>reporting a productivity increase in the past 3 years)</w:t>
      </w:r>
      <w:r w:rsidR="00CE6413">
        <w:rPr>
          <w:rFonts w:eastAsia="MS Mincho" w:cs="Times New Roman"/>
        </w:rPr>
        <w:t xml:space="preserve">. </w:t>
      </w:r>
    </w:p>
    <w:p w14:paraId="51884BE9" w14:textId="3B817193" w:rsidR="004B4FEE" w:rsidRPr="00CB1BAC" w:rsidRDefault="004B4FEE" w:rsidP="00FC4469">
      <w:pPr>
        <w:jc w:val="center"/>
        <w:rPr>
          <w:rFonts w:eastAsia="MS Mincho" w:cs="Times New Roman"/>
          <w:b/>
        </w:rPr>
      </w:pPr>
      <w:r w:rsidRPr="00CB1BAC">
        <w:rPr>
          <w:rFonts w:eastAsia="MS Mincho" w:cs="Times New Roman"/>
          <w:b/>
        </w:rPr>
        <w:t>[Table 1]</w:t>
      </w:r>
    </w:p>
    <w:p w14:paraId="2EB95244" w14:textId="0327CA45" w:rsidR="004B4FEE" w:rsidRDefault="00EE59CD" w:rsidP="0076098A">
      <w:pPr>
        <w:ind w:firstLine="567"/>
        <w:rPr>
          <w:rFonts w:eastAsia="MS Mincho" w:cs="Times New Roman"/>
        </w:rPr>
      </w:pPr>
      <w:r>
        <w:rPr>
          <w:rFonts w:eastAsia="MS Mincho" w:cs="Times New Roman"/>
        </w:rPr>
        <w:t>To begin with, we</w:t>
      </w:r>
      <w:r w:rsidR="004B4FEE">
        <w:rPr>
          <w:rFonts w:eastAsia="MS Mincho" w:cs="Times New Roman"/>
        </w:rPr>
        <w:t xml:space="preserve"> look at the distribution of the independent variables of interest.</w:t>
      </w:r>
      <w:r w:rsidR="00D80982">
        <w:rPr>
          <w:rStyle w:val="EndnoteReference"/>
          <w:rFonts w:eastAsia="MS Mincho" w:cs="Times New Roman"/>
        </w:rPr>
        <w:endnoteReference w:id="5"/>
      </w:r>
      <w:r w:rsidR="00D80982">
        <w:rPr>
          <w:rFonts w:eastAsia="MS Mincho" w:cs="Times New Roman"/>
        </w:rPr>
        <w:t xml:space="preserve"> </w:t>
      </w:r>
      <w:r w:rsidR="004B4FEE">
        <w:rPr>
          <w:rFonts w:eastAsia="MS Mincho" w:cs="Times New Roman"/>
        </w:rPr>
        <w:t xml:space="preserve">Table 2 presents the relevant </w:t>
      </w:r>
      <w:r w:rsidR="004F04ED">
        <w:rPr>
          <w:rFonts w:eastAsia="MS Mincho" w:cs="Times New Roman"/>
        </w:rPr>
        <w:t>data</w:t>
      </w:r>
      <w:r w:rsidR="00ED2A91">
        <w:rPr>
          <w:rFonts w:eastAsia="MS Mincho" w:cs="Times New Roman"/>
        </w:rPr>
        <w:t xml:space="preserve">. </w:t>
      </w:r>
      <w:r w:rsidR="004B4FEE">
        <w:rPr>
          <w:rFonts w:eastAsia="MS Mincho" w:cs="Times New Roman"/>
        </w:rPr>
        <w:t xml:space="preserve">Some form of collective bargaining is quite widespread across </w:t>
      </w:r>
      <w:r w:rsidR="0072069E">
        <w:rPr>
          <w:rFonts w:eastAsia="MS Mincho" w:cs="Times New Roman"/>
        </w:rPr>
        <w:t xml:space="preserve">the </w:t>
      </w:r>
      <w:r w:rsidR="00ED2A91">
        <w:rPr>
          <w:rFonts w:eastAsia="MS Mincho" w:cs="Times New Roman"/>
        </w:rPr>
        <w:t>EU-15</w:t>
      </w:r>
      <w:r w:rsidR="004B4FEE">
        <w:rPr>
          <w:rFonts w:eastAsia="MS Mincho" w:cs="Times New Roman"/>
        </w:rPr>
        <w:t xml:space="preserve"> private sector workplaces, the exception being the workplaces in the </w:t>
      </w:r>
      <w:r w:rsidR="00006EBD">
        <w:rPr>
          <w:rFonts w:eastAsia="MS Mincho" w:cs="Times New Roman"/>
        </w:rPr>
        <w:t>Liberal</w:t>
      </w:r>
      <w:r w:rsidR="004B4FEE">
        <w:rPr>
          <w:rFonts w:eastAsia="MS Mincho" w:cs="Times New Roman"/>
        </w:rPr>
        <w:t xml:space="preserve"> countries. </w:t>
      </w:r>
      <w:r w:rsidR="008B74E8" w:rsidRPr="008B74E8">
        <w:rPr>
          <w:rFonts w:eastAsia="MS Mincho" w:cs="Times New Roman"/>
        </w:rPr>
        <w:t xml:space="preserve">On the other hand, most private sector workplaces (73%) in </w:t>
      </w:r>
      <w:r w:rsidR="00FC3F20">
        <w:rPr>
          <w:rFonts w:eastAsia="MS Mincho" w:cs="Times New Roman"/>
        </w:rPr>
        <w:t xml:space="preserve">the </w:t>
      </w:r>
      <w:r w:rsidR="008B74E8" w:rsidRPr="008B74E8">
        <w:rPr>
          <w:rFonts w:eastAsia="MS Mincho" w:cs="Times New Roman"/>
        </w:rPr>
        <w:t xml:space="preserve">EU-15 have no institutional or statutory recognized employee representation, either in the form of a TU </w:t>
      </w:r>
      <w:r w:rsidR="0072069E">
        <w:rPr>
          <w:rFonts w:eastAsia="MS Mincho" w:cs="Times New Roman"/>
        </w:rPr>
        <w:t>and/</w:t>
      </w:r>
      <w:r w:rsidR="008B74E8" w:rsidRPr="008B74E8">
        <w:rPr>
          <w:rFonts w:eastAsia="MS Mincho" w:cs="Times New Roman"/>
        </w:rPr>
        <w:t xml:space="preserve">or a WC-type one. The exception to this pattern is the Nordic cluster, where TU-only representation is relatively </w:t>
      </w:r>
      <w:r w:rsidR="0072069E">
        <w:rPr>
          <w:rFonts w:eastAsia="MS Mincho" w:cs="Times New Roman"/>
        </w:rPr>
        <w:t xml:space="preserve">very </w:t>
      </w:r>
      <w:r w:rsidR="008B74E8" w:rsidRPr="008B74E8">
        <w:rPr>
          <w:rFonts w:eastAsia="MS Mincho" w:cs="Times New Roman"/>
        </w:rPr>
        <w:t xml:space="preserve">widespread. </w:t>
      </w:r>
      <w:r w:rsidR="008B74E8">
        <w:rPr>
          <w:rFonts w:eastAsia="MS Mincho" w:cs="Times New Roman"/>
        </w:rPr>
        <w:t xml:space="preserve">Finally, </w:t>
      </w:r>
      <w:r w:rsidR="0072069E">
        <w:rPr>
          <w:rFonts w:eastAsia="MS Mincho" w:cs="Times New Roman"/>
        </w:rPr>
        <w:t>t</w:t>
      </w:r>
      <w:r w:rsidR="008B74E8" w:rsidRPr="008B74E8">
        <w:rPr>
          <w:rFonts w:eastAsia="MS Mincho" w:cs="Times New Roman"/>
        </w:rPr>
        <w:t>raining and, especially, teamwork are quite prevalent across the E</w:t>
      </w:r>
      <w:r w:rsidR="0072069E">
        <w:rPr>
          <w:rFonts w:eastAsia="MS Mincho" w:cs="Times New Roman"/>
        </w:rPr>
        <w:t>U-15 (</w:t>
      </w:r>
      <w:r w:rsidR="008B74E8" w:rsidRPr="008B74E8">
        <w:rPr>
          <w:rFonts w:eastAsia="MS Mincho" w:cs="Times New Roman"/>
        </w:rPr>
        <w:t>with Liberal countries scor</w:t>
      </w:r>
      <w:r w:rsidR="0072069E">
        <w:rPr>
          <w:rFonts w:eastAsia="MS Mincho" w:cs="Times New Roman"/>
        </w:rPr>
        <w:t>ing the highest incidence rates)</w:t>
      </w:r>
      <w:r w:rsidR="008B74E8" w:rsidRPr="008B74E8">
        <w:rPr>
          <w:rFonts w:eastAsia="MS Mincho" w:cs="Times New Roman"/>
        </w:rPr>
        <w:t>, something that is not the case for p</w:t>
      </w:r>
      <w:r w:rsidR="0072069E">
        <w:rPr>
          <w:rFonts w:eastAsia="MS Mincho" w:cs="Times New Roman"/>
        </w:rPr>
        <w:t>erformance related pay schemes. As a whole, t</w:t>
      </w:r>
      <w:r w:rsidR="0072069E" w:rsidRPr="008B74E8">
        <w:rPr>
          <w:rFonts w:eastAsia="MS Mincho" w:cs="Times New Roman"/>
        </w:rPr>
        <w:t xml:space="preserve">he Southern countries record the </w:t>
      </w:r>
      <w:r w:rsidR="0072069E">
        <w:rPr>
          <w:rFonts w:eastAsia="MS Mincho" w:cs="Times New Roman"/>
        </w:rPr>
        <w:t xml:space="preserve">(relatively) </w:t>
      </w:r>
      <w:r w:rsidR="0072069E" w:rsidRPr="008B74E8">
        <w:rPr>
          <w:rFonts w:eastAsia="MS Mincho" w:cs="Times New Roman"/>
        </w:rPr>
        <w:t xml:space="preserve">lowest prevalence of workplace practices. </w:t>
      </w:r>
    </w:p>
    <w:p w14:paraId="0C7230E5" w14:textId="28875E4F" w:rsidR="004B4FEE" w:rsidRPr="00623856" w:rsidRDefault="004B4FEE" w:rsidP="0076098A">
      <w:pPr>
        <w:ind w:firstLine="567"/>
        <w:jc w:val="center"/>
        <w:rPr>
          <w:rFonts w:eastAsia="MS Mincho" w:cs="Times New Roman"/>
          <w:b/>
        </w:rPr>
      </w:pPr>
      <w:r w:rsidRPr="00623856">
        <w:rPr>
          <w:rFonts w:eastAsia="MS Mincho" w:cs="Times New Roman"/>
          <w:b/>
        </w:rPr>
        <w:t xml:space="preserve">[Table </w:t>
      </w:r>
      <w:r w:rsidR="00EE59CD">
        <w:rPr>
          <w:rFonts w:eastAsia="MS Mincho" w:cs="Times New Roman"/>
          <w:b/>
        </w:rPr>
        <w:t>2</w:t>
      </w:r>
      <w:r w:rsidRPr="00623856">
        <w:rPr>
          <w:rFonts w:eastAsia="MS Mincho" w:cs="Times New Roman"/>
          <w:b/>
        </w:rPr>
        <w:t>]</w:t>
      </w:r>
    </w:p>
    <w:p w14:paraId="5C37AFC5" w14:textId="6AE785D6" w:rsidR="004B4FEE" w:rsidRDefault="004B4FEE" w:rsidP="0076098A">
      <w:pPr>
        <w:ind w:firstLine="567"/>
        <w:rPr>
          <w:rFonts w:eastAsia="MS Mincho" w:cs="Times New Roman"/>
        </w:rPr>
      </w:pPr>
    </w:p>
    <w:p w14:paraId="09223B05" w14:textId="77777777" w:rsidR="00442FE8" w:rsidRPr="00B464E6" w:rsidRDefault="00442FE8" w:rsidP="00442FE8">
      <w:pPr>
        <w:pStyle w:val="Heading2"/>
      </w:pPr>
      <w:r>
        <w:t>Regression results and discussion</w:t>
      </w:r>
    </w:p>
    <w:p w14:paraId="3A2261CF" w14:textId="3443E5E6" w:rsidR="004B4FEE" w:rsidRDefault="009B68C5" w:rsidP="00442FE8">
      <w:pPr>
        <w:ind w:firstLine="720"/>
        <w:rPr>
          <w:rFonts w:eastAsia="MS Mincho" w:cs="Times New Roman"/>
        </w:rPr>
      </w:pPr>
      <w:r>
        <w:rPr>
          <w:rFonts w:eastAsia="MS Mincho" w:cs="Times New Roman"/>
        </w:rPr>
        <w:t>We now turn</w:t>
      </w:r>
      <w:r w:rsidR="004B4FEE">
        <w:rPr>
          <w:rFonts w:eastAsia="MS Mincho" w:cs="Times New Roman"/>
        </w:rPr>
        <w:t xml:space="preserve"> to </w:t>
      </w:r>
      <w:r w:rsidR="00006EBD">
        <w:rPr>
          <w:rFonts w:eastAsia="MS Mincho" w:cs="Times New Roman"/>
        </w:rPr>
        <w:t>the</w:t>
      </w:r>
      <w:r w:rsidR="004B4FEE">
        <w:rPr>
          <w:rFonts w:eastAsia="MS Mincho" w:cs="Times New Roman"/>
        </w:rPr>
        <w:t xml:space="preserve"> </w:t>
      </w:r>
      <w:r>
        <w:rPr>
          <w:rFonts w:eastAsia="MS Mincho" w:cs="Times New Roman"/>
        </w:rPr>
        <w:t xml:space="preserve">regression </w:t>
      </w:r>
      <w:r w:rsidR="004B4FEE">
        <w:rPr>
          <w:rFonts w:eastAsia="MS Mincho" w:cs="Times New Roman"/>
        </w:rPr>
        <w:t>estimates</w:t>
      </w:r>
      <w:r>
        <w:rPr>
          <w:rFonts w:eastAsia="MS Mincho" w:cs="Times New Roman"/>
        </w:rPr>
        <w:t>.</w:t>
      </w:r>
      <w:r w:rsidR="004B4FEE">
        <w:rPr>
          <w:rFonts w:eastAsia="MS Mincho" w:cs="Times New Roman"/>
        </w:rPr>
        <w:t xml:space="preserve"> Table 3 reports the ordered probit coefficients (and associated standard errors) </w:t>
      </w:r>
      <w:r w:rsidR="00006EBD">
        <w:rPr>
          <w:rFonts w:eastAsia="MS Mincho" w:cs="Times New Roman"/>
        </w:rPr>
        <w:t xml:space="preserve">of the </w:t>
      </w:r>
      <w:r w:rsidR="004B4FEE">
        <w:rPr>
          <w:rFonts w:eastAsia="MS Mincho" w:cs="Times New Roman"/>
        </w:rPr>
        <w:t>productivity change model.</w:t>
      </w:r>
      <w:r w:rsidR="00D80982">
        <w:rPr>
          <w:rStyle w:val="EndnoteReference"/>
          <w:rFonts w:eastAsia="MS Mincho" w:cs="Times New Roman"/>
        </w:rPr>
        <w:endnoteReference w:id="6"/>
      </w:r>
      <w:r w:rsidR="00D80982">
        <w:rPr>
          <w:rFonts w:eastAsia="MS Mincho" w:cs="Times New Roman"/>
        </w:rPr>
        <w:t xml:space="preserve"> </w:t>
      </w:r>
      <w:r w:rsidR="004B4FEE">
        <w:rPr>
          <w:rFonts w:eastAsia="MS Mincho" w:cs="Times New Roman"/>
        </w:rPr>
        <w:t>Two specifications are reported</w:t>
      </w:r>
      <w:r w:rsidR="005F3890">
        <w:rPr>
          <w:rFonts w:eastAsia="MS Mincho" w:cs="Times New Roman"/>
        </w:rPr>
        <w:t>, both</w:t>
      </w:r>
      <w:r w:rsidR="004B4FEE">
        <w:rPr>
          <w:rFonts w:eastAsia="MS Mincho" w:cs="Times New Roman"/>
        </w:rPr>
        <w:t xml:space="preserve"> for </w:t>
      </w:r>
      <w:r w:rsidR="00CB0871">
        <w:rPr>
          <w:rFonts w:eastAsia="MS Mincho" w:cs="Times New Roman"/>
        </w:rPr>
        <w:t>EU-15</w:t>
      </w:r>
      <w:r w:rsidR="004B4FEE">
        <w:rPr>
          <w:rFonts w:eastAsia="MS Mincho" w:cs="Times New Roman"/>
        </w:rPr>
        <w:t xml:space="preserve"> as a whole and </w:t>
      </w:r>
      <w:r w:rsidR="00E80C97">
        <w:rPr>
          <w:rFonts w:eastAsia="MS Mincho" w:cs="Times New Roman"/>
        </w:rPr>
        <w:t xml:space="preserve">for </w:t>
      </w:r>
      <w:r w:rsidR="004B4FEE">
        <w:rPr>
          <w:rFonts w:eastAsia="MS Mincho" w:cs="Times New Roman"/>
        </w:rPr>
        <w:t>each country cluster</w:t>
      </w:r>
      <w:r w:rsidR="00E80C97">
        <w:rPr>
          <w:rFonts w:eastAsia="MS Mincho" w:cs="Times New Roman"/>
        </w:rPr>
        <w:t>:</w:t>
      </w:r>
      <w:r w:rsidR="004B4FEE">
        <w:rPr>
          <w:rFonts w:eastAsia="MS Mincho" w:cs="Times New Roman"/>
        </w:rPr>
        <w:t xml:space="preserve"> </w:t>
      </w:r>
      <w:r w:rsidR="00E80C97">
        <w:rPr>
          <w:rFonts w:eastAsia="MS Mincho" w:cs="Times New Roman"/>
        </w:rPr>
        <w:t>t</w:t>
      </w:r>
      <w:r w:rsidR="004B4FEE">
        <w:rPr>
          <w:rFonts w:eastAsia="MS Mincho" w:cs="Times New Roman"/>
        </w:rPr>
        <w:t xml:space="preserve">he first includes only the independent variables of interest (along with country dummies), while the second adds the further controls </w:t>
      </w:r>
      <w:r w:rsidR="00186977">
        <w:rPr>
          <w:rFonts w:eastAsia="MS Mincho" w:cs="Times New Roman"/>
        </w:rPr>
        <w:t xml:space="preserve">previously </w:t>
      </w:r>
      <w:r w:rsidR="004B4FEE">
        <w:rPr>
          <w:rFonts w:eastAsia="MS Mincho" w:cs="Times New Roman"/>
        </w:rPr>
        <w:t>mentioned. While there are some slight differences between the results from the two specifications, most of them are quite robust to the inclusion of further control variables. In the discussion that follows, we refer to the second specification, which deals to a greater extent with the substantial heterogeneity observed across EU establishments. Moreover, since the ordered probit coefficients and its standard errors can only indicate the direction and significance of the effect of independent variables, we will also refer in the text to some marginal effects of the variables of interest. The marginal effects show the (</w:t>
      </w:r>
      <w:r w:rsidR="004B4FEE" w:rsidRPr="00404C2C">
        <w:rPr>
          <w:rFonts w:eastAsia="MS Mincho" w:cs="Times New Roman"/>
          <w:i/>
        </w:rPr>
        <w:t>ceteris paribus</w:t>
      </w:r>
      <w:r w:rsidR="004B4FEE">
        <w:rPr>
          <w:rFonts w:eastAsia="MS Mincho" w:cs="Times New Roman"/>
        </w:rPr>
        <w:t xml:space="preserve">) change in a probability relevant to the estimated model that results from changing an independent variable from the reference category to the category of interest and can, thus, provide some perspective on the size of the estimated associations. Throughout the paper, we focus on the probability of reporting the highest category in the productivity change variable (i.e. </w:t>
      </w:r>
      <w:r w:rsidR="006E3C27">
        <w:rPr>
          <w:rFonts w:eastAsia="MS Mincho" w:cs="Times New Roman"/>
        </w:rPr>
        <w:t>‘</w:t>
      </w:r>
      <w:r w:rsidR="004B4FEE">
        <w:rPr>
          <w:rFonts w:eastAsia="MS Mincho" w:cs="Times New Roman"/>
        </w:rPr>
        <w:t>increased considerably</w:t>
      </w:r>
      <w:r w:rsidR="006E3C27">
        <w:rPr>
          <w:rFonts w:eastAsia="MS Mincho" w:cs="Times New Roman"/>
        </w:rPr>
        <w:t>’</w:t>
      </w:r>
      <w:r w:rsidR="004B4FEE">
        <w:rPr>
          <w:rFonts w:eastAsia="MS Mincho" w:cs="Times New Roman"/>
        </w:rPr>
        <w:t>) to estimate the marginal effects.</w:t>
      </w:r>
      <w:r w:rsidR="00D80982">
        <w:rPr>
          <w:rStyle w:val="EndnoteReference"/>
          <w:rFonts w:eastAsia="MS Mincho" w:cs="Times New Roman"/>
        </w:rPr>
        <w:endnoteReference w:id="7"/>
      </w:r>
    </w:p>
    <w:p w14:paraId="20B62150" w14:textId="2BD76F83" w:rsidR="00E80C97" w:rsidRPr="00623856" w:rsidRDefault="00E80C97" w:rsidP="00E80C97">
      <w:pPr>
        <w:jc w:val="center"/>
        <w:rPr>
          <w:rFonts w:eastAsia="MS Mincho" w:cs="Times New Roman"/>
          <w:b/>
        </w:rPr>
      </w:pPr>
      <w:r w:rsidRPr="00623856">
        <w:rPr>
          <w:rFonts w:eastAsia="MS Mincho" w:cs="Times New Roman"/>
          <w:b/>
        </w:rPr>
        <w:t>[Table 3]</w:t>
      </w:r>
    </w:p>
    <w:p w14:paraId="71F15487" w14:textId="0160CBC9" w:rsidR="004B4FEE" w:rsidRDefault="00A10F15" w:rsidP="0076098A">
      <w:pPr>
        <w:ind w:firstLine="567"/>
        <w:rPr>
          <w:rFonts w:eastAsia="MS Mincho" w:cs="Times New Roman"/>
        </w:rPr>
      </w:pPr>
      <w:r>
        <w:rPr>
          <w:rFonts w:eastAsia="MS Mincho" w:cs="Times New Roman"/>
        </w:rPr>
        <w:t xml:space="preserve">Across the whole EU-15 we find little support for </w:t>
      </w:r>
      <w:r w:rsidR="009E50F5">
        <w:rPr>
          <w:rFonts w:eastAsia="MS Mincho" w:cs="Times New Roman"/>
        </w:rPr>
        <w:t>Hypotheses</w:t>
      </w:r>
      <w:r w:rsidR="009E50F5">
        <w:rPr>
          <w:rFonts w:eastAsia="MS Mincho" w:cs="Times New Roman"/>
          <w:color w:val="FF0000"/>
        </w:rPr>
        <w:t xml:space="preserve"> </w:t>
      </w:r>
      <w:r w:rsidR="009E50F5">
        <w:rPr>
          <w:rFonts w:eastAsia="MS Mincho" w:cs="Times New Roman"/>
        </w:rPr>
        <w:t xml:space="preserve">1-3. </w:t>
      </w:r>
      <w:r w:rsidR="004B4FEE">
        <w:rPr>
          <w:rFonts w:eastAsia="MS Mincho" w:cs="Times New Roman"/>
        </w:rPr>
        <w:t>Starting from col</w:t>
      </w:r>
      <w:r w:rsidR="00C43519">
        <w:rPr>
          <w:rFonts w:eastAsia="MS Mincho" w:cs="Times New Roman"/>
        </w:rPr>
        <w:t>lective bargaining, Hypothesis 1</w:t>
      </w:r>
      <w:r w:rsidR="004B4FEE">
        <w:rPr>
          <w:rFonts w:eastAsia="MS Mincho" w:cs="Times New Roman"/>
        </w:rPr>
        <w:t xml:space="preserve"> finds little support in the data. For </w:t>
      </w:r>
      <w:r w:rsidR="00C43519">
        <w:rPr>
          <w:rFonts w:eastAsia="MS Mincho" w:cs="Times New Roman"/>
        </w:rPr>
        <w:t>EU-15</w:t>
      </w:r>
      <w:r w:rsidR="004B4FEE">
        <w:rPr>
          <w:rFonts w:eastAsia="MS Mincho" w:cs="Times New Roman"/>
        </w:rPr>
        <w:t xml:space="preserve"> as a whole, none of the bargaining level variables is estimated with a statistically significant coefficient, meaning that there is no difference between any of them and the reference category of no collective bargaining. However, the coefficient for </w:t>
      </w:r>
      <w:r w:rsidR="0029405C">
        <w:rPr>
          <w:rFonts w:eastAsia="MS Mincho" w:cs="Times New Roman"/>
        </w:rPr>
        <w:t>decentralised</w:t>
      </w:r>
      <w:r w:rsidR="00FC5724">
        <w:rPr>
          <w:rFonts w:eastAsia="MS Mincho" w:cs="Times New Roman"/>
        </w:rPr>
        <w:t xml:space="preserve"> (establishment or company) </w:t>
      </w:r>
      <w:r w:rsidR="004B4FEE">
        <w:rPr>
          <w:rFonts w:eastAsia="MS Mincho" w:cs="Times New Roman"/>
        </w:rPr>
        <w:t xml:space="preserve">bargaining is significantly higher than the one for </w:t>
      </w:r>
      <w:r w:rsidR="0029405C">
        <w:rPr>
          <w:rFonts w:eastAsia="MS Mincho" w:cs="Times New Roman"/>
        </w:rPr>
        <w:t>centralised</w:t>
      </w:r>
      <w:r w:rsidR="00FC5724">
        <w:rPr>
          <w:rFonts w:eastAsia="MS Mincho" w:cs="Times New Roman"/>
        </w:rPr>
        <w:t xml:space="preserve"> (higher level) </w:t>
      </w:r>
      <w:r w:rsidR="004B4FEE">
        <w:rPr>
          <w:rFonts w:eastAsia="MS Mincho" w:cs="Times New Roman"/>
        </w:rPr>
        <w:t>bargaining (</w:t>
      </w:r>
      <w:r w:rsidR="004B4FEE" w:rsidRPr="007D2C71">
        <w:rPr>
          <w:rFonts w:eastAsia="MS Mincho" w:cs="Times New Roman"/>
          <w:i/>
        </w:rPr>
        <w:t>p</w:t>
      </w:r>
      <w:r w:rsidR="00FC5724">
        <w:rPr>
          <w:rFonts w:eastAsia="MS Mincho" w:cs="Times New Roman"/>
        </w:rPr>
        <w:t>&lt;0.01</w:t>
      </w:r>
      <w:r w:rsidR="004B4FEE">
        <w:rPr>
          <w:rFonts w:eastAsia="MS Mincho" w:cs="Times New Roman"/>
        </w:rPr>
        <w:t xml:space="preserve">). </w:t>
      </w:r>
      <w:r w:rsidR="00C27916">
        <w:rPr>
          <w:rFonts w:eastAsia="MS Mincho" w:cs="Times New Roman"/>
        </w:rPr>
        <w:t>The associated marginal effects</w:t>
      </w:r>
      <w:r w:rsidR="004B4FEE">
        <w:rPr>
          <w:rFonts w:eastAsia="MS Mincho" w:cs="Times New Roman"/>
        </w:rPr>
        <w:t xml:space="preserve"> though, do not show a </w:t>
      </w:r>
      <w:r w:rsidR="00A9658F">
        <w:rPr>
          <w:rFonts w:eastAsia="MS Mincho" w:cs="Times New Roman"/>
        </w:rPr>
        <w:t xml:space="preserve">very </w:t>
      </w:r>
      <w:r w:rsidR="004B4FEE">
        <w:rPr>
          <w:rFonts w:eastAsia="MS Mincho" w:cs="Times New Roman"/>
        </w:rPr>
        <w:t>sub</w:t>
      </w:r>
      <w:r w:rsidR="00FC5724">
        <w:rPr>
          <w:rFonts w:eastAsia="MS Mincho" w:cs="Times New Roman"/>
        </w:rPr>
        <w:t xml:space="preserve">stantial difference: there is an approximately two </w:t>
      </w:r>
      <w:r w:rsidR="004B4FEE">
        <w:rPr>
          <w:rFonts w:eastAsia="MS Mincho" w:cs="Times New Roman"/>
        </w:rPr>
        <w:t>percentage point</w:t>
      </w:r>
      <w:r w:rsidR="00FC5724">
        <w:rPr>
          <w:rFonts w:eastAsia="MS Mincho" w:cs="Times New Roman"/>
        </w:rPr>
        <w:t>s</w:t>
      </w:r>
      <w:r w:rsidR="004B4FEE">
        <w:rPr>
          <w:rFonts w:eastAsia="MS Mincho" w:cs="Times New Roman"/>
        </w:rPr>
        <w:t xml:space="preserve"> (p.p.) increase in the probability of reporting the highest category of productivity change for the managers in establishments with </w:t>
      </w:r>
      <w:r w:rsidR="0029405C">
        <w:rPr>
          <w:rFonts w:eastAsia="MS Mincho" w:cs="Times New Roman"/>
        </w:rPr>
        <w:t>decentralised</w:t>
      </w:r>
      <w:r w:rsidR="004B4FEE">
        <w:rPr>
          <w:rFonts w:eastAsia="MS Mincho" w:cs="Times New Roman"/>
        </w:rPr>
        <w:t xml:space="preserve"> bargaining relative to an establishment with no bargaining, while the marginal effect for the </w:t>
      </w:r>
      <w:r w:rsidR="0029405C">
        <w:rPr>
          <w:rFonts w:eastAsia="MS Mincho" w:cs="Times New Roman"/>
        </w:rPr>
        <w:t>centralised bargaining</w:t>
      </w:r>
      <w:r w:rsidR="004B4FEE">
        <w:rPr>
          <w:rFonts w:eastAsia="MS Mincho" w:cs="Times New Roman"/>
        </w:rPr>
        <w:t xml:space="preserve"> variable shows a </w:t>
      </w:r>
      <w:r w:rsidR="00FC5724">
        <w:rPr>
          <w:rFonts w:eastAsia="MS Mincho" w:cs="Times New Roman"/>
        </w:rPr>
        <w:t xml:space="preserve">two </w:t>
      </w:r>
      <w:r w:rsidR="004B4FEE">
        <w:rPr>
          <w:rFonts w:eastAsia="MS Mincho" w:cs="Times New Roman"/>
        </w:rPr>
        <w:t>p</w:t>
      </w:r>
      <w:r w:rsidR="00C27916">
        <w:rPr>
          <w:rFonts w:eastAsia="MS Mincho" w:cs="Times New Roman"/>
        </w:rPr>
        <w:t>.</w:t>
      </w:r>
      <w:r w:rsidR="004B4FEE">
        <w:rPr>
          <w:rFonts w:eastAsia="MS Mincho" w:cs="Times New Roman"/>
        </w:rPr>
        <w:t>p</w:t>
      </w:r>
      <w:r w:rsidR="00C27916">
        <w:rPr>
          <w:rFonts w:eastAsia="MS Mincho" w:cs="Times New Roman"/>
        </w:rPr>
        <w:t>.</w:t>
      </w:r>
      <w:r w:rsidR="00FC5724">
        <w:rPr>
          <w:rFonts w:eastAsia="MS Mincho" w:cs="Times New Roman"/>
        </w:rPr>
        <w:t xml:space="preserve"> decrease. Considering a 21</w:t>
      </w:r>
      <w:r w:rsidR="004B4FEE">
        <w:rPr>
          <w:rFonts w:eastAsia="MS Mincho" w:cs="Times New Roman"/>
        </w:rPr>
        <w:t xml:space="preserve">% probability of belonging in the highest category in </w:t>
      </w:r>
      <w:r w:rsidR="00FC5724">
        <w:rPr>
          <w:rFonts w:eastAsia="MS Mincho" w:cs="Times New Roman"/>
        </w:rPr>
        <w:t>EU-15</w:t>
      </w:r>
      <w:r w:rsidR="004B4FEE">
        <w:rPr>
          <w:rFonts w:eastAsia="MS Mincho" w:cs="Times New Roman"/>
        </w:rPr>
        <w:t xml:space="preserve"> (see Table 1), these effects can be thought </w:t>
      </w:r>
      <w:r w:rsidR="00C27916">
        <w:rPr>
          <w:rFonts w:eastAsia="MS Mincho" w:cs="Times New Roman"/>
        </w:rPr>
        <w:t xml:space="preserve">of </w:t>
      </w:r>
      <w:r w:rsidR="004B4FEE">
        <w:rPr>
          <w:rFonts w:eastAsia="MS Mincho" w:cs="Times New Roman"/>
        </w:rPr>
        <w:t xml:space="preserve">as of </w:t>
      </w:r>
      <w:r w:rsidR="00FC5724">
        <w:rPr>
          <w:rFonts w:eastAsia="MS Mincho" w:cs="Times New Roman"/>
        </w:rPr>
        <w:t xml:space="preserve">limited </w:t>
      </w:r>
      <w:r w:rsidR="005D50B8">
        <w:rPr>
          <w:rFonts w:eastAsia="MS Mincho" w:cs="Times New Roman"/>
        </w:rPr>
        <w:t>substantive importance.</w:t>
      </w:r>
    </w:p>
    <w:p w14:paraId="22769458" w14:textId="47E0D242" w:rsidR="004B4FEE" w:rsidRDefault="004B4FEE" w:rsidP="0076098A">
      <w:pPr>
        <w:ind w:firstLine="567"/>
        <w:rPr>
          <w:rFonts w:eastAsia="MS Mincho" w:cs="Times New Roman"/>
        </w:rPr>
      </w:pPr>
      <w:r>
        <w:rPr>
          <w:rFonts w:eastAsia="MS Mincho" w:cs="Times New Roman"/>
        </w:rPr>
        <w:t>When the models are estimated separately for each country cluster, we can observe some further interesting results. In the South</w:t>
      </w:r>
      <w:r w:rsidR="00601387">
        <w:rPr>
          <w:rFonts w:eastAsia="MS Mincho" w:cs="Times New Roman"/>
        </w:rPr>
        <w:t>ern cluster</w:t>
      </w:r>
      <w:r>
        <w:rPr>
          <w:rFonts w:eastAsia="MS Mincho" w:cs="Times New Roman"/>
        </w:rPr>
        <w:t xml:space="preserve">, we do not find any difference in productivity performance across establishments with different </w:t>
      </w:r>
      <w:r w:rsidR="00601387">
        <w:rPr>
          <w:rFonts w:eastAsia="MS Mincho" w:cs="Times New Roman"/>
        </w:rPr>
        <w:t>bargaining regimes. In the Nordic countries</w:t>
      </w:r>
      <w:r>
        <w:rPr>
          <w:rFonts w:eastAsia="MS Mincho" w:cs="Times New Roman"/>
        </w:rPr>
        <w:t xml:space="preserve">, establishments with </w:t>
      </w:r>
      <w:r w:rsidR="0029405C">
        <w:rPr>
          <w:rFonts w:eastAsia="MS Mincho" w:cs="Times New Roman"/>
        </w:rPr>
        <w:t>decentralised</w:t>
      </w:r>
      <w:r>
        <w:rPr>
          <w:rFonts w:eastAsia="MS Mincho" w:cs="Times New Roman"/>
        </w:rPr>
        <w:t xml:space="preserve"> bargaining seem to perform (very slightly) better than those with </w:t>
      </w:r>
      <w:r w:rsidR="0029405C">
        <w:rPr>
          <w:rFonts w:eastAsia="MS Mincho" w:cs="Times New Roman"/>
        </w:rPr>
        <w:t>centralised</w:t>
      </w:r>
      <w:r>
        <w:rPr>
          <w:rFonts w:eastAsia="MS Mincho" w:cs="Times New Roman"/>
        </w:rPr>
        <w:t xml:space="preserve"> bargaining, but none of them differs relative to the </w:t>
      </w:r>
      <w:r w:rsidR="006E3C27">
        <w:rPr>
          <w:rFonts w:eastAsia="MS Mincho" w:cs="Times New Roman"/>
        </w:rPr>
        <w:t>‘</w:t>
      </w:r>
      <w:r>
        <w:rPr>
          <w:rFonts w:eastAsia="MS Mincho" w:cs="Times New Roman"/>
        </w:rPr>
        <w:t>no bargaining</w:t>
      </w:r>
      <w:r w:rsidR="006E3C27">
        <w:rPr>
          <w:rFonts w:eastAsia="MS Mincho" w:cs="Times New Roman"/>
        </w:rPr>
        <w:t>’</w:t>
      </w:r>
      <w:r>
        <w:rPr>
          <w:rFonts w:eastAsia="MS Mincho" w:cs="Times New Roman"/>
        </w:rPr>
        <w:t xml:space="preserve"> reference. A significantly negative (</w:t>
      </w:r>
      <w:r w:rsidRPr="00193A8A">
        <w:rPr>
          <w:rFonts w:eastAsia="MS Mincho" w:cs="Times New Roman"/>
          <w:i/>
        </w:rPr>
        <w:t>p</w:t>
      </w:r>
      <w:r>
        <w:rPr>
          <w:rFonts w:eastAsia="MS Mincho" w:cs="Times New Roman"/>
        </w:rPr>
        <w:t>&lt;0.10; marginal effect -4</w:t>
      </w:r>
      <w:r w:rsidR="00601387">
        <w:rPr>
          <w:rFonts w:eastAsia="MS Mincho" w:cs="Times New Roman"/>
        </w:rPr>
        <w:t>.2</w:t>
      </w:r>
      <w:r>
        <w:rPr>
          <w:rFonts w:eastAsia="MS Mincho" w:cs="Times New Roman"/>
        </w:rPr>
        <w:t xml:space="preserve"> p.p.) association with </w:t>
      </w:r>
      <w:r w:rsidR="0029405C">
        <w:rPr>
          <w:rFonts w:eastAsia="MS Mincho" w:cs="Times New Roman"/>
        </w:rPr>
        <w:t>centralised</w:t>
      </w:r>
      <w:r>
        <w:rPr>
          <w:rFonts w:eastAsia="MS Mincho" w:cs="Times New Roman"/>
        </w:rPr>
        <w:t xml:space="preserve"> bargaining and productivity is observed </w:t>
      </w:r>
      <w:r w:rsidR="00175500">
        <w:rPr>
          <w:rFonts w:eastAsia="MS Mincho" w:cs="Times New Roman"/>
        </w:rPr>
        <w:t xml:space="preserve">only </w:t>
      </w:r>
      <w:r>
        <w:rPr>
          <w:rFonts w:eastAsia="MS Mincho" w:cs="Times New Roman"/>
        </w:rPr>
        <w:t xml:space="preserve">in the </w:t>
      </w:r>
      <w:r w:rsidR="00601387">
        <w:rPr>
          <w:rFonts w:eastAsia="MS Mincho" w:cs="Times New Roman"/>
        </w:rPr>
        <w:t xml:space="preserve">Continental </w:t>
      </w:r>
      <w:r>
        <w:rPr>
          <w:rFonts w:eastAsia="MS Mincho" w:cs="Times New Roman"/>
        </w:rPr>
        <w:t>countries</w:t>
      </w:r>
      <w:r w:rsidR="00175500">
        <w:rPr>
          <w:rFonts w:eastAsia="MS Mincho" w:cs="Times New Roman"/>
        </w:rPr>
        <w:t xml:space="preserve">. This finding appears puzzling given the trends towards derogation in collective agreements in Germany </w:t>
      </w:r>
      <w:r w:rsidR="00175500">
        <w:rPr>
          <w:rFonts w:eastAsia="MS Mincho" w:cs="Times New Roman"/>
        </w:rPr>
        <w:fldChar w:fldCharType="begin"/>
      </w:r>
      <w:r w:rsidR="00175500">
        <w:rPr>
          <w:rFonts w:eastAsia="MS Mincho" w:cs="Times New Roman"/>
        </w:rPr>
        <w:instrText xml:space="preserve"> ADDIN ZOTERO_ITEM CSL_CITATION {"citationID":"2ivi35d2hi","properties":{"formattedCitation":"(Hassel, 2014)","plainCitation":"(Hassel, 2014)"},"citationItems":[{"id":637,"uris":["http://zotero.org/users/local/xORFDKwB/items/E94RH8Z7"],"uri":["http://zotero.org/users/local/xORFDKwB/items/E94RH8Z7"],"itemData":{"id":637,"type":"article-journal","title":"The Paradox of Liberalization- Understanding Dualism and the Recovery of the German Political Economy","container-title":"British Journal of Industrial Relations","page":"57-81","volume":"52","issue":"1","author":[{"family":"Hassel","given":"Anke"}],"issued":{"date-parts":[["2014"]]}}}],"schema":"https://github.com/citation-style-language/schema/raw/master/csl-citation.json"} </w:instrText>
      </w:r>
      <w:r w:rsidR="00175500">
        <w:rPr>
          <w:rFonts w:eastAsia="MS Mincho" w:cs="Times New Roman"/>
        </w:rPr>
        <w:fldChar w:fldCharType="separate"/>
      </w:r>
      <w:r w:rsidR="00175500">
        <w:rPr>
          <w:rFonts w:eastAsia="MS Mincho" w:cs="Times New Roman"/>
          <w:noProof/>
        </w:rPr>
        <w:t>(Hassel, 2014)</w:t>
      </w:r>
      <w:r w:rsidR="00175500">
        <w:rPr>
          <w:rFonts w:eastAsia="MS Mincho" w:cs="Times New Roman"/>
        </w:rPr>
        <w:fldChar w:fldCharType="end"/>
      </w:r>
      <w:r w:rsidR="00175500">
        <w:rPr>
          <w:rFonts w:eastAsia="MS Mincho" w:cs="Times New Roman"/>
        </w:rPr>
        <w:t xml:space="preserve"> and elsewhere.</w:t>
      </w:r>
      <w:r>
        <w:rPr>
          <w:rFonts w:eastAsia="MS Mincho" w:cs="Times New Roman"/>
        </w:rPr>
        <w:t xml:space="preserve"> </w:t>
      </w:r>
      <w:r w:rsidR="00646023">
        <w:rPr>
          <w:rFonts w:eastAsia="MS Mincho" w:cs="Times New Roman"/>
        </w:rPr>
        <w:t>Finally</w:t>
      </w:r>
      <w:r w:rsidR="00175500">
        <w:rPr>
          <w:rFonts w:eastAsia="MS Mincho" w:cs="Times New Roman"/>
        </w:rPr>
        <w:t xml:space="preserve"> </w:t>
      </w:r>
      <w:r>
        <w:rPr>
          <w:rFonts w:eastAsia="MS Mincho" w:cs="Times New Roman"/>
        </w:rPr>
        <w:t>in the Liberal countries</w:t>
      </w:r>
      <w:r w:rsidR="00646023">
        <w:rPr>
          <w:rFonts w:eastAsia="MS Mincho" w:cs="Times New Roman"/>
        </w:rPr>
        <w:t>,</w:t>
      </w:r>
      <w:r>
        <w:rPr>
          <w:rFonts w:eastAsia="MS Mincho" w:cs="Times New Roman"/>
        </w:rPr>
        <w:t xml:space="preserve"> establishments with </w:t>
      </w:r>
      <w:r w:rsidR="0029405C">
        <w:rPr>
          <w:rFonts w:eastAsia="MS Mincho" w:cs="Times New Roman"/>
        </w:rPr>
        <w:t>decentralised</w:t>
      </w:r>
      <w:r>
        <w:rPr>
          <w:rFonts w:eastAsia="MS Mincho" w:cs="Times New Roman"/>
        </w:rPr>
        <w:t xml:space="preserve"> bargaining seem to outperform both those with no collective bargaining and those where bargaining is conducted at higher levels.</w:t>
      </w:r>
    </w:p>
    <w:p w14:paraId="5561265F" w14:textId="486BFC16" w:rsidR="004B4FEE" w:rsidRPr="00866812" w:rsidRDefault="00866812" w:rsidP="0076098A">
      <w:pPr>
        <w:ind w:firstLine="567"/>
        <w:rPr>
          <w:rFonts w:eastAsia="MS Mincho" w:cs="Times New Roman"/>
        </w:rPr>
      </w:pPr>
      <w:r>
        <w:rPr>
          <w:rFonts w:eastAsia="MS Mincho" w:cs="Times New Roman"/>
        </w:rPr>
        <w:t>There is also a variation of results</w:t>
      </w:r>
      <w:r w:rsidR="004B4FEE">
        <w:rPr>
          <w:rFonts w:eastAsia="MS Mincho" w:cs="Times New Roman"/>
        </w:rPr>
        <w:t xml:space="preserve"> across different country clusters </w:t>
      </w:r>
      <w:r w:rsidR="008F2999">
        <w:rPr>
          <w:rFonts w:eastAsia="MS Mincho" w:cs="Times New Roman"/>
        </w:rPr>
        <w:t xml:space="preserve">regarding </w:t>
      </w:r>
      <w:r w:rsidR="004B4FEE">
        <w:rPr>
          <w:rFonts w:eastAsia="MS Mincho" w:cs="Times New Roman"/>
        </w:rPr>
        <w:t>employee representation</w:t>
      </w:r>
      <w:r w:rsidR="00755C5D">
        <w:rPr>
          <w:rFonts w:eastAsia="MS Mincho" w:cs="Times New Roman"/>
        </w:rPr>
        <w:t xml:space="preserve">, </w:t>
      </w:r>
      <w:r w:rsidR="00FA5374">
        <w:rPr>
          <w:rFonts w:eastAsia="MS Mincho" w:cs="Times New Roman"/>
        </w:rPr>
        <w:t xml:space="preserve">i.e. </w:t>
      </w:r>
      <w:r w:rsidR="00755C5D">
        <w:rPr>
          <w:rFonts w:eastAsia="MS Mincho" w:cs="Times New Roman"/>
        </w:rPr>
        <w:t xml:space="preserve">Hypotheses </w:t>
      </w:r>
      <w:r w:rsidR="00FA5374">
        <w:rPr>
          <w:rFonts w:eastAsia="MS Mincho" w:cs="Times New Roman"/>
        </w:rPr>
        <w:t>2 and 3</w:t>
      </w:r>
      <w:r w:rsidR="00755C5D">
        <w:rPr>
          <w:rFonts w:eastAsia="MS Mincho" w:cs="Times New Roman"/>
        </w:rPr>
        <w:t xml:space="preserve">. </w:t>
      </w:r>
      <w:r w:rsidR="004B4FEE">
        <w:rPr>
          <w:rFonts w:eastAsia="MS Mincho" w:cs="Times New Roman"/>
        </w:rPr>
        <w:t>First, establishments with TU</w:t>
      </w:r>
      <w:r w:rsidR="008F2999">
        <w:rPr>
          <w:rFonts w:eastAsia="MS Mincho" w:cs="Times New Roman"/>
        </w:rPr>
        <w:t xml:space="preserve">-only </w:t>
      </w:r>
      <w:r w:rsidR="004B4FEE">
        <w:rPr>
          <w:rFonts w:eastAsia="MS Mincho" w:cs="Times New Roman"/>
        </w:rPr>
        <w:t xml:space="preserve">representation are significantly related with lower productivity change than comparable establishments with no representation in the </w:t>
      </w:r>
      <w:r w:rsidR="00FA5374">
        <w:rPr>
          <w:rFonts w:eastAsia="MS Mincho" w:cs="Times New Roman"/>
        </w:rPr>
        <w:t>EU-15</w:t>
      </w:r>
      <w:r w:rsidR="004B4FEE">
        <w:rPr>
          <w:rFonts w:eastAsia="MS Mincho" w:cs="Times New Roman"/>
        </w:rPr>
        <w:t xml:space="preserve">. However, this result is only </w:t>
      </w:r>
      <w:r w:rsidR="00FA5374">
        <w:rPr>
          <w:rFonts w:eastAsia="MS Mincho" w:cs="Times New Roman"/>
        </w:rPr>
        <w:t xml:space="preserve">(marginally) significant, </w:t>
      </w:r>
      <w:r w:rsidR="004B4FEE">
        <w:rPr>
          <w:rFonts w:eastAsia="MS Mincho" w:cs="Times New Roman"/>
        </w:rPr>
        <w:t xml:space="preserve">and also </w:t>
      </w:r>
      <w:r w:rsidR="00FA5374">
        <w:rPr>
          <w:rFonts w:eastAsia="MS Mincho" w:cs="Times New Roman"/>
        </w:rPr>
        <w:t xml:space="preserve">large in size, </w:t>
      </w:r>
      <w:r w:rsidR="004B4FEE">
        <w:rPr>
          <w:rFonts w:eastAsia="MS Mincho" w:cs="Times New Roman"/>
        </w:rPr>
        <w:t xml:space="preserve">for the </w:t>
      </w:r>
      <w:r w:rsidR="00FA5374">
        <w:rPr>
          <w:rFonts w:eastAsia="MS Mincho" w:cs="Times New Roman"/>
        </w:rPr>
        <w:t xml:space="preserve">Continental </w:t>
      </w:r>
      <w:r w:rsidR="004B4FEE">
        <w:rPr>
          <w:rFonts w:eastAsia="MS Mincho" w:cs="Times New Roman"/>
        </w:rPr>
        <w:t>countries. Considering that Austria, Germany and Luxembourg can only record WC-</w:t>
      </w:r>
      <w:r w:rsidR="008F2999">
        <w:rPr>
          <w:rFonts w:eastAsia="MS Mincho" w:cs="Times New Roman"/>
        </w:rPr>
        <w:t xml:space="preserve">type </w:t>
      </w:r>
      <w:r w:rsidR="004B4FEE">
        <w:rPr>
          <w:rFonts w:eastAsia="MS Mincho" w:cs="Times New Roman"/>
        </w:rPr>
        <w:t>representation in the data because of the</w:t>
      </w:r>
      <w:r w:rsidR="008F2999">
        <w:rPr>
          <w:rFonts w:eastAsia="MS Mincho" w:cs="Times New Roman"/>
        </w:rPr>
        <w:t>ir</w:t>
      </w:r>
      <w:r w:rsidR="004B4FEE">
        <w:rPr>
          <w:rFonts w:eastAsia="MS Mincho" w:cs="Times New Roman"/>
        </w:rPr>
        <w:t xml:space="preserve"> particular industrial relations systems, this result </w:t>
      </w:r>
      <w:r w:rsidR="008F2999">
        <w:rPr>
          <w:rFonts w:eastAsia="MS Mincho" w:cs="Times New Roman"/>
        </w:rPr>
        <w:t>is</w:t>
      </w:r>
      <w:r w:rsidR="00175500">
        <w:rPr>
          <w:rFonts w:eastAsia="MS Mincho" w:cs="Times New Roman"/>
        </w:rPr>
        <w:t xml:space="preserve"> probably</w:t>
      </w:r>
      <w:r w:rsidR="004B4FEE">
        <w:rPr>
          <w:rFonts w:eastAsia="MS Mincho" w:cs="Times New Roman"/>
        </w:rPr>
        <w:t xml:space="preserve"> driven by the rest of the c</w:t>
      </w:r>
      <w:r w:rsidR="00FA5374">
        <w:rPr>
          <w:rFonts w:eastAsia="MS Mincho" w:cs="Times New Roman"/>
        </w:rPr>
        <w:t xml:space="preserve">ountries in the group (Belgium and </w:t>
      </w:r>
      <w:r w:rsidR="004B4FEE">
        <w:rPr>
          <w:rFonts w:eastAsia="MS Mincho" w:cs="Times New Roman"/>
        </w:rPr>
        <w:t>the Netherlands</w:t>
      </w:r>
      <w:r w:rsidR="00FA5374">
        <w:rPr>
          <w:rFonts w:eastAsia="MS Mincho" w:cs="Times New Roman"/>
        </w:rPr>
        <w:t>).</w:t>
      </w:r>
    </w:p>
    <w:p w14:paraId="1972755D" w14:textId="1FD96D56" w:rsidR="004B4FEE" w:rsidRDefault="004B4FEE" w:rsidP="0076098A">
      <w:pPr>
        <w:ind w:firstLine="567"/>
        <w:rPr>
          <w:rFonts w:eastAsia="MS Mincho" w:cs="Times New Roman"/>
        </w:rPr>
      </w:pPr>
      <w:r>
        <w:rPr>
          <w:rFonts w:eastAsia="MS Mincho" w:cs="Times New Roman"/>
        </w:rPr>
        <w:t xml:space="preserve">Second, establishments with </w:t>
      </w:r>
      <w:r w:rsidR="008F2999">
        <w:rPr>
          <w:rFonts w:eastAsia="MS Mincho" w:cs="Times New Roman"/>
        </w:rPr>
        <w:t>WC</w:t>
      </w:r>
      <w:r>
        <w:rPr>
          <w:rFonts w:eastAsia="MS Mincho" w:cs="Times New Roman"/>
        </w:rPr>
        <w:t>-type only representation seem to perform slightly better than other categor</w:t>
      </w:r>
      <w:r w:rsidR="00A14397">
        <w:rPr>
          <w:rFonts w:eastAsia="MS Mincho" w:cs="Times New Roman"/>
        </w:rPr>
        <w:t>ies</w:t>
      </w:r>
      <w:r>
        <w:rPr>
          <w:rFonts w:eastAsia="MS Mincho" w:cs="Times New Roman"/>
        </w:rPr>
        <w:t>. This is pa</w:t>
      </w:r>
      <w:r w:rsidR="00C14C22">
        <w:rPr>
          <w:rFonts w:eastAsia="MS Mincho" w:cs="Times New Roman"/>
        </w:rPr>
        <w:t>rticularly the case in the Nordic countries</w:t>
      </w:r>
      <w:r>
        <w:rPr>
          <w:rFonts w:eastAsia="MS Mincho" w:cs="Times New Roman"/>
        </w:rPr>
        <w:t>, where the associated marginal effect is 9</w:t>
      </w:r>
      <w:r w:rsidR="00C14C22">
        <w:rPr>
          <w:rFonts w:eastAsia="MS Mincho" w:cs="Times New Roman"/>
        </w:rPr>
        <w:t>.4</w:t>
      </w:r>
      <w:r>
        <w:rPr>
          <w:rFonts w:eastAsia="MS Mincho" w:cs="Times New Roman"/>
        </w:rPr>
        <w:t xml:space="preserve"> </w:t>
      </w:r>
      <w:r w:rsidR="008F2999">
        <w:rPr>
          <w:rFonts w:eastAsia="MS Mincho" w:cs="Times New Roman"/>
        </w:rPr>
        <w:t>p.p.</w:t>
      </w:r>
      <w:r>
        <w:rPr>
          <w:rFonts w:eastAsia="MS Mincho" w:cs="Times New Roman"/>
        </w:rPr>
        <w:t>, a particularly strong result. An exception to th</w:t>
      </w:r>
      <w:r w:rsidR="00C14C22">
        <w:rPr>
          <w:rFonts w:eastAsia="MS Mincho" w:cs="Times New Roman"/>
        </w:rPr>
        <w:t xml:space="preserve">e overall </w:t>
      </w:r>
      <w:r>
        <w:rPr>
          <w:rFonts w:eastAsia="MS Mincho" w:cs="Times New Roman"/>
        </w:rPr>
        <w:t xml:space="preserve">pattern is the Southern </w:t>
      </w:r>
      <w:r w:rsidR="00175500">
        <w:rPr>
          <w:rFonts w:eastAsia="MS Mincho" w:cs="Times New Roman"/>
        </w:rPr>
        <w:t>cluster</w:t>
      </w:r>
      <w:r>
        <w:rPr>
          <w:rFonts w:eastAsia="MS Mincho" w:cs="Times New Roman"/>
        </w:rPr>
        <w:t xml:space="preserve">, where </w:t>
      </w:r>
      <w:r w:rsidR="00FA1559">
        <w:rPr>
          <w:rFonts w:eastAsia="MS Mincho" w:cs="Times New Roman"/>
        </w:rPr>
        <w:t>all</w:t>
      </w:r>
      <w:r w:rsidR="00C14C22">
        <w:rPr>
          <w:rFonts w:eastAsia="MS Mincho" w:cs="Times New Roman"/>
        </w:rPr>
        <w:t xml:space="preserve"> representation</w:t>
      </w:r>
      <w:r w:rsidR="003B687D">
        <w:rPr>
          <w:rFonts w:eastAsia="MS Mincho" w:cs="Times New Roman"/>
        </w:rPr>
        <w:t xml:space="preserve"> variables</w:t>
      </w:r>
      <w:r w:rsidR="00FA1559">
        <w:rPr>
          <w:rFonts w:eastAsia="MS Mincho" w:cs="Times New Roman"/>
        </w:rPr>
        <w:t xml:space="preserve"> coefficients obtain a negative sign. </w:t>
      </w:r>
      <w:r w:rsidR="00C14C22">
        <w:rPr>
          <w:rFonts w:eastAsia="MS Mincho" w:cs="Times New Roman"/>
        </w:rPr>
        <w:t xml:space="preserve">However, </w:t>
      </w:r>
      <w:r w:rsidR="00FA1559">
        <w:rPr>
          <w:rFonts w:eastAsia="MS Mincho" w:cs="Times New Roman"/>
        </w:rPr>
        <w:t xml:space="preserve">these coefficients </w:t>
      </w:r>
      <w:r w:rsidR="00C14C22">
        <w:rPr>
          <w:rFonts w:eastAsia="MS Mincho" w:cs="Times New Roman"/>
        </w:rPr>
        <w:t>are not sta</w:t>
      </w:r>
      <w:r w:rsidR="00FA1559">
        <w:rPr>
          <w:rFonts w:eastAsia="MS Mincho" w:cs="Times New Roman"/>
        </w:rPr>
        <w:t xml:space="preserve">tistically different from zero, meaning that in fact </w:t>
      </w:r>
      <w:r>
        <w:rPr>
          <w:rFonts w:eastAsia="MS Mincho" w:cs="Times New Roman"/>
        </w:rPr>
        <w:t xml:space="preserve">there is no difference between different types of employee representation and no representation in the European South. Finally, it should also be noted that no significant relationship could be found between the different types of representation in the Liberal countries. The apparent difference between the </w:t>
      </w:r>
      <w:r w:rsidR="008F2999">
        <w:rPr>
          <w:rFonts w:eastAsia="MS Mincho" w:cs="Times New Roman"/>
        </w:rPr>
        <w:t>WC</w:t>
      </w:r>
      <w:r>
        <w:rPr>
          <w:rFonts w:eastAsia="MS Mincho" w:cs="Times New Roman"/>
        </w:rPr>
        <w:t>-type only (or both types) coefficient and the TU-only one is not statistically significant at any conv</w:t>
      </w:r>
      <w:r w:rsidR="007E6EF7">
        <w:rPr>
          <w:rFonts w:eastAsia="MS Mincho" w:cs="Times New Roman"/>
        </w:rPr>
        <w:t>entional level of significance.</w:t>
      </w:r>
    </w:p>
    <w:p w14:paraId="3F30AAB5" w14:textId="0B1C7723" w:rsidR="007E6EF7" w:rsidRDefault="007E6EF7" w:rsidP="0076098A">
      <w:pPr>
        <w:ind w:firstLine="567"/>
        <w:rPr>
          <w:rFonts w:eastAsia="MS Mincho" w:cs="Times New Roman"/>
        </w:rPr>
      </w:pPr>
      <w:r>
        <w:rPr>
          <w:rFonts w:eastAsia="MS Mincho" w:cs="Times New Roman"/>
        </w:rPr>
        <w:t xml:space="preserve">Overall, </w:t>
      </w:r>
      <w:r w:rsidR="0051563A">
        <w:rPr>
          <w:rFonts w:eastAsia="MS Mincho" w:cs="Times New Roman"/>
        </w:rPr>
        <w:t xml:space="preserve">there is little support for our </w:t>
      </w:r>
      <w:r w:rsidR="00C73A9D">
        <w:rPr>
          <w:rFonts w:eastAsia="MS Mincho" w:cs="Times New Roman"/>
        </w:rPr>
        <w:t>H</w:t>
      </w:r>
      <w:r w:rsidR="0051563A">
        <w:rPr>
          <w:rFonts w:eastAsia="MS Mincho" w:cs="Times New Roman"/>
        </w:rPr>
        <w:t>ypotheses</w:t>
      </w:r>
      <w:r w:rsidR="00C73A9D">
        <w:rPr>
          <w:rFonts w:eastAsia="MS Mincho" w:cs="Times New Roman"/>
        </w:rPr>
        <w:t xml:space="preserve"> 1-3</w:t>
      </w:r>
      <w:r w:rsidR="0051563A">
        <w:rPr>
          <w:rFonts w:eastAsia="MS Mincho" w:cs="Times New Roman"/>
        </w:rPr>
        <w:t xml:space="preserve"> and</w:t>
      </w:r>
      <w:r w:rsidR="003B687D">
        <w:rPr>
          <w:rFonts w:eastAsia="MS Mincho" w:cs="Times New Roman"/>
        </w:rPr>
        <w:t>,</w:t>
      </w:r>
      <w:r w:rsidR="0051563A">
        <w:rPr>
          <w:rFonts w:eastAsia="MS Mincho" w:cs="Times New Roman"/>
        </w:rPr>
        <w:t xml:space="preserve"> therefore, for conjectures suggesting</w:t>
      </w:r>
      <w:r>
        <w:rPr>
          <w:rFonts w:eastAsia="MS Mincho" w:cs="Times New Roman"/>
        </w:rPr>
        <w:t xml:space="preserve"> union ‘monopoly effects’ </w:t>
      </w:r>
      <w:r>
        <w:rPr>
          <w:rFonts w:eastAsia="MS Mincho" w:cs="Times New Roman"/>
        </w:rPr>
        <w:fldChar w:fldCharType="begin"/>
      </w:r>
      <w:r w:rsidR="00C004DD">
        <w:rPr>
          <w:rFonts w:eastAsia="MS Mincho" w:cs="Times New Roman"/>
        </w:rPr>
        <w:instrText xml:space="preserve"> ADDIN ZOTERO_ITEM CSL_CITATION {"citationID":"UAH3pgjw","properties":{"formattedCitation":"(Freeman and Medoff, 1984; Hayek, 1990)","plainCitation":"(Freeman and Medoff, 1984; Hayek, 1990)"},"citationItems":[{"id":504,"uris":["http://zotero.org/users/local/xORFDKwB/items/ACIJ56IR"],"uri":["http://zotero.org/users/local/xORFDKwB/items/ACIJ56IR"],"itemData":{"id":504,"type":"book","title":"What do unions do?","publisher":"Basic Books","publisher-place":"New York","event-place":"New York","author":[{"family":"Freeman","given":"Richard"},{"family":"Medoff","given":"John"}],"issued":{"date-parts":[["1984"]]}}},{"id":1694,"uris":["http://zotero.org/users/local/xORFDKwB/items/MJC4I6GU"],"uri":["http://zotero.org/users/local/xORFDKwB/items/MJC4I6GU"],"itemData":{"id":1694,"type":"book","title":"The Constitution of Liberty","publisher":"Routledge","publisher-place":"London","event-place":"London","author":[{"family":"Hayek","given":"F"}],"issued":{"date-parts":[["1990"]]}}}],"schema":"https://github.com/citation-style-language/schema/raw/master/csl-citation.json"} </w:instrText>
      </w:r>
      <w:r>
        <w:rPr>
          <w:rFonts w:eastAsia="MS Mincho" w:cs="Times New Roman"/>
        </w:rPr>
        <w:fldChar w:fldCharType="separate"/>
      </w:r>
      <w:r w:rsidR="00C004DD">
        <w:rPr>
          <w:rFonts w:eastAsia="MS Mincho" w:cs="Times New Roman"/>
          <w:noProof/>
        </w:rPr>
        <w:t>(Freeman and Medoff, 1984; Hayek, 1990)</w:t>
      </w:r>
      <w:r>
        <w:rPr>
          <w:rFonts w:eastAsia="MS Mincho" w:cs="Times New Roman"/>
        </w:rPr>
        <w:fldChar w:fldCharType="end"/>
      </w:r>
      <w:r>
        <w:rPr>
          <w:rFonts w:eastAsia="MS Mincho" w:cs="Times New Roman"/>
        </w:rPr>
        <w:t xml:space="preserve">. The results on the whole suggest that there is no negative association between </w:t>
      </w:r>
      <w:r w:rsidR="003357AE">
        <w:rPr>
          <w:rFonts w:eastAsia="MS Mincho" w:cs="Times New Roman"/>
        </w:rPr>
        <w:t>ER</w:t>
      </w:r>
      <w:r w:rsidR="00E23442">
        <w:rPr>
          <w:rFonts w:eastAsia="MS Mincho" w:cs="Times New Roman"/>
        </w:rPr>
        <w:t xml:space="preserve"> institutions</w:t>
      </w:r>
      <w:r>
        <w:rPr>
          <w:rFonts w:eastAsia="MS Mincho" w:cs="Times New Roman"/>
        </w:rPr>
        <w:t xml:space="preserve"> and productivity change. Even in the Southern and Liberal institutional context</w:t>
      </w:r>
      <w:r w:rsidR="008321C1">
        <w:rPr>
          <w:rFonts w:eastAsia="MS Mincho" w:cs="Times New Roman"/>
        </w:rPr>
        <w:t>s</w:t>
      </w:r>
      <w:r w:rsidR="00D737B6">
        <w:rPr>
          <w:rFonts w:eastAsia="MS Mincho" w:cs="Times New Roman"/>
        </w:rPr>
        <w:t>,</w:t>
      </w:r>
      <w:r>
        <w:rPr>
          <w:rFonts w:eastAsia="MS Mincho" w:cs="Times New Roman"/>
        </w:rPr>
        <w:t xml:space="preserve"> where unions are expected to be </w:t>
      </w:r>
      <w:r w:rsidR="008321C1">
        <w:rPr>
          <w:rFonts w:eastAsia="MS Mincho" w:cs="Times New Roman"/>
        </w:rPr>
        <w:t>more conflict</w:t>
      </w:r>
      <w:r w:rsidR="00D13FEB">
        <w:rPr>
          <w:rFonts w:eastAsia="MS Mincho" w:cs="Times New Roman"/>
        </w:rPr>
        <w:t>-prone</w:t>
      </w:r>
      <w:r>
        <w:rPr>
          <w:rFonts w:eastAsia="MS Mincho" w:cs="Times New Roman"/>
        </w:rPr>
        <w:t xml:space="preserve"> </w:t>
      </w:r>
      <w:r w:rsidR="008321C1">
        <w:rPr>
          <w:rFonts w:eastAsia="MS Mincho" w:cs="Times New Roman"/>
        </w:rPr>
        <w:t xml:space="preserve">and </w:t>
      </w:r>
      <w:r>
        <w:rPr>
          <w:rFonts w:eastAsia="MS Mincho" w:cs="Times New Roman"/>
        </w:rPr>
        <w:t>adversarial</w:t>
      </w:r>
      <w:r w:rsidR="00D737B6">
        <w:rPr>
          <w:rFonts w:eastAsia="MS Mincho" w:cs="Times New Roman"/>
        </w:rPr>
        <w:t>,</w:t>
      </w:r>
      <w:r w:rsidR="00D13FEB">
        <w:rPr>
          <w:rFonts w:eastAsia="MS Mincho" w:cs="Times New Roman"/>
        </w:rPr>
        <w:t xml:space="preserve"> </w:t>
      </w:r>
      <w:r>
        <w:rPr>
          <w:rFonts w:eastAsia="MS Mincho" w:cs="Times New Roman"/>
        </w:rPr>
        <w:t xml:space="preserve">there is no negative relationship between unions and productivity. </w:t>
      </w:r>
      <w:r w:rsidR="008321C1">
        <w:rPr>
          <w:rFonts w:eastAsia="MS Mincho" w:cs="Times New Roman"/>
        </w:rPr>
        <w:t>I</w:t>
      </w:r>
      <w:r>
        <w:rPr>
          <w:rFonts w:eastAsia="MS Mincho" w:cs="Times New Roman"/>
        </w:rPr>
        <w:t>n Continental Europe</w:t>
      </w:r>
      <w:r w:rsidR="00A46355">
        <w:rPr>
          <w:rFonts w:eastAsia="MS Mincho" w:cs="Times New Roman"/>
        </w:rPr>
        <w:t xml:space="preserve"> </w:t>
      </w:r>
      <w:r w:rsidR="00912881">
        <w:rPr>
          <w:rFonts w:eastAsia="MS Mincho" w:cs="Times New Roman"/>
        </w:rPr>
        <w:t>unions appear to have some negative association</w:t>
      </w:r>
      <w:r w:rsidR="00A46355">
        <w:rPr>
          <w:rFonts w:eastAsia="MS Mincho" w:cs="Times New Roman"/>
        </w:rPr>
        <w:t xml:space="preserve"> with productivity</w:t>
      </w:r>
      <w:r w:rsidR="008321C1">
        <w:rPr>
          <w:rFonts w:eastAsia="MS Mincho" w:cs="Times New Roman"/>
        </w:rPr>
        <w:t>, but t</w:t>
      </w:r>
      <w:r>
        <w:rPr>
          <w:rFonts w:eastAsia="MS Mincho" w:cs="Times New Roman"/>
        </w:rPr>
        <w:t>his</w:t>
      </w:r>
      <w:r w:rsidR="00912881">
        <w:rPr>
          <w:rFonts w:eastAsia="MS Mincho" w:cs="Times New Roman"/>
        </w:rPr>
        <w:t xml:space="preserve"> outcome</w:t>
      </w:r>
      <w:r>
        <w:rPr>
          <w:rFonts w:eastAsia="MS Mincho" w:cs="Times New Roman"/>
        </w:rPr>
        <w:t xml:space="preserve"> appears also puzzling considering the unprecedented levels of wage moderation in the previous decade</w:t>
      </w:r>
      <w:r w:rsidR="00912881">
        <w:rPr>
          <w:rFonts w:eastAsia="MS Mincho" w:cs="Times New Roman"/>
        </w:rPr>
        <w:t xml:space="preserve"> in countries like Germany</w:t>
      </w:r>
      <w:r>
        <w:rPr>
          <w:rFonts w:eastAsia="MS Mincho" w:cs="Times New Roman"/>
        </w:rPr>
        <w:t xml:space="preserve"> </w:t>
      </w:r>
      <w:r>
        <w:rPr>
          <w:rFonts w:eastAsia="MS Mincho" w:cs="Times New Roman"/>
        </w:rPr>
        <w:fldChar w:fldCharType="begin"/>
      </w:r>
      <w:r>
        <w:rPr>
          <w:rFonts w:eastAsia="MS Mincho" w:cs="Times New Roman"/>
        </w:rPr>
        <w:instrText xml:space="preserve"> ADDIN ZOTERO_ITEM CSL_CITATION {"citationID":"2mjccq4pl8","properties":{"formattedCitation":"(Hassel, 2014)","plainCitation":"(Hassel, 2014)"},"citationItems":[{"id":637,"uris":["http://zotero.org/users/local/xORFDKwB/items/E94RH8Z7"],"uri":["http://zotero.org/users/local/xORFDKwB/items/E94RH8Z7"],"itemData":{"id":637,"type":"article-journal","title":"The Paradox of Liberalization- Understanding Dualism and the Recovery of the German Political Economy","container-title":"British Journal of Industrial Relations","page":"57-81","volume":"52","issue":"1","author":[{"family":"Hassel","given":"Anke"}],"issued":{"date-parts":[["2014"]]}}}],"schema":"https://github.com/citation-style-language/schema/raw/master/csl-citation.json"} </w:instrText>
      </w:r>
      <w:r>
        <w:rPr>
          <w:rFonts w:eastAsia="MS Mincho" w:cs="Times New Roman"/>
        </w:rPr>
        <w:fldChar w:fldCharType="separate"/>
      </w:r>
      <w:r>
        <w:rPr>
          <w:rFonts w:eastAsia="MS Mincho" w:cs="Times New Roman"/>
          <w:noProof/>
        </w:rPr>
        <w:t>(Hassel, 2014)</w:t>
      </w:r>
      <w:r>
        <w:rPr>
          <w:rFonts w:eastAsia="MS Mincho" w:cs="Times New Roman"/>
        </w:rPr>
        <w:fldChar w:fldCharType="end"/>
      </w:r>
      <w:r w:rsidR="00A46355">
        <w:rPr>
          <w:rFonts w:eastAsia="MS Mincho" w:cs="Times New Roman"/>
        </w:rPr>
        <w:t>;</w:t>
      </w:r>
      <w:r w:rsidR="008321C1">
        <w:rPr>
          <w:rFonts w:eastAsia="MS Mincho" w:cs="Times New Roman"/>
        </w:rPr>
        <w:t xml:space="preserve"> so</w:t>
      </w:r>
      <w:r w:rsidR="00A46355">
        <w:rPr>
          <w:rFonts w:eastAsia="MS Mincho" w:cs="Times New Roman"/>
        </w:rPr>
        <w:t>,</w:t>
      </w:r>
      <w:r w:rsidR="008321C1">
        <w:rPr>
          <w:rFonts w:eastAsia="MS Mincho" w:cs="Times New Roman"/>
        </w:rPr>
        <w:t xml:space="preserve"> we suggest this might be driven by developments in Belgium and the Netherlands.</w:t>
      </w:r>
    </w:p>
    <w:p w14:paraId="1C7146F7" w14:textId="5D3878CC" w:rsidR="00CA43FD" w:rsidRDefault="00A10F15" w:rsidP="0076098A">
      <w:pPr>
        <w:ind w:firstLine="567"/>
        <w:rPr>
          <w:rFonts w:eastAsia="MS Mincho" w:cs="Times New Roman"/>
        </w:rPr>
      </w:pPr>
      <w:r>
        <w:rPr>
          <w:rFonts w:eastAsia="MS Mincho" w:cs="Times New Roman"/>
        </w:rPr>
        <w:t>A</w:t>
      </w:r>
      <w:r w:rsidR="004B4FEE">
        <w:rPr>
          <w:rFonts w:eastAsia="MS Mincho" w:cs="Times New Roman"/>
        </w:rPr>
        <w:t xml:space="preserve">cross the whole </w:t>
      </w:r>
      <w:r w:rsidR="00911637">
        <w:rPr>
          <w:rFonts w:eastAsia="MS Mincho" w:cs="Times New Roman"/>
        </w:rPr>
        <w:t>EU-15</w:t>
      </w:r>
      <w:r w:rsidR="00CA43FD">
        <w:rPr>
          <w:rFonts w:eastAsia="MS Mincho" w:cs="Times New Roman"/>
        </w:rPr>
        <w:t xml:space="preserve"> </w:t>
      </w:r>
      <w:r w:rsidR="004B4FEE">
        <w:rPr>
          <w:rFonts w:eastAsia="MS Mincho" w:cs="Times New Roman"/>
        </w:rPr>
        <w:t>Hypothes</w:t>
      </w:r>
      <w:r w:rsidR="008F2999">
        <w:rPr>
          <w:rFonts w:eastAsia="MS Mincho" w:cs="Times New Roman"/>
        </w:rPr>
        <w:t>e</w:t>
      </w:r>
      <w:r w:rsidR="004B4FEE">
        <w:rPr>
          <w:rFonts w:eastAsia="MS Mincho" w:cs="Times New Roman"/>
        </w:rPr>
        <w:t>s</w:t>
      </w:r>
      <w:r w:rsidR="004B4FEE">
        <w:rPr>
          <w:rFonts w:eastAsia="MS Mincho" w:cs="Times New Roman"/>
          <w:color w:val="FF0000"/>
        </w:rPr>
        <w:t xml:space="preserve"> </w:t>
      </w:r>
      <w:r w:rsidR="00911637">
        <w:rPr>
          <w:rFonts w:eastAsia="MS Mincho" w:cs="Times New Roman"/>
        </w:rPr>
        <w:t>4-6</w:t>
      </w:r>
      <w:r>
        <w:rPr>
          <w:rFonts w:eastAsia="MS Mincho" w:cs="Times New Roman"/>
        </w:rPr>
        <w:t xml:space="preserve"> gain support</w:t>
      </w:r>
      <w:r w:rsidR="00755C5D">
        <w:rPr>
          <w:rFonts w:eastAsia="MS Mincho" w:cs="Times New Roman"/>
        </w:rPr>
        <w:t>. T</w:t>
      </w:r>
      <w:r w:rsidR="004B4FEE">
        <w:rPr>
          <w:rFonts w:eastAsia="MS Mincho" w:cs="Times New Roman"/>
        </w:rPr>
        <w:t>he marginal effects in Spec</w:t>
      </w:r>
      <w:r w:rsidR="00911637">
        <w:rPr>
          <w:rFonts w:eastAsia="MS Mincho" w:cs="Times New Roman"/>
        </w:rPr>
        <w:t xml:space="preserve">ification (2) in Table 3 </w:t>
      </w:r>
      <w:r w:rsidR="007A2AAB">
        <w:rPr>
          <w:rFonts w:eastAsia="MS Mincho" w:cs="Times New Roman"/>
        </w:rPr>
        <w:t xml:space="preserve">for the whole EU-15 sample </w:t>
      </w:r>
      <w:r w:rsidR="00911637">
        <w:rPr>
          <w:rFonts w:eastAsia="MS Mincho" w:cs="Times New Roman"/>
        </w:rPr>
        <w:t>are 3.5 p.p. for PRP, 3.9</w:t>
      </w:r>
      <w:r w:rsidR="004B4FEE">
        <w:rPr>
          <w:rFonts w:eastAsia="MS Mincho" w:cs="Times New Roman"/>
        </w:rPr>
        <w:t xml:space="preserve"> p.p</w:t>
      </w:r>
      <w:r w:rsidR="00911637">
        <w:rPr>
          <w:rFonts w:eastAsia="MS Mincho" w:cs="Times New Roman"/>
        </w:rPr>
        <w:t>. for training incidence and 4.1</w:t>
      </w:r>
      <w:r w:rsidR="004B4FEE">
        <w:rPr>
          <w:rFonts w:eastAsia="MS Mincho" w:cs="Times New Roman"/>
        </w:rPr>
        <w:t xml:space="preserve"> p.p. for teamwork (</w:t>
      </w:r>
      <w:r w:rsidR="004B4FEE" w:rsidRPr="00B02893">
        <w:rPr>
          <w:rFonts w:eastAsia="MS Mincho" w:cs="Times New Roman"/>
          <w:i/>
        </w:rPr>
        <w:t>p</w:t>
      </w:r>
      <w:r w:rsidR="00CA43FD">
        <w:rPr>
          <w:rFonts w:eastAsia="MS Mincho" w:cs="Times New Roman"/>
        </w:rPr>
        <w:t xml:space="preserve">&lt;0.01 for all). This confirms by and large the expectation that work organization matters for productivity and competitiveness. </w:t>
      </w:r>
      <w:r w:rsidR="00D13FEB">
        <w:rPr>
          <w:rFonts w:eastAsia="MS Mincho" w:cs="Times New Roman"/>
        </w:rPr>
        <w:t>As we discuss further below, t</w:t>
      </w:r>
      <w:r w:rsidR="00CA43FD">
        <w:rPr>
          <w:rFonts w:eastAsia="MS Mincho" w:cs="Times New Roman"/>
        </w:rPr>
        <w:t xml:space="preserve">his result suggests that policies that focus on decentralizing bargaining or limiting the power of unions at the workplace appear misplaced, </w:t>
      </w:r>
      <w:r w:rsidR="00D13FEB">
        <w:rPr>
          <w:rFonts w:eastAsia="MS Mincho" w:cs="Times New Roman"/>
        </w:rPr>
        <w:t>whereas policies should focus on</w:t>
      </w:r>
      <w:r w:rsidR="00CA43FD">
        <w:rPr>
          <w:rFonts w:eastAsia="MS Mincho" w:cs="Times New Roman"/>
        </w:rPr>
        <w:t xml:space="preserve"> work practices </w:t>
      </w:r>
      <w:r w:rsidR="00D13FEB">
        <w:rPr>
          <w:rFonts w:eastAsia="MS Mincho" w:cs="Times New Roman"/>
        </w:rPr>
        <w:t>that drive</w:t>
      </w:r>
      <w:r w:rsidR="00CA43FD">
        <w:rPr>
          <w:rFonts w:eastAsia="MS Mincho" w:cs="Times New Roman"/>
        </w:rPr>
        <w:t xml:space="preserve"> productivity improvements.</w:t>
      </w:r>
    </w:p>
    <w:p w14:paraId="04019723" w14:textId="7CE84534" w:rsidR="00CA43FD" w:rsidRDefault="00CA43FD" w:rsidP="0076098A">
      <w:pPr>
        <w:ind w:firstLine="567"/>
        <w:rPr>
          <w:rFonts w:eastAsia="MS Mincho" w:cs="Times New Roman"/>
        </w:rPr>
      </w:pPr>
      <w:r>
        <w:rPr>
          <w:rFonts w:eastAsia="MS Mincho" w:cs="Times New Roman"/>
        </w:rPr>
        <w:t xml:space="preserve">When we shift our attention to country clusters, the picture suggests a more diversified effectiveness of those practices. PRP </w:t>
      </w:r>
      <w:r w:rsidR="004B4FEE" w:rsidRPr="00166B07">
        <w:rPr>
          <w:rFonts w:eastAsia="MS Mincho" w:cs="Times New Roman"/>
        </w:rPr>
        <w:t>seems to matter for workplace productivity differences in the</w:t>
      </w:r>
      <w:r w:rsidR="00C73A9D">
        <w:rPr>
          <w:rFonts w:eastAsia="MS Mincho" w:cs="Times New Roman"/>
        </w:rPr>
        <w:t xml:space="preserve"> Southern countries and in the</w:t>
      </w:r>
      <w:r w:rsidR="004B4FEE" w:rsidRPr="00166B07">
        <w:rPr>
          <w:rFonts w:eastAsia="MS Mincho" w:cs="Times New Roman"/>
        </w:rPr>
        <w:t xml:space="preserve"> Liberal countries</w:t>
      </w:r>
      <w:r w:rsidR="00BA7C8F" w:rsidRPr="00166B07">
        <w:rPr>
          <w:rFonts w:eastAsia="MS Mincho" w:cs="Times New Roman"/>
        </w:rPr>
        <w:t xml:space="preserve">. </w:t>
      </w:r>
      <w:r w:rsidR="00C73A9D">
        <w:rPr>
          <w:rFonts w:eastAsia="MS Mincho" w:cs="Times New Roman"/>
        </w:rPr>
        <w:t>The latter</w:t>
      </w:r>
      <w:r w:rsidR="00BA7C8F" w:rsidRPr="00166B07">
        <w:rPr>
          <w:rFonts w:eastAsia="MS Mincho" w:cs="Times New Roman"/>
        </w:rPr>
        <w:t xml:space="preserve"> makes sense in light of the literature that suggests that variable pay is more aligned to shareholder value corporate governance </w:t>
      </w:r>
      <w:r w:rsidR="00677B0D">
        <w:rPr>
          <w:rFonts w:eastAsia="MS Mincho" w:cs="Times New Roman"/>
        </w:rPr>
        <w:fldChar w:fldCharType="begin"/>
      </w:r>
      <w:r w:rsidR="00346C28">
        <w:rPr>
          <w:rFonts w:eastAsia="MS Mincho" w:cs="Times New Roman"/>
        </w:rPr>
        <w:instrText xml:space="preserve"> ADDIN ZOTERO_ITEM CSL_CITATION {"citationID":"GZt1OmGE","properties":{"formattedCitation":"(Hall and Soskice, 2001)","plainCitation":"(Hall and Soskice, 2001)"},"citationItems":[{"id":609,"uris":["http://zotero.org/users/local/xORFDKwB/items/7KD4QUF3"],"uri":["http://zotero.org/users/local/xORFDKwB/items/7KD4QUF3"],"itemData":{"id":609,"type":"book","title":"Varieties of Capitalism: Institutional Foundations of Comparative Advantage","publisher":"Oxford University Press","publisher-place":"Oxford","event-place":"Oxford","author":[{"family":"Hall","given":"Peter"},{"family":"Soskice","given":"David"}],"issued":{"date-parts":[["2001"]]}}}],"schema":"https://github.com/citation-style-language/schema/raw/master/csl-citation.json"} </w:instrText>
      </w:r>
      <w:r w:rsidR="00677B0D">
        <w:rPr>
          <w:rFonts w:eastAsia="MS Mincho" w:cs="Times New Roman"/>
        </w:rPr>
        <w:fldChar w:fldCharType="separate"/>
      </w:r>
      <w:r w:rsidR="00346C28">
        <w:rPr>
          <w:rFonts w:eastAsia="MS Mincho" w:cs="Times New Roman"/>
          <w:noProof/>
        </w:rPr>
        <w:t>(Hall and Soskice, 2001)</w:t>
      </w:r>
      <w:r w:rsidR="00677B0D">
        <w:rPr>
          <w:rFonts w:eastAsia="MS Mincho" w:cs="Times New Roman"/>
        </w:rPr>
        <w:fldChar w:fldCharType="end"/>
      </w:r>
      <w:r>
        <w:rPr>
          <w:rFonts w:eastAsia="MS Mincho" w:cs="Times New Roman"/>
        </w:rPr>
        <w:t xml:space="preserve"> </w:t>
      </w:r>
      <w:r w:rsidR="00BA7C8F" w:rsidRPr="00166B07">
        <w:rPr>
          <w:rFonts w:eastAsia="MS Mincho" w:cs="Times New Roman"/>
        </w:rPr>
        <w:t>and has been rather slow to penetrate market economies</w:t>
      </w:r>
      <w:r>
        <w:rPr>
          <w:rFonts w:eastAsia="MS Mincho" w:cs="Times New Roman"/>
        </w:rPr>
        <w:t xml:space="preserve"> in Continental Europe</w:t>
      </w:r>
      <w:r w:rsidR="00B829E2" w:rsidRPr="00166B07">
        <w:rPr>
          <w:rFonts w:eastAsia="MS Mincho" w:cs="Times New Roman"/>
        </w:rPr>
        <w:t>.</w:t>
      </w:r>
      <w:r w:rsidR="00D13FEB">
        <w:rPr>
          <w:rFonts w:eastAsia="MS Mincho" w:cs="Times New Roman"/>
        </w:rPr>
        <w:t xml:space="preserve"> This finding for Southern Europe might be explained by the lack of any particular institutional complementarities in this model of capitalism</w:t>
      </w:r>
      <w:r w:rsidR="00346C28">
        <w:rPr>
          <w:rFonts w:eastAsia="MS Mincho" w:cs="Times New Roman"/>
        </w:rPr>
        <w:t xml:space="preserve"> </w:t>
      </w:r>
      <w:r w:rsidR="00346C28">
        <w:rPr>
          <w:rFonts w:eastAsia="MS Mincho" w:cs="Times New Roman"/>
        </w:rPr>
        <w:fldChar w:fldCharType="begin"/>
      </w:r>
      <w:r w:rsidR="00346C28">
        <w:rPr>
          <w:rFonts w:eastAsia="MS Mincho" w:cs="Times New Roman"/>
        </w:rPr>
        <w:instrText xml:space="preserve"> ADDIN ZOTERO_ITEM CSL_CITATION {"citationID":"1ccjt8ri9j","properties":{"formattedCitation":"(Amable, 2003)","plainCitation":"(Amable, 2003)"},"citationItems":[{"id":22,"uris":["http://zotero.org/users/local/xORFDKwB/items/8JD64DDK"],"uri":["http://zotero.org/users/local/xORFDKwB/items/8JD64DDK"],"itemData":{"id":22,"type":"book","title":"The Diversity of Modern Capitalism","publisher":"Oxford University Press","publisher-place":"Oxford","event-place":"Oxford","shortTitle":"Diversity of Modern Capitalism","author":[{"family":"Amable","given":"Bruno"}],"issued":{"date-parts":[["2003"]]}}}],"schema":"https://github.com/citation-style-language/schema/raw/master/csl-citation.json"} </w:instrText>
      </w:r>
      <w:r w:rsidR="00346C28">
        <w:rPr>
          <w:rFonts w:eastAsia="MS Mincho" w:cs="Times New Roman"/>
        </w:rPr>
        <w:fldChar w:fldCharType="separate"/>
      </w:r>
      <w:r w:rsidR="00346C28">
        <w:rPr>
          <w:rFonts w:eastAsia="MS Mincho" w:cs="Times New Roman"/>
          <w:noProof/>
        </w:rPr>
        <w:t>(Amable, 2003)</w:t>
      </w:r>
      <w:r w:rsidR="00346C28">
        <w:rPr>
          <w:rFonts w:eastAsia="MS Mincho" w:cs="Times New Roman"/>
        </w:rPr>
        <w:fldChar w:fldCharType="end"/>
      </w:r>
      <w:r w:rsidR="00920C38">
        <w:rPr>
          <w:rFonts w:eastAsia="MS Mincho" w:cs="Times New Roman"/>
        </w:rPr>
        <w:t>.</w:t>
      </w:r>
    </w:p>
    <w:p w14:paraId="01E2C313" w14:textId="28033BAC" w:rsidR="00DC74B8" w:rsidRDefault="004B4FEE" w:rsidP="0076098A">
      <w:pPr>
        <w:ind w:firstLine="567"/>
        <w:rPr>
          <w:rFonts w:eastAsia="MS Mincho" w:cs="Times New Roman"/>
        </w:rPr>
      </w:pPr>
      <w:r w:rsidRPr="00166B07">
        <w:rPr>
          <w:rFonts w:eastAsia="MS Mincho" w:cs="Times New Roman"/>
        </w:rPr>
        <w:t xml:space="preserve">Training, on the other hand, is </w:t>
      </w:r>
      <w:r w:rsidR="00444E44">
        <w:rPr>
          <w:rFonts w:eastAsia="MS Mincho" w:cs="Times New Roman"/>
        </w:rPr>
        <w:t xml:space="preserve">not a significant predictor of productivity anywhere outside the Southern cluster. </w:t>
      </w:r>
      <w:r w:rsidR="00DC74B8">
        <w:rPr>
          <w:rFonts w:eastAsia="MS Mincho" w:cs="Times New Roman"/>
        </w:rPr>
        <w:t xml:space="preserve">This might appear puzzling, but if one looks carefully at the phrasing of the question, it focuses on time-off that employees might </w:t>
      </w:r>
      <w:r w:rsidR="008321C1">
        <w:rPr>
          <w:rFonts w:eastAsia="MS Mincho" w:cs="Times New Roman"/>
        </w:rPr>
        <w:t>get</w:t>
      </w:r>
      <w:r w:rsidR="00DC74B8">
        <w:rPr>
          <w:rFonts w:eastAsia="MS Mincho" w:cs="Times New Roman"/>
        </w:rPr>
        <w:t xml:space="preserve"> for training purposes. Thus, we could assume that training might be a built-in characteristic in the Continental and Nordic workplaces, e.g. on-the-job training through </w:t>
      </w:r>
      <w:r w:rsidR="00CD7A15">
        <w:rPr>
          <w:rFonts w:eastAsia="MS Mincho" w:cs="Times New Roman"/>
        </w:rPr>
        <w:t>occupational</w:t>
      </w:r>
      <w:r w:rsidR="00DC74B8">
        <w:rPr>
          <w:rFonts w:eastAsia="MS Mincho" w:cs="Times New Roman"/>
        </w:rPr>
        <w:t xml:space="preserve"> labour markets</w:t>
      </w:r>
      <w:r w:rsidR="00CD7A15">
        <w:rPr>
          <w:rFonts w:eastAsia="MS Mincho" w:cs="Times New Roman"/>
        </w:rPr>
        <w:t xml:space="preserve"> </w:t>
      </w:r>
      <w:r w:rsidR="00CD7A15">
        <w:rPr>
          <w:rFonts w:eastAsia="MS Mincho" w:cs="Times New Roman"/>
        </w:rPr>
        <w:fldChar w:fldCharType="begin"/>
      </w:r>
      <w:r w:rsidR="00CD7A15">
        <w:rPr>
          <w:rFonts w:eastAsia="MS Mincho" w:cs="Times New Roman"/>
        </w:rPr>
        <w:instrText xml:space="preserve"> ADDIN ZOTERO_ITEM CSL_CITATION {"citationID":"1gm4pej27a","properties":{"formattedCitation":"(Streeck, 2005)","plainCitation":"(Streeck, 2005)"},"citationItems":[{"id":1408,"uris":["http://zotero.org/users/local/xORFDKwB/items/KA7RCX77"],"uri":["http://zotero.org/users/local/xORFDKwB/items/KA7RCX77"],"itemData":{"id":1408,"type":"chapter","title":"The Sociology of Labor Markets and Trade Unions","container-title":"The Handbook of Economic Sociology","publisher":"Princeton University Press","publisher-place":"Princeton","page":"254-283","event-place":"Princeton","author":[{"family":"Streeck","given":"Wolfgang"}],"editor":[{"family":"Smelser","given":"Neil"},{"family":"Swedberg","given":"Richard"}],"issued":{"date-parts":[["2005"]]}}}],"schema":"https://github.com/citation-style-language/schema/raw/master/csl-citation.json"} </w:instrText>
      </w:r>
      <w:r w:rsidR="00CD7A15">
        <w:rPr>
          <w:rFonts w:eastAsia="MS Mincho" w:cs="Times New Roman"/>
        </w:rPr>
        <w:fldChar w:fldCharType="separate"/>
      </w:r>
      <w:r w:rsidR="00CD7A15">
        <w:rPr>
          <w:rFonts w:eastAsia="MS Mincho" w:cs="Times New Roman"/>
          <w:noProof/>
        </w:rPr>
        <w:t>(Streeck, 2005)</w:t>
      </w:r>
      <w:r w:rsidR="00CD7A15">
        <w:rPr>
          <w:rFonts w:eastAsia="MS Mincho" w:cs="Times New Roman"/>
        </w:rPr>
        <w:fldChar w:fldCharType="end"/>
      </w:r>
      <w:r w:rsidR="00DC74B8">
        <w:rPr>
          <w:rFonts w:eastAsia="MS Mincho" w:cs="Times New Roman"/>
        </w:rPr>
        <w:t xml:space="preserve">. Thus, time-off for training might </w:t>
      </w:r>
      <w:r w:rsidR="008216B3">
        <w:rPr>
          <w:rFonts w:eastAsia="MS Mincho" w:cs="Times New Roman"/>
        </w:rPr>
        <w:t>matter in workplaces where embedded</w:t>
      </w:r>
      <w:r w:rsidR="00DC74B8">
        <w:rPr>
          <w:rFonts w:eastAsia="MS Mincho" w:cs="Times New Roman"/>
        </w:rPr>
        <w:t xml:space="preserve"> training is limited</w:t>
      </w:r>
      <w:r w:rsidR="00DE1FF1">
        <w:rPr>
          <w:rFonts w:eastAsia="MS Mincho" w:cs="Times New Roman"/>
        </w:rPr>
        <w:t>,</w:t>
      </w:r>
      <w:r w:rsidR="00DC74B8">
        <w:rPr>
          <w:rFonts w:eastAsia="MS Mincho" w:cs="Times New Roman"/>
        </w:rPr>
        <w:t xml:space="preserve"> as in Southern Europe.</w:t>
      </w:r>
    </w:p>
    <w:p w14:paraId="31B007EC" w14:textId="3BA4FD34" w:rsidR="004B4FEE" w:rsidRPr="00166B07" w:rsidRDefault="00166B07" w:rsidP="0076098A">
      <w:pPr>
        <w:ind w:firstLine="567"/>
        <w:rPr>
          <w:rFonts w:eastAsia="MS Mincho" w:cs="Times New Roman"/>
        </w:rPr>
      </w:pPr>
      <w:r w:rsidRPr="00166B07">
        <w:rPr>
          <w:rFonts w:eastAsia="MS Mincho" w:cs="Times New Roman"/>
        </w:rPr>
        <w:t xml:space="preserve">Finally, teamwork is </w:t>
      </w:r>
      <w:r w:rsidR="00444E44">
        <w:rPr>
          <w:rFonts w:eastAsia="MS Mincho" w:cs="Times New Roman"/>
        </w:rPr>
        <w:t xml:space="preserve">positively and strongly </w:t>
      </w:r>
      <w:r w:rsidRPr="00166B07">
        <w:rPr>
          <w:rFonts w:eastAsia="MS Mincho" w:cs="Times New Roman"/>
        </w:rPr>
        <w:t>related to productivity advantage</w:t>
      </w:r>
      <w:r w:rsidR="008321C1">
        <w:rPr>
          <w:rFonts w:eastAsia="MS Mincho" w:cs="Times New Roman"/>
        </w:rPr>
        <w:t>s</w:t>
      </w:r>
      <w:r w:rsidR="00444E44">
        <w:rPr>
          <w:rFonts w:eastAsia="MS Mincho" w:cs="Times New Roman"/>
        </w:rPr>
        <w:t xml:space="preserve"> only in the Nordic and the Southern countries</w:t>
      </w:r>
      <w:r w:rsidRPr="00166B07">
        <w:rPr>
          <w:rFonts w:eastAsia="MS Mincho" w:cs="Times New Roman"/>
        </w:rPr>
        <w:t>.</w:t>
      </w:r>
      <w:r w:rsidR="00C35048">
        <w:rPr>
          <w:rFonts w:eastAsia="MS Mincho" w:cs="Times New Roman"/>
        </w:rPr>
        <w:t xml:space="preserve"> In Nordic countries, this seems to confirm conventional wisdom on the importance of teamwork in Swedish work organisation</w:t>
      </w:r>
      <w:r w:rsidR="000E222A">
        <w:rPr>
          <w:rFonts w:eastAsia="MS Mincho" w:cs="Times New Roman"/>
        </w:rPr>
        <w:t>, despite critique</w:t>
      </w:r>
      <w:r w:rsidR="00DE1FF1">
        <w:rPr>
          <w:rFonts w:eastAsia="MS Mincho" w:cs="Times New Roman"/>
        </w:rPr>
        <w:t>s</w:t>
      </w:r>
      <w:r w:rsidR="000E222A">
        <w:rPr>
          <w:rFonts w:eastAsia="MS Mincho" w:cs="Times New Roman"/>
        </w:rPr>
        <w:t xml:space="preserve"> that it might </w:t>
      </w:r>
      <w:r w:rsidR="00DE1FF1">
        <w:rPr>
          <w:rFonts w:eastAsia="MS Mincho" w:cs="Times New Roman"/>
        </w:rPr>
        <w:t xml:space="preserve">have been </w:t>
      </w:r>
      <w:r w:rsidR="000E222A">
        <w:rPr>
          <w:rFonts w:eastAsia="MS Mincho" w:cs="Times New Roman"/>
        </w:rPr>
        <w:t xml:space="preserve">exaggerated in the </w:t>
      </w:r>
      <w:r w:rsidR="00287121">
        <w:rPr>
          <w:rFonts w:eastAsia="MS Mincho" w:cs="Times New Roman"/>
        </w:rPr>
        <w:t>literature</w:t>
      </w:r>
      <w:r w:rsidR="000E222A">
        <w:rPr>
          <w:rFonts w:eastAsia="MS Mincho" w:cs="Times New Roman"/>
        </w:rPr>
        <w:t xml:space="preserve"> </w:t>
      </w:r>
      <w:r w:rsidR="00B7150C">
        <w:rPr>
          <w:rFonts w:eastAsia="MS Mincho" w:cs="Times New Roman"/>
        </w:rPr>
        <w:fldChar w:fldCharType="begin"/>
      </w:r>
      <w:r w:rsidR="00287121">
        <w:rPr>
          <w:rFonts w:eastAsia="MS Mincho" w:cs="Times New Roman"/>
        </w:rPr>
        <w:instrText xml:space="preserve"> ADDIN ZOTERO_ITEM CSL_CITATION {"citationID":"K0LQ6Qwi","properties":{"formattedCitation":"(Lorenz and Valeyre, 2005: 429)","plainCitation":"(Lorenz and Valeyre, 2005: 429)"},"citationItems":[{"id":936,"uris":["http://zotero.org/users/local/xORFDKwB/items/KKKUXND8"],"uri":["http://zotero.org/users/local/xORFDKwB/items/KKKUXND8"],"itemData":{"id":936,"type":"article-journal","title":"Organisational Innovation, Human Resource Management and Labour Market Structure: a Comparison of the EU-15","container-title":"Journal of Industrial Relations","page":"424-442","volume":"47","author":[{"family":"Lorenz","given":"Edward"},{"family":"Valeyre","given":"Antoine"}],"issued":{"date-parts":[["2005"]]}},"locator":"429"}],"schema":"https://github.com/citation-style-language/schema/raw/master/csl-citation.json"} </w:instrText>
      </w:r>
      <w:r w:rsidR="00B7150C">
        <w:rPr>
          <w:rFonts w:eastAsia="MS Mincho" w:cs="Times New Roman"/>
        </w:rPr>
        <w:fldChar w:fldCharType="separate"/>
      </w:r>
      <w:r w:rsidR="00287121">
        <w:rPr>
          <w:rFonts w:eastAsia="MS Mincho" w:cs="Times New Roman"/>
          <w:noProof/>
        </w:rPr>
        <w:t>(Lorenz and Valeyre, 2005: 429)</w:t>
      </w:r>
      <w:r w:rsidR="00B7150C">
        <w:rPr>
          <w:rFonts w:eastAsia="MS Mincho" w:cs="Times New Roman"/>
        </w:rPr>
        <w:fldChar w:fldCharType="end"/>
      </w:r>
      <w:r w:rsidR="00FD70B3">
        <w:rPr>
          <w:rFonts w:eastAsia="MS Mincho" w:cs="Times New Roman"/>
        </w:rPr>
        <w:t xml:space="preserve">. </w:t>
      </w:r>
      <w:r w:rsidR="00DE1FF1">
        <w:rPr>
          <w:rFonts w:eastAsia="MS Mincho" w:cs="Times New Roman"/>
        </w:rPr>
        <w:t xml:space="preserve">On the other hand, </w:t>
      </w:r>
      <w:r w:rsidR="00FD70B3">
        <w:rPr>
          <w:rFonts w:eastAsia="MS Mincho" w:cs="Times New Roman"/>
        </w:rPr>
        <w:t xml:space="preserve">the </w:t>
      </w:r>
      <w:r w:rsidR="00005EC6">
        <w:rPr>
          <w:rFonts w:eastAsia="MS Mincho" w:cs="Times New Roman"/>
        </w:rPr>
        <w:t xml:space="preserve">importance of teamwork in Southern countries </w:t>
      </w:r>
      <w:r w:rsidR="00C73A9D">
        <w:rPr>
          <w:rFonts w:eastAsia="MS Mincho" w:cs="Times New Roman"/>
        </w:rPr>
        <w:t>may</w:t>
      </w:r>
      <w:r w:rsidR="00005EC6">
        <w:rPr>
          <w:rFonts w:eastAsia="MS Mincho" w:cs="Times New Roman"/>
        </w:rPr>
        <w:t xml:space="preserve"> be explained by the fact that any HPWS</w:t>
      </w:r>
      <w:r w:rsidR="006E01C9">
        <w:rPr>
          <w:rFonts w:eastAsia="MS Mincho" w:cs="Times New Roman"/>
        </w:rPr>
        <w:t xml:space="preserve"> practice</w:t>
      </w:r>
      <w:r w:rsidR="00005EC6">
        <w:rPr>
          <w:rFonts w:eastAsia="MS Mincho" w:cs="Times New Roman"/>
        </w:rPr>
        <w:t xml:space="preserve"> is likely to boost productivity in a context where institutional complementarities are absent.</w:t>
      </w:r>
    </w:p>
    <w:p w14:paraId="6A7693C5" w14:textId="19420B82" w:rsidR="00991131" w:rsidRDefault="008F2999" w:rsidP="008F1910">
      <w:pPr>
        <w:ind w:firstLine="567"/>
        <w:rPr>
          <w:rFonts w:eastAsia="MS Mincho" w:cs="Times New Roman"/>
        </w:rPr>
      </w:pPr>
      <w:r>
        <w:rPr>
          <w:rFonts w:eastAsia="MS Mincho" w:cs="Times New Roman"/>
        </w:rPr>
        <w:t>All in all</w:t>
      </w:r>
      <w:r w:rsidR="007C3AE1">
        <w:rPr>
          <w:rFonts w:eastAsia="MS Mincho" w:cs="Times New Roman"/>
        </w:rPr>
        <w:t xml:space="preserve">, our </w:t>
      </w:r>
      <w:r w:rsidR="004B4FEE">
        <w:rPr>
          <w:rFonts w:eastAsia="MS Mincho" w:cs="Times New Roman"/>
        </w:rPr>
        <w:t xml:space="preserve">results provide mixed evidence concerning the </w:t>
      </w:r>
      <w:r w:rsidR="00166B07">
        <w:rPr>
          <w:rFonts w:eastAsia="MS Mincho" w:cs="Times New Roman"/>
        </w:rPr>
        <w:t>h</w:t>
      </w:r>
      <w:r w:rsidR="004B4FEE">
        <w:rPr>
          <w:rFonts w:eastAsia="MS Mincho" w:cs="Times New Roman"/>
        </w:rPr>
        <w:t xml:space="preserve">ypotheses posed in the previous section. </w:t>
      </w:r>
      <w:r w:rsidR="0086616C">
        <w:rPr>
          <w:rFonts w:eastAsia="MS Mincho" w:cs="Times New Roman"/>
        </w:rPr>
        <w:t>First</w:t>
      </w:r>
      <w:r w:rsidR="00F94338">
        <w:rPr>
          <w:rFonts w:eastAsia="MS Mincho" w:cs="Times New Roman"/>
        </w:rPr>
        <w:t xml:space="preserve">, the hypotheses proposing a negative association between </w:t>
      </w:r>
      <w:r w:rsidR="003357AE">
        <w:rPr>
          <w:rFonts w:eastAsia="MS Mincho" w:cs="Times New Roman"/>
        </w:rPr>
        <w:t>ER</w:t>
      </w:r>
      <w:r w:rsidR="00E23442">
        <w:rPr>
          <w:rFonts w:eastAsia="MS Mincho" w:cs="Times New Roman"/>
        </w:rPr>
        <w:t xml:space="preserve"> institutions</w:t>
      </w:r>
      <w:r w:rsidR="00F94338">
        <w:rPr>
          <w:rFonts w:eastAsia="MS Mincho" w:cs="Times New Roman"/>
        </w:rPr>
        <w:t xml:space="preserve"> and </w:t>
      </w:r>
      <w:r w:rsidR="00E967E9">
        <w:rPr>
          <w:rFonts w:eastAsia="MS Mincho" w:cs="Times New Roman"/>
        </w:rPr>
        <w:t>firm</w:t>
      </w:r>
      <w:r w:rsidR="00F94338">
        <w:rPr>
          <w:rFonts w:eastAsia="MS Mincho" w:cs="Times New Roman"/>
        </w:rPr>
        <w:t xml:space="preserve"> </w:t>
      </w:r>
      <w:r w:rsidR="00166B07">
        <w:rPr>
          <w:rFonts w:eastAsia="MS Mincho" w:cs="Times New Roman"/>
        </w:rPr>
        <w:t>competitiveness</w:t>
      </w:r>
      <w:r w:rsidR="00F94338">
        <w:rPr>
          <w:rFonts w:eastAsia="MS Mincho" w:cs="Times New Roman"/>
        </w:rPr>
        <w:t xml:space="preserve"> are not supported. It would</w:t>
      </w:r>
      <w:r w:rsidR="004B4FEE">
        <w:rPr>
          <w:rFonts w:eastAsia="MS Mincho" w:cs="Times New Roman"/>
        </w:rPr>
        <w:t xml:space="preserve"> be fair to claim that </w:t>
      </w:r>
      <w:r w:rsidR="003357AE">
        <w:rPr>
          <w:rFonts w:eastAsia="MS Mincho" w:cs="Times New Roman"/>
        </w:rPr>
        <w:t>ER</w:t>
      </w:r>
      <w:r w:rsidR="004B4FEE">
        <w:rPr>
          <w:rFonts w:eastAsia="MS Mincho" w:cs="Times New Roman"/>
        </w:rPr>
        <w:t xml:space="preserve"> institutions (collective bargaining and employee representation) do not seem to have been behind productivity differences across </w:t>
      </w:r>
      <w:r w:rsidR="005A01F0">
        <w:rPr>
          <w:rFonts w:eastAsia="MS Mincho" w:cs="Times New Roman"/>
        </w:rPr>
        <w:t>EU-15</w:t>
      </w:r>
      <w:r w:rsidR="004B4FEE">
        <w:rPr>
          <w:rFonts w:eastAsia="MS Mincho" w:cs="Times New Roman"/>
        </w:rPr>
        <w:t xml:space="preserve"> establishments in 2009. In other words, higher levels of regulation </w:t>
      </w:r>
      <w:r w:rsidR="00755C5D">
        <w:rPr>
          <w:rFonts w:eastAsia="MS Mincho" w:cs="Times New Roman"/>
        </w:rPr>
        <w:t>neither enhanced nor compromised</w:t>
      </w:r>
      <w:r w:rsidR="004B4FEE">
        <w:rPr>
          <w:rFonts w:eastAsia="MS Mincho" w:cs="Times New Roman"/>
        </w:rPr>
        <w:t xml:space="preserve"> establishment performance, the latter being proxied by subjectively assessed productivity changes. </w:t>
      </w:r>
      <w:r w:rsidR="004B4FEE" w:rsidRPr="00774B86">
        <w:rPr>
          <w:rFonts w:eastAsia="MS Mincho" w:cs="Times New Roman"/>
        </w:rPr>
        <w:t>It seems</w:t>
      </w:r>
      <w:r w:rsidR="00D10038" w:rsidRPr="00774B86">
        <w:rPr>
          <w:rFonts w:eastAsia="MS Mincho" w:cs="Times New Roman"/>
        </w:rPr>
        <w:t>,</w:t>
      </w:r>
      <w:r w:rsidR="004B4FEE" w:rsidRPr="00774B86">
        <w:rPr>
          <w:rFonts w:eastAsia="MS Mincho" w:cs="Times New Roman"/>
        </w:rPr>
        <w:t xml:space="preserve"> </w:t>
      </w:r>
      <w:r w:rsidR="00D10038" w:rsidRPr="00774B86">
        <w:rPr>
          <w:rFonts w:eastAsia="MS Mincho" w:cs="Times New Roman"/>
        </w:rPr>
        <w:t xml:space="preserve">however, </w:t>
      </w:r>
      <w:r w:rsidR="004B4FEE" w:rsidRPr="00774B86">
        <w:rPr>
          <w:rFonts w:eastAsia="MS Mincho" w:cs="Times New Roman"/>
        </w:rPr>
        <w:t xml:space="preserve">that in the </w:t>
      </w:r>
      <w:r w:rsidR="00D10038" w:rsidRPr="00774B86">
        <w:rPr>
          <w:rFonts w:eastAsia="MS Mincho" w:cs="Times New Roman"/>
        </w:rPr>
        <w:t>Continental</w:t>
      </w:r>
      <w:r w:rsidR="004B4FEE" w:rsidRPr="00774B86">
        <w:rPr>
          <w:rFonts w:eastAsia="MS Mincho" w:cs="Times New Roman"/>
        </w:rPr>
        <w:t xml:space="preserve"> and the Liberal </w:t>
      </w:r>
      <w:r w:rsidR="00F94338" w:rsidRPr="00774B86">
        <w:rPr>
          <w:rFonts w:eastAsia="MS Mincho" w:cs="Times New Roman"/>
        </w:rPr>
        <w:t>countries, establishments with lower levels of</w:t>
      </w:r>
      <w:r w:rsidR="004B4FEE" w:rsidRPr="00774B86">
        <w:rPr>
          <w:rFonts w:eastAsia="MS Mincho" w:cs="Times New Roman"/>
        </w:rPr>
        <w:t xml:space="preserve"> bargaining fared </w:t>
      </w:r>
      <w:r w:rsidR="00982B6C" w:rsidRPr="00774B86">
        <w:rPr>
          <w:rFonts w:eastAsia="MS Mincho" w:cs="Times New Roman"/>
        </w:rPr>
        <w:t xml:space="preserve">somewhat </w:t>
      </w:r>
      <w:r w:rsidR="004B4FEE" w:rsidRPr="00774B86">
        <w:rPr>
          <w:rFonts w:eastAsia="MS Mincho" w:cs="Times New Roman"/>
        </w:rPr>
        <w:t>better than similar ones with higher level bargaining.</w:t>
      </w:r>
      <w:r w:rsidR="004B4FEE">
        <w:rPr>
          <w:rFonts w:eastAsia="MS Mincho" w:cs="Times New Roman"/>
        </w:rPr>
        <w:t xml:space="preserve"> </w:t>
      </w:r>
      <w:r w:rsidR="000E4430">
        <w:rPr>
          <w:rFonts w:eastAsia="MS Mincho" w:cs="Times New Roman"/>
        </w:rPr>
        <w:t xml:space="preserve">This finding raises some interesting questions regarding both the universality of the neo-liberal argument and the importance of the institutional setting in the potential success or failure of such policies. </w:t>
      </w:r>
    </w:p>
    <w:p w14:paraId="2EEA2D81" w14:textId="00867DC9" w:rsidR="008216B3" w:rsidRPr="00991131" w:rsidRDefault="0086616C" w:rsidP="00991131">
      <w:pPr>
        <w:ind w:firstLine="567"/>
        <w:rPr>
          <w:rFonts w:eastAsia="MS Mincho" w:cs="Times New Roman"/>
        </w:rPr>
      </w:pPr>
      <w:r>
        <w:t xml:space="preserve">Our conclusion </w:t>
      </w:r>
      <w:r w:rsidR="009477D0">
        <w:t xml:space="preserve">about </w:t>
      </w:r>
      <w:r>
        <w:t>the lack of evidence regarding the validity of the neo</w:t>
      </w:r>
      <w:r w:rsidR="009477D0">
        <w:t>-</w:t>
      </w:r>
      <w:r>
        <w:t xml:space="preserve">liberal argument can be </w:t>
      </w:r>
      <w:r w:rsidRPr="0086616C">
        <w:t>strengthened even more</w:t>
      </w:r>
      <w:r>
        <w:t xml:space="preserve"> if we note that </w:t>
      </w:r>
      <w:r w:rsidR="00990D84">
        <w:t xml:space="preserve">unobserved </w:t>
      </w:r>
      <w:r>
        <w:t>differences in the dynamism of establishments might play a role</w:t>
      </w:r>
      <w:r w:rsidR="00990D84">
        <w:t xml:space="preserve"> in the results we obtain for the institutional variables. </w:t>
      </w:r>
      <w:r w:rsidR="00801BA9">
        <w:t>This is because m</w:t>
      </w:r>
      <w:r w:rsidR="00952399">
        <w:t xml:space="preserve">ore rapidly-growing </w:t>
      </w:r>
      <w:r w:rsidR="00A26555">
        <w:t xml:space="preserve">industries, firms and </w:t>
      </w:r>
      <w:r w:rsidR="00C92731">
        <w:t>establishments</w:t>
      </w:r>
      <w:r w:rsidR="008F1910">
        <w:t xml:space="preserve"> (</w:t>
      </w:r>
      <w:r w:rsidR="00952399">
        <w:t xml:space="preserve">that </w:t>
      </w:r>
      <w:r w:rsidR="00F54FF0">
        <w:t xml:space="preserve">also </w:t>
      </w:r>
      <w:r w:rsidR="00952399">
        <w:t>experience high</w:t>
      </w:r>
      <w:r w:rsidR="00801BA9">
        <w:t>er</w:t>
      </w:r>
      <w:r w:rsidR="00952399">
        <w:t xml:space="preserve"> productivity growth</w:t>
      </w:r>
      <w:r w:rsidR="008F1910">
        <w:t xml:space="preserve">) </w:t>
      </w:r>
      <w:r w:rsidR="00C92731">
        <w:t xml:space="preserve">may be associated with less ‘restrictive’ workplace practices, such as decentralized bargaining or no bargaining at all. </w:t>
      </w:r>
      <w:r>
        <w:t>In further checks</w:t>
      </w:r>
      <w:r w:rsidR="00092E4C">
        <w:t xml:space="preserve"> </w:t>
      </w:r>
      <w:r>
        <w:t xml:space="preserve">we tried to account </w:t>
      </w:r>
      <w:r w:rsidR="00092E4C">
        <w:t xml:space="preserve">to some extent </w:t>
      </w:r>
      <w:r>
        <w:t xml:space="preserve">for </w:t>
      </w:r>
      <w:r w:rsidR="009477D0">
        <w:t xml:space="preserve">this source of heterogeneity </w:t>
      </w:r>
      <w:r>
        <w:t xml:space="preserve">by additionally including in our models dummy variables indicating employment change </w:t>
      </w:r>
      <w:r w:rsidR="009477D0">
        <w:t xml:space="preserve">(i.e. increase, decrease or stability) </w:t>
      </w:r>
      <w:r>
        <w:t xml:space="preserve">in the past three years. One </w:t>
      </w:r>
      <w:r w:rsidR="00801BA9">
        <w:t xml:space="preserve">can </w:t>
      </w:r>
      <w:r>
        <w:t>expect that rapidly growing firms will record both high levels of productivi</w:t>
      </w:r>
      <w:r w:rsidR="00524A6E">
        <w:t xml:space="preserve">ty growth </w:t>
      </w:r>
      <w:r w:rsidR="00524A6E" w:rsidRPr="00801BA9">
        <w:rPr>
          <w:i/>
        </w:rPr>
        <w:t>and</w:t>
      </w:r>
      <w:r w:rsidR="00524A6E">
        <w:t xml:space="preserve"> employment growth – although </w:t>
      </w:r>
      <w:r>
        <w:t>this is not a certainty</w:t>
      </w:r>
      <w:r w:rsidR="00990D84">
        <w:t>,</w:t>
      </w:r>
      <w:r>
        <w:t xml:space="preserve"> due to the complex relationships between the two variables</w:t>
      </w:r>
      <w:r w:rsidR="00524A6E">
        <w:t xml:space="preserve">. </w:t>
      </w:r>
      <w:r>
        <w:t xml:space="preserve">We do </w:t>
      </w:r>
      <w:r w:rsidR="00990D84">
        <w:t xml:space="preserve">indeed </w:t>
      </w:r>
      <w:r>
        <w:t>find evidence that productivity change is strongly and positively related to employment change. However, these additional controls did not substantially affect the estimates of our in</w:t>
      </w:r>
      <w:r w:rsidR="00990D84">
        <w:t xml:space="preserve">dependent variables of interest, </w:t>
      </w:r>
      <w:r>
        <w:t xml:space="preserve">hence our conclusions remain the same. </w:t>
      </w:r>
    </w:p>
    <w:p w14:paraId="3BF01DED" w14:textId="11E53199" w:rsidR="00D701CB" w:rsidRDefault="0086616C" w:rsidP="0076098A">
      <w:pPr>
        <w:ind w:firstLine="567"/>
        <w:rPr>
          <w:rFonts w:eastAsia="MS Mincho" w:cs="Times New Roman"/>
        </w:rPr>
      </w:pPr>
      <w:r>
        <w:rPr>
          <w:rFonts w:eastAsia="MS Mincho" w:cs="Times New Roman"/>
        </w:rPr>
        <w:t>Second</w:t>
      </w:r>
      <w:r w:rsidR="00F94338">
        <w:rPr>
          <w:rFonts w:eastAsia="MS Mincho" w:cs="Times New Roman"/>
        </w:rPr>
        <w:t>,</w:t>
      </w:r>
      <w:r w:rsidR="004B4FEE">
        <w:rPr>
          <w:rFonts w:eastAsia="MS Mincho" w:cs="Times New Roman"/>
        </w:rPr>
        <w:t xml:space="preserve"> </w:t>
      </w:r>
      <w:r w:rsidR="00F94338">
        <w:rPr>
          <w:rFonts w:eastAsia="MS Mincho" w:cs="Times New Roman"/>
        </w:rPr>
        <w:t xml:space="preserve">the hypotheses proposing a positive association between workplace practices and </w:t>
      </w:r>
      <w:r w:rsidR="00E967E9">
        <w:rPr>
          <w:rFonts w:eastAsia="MS Mincho" w:cs="Times New Roman"/>
        </w:rPr>
        <w:t>firm</w:t>
      </w:r>
      <w:r w:rsidR="00F94338">
        <w:rPr>
          <w:rFonts w:eastAsia="MS Mincho" w:cs="Times New Roman"/>
        </w:rPr>
        <w:t xml:space="preserve"> </w:t>
      </w:r>
      <w:r w:rsidR="00E967E9">
        <w:rPr>
          <w:rFonts w:eastAsia="MS Mincho" w:cs="Times New Roman"/>
        </w:rPr>
        <w:t>productivity</w:t>
      </w:r>
      <w:r w:rsidR="00F94338">
        <w:rPr>
          <w:rFonts w:eastAsia="MS Mincho" w:cs="Times New Roman"/>
        </w:rPr>
        <w:t xml:space="preserve"> are </w:t>
      </w:r>
      <w:r w:rsidR="005A01F0">
        <w:rPr>
          <w:rFonts w:eastAsia="MS Mincho" w:cs="Times New Roman"/>
        </w:rPr>
        <w:t>broadly</w:t>
      </w:r>
      <w:r w:rsidR="00F94338">
        <w:rPr>
          <w:rFonts w:eastAsia="MS Mincho" w:cs="Times New Roman"/>
        </w:rPr>
        <w:t xml:space="preserve"> supported</w:t>
      </w:r>
      <w:r w:rsidR="00005EC6">
        <w:rPr>
          <w:rFonts w:eastAsia="MS Mincho" w:cs="Times New Roman"/>
        </w:rPr>
        <w:t xml:space="preserve"> for</w:t>
      </w:r>
      <w:r w:rsidR="004B4FEE">
        <w:rPr>
          <w:rFonts w:eastAsia="MS Mincho" w:cs="Times New Roman"/>
        </w:rPr>
        <w:t xml:space="preserve"> the </w:t>
      </w:r>
      <w:r w:rsidR="005A01F0">
        <w:rPr>
          <w:rFonts w:eastAsia="MS Mincho" w:cs="Times New Roman"/>
        </w:rPr>
        <w:t>EU-15</w:t>
      </w:r>
      <w:r w:rsidR="004B4FEE">
        <w:rPr>
          <w:rFonts w:eastAsia="MS Mincho" w:cs="Times New Roman"/>
        </w:rPr>
        <w:t xml:space="preserve"> as a </w:t>
      </w:r>
      <w:r w:rsidR="00005EC6">
        <w:rPr>
          <w:rFonts w:eastAsia="MS Mincho" w:cs="Times New Roman"/>
        </w:rPr>
        <w:t xml:space="preserve">homogenous sample. However, when we examine the same </w:t>
      </w:r>
      <w:r w:rsidR="00287121">
        <w:rPr>
          <w:rFonts w:eastAsia="MS Mincho" w:cs="Times New Roman"/>
        </w:rPr>
        <w:t>variables</w:t>
      </w:r>
      <w:r w:rsidR="00005EC6">
        <w:rPr>
          <w:rFonts w:eastAsia="MS Mincho" w:cs="Times New Roman"/>
        </w:rPr>
        <w:t xml:space="preserve"> for different institutional contexts, it seems that some practices </w:t>
      </w:r>
      <w:r w:rsidR="008216B3">
        <w:rPr>
          <w:rFonts w:eastAsia="MS Mincho" w:cs="Times New Roman"/>
        </w:rPr>
        <w:t>appear more related with productivity in</w:t>
      </w:r>
      <w:r w:rsidR="00005EC6">
        <w:rPr>
          <w:rFonts w:eastAsia="MS Mincho" w:cs="Times New Roman"/>
        </w:rPr>
        <w:t xml:space="preserve"> particular </w:t>
      </w:r>
      <w:r w:rsidR="008216B3">
        <w:rPr>
          <w:rFonts w:eastAsia="MS Mincho" w:cs="Times New Roman"/>
        </w:rPr>
        <w:t>models</w:t>
      </w:r>
      <w:r w:rsidR="00005EC6">
        <w:rPr>
          <w:rFonts w:eastAsia="MS Mincho" w:cs="Times New Roman"/>
        </w:rPr>
        <w:t>. Teamwork is particularly important for the Nordic cluster and PRP for the Liberal cluster</w:t>
      </w:r>
      <w:r w:rsidR="008216B3">
        <w:rPr>
          <w:rFonts w:eastAsia="MS Mincho" w:cs="Times New Roman"/>
        </w:rPr>
        <w:t>, whereas any of the three work practices are important for</w:t>
      </w:r>
      <w:r w:rsidR="00005EC6">
        <w:rPr>
          <w:rFonts w:eastAsia="MS Mincho" w:cs="Times New Roman"/>
        </w:rPr>
        <w:t xml:space="preserve"> </w:t>
      </w:r>
      <w:r w:rsidR="004B4FEE">
        <w:rPr>
          <w:rFonts w:eastAsia="MS Mincho" w:cs="Times New Roman"/>
        </w:rPr>
        <w:t>the</w:t>
      </w:r>
      <w:r w:rsidR="005A01F0">
        <w:rPr>
          <w:rFonts w:eastAsia="MS Mincho" w:cs="Times New Roman"/>
        </w:rPr>
        <w:t xml:space="preserve"> Southern cluster</w:t>
      </w:r>
      <w:r w:rsidR="008216B3">
        <w:rPr>
          <w:rFonts w:eastAsia="MS Mincho" w:cs="Times New Roman"/>
        </w:rPr>
        <w:t xml:space="preserve"> and none for the Continental</w:t>
      </w:r>
      <w:r w:rsidR="00005EC6">
        <w:rPr>
          <w:rFonts w:eastAsia="MS Mincho" w:cs="Times New Roman"/>
        </w:rPr>
        <w:t>.</w:t>
      </w:r>
    </w:p>
    <w:p w14:paraId="709E4AB3" w14:textId="6A317B29" w:rsidR="004B4FEE" w:rsidRPr="000D46F6" w:rsidRDefault="00F94338" w:rsidP="0053519D">
      <w:pPr>
        <w:pStyle w:val="Heading1"/>
      </w:pPr>
      <w:r w:rsidRPr="00074E18">
        <w:t>Conclusion</w:t>
      </w:r>
    </w:p>
    <w:p w14:paraId="78FF3A6D" w14:textId="60EF5912" w:rsidR="002544A1" w:rsidRPr="00074E18" w:rsidRDefault="00F6255D" w:rsidP="00ED2A91">
      <w:r>
        <w:t xml:space="preserve">It is a commonplace </w:t>
      </w:r>
      <w:r w:rsidR="00DA5AF0">
        <w:t>for</w:t>
      </w:r>
      <w:r w:rsidR="002544A1" w:rsidRPr="00074E18">
        <w:t xml:space="preserve"> neoliberal </w:t>
      </w:r>
      <w:r w:rsidR="00DA5AF0">
        <w:t>policies</w:t>
      </w:r>
      <w:r w:rsidR="002544A1" w:rsidRPr="00074E18">
        <w:t xml:space="preserve"> </w:t>
      </w:r>
      <w:r w:rsidR="00DA5AF0">
        <w:t>to</w:t>
      </w:r>
      <w:r w:rsidR="002544A1" w:rsidRPr="00074E18">
        <w:t xml:space="preserve"> blame </w:t>
      </w:r>
      <w:r w:rsidR="003357AE">
        <w:t>ER</w:t>
      </w:r>
      <w:r w:rsidR="00E23442" w:rsidRPr="00074E18">
        <w:t xml:space="preserve"> </w:t>
      </w:r>
      <w:r w:rsidR="002544A1" w:rsidRPr="00074E18">
        <w:t>institutions</w:t>
      </w:r>
      <w:r>
        <w:t xml:space="preserve"> </w:t>
      </w:r>
      <w:r w:rsidR="002544A1" w:rsidRPr="00074E18">
        <w:t xml:space="preserve">for </w:t>
      </w:r>
      <w:r w:rsidR="003532BA">
        <w:t>having detrimental effects on</w:t>
      </w:r>
      <w:r w:rsidR="002544A1" w:rsidRPr="00074E18">
        <w:t xml:space="preserve"> competitiveness. However, the evidence-base for these claims is rather weak and inconclusive </w:t>
      </w:r>
      <w:r w:rsidR="002544A1" w:rsidRPr="00074E18">
        <w:fldChar w:fldCharType="begin"/>
      </w:r>
      <w:r w:rsidR="00194F86">
        <w:instrText xml:space="preserve"> ADDIN ZOTERO_ITEM CSL_CITATION {"citationID":"AHe8V3EU","properties":{"formattedCitation":"(ITUC, 2013)","plainCitation":"(ITUC, 2013)"},"citationItems":[{"id":1658,"uris":["http://zotero.org/users/local/xORFDKwB/items/PV8JU8XN"],"uri":["http://zotero.org/users/local/xORFDKwB/items/PV8JU8XN"],"itemData":{"id":1658,"type":"article","title":"Involvement of the International Monetary Fund in Labour Market Reforms in European Countries- ITUC Background Paper","publisher":"ITUC","URL":"http://www.ituc-csi.org/IMG/pdf/ituc-imf-1.europe-background-paper.0213.pdf","author":[{"family":"ITUC","given":""}],"issued":{"date-parts":[["2013"]]}}}],"schema":"https://github.com/citation-style-language/schema/raw/master/csl-citation.json"} </w:instrText>
      </w:r>
      <w:r w:rsidR="002544A1" w:rsidRPr="00074E18">
        <w:fldChar w:fldCharType="separate"/>
      </w:r>
      <w:r w:rsidR="002544A1" w:rsidRPr="00074E18">
        <w:t>(ITUC, 2013)</w:t>
      </w:r>
      <w:r w:rsidR="002544A1" w:rsidRPr="00074E18">
        <w:fldChar w:fldCharType="end"/>
      </w:r>
      <w:r w:rsidR="002544A1" w:rsidRPr="00074E18">
        <w:t xml:space="preserve">. To </w:t>
      </w:r>
      <w:r>
        <w:t>shed further light on</w:t>
      </w:r>
      <w:r w:rsidR="002544A1" w:rsidRPr="00074E18">
        <w:t xml:space="preserve"> this debate, </w:t>
      </w:r>
      <w:r>
        <w:t xml:space="preserve">we </w:t>
      </w:r>
      <w:r w:rsidR="00BA469E">
        <w:t xml:space="preserve">set out to </w:t>
      </w:r>
      <w:r w:rsidR="008F08C9">
        <w:t>examine whether</w:t>
      </w:r>
      <w:r>
        <w:t xml:space="preserve"> European workplaces with </w:t>
      </w:r>
      <w:r w:rsidR="003357AE">
        <w:t>ER</w:t>
      </w:r>
      <w:r w:rsidR="00E23442" w:rsidRPr="00074E18">
        <w:t xml:space="preserve"> </w:t>
      </w:r>
      <w:r w:rsidR="002544A1" w:rsidRPr="00074E18">
        <w:t xml:space="preserve">institutions </w:t>
      </w:r>
      <w:r w:rsidR="009027E6">
        <w:t xml:space="preserve">were </w:t>
      </w:r>
      <w:r w:rsidR="00BA469E">
        <w:t>less able to improve</w:t>
      </w:r>
      <w:r w:rsidR="008F08C9">
        <w:t xml:space="preserve"> productivity</w:t>
      </w:r>
      <w:r w:rsidR="009027E6">
        <w:t xml:space="preserve"> </w:t>
      </w:r>
      <w:r w:rsidR="00BA469E">
        <w:t>during the crisis</w:t>
      </w:r>
      <w:r w:rsidR="00D079CB">
        <w:t>.</w:t>
      </w:r>
    </w:p>
    <w:p w14:paraId="01D92A1F" w14:textId="60BE66F3" w:rsidR="002544A1" w:rsidRDefault="002544A1" w:rsidP="0076098A">
      <w:pPr>
        <w:ind w:firstLine="567"/>
      </w:pPr>
      <w:r w:rsidRPr="00074E18">
        <w:t xml:space="preserve">We relied on </w:t>
      </w:r>
      <w:r w:rsidR="00D046BE">
        <w:t xml:space="preserve">establishment-level </w:t>
      </w:r>
      <w:r w:rsidRPr="00074E18">
        <w:t xml:space="preserve">evidence drawn from the European Company Survey </w:t>
      </w:r>
      <w:r w:rsidR="00BA3D8A">
        <w:t>20</w:t>
      </w:r>
      <w:r w:rsidRPr="00074E18">
        <w:t>09</w:t>
      </w:r>
      <w:r w:rsidR="00D046BE">
        <w:t xml:space="preserve">. </w:t>
      </w:r>
      <w:r w:rsidRPr="00074E18">
        <w:t xml:space="preserve">The data were collected </w:t>
      </w:r>
      <w:r w:rsidR="00436949">
        <w:t>at a time that most European economies were</w:t>
      </w:r>
      <w:r w:rsidRPr="00074E18">
        <w:t xml:space="preserve"> </w:t>
      </w:r>
      <w:r w:rsidR="00436949">
        <w:t xml:space="preserve">in their deepest slump and </w:t>
      </w:r>
      <w:r w:rsidR="00BB4048">
        <w:t>shed light</w:t>
      </w:r>
      <w:r w:rsidR="00436949">
        <w:t xml:space="preserve"> </w:t>
      </w:r>
      <w:r w:rsidR="00BB4048">
        <w:t>on</w:t>
      </w:r>
      <w:r w:rsidR="00436949">
        <w:t xml:space="preserve"> the above relationships during the crisis</w:t>
      </w:r>
      <w:r w:rsidRPr="00074E18">
        <w:t xml:space="preserve">. We built hypotheses drawing on relevant </w:t>
      </w:r>
      <w:r w:rsidR="00BB4048">
        <w:t>theories</w:t>
      </w:r>
      <w:r w:rsidRPr="00074E18">
        <w:t xml:space="preserve"> from political economy, industrial relations and HRM literatures. </w:t>
      </w:r>
      <w:r w:rsidR="00BA3D8A">
        <w:t xml:space="preserve">Empirically, our </w:t>
      </w:r>
      <w:r w:rsidR="00BA469E">
        <w:t xml:space="preserve">findings contribute to this debate by examining </w:t>
      </w:r>
      <w:r w:rsidR="00BA3D8A">
        <w:t>evidence</w:t>
      </w:r>
      <w:r w:rsidR="00BA469E">
        <w:t xml:space="preserve"> from a pan-European establishment level survey</w:t>
      </w:r>
      <w:r w:rsidR="00BA3D8A">
        <w:t>. Conceptually,</w:t>
      </w:r>
      <w:r w:rsidRPr="00074E18">
        <w:t xml:space="preserve"> </w:t>
      </w:r>
      <w:r w:rsidR="00BA469E">
        <w:t>our</w:t>
      </w:r>
      <w:r w:rsidRPr="00074E18">
        <w:t xml:space="preserve"> article </w:t>
      </w:r>
      <w:r w:rsidR="00BA469E">
        <w:t>contributes to this debate by</w:t>
      </w:r>
      <w:r w:rsidR="00C06B22">
        <w:t xml:space="preserve"> </w:t>
      </w:r>
      <w:r w:rsidR="00BA469E">
        <w:t xml:space="preserve">combining insights from </w:t>
      </w:r>
      <w:r w:rsidR="00C06B22">
        <w:t>the literature on</w:t>
      </w:r>
      <w:r w:rsidRPr="00074E18">
        <w:t xml:space="preserve"> micro-level </w:t>
      </w:r>
      <w:r w:rsidR="00BA469E">
        <w:t>work</w:t>
      </w:r>
      <w:r w:rsidR="00BA469E" w:rsidRPr="00074E18">
        <w:t xml:space="preserve"> </w:t>
      </w:r>
      <w:r w:rsidRPr="00074E18">
        <w:t xml:space="preserve">practices and </w:t>
      </w:r>
      <w:r w:rsidR="00C06B22">
        <w:t>the literature on</w:t>
      </w:r>
      <w:r w:rsidRPr="00074E18">
        <w:t xml:space="preserve"> macro-level institutional contexts.</w:t>
      </w:r>
    </w:p>
    <w:p w14:paraId="42A8B38F" w14:textId="61370D44" w:rsidR="00E23442" w:rsidRDefault="00E23442" w:rsidP="00E23442">
      <w:pPr>
        <w:ind w:firstLine="567"/>
      </w:pPr>
      <w:r>
        <w:t xml:space="preserve">Contrary to the dominant neoliberal discourse, our results suggested that </w:t>
      </w:r>
      <w:r w:rsidR="003357AE">
        <w:t>ER</w:t>
      </w:r>
      <w:r>
        <w:t xml:space="preserve"> institutions do not appear to have any significant negative effect on productivity increases across EU-15. </w:t>
      </w:r>
      <w:r w:rsidR="00E51F4C">
        <w:t xml:space="preserve">Although there was no conclusive evidence showing a positive or negative relationship, these results cast additional doubt to the credence of neoliberal arguments, which are focused on dismantling ER institutions to improve competitiveness. </w:t>
      </w:r>
      <w:r w:rsidRPr="00074E18">
        <w:t xml:space="preserve">We also </w:t>
      </w:r>
      <w:r w:rsidR="00E51F4C">
        <w:t>considered</w:t>
      </w:r>
      <w:r w:rsidRPr="00074E18">
        <w:t xml:space="preserve"> the alternative hypotheses </w:t>
      </w:r>
      <w:r w:rsidRPr="00C06B22">
        <w:t xml:space="preserve">that </w:t>
      </w:r>
      <w:r>
        <w:t>‘</w:t>
      </w:r>
      <w:r w:rsidRPr="00C06B22">
        <w:t>high road</w:t>
      </w:r>
      <w:r>
        <w:t>’</w:t>
      </w:r>
      <w:r w:rsidRPr="00C06B22">
        <w:t xml:space="preserve"> workplace</w:t>
      </w:r>
      <w:r w:rsidRPr="00074E18">
        <w:t xml:space="preserve"> </w:t>
      </w:r>
      <w:r w:rsidRPr="000B3DBC">
        <w:t>practices</w:t>
      </w:r>
      <w:r w:rsidR="00E51F4C">
        <w:t xml:space="preserve"> (</w:t>
      </w:r>
      <w:r>
        <w:t>such as training, teamwork and PRP</w:t>
      </w:r>
      <w:r w:rsidR="00E51F4C">
        <w:t xml:space="preserve">) </w:t>
      </w:r>
      <w:r>
        <w:t>are positively associated with productivity increases</w:t>
      </w:r>
      <w:r w:rsidR="00E51F4C">
        <w:t>. These hypotheses were confirmed suggesting a strong and positive effect of selected work practices on productivity improvements</w:t>
      </w:r>
      <w:r>
        <w:t>.</w:t>
      </w:r>
    </w:p>
    <w:p w14:paraId="07F1441A" w14:textId="0CD7034C" w:rsidR="00BC2F4B" w:rsidRPr="00074E18" w:rsidRDefault="00BC2F4B" w:rsidP="00BC2F4B">
      <w:pPr>
        <w:ind w:firstLine="567"/>
      </w:pPr>
      <w:r>
        <w:t>One of the limitations of this article is that we have hypothesized and tested only for a direct effect of institutions and practices on productivity c</w:t>
      </w:r>
      <w:r w:rsidR="00BA469E">
        <w:t>hange</w:t>
      </w:r>
      <w:r>
        <w:t xml:space="preserve">. Hence, we did not consider any ‘complementarities’ between practices </w:t>
      </w:r>
      <w:r w:rsidRPr="00CD53BD">
        <w:t>and/or</w:t>
      </w:r>
      <w:r>
        <w:t xml:space="preserve"> institutions, or the potential mediating role of ER institutions on the nature, adoption and effect of workplace practices. Such an exploration would require a different theoretical framework and empirical modelling strategy and, hence, was out of the scope of the present paper. Nonetheless, these should open up avenues for further research that is worth pursuing using comparat</w:t>
      </w:r>
      <w:r w:rsidR="00BA469E">
        <w:t>ive pan-European large-n survey data</w:t>
      </w:r>
      <w:r>
        <w:t>.</w:t>
      </w:r>
    </w:p>
    <w:p w14:paraId="71669ADF" w14:textId="6E850556" w:rsidR="00EB36A9" w:rsidRDefault="00BC2F4B" w:rsidP="00EB36A9">
      <w:pPr>
        <w:ind w:firstLine="567"/>
      </w:pPr>
      <w:r>
        <w:t>Finally, o</w:t>
      </w:r>
      <w:r w:rsidR="00EB36A9">
        <w:t xml:space="preserve">ur results have implications for </w:t>
      </w:r>
      <w:r w:rsidR="00235B40">
        <w:t xml:space="preserve">both </w:t>
      </w:r>
      <w:r w:rsidR="00EB36A9">
        <w:t xml:space="preserve">policy and practice. They suggest that </w:t>
      </w:r>
      <w:r w:rsidR="00EB36A9" w:rsidRPr="00074E18">
        <w:t xml:space="preserve">the </w:t>
      </w:r>
      <w:r w:rsidR="00BA469E">
        <w:t>policies</w:t>
      </w:r>
      <w:r w:rsidR="00EB36A9" w:rsidRPr="00074E18">
        <w:t xml:space="preserve"> </w:t>
      </w:r>
      <w:r w:rsidR="00BA469E">
        <w:t>towards</w:t>
      </w:r>
      <w:r w:rsidR="00EB36A9" w:rsidRPr="00074E18">
        <w:t xml:space="preserve"> </w:t>
      </w:r>
      <w:r w:rsidR="00EB36A9">
        <w:t xml:space="preserve">deregulating </w:t>
      </w:r>
      <w:r w:rsidR="003357AE">
        <w:t>ER</w:t>
      </w:r>
      <w:r w:rsidR="00EB36A9">
        <w:t xml:space="preserve"> institutions</w:t>
      </w:r>
      <w:r w:rsidR="00E2652C">
        <w:t xml:space="preserve"> appear</w:t>
      </w:r>
      <w:r w:rsidR="004D30D3">
        <w:t xml:space="preserve"> misplaced</w:t>
      </w:r>
      <w:r w:rsidR="00EB36A9">
        <w:t>,</w:t>
      </w:r>
      <w:r w:rsidR="004D30D3">
        <w:t xml:space="preserve"> as there is no clear evidence </w:t>
      </w:r>
      <w:r w:rsidR="00BA469E">
        <w:t>to support a negative relationship between ER institutions and productivity. The focus on institutions</w:t>
      </w:r>
      <w:r w:rsidR="004D30D3">
        <w:t xml:space="preserve"> </w:t>
      </w:r>
      <w:r w:rsidR="00BA469E">
        <w:t xml:space="preserve">tends to </w:t>
      </w:r>
      <w:r w:rsidR="00EB36A9">
        <w:t>downplay</w:t>
      </w:r>
      <w:r w:rsidR="00EB36A9" w:rsidRPr="00074E18">
        <w:t xml:space="preserve"> the role of </w:t>
      </w:r>
      <w:r w:rsidR="00EB36A9">
        <w:t>other factors that matter for competitiveness, such as work organisation practices</w:t>
      </w:r>
      <w:r w:rsidR="00EB36A9" w:rsidRPr="00074E18">
        <w:t xml:space="preserve">. </w:t>
      </w:r>
      <w:r w:rsidR="004D30D3">
        <w:t>Taken together, o</w:t>
      </w:r>
      <w:r w:rsidR="00EB36A9">
        <w:t>ur results suggest</w:t>
      </w:r>
      <w:r w:rsidR="00EB36A9" w:rsidRPr="00074E18">
        <w:t xml:space="preserve"> that </w:t>
      </w:r>
      <w:r w:rsidR="00EB36A9">
        <w:t xml:space="preserve">the continuation of </w:t>
      </w:r>
      <w:r w:rsidR="004D30D3">
        <w:t>the</w:t>
      </w:r>
      <w:r w:rsidR="00EB36A9">
        <w:t xml:space="preserve"> neoliberal</w:t>
      </w:r>
      <w:r w:rsidR="00EB36A9" w:rsidRPr="00074E18">
        <w:t xml:space="preserve"> </w:t>
      </w:r>
      <w:r w:rsidR="00EB36A9">
        <w:t xml:space="preserve">‘low road’ </w:t>
      </w:r>
      <w:r w:rsidR="00EB36A9" w:rsidRPr="00074E18">
        <w:t xml:space="preserve">policies </w:t>
      </w:r>
      <w:r w:rsidR="004D30D3">
        <w:t xml:space="preserve">in </w:t>
      </w:r>
      <w:r w:rsidR="00EB36A9" w:rsidRPr="00074E18">
        <w:t>the advanced industrialised countries of Europe</w:t>
      </w:r>
      <w:r w:rsidR="004D30D3">
        <w:t xml:space="preserve"> is likely to have little effect in improving competitiveness</w:t>
      </w:r>
      <w:r w:rsidR="00EB36A9" w:rsidRPr="00074E18">
        <w:t>. Instead, European countries</w:t>
      </w:r>
      <w:r w:rsidR="004D30D3">
        <w:t xml:space="preserve"> and firms</w:t>
      </w:r>
      <w:r w:rsidR="00EB36A9" w:rsidRPr="00074E18">
        <w:t xml:space="preserve"> need to </w:t>
      </w:r>
      <w:r w:rsidR="004D30D3">
        <w:t xml:space="preserve">shift </w:t>
      </w:r>
      <w:r w:rsidR="00A76D63">
        <w:t>attention</w:t>
      </w:r>
      <w:r w:rsidR="004D30D3">
        <w:t xml:space="preserve"> and resources </w:t>
      </w:r>
      <w:r>
        <w:t>towards</w:t>
      </w:r>
      <w:r w:rsidR="00EB36A9">
        <w:t xml:space="preserve"> the ‘high road’ to competitiveness, and improve productivity by enhancing work practices </w:t>
      </w:r>
      <w:r w:rsidR="00BA469E">
        <w:t>that overall motivate, enhance skills</w:t>
      </w:r>
      <w:r w:rsidR="00E2652C">
        <w:t>,</w:t>
      </w:r>
      <w:r w:rsidR="00BA469E">
        <w:t xml:space="preserve"> and improve the effectiveness of the European</w:t>
      </w:r>
      <w:r w:rsidR="00EB36A9">
        <w:t xml:space="preserve"> workforce.</w:t>
      </w:r>
    </w:p>
    <w:p w14:paraId="79D341E6" w14:textId="77777777" w:rsidR="00346C28" w:rsidRDefault="00346C28" w:rsidP="009F69E3"/>
    <w:p w14:paraId="2D333462" w14:textId="0D934E20" w:rsidR="009F69E3" w:rsidRPr="00D80982" w:rsidRDefault="00D80982" w:rsidP="009F69E3">
      <w:pPr>
        <w:rPr>
          <w:b/>
        </w:rPr>
        <w:sectPr w:rsidR="009F69E3" w:rsidRPr="00D80982" w:rsidSect="007F01D4">
          <w:footerReference w:type="default" r:id="rId8"/>
          <w:endnotePr>
            <w:numFmt w:val="decimal"/>
          </w:endnotePr>
          <w:pgSz w:w="11906" w:h="16838"/>
          <w:pgMar w:top="1985" w:right="1797" w:bottom="1985" w:left="1797" w:header="709" w:footer="709" w:gutter="0"/>
          <w:cols w:space="708"/>
          <w:docGrid w:linePitch="360"/>
        </w:sectPr>
      </w:pPr>
      <w:r w:rsidRPr="00D80982">
        <w:rPr>
          <w:b/>
        </w:rPr>
        <w:t>Notes</w:t>
      </w:r>
    </w:p>
    <w:p w14:paraId="55B09B2E" w14:textId="77777777" w:rsidR="00466A90" w:rsidRDefault="001E663A" w:rsidP="000B3DBC">
      <w:pPr>
        <w:pStyle w:val="Bibliography"/>
        <w:rPr>
          <w:lang w:val="en-US"/>
        </w:rPr>
      </w:pPr>
      <w:r>
        <w:rPr>
          <w:lang w:val="en-US"/>
        </w:rPr>
        <w:t>References</w:t>
      </w:r>
    </w:p>
    <w:p w14:paraId="75EA85B6" w14:textId="1FEDA5AE" w:rsidR="00AA6764" w:rsidRPr="00AA6764" w:rsidRDefault="00ED68DE" w:rsidP="006E23BC">
      <w:pPr>
        <w:pStyle w:val="Bibliography"/>
        <w:rPr>
          <w:lang w:val="en-US"/>
        </w:rPr>
      </w:pPr>
      <w:r>
        <w:rPr>
          <w:rFonts w:asciiTheme="minorHAnsi" w:eastAsiaTheme="majorEastAsia" w:hAnsiTheme="minorHAnsi" w:cstheme="majorBidi"/>
          <w:bCs/>
          <w:sz w:val="26"/>
          <w:szCs w:val="28"/>
          <w:lang w:val="en-US"/>
        </w:rPr>
        <w:fldChar w:fldCharType="begin"/>
      </w:r>
      <w:r w:rsidR="00AA6764">
        <w:rPr>
          <w:lang w:val="en-US"/>
        </w:rPr>
        <w:instrText xml:space="preserve"> ADDIN ZOTERO_BIBL {"custom":[]} CSL_BIBLIOGRAPHY </w:instrText>
      </w:r>
      <w:r>
        <w:rPr>
          <w:rFonts w:asciiTheme="minorHAnsi" w:eastAsiaTheme="majorEastAsia" w:hAnsiTheme="minorHAnsi" w:cstheme="majorBidi"/>
          <w:bCs/>
          <w:sz w:val="26"/>
          <w:szCs w:val="28"/>
          <w:lang w:val="en-US"/>
        </w:rPr>
        <w:fldChar w:fldCharType="separate"/>
      </w:r>
      <w:r w:rsidR="00AA6764" w:rsidRPr="00AA6764">
        <w:rPr>
          <w:lang w:val="en-US"/>
        </w:rPr>
        <w:t xml:space="preserve">Amable B (2003) </w:t>
      </w:r>
      <w:r w:rsidR="00AA6764" w:rsidRPr="00AA6764">
        <w:rPr>
          <w:i/>
          <w:iCs/>
          <w:lang w:val="en-US"/>
        </w:rPr>
        <w:t>The Diversity of Modern Capitalism</w:t>
      </w:r>
      <w:r w:rsidR="00AA6764" w:rsidRPr="00AA6764">
        <w:rPr>
          <w:lang w:val="en-US"/>
        </w:rPr>
        <w:t>. Oxford: Oxford University Press.</w:t>
      </w:r>
    </w:p>
    <w:p w14:paraId="4118869C" w14:textId="77777777" w:rsidR="00AA6764" w:rsidRPr="00AA6764" w:rsidRDefault="00AA6764" w:rsidP="006E23BC">
      <w:pPr>
        <w:pStyle w:val="Bibliography"/>
        <w:rPr>
          <w:lang w:val="en-US"/>
        </w:rPr>
      </w:pPr>
      <w:r w:rsidRPr="00AA6764">
        <w:rPr>
          <w:lang w:val="en-US"/>
        </w:rPr>
        <w:t xml:space="preserve">Appelbaum E, Bailey T, Berg P, et al. (2000) </w:t>
      </w:r>
      <w:r w:rsidRPr="00AA6764">
        <w:rPr>
          <w:i/>
          <w:iCs/>
          <w:lang w:val="en-US"/>
        </w:rPr>
        <w:t>Manufacturing Advantage: Why High-performance Work Systems Pay off</w:t>
      </w:r>
      <w:r w:rsidRPr="00AA6764">
        <w:rPr>
          <w:lang w:val="en-US"/>
        </w:rPr>
        <w:t>. Ithaca: Cornell University Press.</w:t>
      </w:r>
    </w:p>
    <w:p w14:paraId="64F0F34C" w14:textId="77777777" w:rsidR="00AA6764" w:rsidRPr="00AA6764" w:rsidRDefault="00AA6764" w:rsidP="006E23BC">
      <w:pPr>
        <w:pStyle w:val="Bibliography"/>
        <w:rPr>
          <w:lang w:val="en-US"/>
        </w:rPr>
      </w:pPr>
      <w:r w:rsidRPr="00AA6764">
        <w:rPr>
          <w:lang w:val="en-US"/>
        </w:rPr>
        <w:t xml:space="preserve">Becker U (2009) </w:t>
      </w:r>
      <w:r w:rsidRPr="00AA6764">
        <w:rPr>
          <w:i/>
          <w:iCs/>
          <w:lang w:val="en-US"/>
        </w:rPr>
        <w:t>Open Varieties of Capitalism: Continuity, Change and Performances</w:t>
      </w:r>
      <w:r w:rsidRPr="00AA6764">
        <w:rPr>
          <w:lang w:val="en-US"/>
        </w:rPr>
        <w:t>. Basingstoke: Palgrave Macmillan.</w:t>
      </w:r>
    </w:p>
    <w:p w14:paraId="0AB2A8A4" w14:textId="77777777" w:rsidR="00AA6764" w:rsidRPr="00AA6764" w:rsidRDefault="00AA6764" w:rsidP="006E23BC">
      <w:pPr>
        <w:pStyle w:val="Bibliography"/>
        <w:rPr>
          <w:lang w:val="en-US"/>
        </w:rPr>
      </w:pPr>
      <w:r w:rsidRPr="00AA6764">
        <w:rPr>
          <w:lang w:val="en-US"/>
        </w:rPr>
        <w:t xml:space="preserve">Borjas G (2005) </w:t>
      </w:r>
      <w:r w:rsidRPr="00AA6764">
        <w:rPr>
          <w:i/>
          <w:iCs/>
          <w:lang w:val="en-US"/>
        </w:rPr>
        <w:t>Labor Economics</w:t>
      </w:r>
      <w:r w:rsidRPr="00AA6764">
        <w:rPr>
          <w:lang w:val="en-US"/>
        </w:rPr>
        <w:t>. 3rd ed. New York ; London: McGraw-Hill.</w:t>
      </w:r>
    </w:p>
    <w:p w14:paraId="02FC62FD" w14:textId="77777777" w:rsidR="00AA6764" w:rsidRPr="00AA6764" w:rsidRDefault="00AA6764" w:rsidP="006E23BC">
      <w:pPr>
        <w:pStyle w:val="Bibliography"/>
        <w:rPr>
          <w:lang w:val="en-US"/>
        </w:rPr>
      </w:pPr>
      <w:r w:rsidRPr="00AA6764">
        <w:rPr>
          <w:lang w:val="en-US"/>
        </w:rPr>
        <w:t xml:space="preserve">Bryan ML and Jenkins SP (2016) Multivel modelling of country effects: a cautionary tale. </w:t>
      </w:r>
      <w:r w:rsidRPr="00AA6764">
        <w:rPr>
          <w:i/>
          <w:iCs/>
          <w:lang w:val="en-US"/>
        </w:rPr>
        <w:t>European Sociological Review</w:t>
      </w:r>
      <w:r w:rsidRPr="00AA6764">
        <w:rPr>
          <w:lang w:val="en-US"/>
        </w:rPr>
        <w:t xml:space="preserve"> 32(1): 3–22.</w:t>
      </w:r>
    </w:p>
    <w:p w14:paraId="276E3B5C" w14:textId="77777777" w:rsidR="00AA6764" w:rsidRPr="00AA6764" w:rsidRDefault="00AA6764" w:rsidP="006E23BC">
      <w:pPr>
        <w:pStyle w:val="Bibliography"/>
        <w:rPr>
          <w:lang w:val="en-US"/>
        </w:rPr>
      </w:pPr>
      <w:r w:rsidRPr="00AA6764">
        <w:rPr>
          <w:lang w:val="en-US"/>
        </w:rPr>
        <w:t xml:space="preserve">Bryson A, Charlwood A and Forth J (2006) Worker voice, managerial response and labour productivity: an empirical investigation. </w:t>
      </w:r>
      <w:r w:rsidRPr="00AA6764">
        <w:rPr>
          <w:i/>
          <w:iCs/>
          <w:lang w:val="en-US"/>
        </w:rPr>
        <w:t>Industrial Relations Journal</w:t>
      </w:r>
      <w:r w:rsidRPr="00AA6764">
        <w:rPr>
          <w:lang w:val="en-US"/>
        </w:rPr>
        <w:t xml:space="preserve"> 37(5): 438–455.</w:t>
      </w:r>
    </w:p>
    <w:p w14:paraId="4AE7FBC9" w14:textId="77777777" w:rsidR="00AA6764" w:rsidRPr="00AA6764" w:rsidRDefault="00AA6764" w:rsidP="006E23BC">
      <w:pPr>
        <w:pStyle w:val="Bibliography"/>
        <w:rPr>
          <w:lang w:val="en-US"/>
        </w:rPr>
      </w:pPr>
      <w:r w:rsidRPr="00AA6764">
        <w:rPr>
          <w:lang w:val="en-US"/>
        </w:rPr>
        <w:t xml:space="preserve">Bryson A, Forth J and George A (2012) </w:t>
      </w:r>
      <w:r w:rsidRPr="00AA6764">
        <w:rPr>
          <w:i/>
          <w:iCs/>
          <w:lang w:val="en-US"/>
        </w:rPr>
        <w:t>Workplace Employee Representation in Europe</w:t>
      </w:r>
      <w:r w:rsidRPr="00AA6764">
        <w:rPr>
          <w:lang w:val="en-US"/>
        </w:rPr>
        <w:t>. Dublin: Eurofound.</w:t>
      </w:r>
    </w:p>
    <w:p w14:paraId="40B323D0" w14:textId="77777777" w:rsidR="00AA6764" w:rsidRPr="00AA6764" w:rsidRDefault="00AA6764" w:rsidP="006E23BC">
      <w:pPr>
        <w:pStyle w:val="Bibliography"/>
        <w:rPr>
          <w:lang w:val="en-US"/>
        </w:rPr>
      </w:pPr>
      <w:r w:rsidRPr="00AA6764">
        <w:rPr>
          <w:lang w:val="en-US"/>
        </w:rPr>
        <w:t xml:space="preserve">Camps J and Luna-Arocas R (2009) High involvement work practices and firm performance. </w:t>
      </w:r>
      <w:r w:rsidRPr="00AA6764">
        <w:rPr>
          <w:i/>
          <w:iCs/>
          <w:lang w:val="en-US"/>
        </w:rPr>
        <w:t>The International Journal of Human Resource Management</w:t>
      </w:r>
      <w:r w:rsidRPr="00AA6764">
        <w:rPr>
          <w:lang w:val="en-US"/>
        </w:rPr>
        <w:t xml:space="preserve"> 20(5): 1056–1077.</w:t>
      </w:r>
    </w:p>
    <w:p w14:paraId="3371BB94" w14:textId="77777777" w:rsidR="00AA6764" w:rsidRPr="00AA6764" w:rsidRDefault="00AA6764" w:rsidP="006E23BC">
      <w:pPr>
        <w:pStyle w:val="Bibliography"/>
        <w:rPr>
          <w:lang w:val="en-US"/>
        </w:rPr>
      </w:pPr>
      <w:r w:rsidRPr="00AA6764">
        <w:rPr>
          <w:lang w:val="en-US"/>
        </w:rPr>
        <w:t xml:space="preserve">Chowhan J (2016) Unpacking the black box: understanding the relationship between strategy, HRM practices, innovation and organizational performance. </w:t>
      </w:r>
      <w:r w:rsidRPr="00AA6764">
        <w:rPr>
          <w:i/>
          <w:iCs/>
          <w:lang w:val="en-US"/>
        </w:rPr>
        <w:t>Human Resource Management Journal</w:t>
      </w:r>
      <w:r w:rsidRPr="00AA6764">
        <w:rPr>
          <w:lang w:val="en-US"/>
        </w:rPr>
        <w:t xml:space="preserve"> 26(2): 112–133.</w:t>
      </w:r>
    </w:p>
    <w:p w14:paraId="2D35EE84" w14:textId="77777777" w:rsidR="00AA6764" w:rsidRPr="00AA6764" w:rsidRDefault="00AA6764" w:rsidP="006E23BC">
      <w:pPr>
        <w:pStyle w:val="Bibliography"/>
        <w:rPr>
          <w:lang w:val="en-US"/>
        </w:rPr>
      </w:pPr>
      <w:r w:rsidRPr="00AA6764">
        <w:rPr>
          <w:lang w:val="en-US"/>
        </w:rPr>
        <w:t>Clasen J, Clegg D and Kvist J (2012) European labour market policies in (the) crisis. ETUI Working Papers Series.</w:t>
      </w:r>
    </w:p>
    <w:p w14:paraId="090BF7F4" w14:textId="77777777" w:rsidR="00AA6764" w:rsidRPr="00AA6764" w:rsidRDefault="00AA6764" w:rsidP="006E23BC">
      <w:pPr>
        <w:pStyle w:val="Bibliography"/>
        <w:rPr>
          <w:lang w:val="en-US"/>
        </w:rPr>
      </w:pPr>
      <w:r w:rsidRPr="00AA6764">
        <w:rPr>
          <w:lang w:val="en-US"/>
        </w:rPr>
        <w:t>Clauwaert S (2014) The country-specific recommendations (CSRs) in the social field. An overview and comparison Update including the CSRs 2014-2015. ETUI Working Papers Series.</w:t>
      </w:r>
    </w:p>
    <w:p w14:paraId="2B33EF62" w14:textId="77777777" w:rsidR="00AA6764" w:rsidRPr="00AA6764" w:rsidRDefault="00AA6764" w:rsidP="006E23BC">
      <w:pPr>
        <w:pStyle w:val="Bibliography"/>
        <w:rPr>
          <w:lang w:val="en-US"/>
        </w:rPr>
      </w:pPr>
      <w:r w:rsidRPr="00AA6764">
        <w:rPr>
          <w:lang w:val="en-US"/>
        </w:rPr>
        <w:t xml:space="preserve">Crouch C (2011) </w:t>
      </w:r>
      <w:r w:rsidRPr="00AA6764">
        <w:rPr>
          <w:i/>
          <w:iCs/>
          <w:lang w:val="en-US"/>
        </w:rPr>
        <w:t>The Strange Non-Death of Neoliberalism</w:t>
      </w:r>
      <w:r w:rsidRPr="00AA6764">
        <w:rPr>
          <w:lang w:val="en-US"/>
        </w:rPr>
        <w:t>. Cambridge: Polity.</w:t>
      </w:r>
    </w:p>
    <w:p w14:paraId="02734EBC" w14:textId="77777777" w:rsidR="00AA6764" w:rsidRPr="00AA6764" w:rsidRDefault="00AA6764" w:rsidP="006E23BC">
      <w:pPr>
        <w:pStyle w:val="Bibliography"/>
        <w:rPr>
          <w:lang w:val="en-US"/>
        </w:rPr>
      </w:pPr>
      <w:r w:rsidRPr="00AA6764">
        <w:rPr>
          <w:lang w:val="en-US"/>
        </w:rPr>
        <w:t xml:space="preserve">Crouch C (2014) Introduction: labour markets and social policy after the crisis. </w:t>
      </w:r>
      <w:r w:rsidRPr="00AA6764">
        <w:rPr>
          <w:i/>
          <w:iCs/>
          <w:lang w:val="en-US"/>
        </w:rPr>
        <w:t>Transfer: European Review of Labour and Research</w:t>
      </w:r>
      <w:r w:rsidRPr="00AA6764">
        <w:rPr>
          <w:lang w:val="en-US"/>
        </w:rPr>
        <w:t xml:space="preserve"> 20: 7–22.</w:t>
      </w:r>
    </w:p>
    <w:p w14:paraId="1CA02464" w14:textId="77777777" w:rsidR="00AA6764" w:rsidRPr="00AA6764" w:rsidRDefault="00AA6764" w:rsidP="006E23BC">
      <w:pPr>
        <w:pStyle w:val="Bibliography"/>
        <w:rPr>
          <w:lang w:val="en-US"/>
        </w:rPr>
      </w:pPr>
      <w:r w:rsidRPr="00AA6764">
        <w:rPr>
          <w:lang w:val="en-US"/>
        </w:rPr>
        <w:t xml:space="preserve">Delarue A, Van Hootegem G, Procter S, et al. (2008) Teamworking and organizational performance: A review of survey-based research. </w:t>
      </w:r>
      <w:r w:rsidRPr="00AA6764">
        <w:rPr>
          <w:i/>
          <w:iCs/>
          <w:lang w:val="en-US"/>
        </w:rPr>
        <w:t>International Journal of Management Reviews</w:t>
      </w:r>
      <w:r w:rsidRPr="00AA6764">
        <w:rPr>
          <w:lang w:val="en-US"/>
        </w:rPr>
        <w:t xml:space="preserve"> 10(2): 127–148.</w:t>
      </w:r>
    </w:p>
    <w:p w14:paraId="46A0DC9B" w14:textId="77777777" w:rsidR="00AA6764" w:rsidRPr="00AA6764" w:rsidRDefault="00AA6764" w:rsidP="006E23BC">
      <w:pPr>
        <w:pStyle w:val="Bibliography"/>
        <w:rPr>
          <w:lang w:val="en-US"/>
        </w:rPr>
      </w:pPr>
      <w:r w:rsidRPr="00AA6764">
        <w:rPr>
          <w:lang w:val="en-US"/>
        </w:rPr>
        <w:t xml:space="preserve">Eurofound and TNS Infratest Sozialforschung (2010) </w:t>
      </w:r>
      <w:r w:rsidRPr="00AA6764">
        <w:rPr>
          <w:i/>
          <w:iCs/>
          <w:lang w:val="en-US"/>
        </w:rPr>
        <w:t>European Company Survey, 2009 [computer file with dataset]</w:t>
      </w:r>
      <w:r w:rsidRPr="00AA6764">
        <w:rPr>
          <w:lang w:val="en-US"/>
        </w:rPr>
        <w:t>. Colchester, Essex: UK Data Archive.</w:t>
      </w:r>
    </w:p>
    <w:p w14:paraId="243C13B5" w14:textId="77777777" w:rsidR="00AA6764" w:rsidRPr="00AA6764" w:rsidRDefault="00AA6764" w:rsidP="006E23BC">
      <w:pPr>
        <w:pStyle w:val="Bibliography"/>
        <w:rPr>
          <w:lang w:val="en-US"/>
        </w:rPr>
      </w:pPr>
      <w:r w:rsidRPr="00AA6764">
        <w:rPr>
          <w:lang w:val="en-US"/>
        </w:rPr>
        <w:t xml:space="preserve">Eurofound, Riedmann A, Van Gyes G, et al. (2011) </w:t>
      </w:r>
      <w:r w:rsidRPr="00AA6764">
        <w:rPr>
          <w:i/>
          <w:iCs/>
          <w:lang w:val="en-US"/>
        </w:rPr>
        <w:t>European Company Survey 2009: Overview</w:t>
      </w:r>
      <w:r w:rsidRPr="00AA6764">
        <w:rPr>
          <w:lang w:val="en-US"/>
        </w:rPr>
        <w:t>. Luxembourg: Office for Official Publications of the European Communities.</w:t>
      </w:r>
    </w:p>
    <w:p w14:paraId="2FCCC1B9" w14:textId="77777777" w:rsidR="00AA6764" w:rsidRPr="00AA6764" w:rsidRDefault="00AA6764" w:rsidP="006E23BC">
      <w:pPr>
        <w:pStyle w:val="Bibliography"/>
        <w:rPr>
          <w:lang w:val="en-US"/>
        </w:rPr>
      </w:pPr>
      <w:r w:rsidRPr="00AA6764">
        <w:rPr>
          <w:lang w:val="en-US"/>
        </w:rPr>
        <w:t xml:space="preserve">European Commission (2010) </w:t>
      </w:r>
      <w:r w:rsidRPr="00AA6764">
        <w:rPr>
          <w:i/>
          <w:iCs/>
          <w:lang w:val="en-US"/>
        </w:rPr>
        <w:t>Europe 2020: a strategy for smart, sustainable and inclusive growth</w:t>
      </w:r>
      <w:r w:rsidRPr="00AA6764">
        <w:rPr>
          <w:lang w:val="en-US"/>
        </w:rPr>
        <w:t>. Brussels: EU Commission.</w:t>
      </w:r>
    </w:p>
    <w:p w14:paraId="5D30AE2C" w14:textId="77777777" w:rsidR="00AA6764" w:rsidRPr="00AA6764" w:rsidRDefault="00AA6764" w:rsidP="006E23BC">
      <w:pPr>
        <w:pStyle w:val="Bibliography"/>
        <w:rPr>
          <w:lang w:val="en-US"/>
        </w:rPr>
      </w:pPr>
      <w:r w:rsidRPr="00AA6764">
        <w:rPr>
          <w:lang w:val="en-US"/>
        </w:rPr>
        <w:t xml:space="preserve">Forth J and McNabb R (2008) Workplace performance: a comparison of subjective and objective measures in the 2004 Workplace Employment Relations Survey. </w:t>
      </w:r>
      <w:r w:rsidRPr="00AA6764">
        <w:rPr>
          <w:i/>
          <w:iCs/>
          <w:lang w:val="en-US"/>
        </w:rPr>
        <w:t>Industrial Relations Journal</w:t>
      </w:r>
      <w:r w:rsidRPr="00AA6764">
        <w:rPr>
          <w:lang w:val="en-US"/>
        </w:rPr>
        <w:t xml:space="preserve"> 39(2): 104–123.</w:t>
      </w:r>
    </w:p>
    <w:p w14:paraId="2F96B144" w14:textId="77777777" w:rsidR="00AA6764" w:rsidRPr="00AA6764" w:rsidRDefault="00AA6764" w:rsidP="006E23BC">
      <w:pPr>
        <w:pStyle w:val="Bibliography"/>
        <w:rPr>
          <w:lang w:val="en-US"/>
        </w:rPr>
      </w:pPr>
      <w:r w:rsidRPr="00AA6764">
        <w:rPr>
          <w:lang w:val="en-US"/>
        </w:rPr>
        <w:t xml:space="preserve">Freeman R and Medoff J (1984) </w:t>
      </w:r>
      <w:r w:rsidRPr="00AA6764">
        <w:rPr>
          <w:i/>
          <w:iCs/>
          <w:lang w:val="en-US"/>
        </w:rPr>
        <w:t>What do unions do?</w:t>
      </w:r>
      <w:r w:rsidRPr="00AA6764">
        <w:rPr>
          <w:lang w:val="en-US"/>
        </w:rPr>
        <w:t>. New York: Basic Books.</w:t>
      </w:r>
    </w:p>
    <w:p w14:paraId="431B4B07" w14:textId="77777777" w:rsidR="00AA6764" w:rsidRPr="00AA6764" w:rsidRDefault="00AA6764" w:rsidP="006E23BC">
      <w:pPr>
        <w:pStyle w:val="Bibliography"/>
        <w:rPr>
          <w:lang w:val="en-US"/>
        </w:rPr>
      </w:pPr>
      <w:r w:rsidRPr="00AA6764">
        <w:rPr>
          <w:lang w:val="en-US"/>
        </w:rPr>
        <w:t xml:space="preserve">Gumbrell-McGormick R and Hyman R (2013) </w:t>
      </w:r>
      <w:r w:rsidRPr="00AA6764">
        <w:rPr>
          <w:i/>
          <w:iCs/>
          <w:lang w:val="en-US"/>
        </w:rPr>
        <w:t>Trade Unions in Western Europe: Hard Times, Hard Choices</w:t>
      </w:r>
      <w:r w:rsidRPr="00AA6764">
        <w:rPr>
          <w:lang w:val="en-US"/>
        </w:rPr>
        <w:t>. Oxford: Oxford University Press.</w:t>
      </w:r>
    </w:p>
    <w:p w14:paraId="091A36C5" w14:textId="77777777" w:rsidR="00AA6764" w:rsidRPr="00AA6764" w:rsidRDefault="00AA6764" w:rsidP="006E23BC">
      <w:pPr>
        <w:pStyle w:val="Bibliography"/>
        <w:rPr>
          <w:lang w:val="en-US"/>
        </w:rPr>
      </w:pPr>
      <w:r w:rsidRPr="00AA6764">
        <w:rPr>
          <w:lang w:val="en-US"/>
        </w:rPr>
        <w:t xml:space="preserve">Hall P and Soskice D (2001) </w:t>
      </w:r>
      <w:r w:rsidRPr="00AA6764">
        <w:rPr>
          <w:i/>
          <w:iCs/>
          <w:lang w:val="en-US"/>
        </w:rPr>
        <w:t>Varieties of Capitalism: Institutional Foundations of Comparative Advantage</w:t>
      </w:r>
      <w:r w:rsidRPr="00AA6764">
        <w:rPr>
          <w:lang w:val="en-US"/>
        </w:rPr>
        <w:t>. Oxford: Oxford University Press.</w:t>
      </w:r>
    </w:p>
    <w:p w14:paraId="4DB3D445" w14:textId="77777777" w:rsidR="00AA6764" w:rsidRPr="00AA6764" w:rsidRDefault="00AA6764" w:rsidP="006E23BC">
      <w:pPr>
        <w:pStyle w:val="Bibliography"/>
        <w:rPr>
          <w:lang w:val="en-US"/>
        </w:rPr>
      </w:pPr>
      <w:r w:rsidRPr="00AA6764">
        <w:rPr>
          <w:lang w:val="en-US"/>
        </w:rPr>
        <w:t xml:space="preserve">Hassel A (2014) The Paradox of Liberalization- Understanding Dualism and the Recovery of the German Political Economy. </w:t>
      </w:r>
      <w:r w:rsidRPr="00AA6764">
        <w:rPr>
          <w:i/>
          <w:iCs/>
          <w:lang w:val="en-US"/>
        </w:rPr>
        <w:t>British Journal of Industrial Relations</w:t>
      </w:r>
      <w:r w:rsidRPr="00AA6764">
        <w:rPr>
          <w:lang w:val="en-US"/>
        </w:rPr>
        <w:t xml:space="preserve"> 52(1): 57–81.</w:t>
      </w:r>
    </w:p>
    <w:p w14:paraId="06E33775" w14:textId="77777777" w:rsidR="00AA6764" w:rsidRPr="00AA6764" w:rsidRDefault="00AA6764" w:rsidP="006E23BC">
      <w:pPr>
        <w:pStyle w:val="Bibliography"/>
        <w:rPr>
          <w:lang w:val="en-US"/>
        </w:rPr>
      </w:pPr>
      <w:r w:rsidRPr="00AA6764">
        <w:rPr>
          <w:lang w:val="en-US"/>
        </w:rPr>
        <w:t xml:space="preserve">Hayek F (1990) </w:t>
      </w:r>
      <w:r w:rsidRPr="00AA6764">
        <w:rPr>
          <w:i/>
          <w:iCs/>
          <w:lang w:val="en-US"/>
        </w:rPr>
        <w:t>The Constitution of Liberty</w:t>
      </w:r>
      <w:r w:rsidRPr="00AA6764">
        <w:rPr>
          <w:lang w:val="en-US"/>
        </w:rPr>
        <w:t>. London: Routledge.</w:t>
      </w:r>
    </w:p>
    <w:p w14:paraId="55D3358E" w14:textId="77777777" w:rsidR="00AA6764" w:rsidRPr="00AA6764" w:rsidRDefault="00AA6764" w:rsidP="006E23BC">
      <w:pPr>
        <w:pStyle w:val="Bibliography"/>
        <w:rPr>
          <w:lang w:val="en-US"/>
        </w:rPr>
      </w:pPr>
      <w:r w:rsidRPr="00AA6764">
        <w:rPr>
          <w:lang w:val="en-US"/>
        </w:rPr>
        <w:t xml:space="preserve">Hefferman M and Dundon T (2016) Cross-level effects of high-performance work systems (HPWS) and employee well-being: the mediating effect of organisational justice. </w:t>
      </w:r>
      <w:r w:rsidRPr="00AA6764">
        <w:rPr>
          <w:i/>
          <w:iCs/>
          <w:lang w:val="en-US"/>
        </w:rPr>
        <w:t>Human Resource Management Journal</w:t>
      </w:r>
      <w:r w:rsidRPr="00AA6764">
        <w:rPr>
          <w:lang w:val="en-US"/>
        </w:rPr>
        <w:t xml:space="preserve"> 26(2): 211–231.</w:t>
      </w:r>
    </w:p>
    <w:p w14:paraId="22BA6F51" w14:textId="77777777" w:rsidR="00AA6764" w:rsidRPr="00AA6764" w:rsidRDefault="00AA6764" w:rsidP="006E23BC">
      <w:pPr>
        <w:pStyle w:val="Bibliography"/>
        <w:rPr>
          <w:lang w:val="en-US"/>
        </w:rPr>
      </w:pPr>
      <w:r w:rsidRPr="00AA6764">
        <w:rPr>
          <w:lang w:val="en-US"/>
        </w:rPr>
        <w:t xml:space="preserve">Heyes J, Lewis P and Clark I (2012) Varieties of capitalism, neoliberalism and the economic crisis of 2008–? </w:t>
      </w:r>
      <w:r w:rsidRPr="00AA6764">
        <w:rPr>
          <w:i/>
          <w:iCs/>
          <w:lang w:val="en-US"/>
        </w:rPr>
        <w:t>Industrial Relations Journal</w:t>
      </w:r>
      <w:r w:rsidRPr="00AA6764">
        <w:rPr>
          <w:lang w:val="en-US"/>
        </w:rPr>
        <w:t xml:space="preserve"> 43: 222–241.</w:t>
      </w:r>
    </w:p>
    <w:p w14:paraId="654D2B06" w14:textId="77777777" w:rsidR="00AA6764" w:rsidRPr="00AA6764" w:rsidRDefault="00AA6764" w:rsidP="006E23BC">
      <w:pPr>
        <w:pStyle w:val="Bibliography"/>
        <w:rPr>
          <w:lang w:val="en-US"/>
        </w:rPr>
      </w:pPr>
      <w:r w:rsidRPr="00AA6764">
        <w:rPr>
          <w:lang w:val="en-US"/>
        </w:rPr>
        <w:t xml:space="preserve">Hirsch B, Thorsten S and Schnabel C (2010) Works Councils and Separations: Voice, Monopoly, and Insurance Effects. </w:t>
      </w:r>
      <w:r w:rsidRPr="00AA6764">
        <w:rPr>
          <w:i/>
          <w:iCs/>
          <w:lang w:val="en-US"/>
        </w:rPr>
        <w:t>Industrial Relations</w:t>
      </w:r>
      <w:r w:rsidRPr="00AA6764">
        <w:rPr>
          <w:lang w:val="en-US"/>
        </w:rPr>
        <w:t xml:space="preserve"> 49(4): 566–592.</w:t>
      </w:r>
    </w:p>
    <w:p w14:paraId="5C7872A6" w14:textId="77777777" w:rsidR="00AA6764" w:rsidRPr="00AA6764" w:rsidRDefault="00AA6764" w:rsidP="006E23BC">
      <w:pPr>
        <w:pStyle w:val="Bibliography"/>
        <w:rPr>
          <w:lang w:val="en-US"/>
        </w:rPr>
      </w:pPr>
      <w:r w:rsidRPr="00AA6764">
        <w:rPr>
          <w:lang w:val="en-US"/>
        </w:rPr>
        <w:t xml:space="preserve">Huselid M (1995) The Impact of Human Resource Management Practices on Turnover, Productivity, and Corporate Financial Performance. </w:t>
      </w:r>
      <w:r w:rsidRPr="00AA6764">
        <w:rPr>
          <w:i/>
          <w:iCs/>
          <w:lang w:val="en-US"/>
        </w:rPr>
        <w:t>Academy of Management Journal</w:t>
      </w:r>
      <w:r w:rsidRPr="00AA6764">
        <w:rPr>
          <w:lang w:val="en-US"/>
        </w:rPr>
        <w:t xml:space="preserve"> 38: 635–672.</w:t>
      </w:r>
    </w:p>
    <w:p w14:paraId="13D3329C" w14:textId="77777777" w:rsidR="00AA6764" w:rsidRPr="00AA6764" w:rsidRDefault="00AA6764" w:rsidP="006E23BC">
      <w:pPr>
        <w:pStyle w:val="Bibliography"/>
        <w:rPr>
          <w:lang w:val="en-US"/>
        </w:rPr>
      </w:pPr>
      <w:r w:rsidRPr="00AA6764">
        <w:rPr>
          <w:lang w:val="en-US"/>
        </w:rPr>
        <w:t xml:space="preserve">Hyman R (2001) The Europeanisation -or the erosion- of industrial relations? </w:t>
      </w:r>
      <w:r w:rsidRPr="00AA6764">
        <w:rPr>
          <w:i/>
          <w:iCs/>
          <w:lang w:val="en-US"/>
        </w:rPr>
        <w:t>Industrial Relations Journal</w:t>
      </w:r>
      <w:r w:rsidRPr="00AA6764">
        <w:rPr>
          <w:lang w:val="en-US"/>
        </w:rPr>
        <w:t xml:space="preserve"> 32: 280–294.</w:t>
      </w:r>
    </w:p>
    <w:p w14:paraId="28493828" w14:textId="77777777" w:rsidR="00AA6764" w:rsidRPr="00AA6764" w:rsidRDefault="00AA6764" w:rsidP="006E23BC">
      <w:pPr>
        <w:pStyle w:val="Bibliography"/>
        <w:rPr>
          <w:lang w:val="en-US"/>
        </w:rPr>
      </w:pPr>
      <w:r w:rsidRPr="00AA6764">
        <w:rPr>
          <w:lang w:val="en-US"/>
        </w:rPr>
        <w:t xml:space="preserve">Hyman R (2004) Varieties of Capitalism, National Industrial Relations Systems and Transnational Challenges. In: Harzing A-W and van Ruysseveldt J (eds), </w:t>
      </w:r>
      <w:r w:rsidRPr="00AA6764">
        <w:rPr>
          <w:i/>
          <w:iCs/>
          <w:lang w:val="en-US"/>
        </w:rPr>
        <w:t>International Human Resource Management.</w:t>
      </w:r>
      <w:r w:rsidRPr="00AA6764">
        <w:rPr>
          <w:lang w:val="en-US"/>
        </w:rPr>
        <w:t>, London: Sage, pp. 411–432.</w:t>
      </w:r>
    </w:p>
    <w:p w14:paraId="1BFC13D3" w14:textId="77777777" w:rsidR="00AA6764" w:rsidRPr="00AA6764" w:rsidRDefault="00AA6764" w:rsidP="006E23BC">
      <w:pPr>
        <w:pStyle w:val="Bibliography"/>
        <w:rPr>
          <w:lang w:val="en-US"/>
        </w:rPr>
      </w:pPr>
      <w:r w:rsidRPr="00AA6764">
        <w:rPr>
          <w:lang w:val="en-US"/>
        </w:rPr>
        <w:t>ITUC (2013) Involvement of the International Monetary Fund in Labour Market Reforms in European Countries- ITUC Background Paper. ITUC. Available from: http://www.ituc-csi.org/IMG/pdf/ituc-imf-1.europe-background-paper.0213.pdf.</w:t>
      </w:r>
    </w:p>
    <w:p w14:paraId="30914F75" w14:textId="77777777" w:rsidR="00AA6764" w:rsidRPr="00AA6764" w:rsidRDefault="00AA6764" w:rsidP="006E23BC">
      <w:pPr>
        <w:pStyle w:val="Bibliography"/>
        <w:rPr>
          <w:lang w:val="en-US"/>
        </w:rPr>
      </w:pPr>
      <w:r w:rsidRPr="00AA6764">
        <w:rPr>
          <w:lang w:val="en-US"/>
        </w:rPr>
        <w:t xml:space="preserve">Jiang K, Takeuchi R and Lepak DP (2013) Where do We Go From Here? New Perspectives on the Black Box in Strategic Human Resource Management Research. </w:t>
      </w:r>
      <w:r w:rsidRPr="00AA6764">
        <w:rPr>
          <w:i/>
          <w:iCs/>
          <w:lang w:val="en-US"/>
        </w:rPr>
        <w:t>Journal of Management Studies</w:t>
      </w:r>
      <w:r w:rsidRPr="00AA6764">
        <w:rPr>
          <w:lang w:val="en-US"/>
        </w:rPr>
        <w:t xml:space="preserve"> 50(8): 1448–1480.</w:t>
      </w:r>
    </w:p>
    <w:p w14:paraId="51A2121F" w14:textId="77777777" w:rsidR="00AA6764" w:rsidRPr="00AA6764" w:rsidRDefault="00AA6764" w:rsidP="006E23BC">
      <w:pPr>
        <w:pStyle w:val="Bibliography"/>
        <w:rPr>
          <w:lang w:val="en-US"/>
        </w:rPr>
      </w:pPr>
      <w:r w:rsidRPr="00AA6764">
        <w:rPr>
          <w:lang w:val="en-US"/>
        </w:rPr>
        <w:t xml:space="preserve">Kornelakis A and Voskeritsian H (2014) The Transformation of Employment Regulation in Greece: Towards a Dysfunctional Liberal Market Economy? </w:t>
      </w:r>
      <w:r w:rsidRPr="00AA6764">
        <w:rPr>
          <w:i/>
          <w:iCs/>
          <w:lang w:val="en-US"/>
        </w:rPr>
        <w:t>Relations Industrielles/Industrial Relations</w:t>
      </w:r>
      <w:r w:rsidRPr="00AA6764">
        <w:rPr>
          <w:lang w:val="en-US"/>
        </w:rPr>
        <w:t xml:space="preserve"> 69(2): 344–366.</w:t>
      </w:r>
    </w:p>
    <w:p w14:paraId="519E0833" w14:textId="77777777" w:rsidR="00AA6764" w:rsidRPr="00AA6764" w:rsidRDefault="00AA6764" w:rsidP="006E23BC">
      <w:pPr>
        <w:pStyle w:val="Bibliography"/>
        <w:rPr>
          <w:lang w:val="en-US"/>
        </w:rPr>
      </w:pPr>
      <w:r w:rsidRPr="00AA6764">
        <w:rPr>
          <w:lang w:val="en-US"/>
        </w:rPr>
        <w:t xml:space="preserve">Lazear EP (2000) Performance Pay and Productivity. </w:t>
      </w:r>
      <w:r w:rsidRPr="00AA6764">
        <w:rPr>
          <w:i/>
          <w:iCs/>
          <w:lang w:val="en-US"/>
        </w:rPr>
        <w:t>The American Economic Review</w:t>
      </w:r>
      <w:r w:rsidRPr="00AA6764">
        <w:rPr>
          <w:lang w:val="en-US"/>
        </w:rPr>
        <w:t xml:space="preserve"> 90(5): 1346–1361.</w:t>
      </w:r>
    </w:p>
    <w:p w14:paraId="36AD7DAC" w14:textId="77777777" w:rsidR="00AA6764" w:rsidRPr="00AA6764" w:rsidRDefault="00AA6764" w:rsidP="006E23BC">
      <w:pPr>
        <w:pStyle w:val="Bibliography"/>
        <w:rPr>
          <w:lang w:val="en-US"/>
        </w:rPr>
      </w:pPr>
      <w:r w:rsidRPr="00AA6764">
        <w:rPr>
          <w:lang w:val="en-US"/>
        </w:rPr>
        <w:t xml:space="preserve">Lorenz E and Valeyre A (2005) Organisational Innovation, Human Resource Management and Labour Market Structure: a Comparison of the EU-15. </w:t>
      </w:r>
      <w:r w:rsidRPr="00AA6764">
        <w:rPr>
          <w:i/>
          <w:iCs/>
          <w:lang w:val="en-US"/>
        </w:rPr>
        <w:t>Journal of Industrial Relations</w:t>
      </w:r>
      <w:r w:rsidRPr="00AA6764">
        <w:rPr>
          <w:lang w:val="en-US"/>
        </w:rPr>
        <w:t xml:space="preserve"> 47: 424–442.</w:t>
      </w:r>
    </w:p>
    <w:p w14:paraId="38BAED9A" w14:textId="77777777" w:rsidR="00AA6764" w:rsidRPr="00AA6764" w:rsidRDefault="00AA6764" w:rsidP="006E23BC">
      <w:pPr>
        <w:pStyle w:val="Bibliography"/>
        <w:rPr>
          <w:lang w:val="en-US"/>
        </w:rPr>
      </w:pPr>
      <w:r w:rsidRPr="00AA6764">
        <w:rPr>
          <w:lang w:val="en-US"/>
        </w:rPr>
        <w:t xml:space="preserve">Marginson P (2015) Coordinated bargaining in Europe: From incremental corrosion to frontal assault? </w:t>
      </w:r>
      <w:r w:rsidRPr="00AA6764">
        <w:rPr>
          <w:i/>
          <w:iCs/>
          <w:lang w:val="en-US"/>
        </w:rPr>
        <w:t>European Journal of Industrial Relations</w:t>
      </w:r>
      <w:r w:rsidRPr="00AA6764">
        <w:rPr>
          <w:lang w:val="en-US"/>
        </w:rPr>
        <w:t xml:space="preserve"> 21(2): 97–114.</w:t>
      </w:r>
    </w:p>
    <w:p w14:paraId="7639F6AC" w14:textId="77777777" w:rsidR="00AA6764" w:rsidRPr="00AA6764" w:rsidRDefault="00AA6764" w:rsidP="006E23BC">
      <w:pPr>
        <w:pStyle w:val="Bibliography"/>
        <w:rPr>
          <w:lang w:val="en-US"/>
        </w:rPr>
      </w:pPr>
      <w:r w:rsidRPr="00AA6764">
        <w:rPr>
          <w:lang w:val="en-US"/>
        </w:rPr>
        <w:t xml:space="preserve">Molina O (2014) Self-regulation and the state in industrial relations in Southern Europe: Back to the future? </w:t>
      </w:r>
      <w:r w:rsidRPr="00AA6764">
        <w:rPr>
          <w:i/>
          <w:iCs/>
          <w:lang w:val="en-US"/>
        </w:rPr>
        <w:t>European Journal of Industrial Relations</w:t>
      </w:r>
      <w:r w:rsidRPr="00AA6764">
        <w:rPr>
          <w:lang w:val="en-US"/>
        </w:rPr>
        <w:t xml:space="preserve"> 20(1): 21–36.</w:t>
      </w:r>
    </w:p>
    <w:p w14:paraId="28B91A80" w14:textId="77777777" w:rsidR="00AA6764" w:rsidRPr="00AA6764" w:rsidRDefault="00AA6764" w:rsidP="006E23BC">
      <w:pPr>
        <w:pStyle w:val="Bibliography"/>
        <w:rPr>
          <w:lang w:val="en-US"/>
        </w:rPr>
      </w:pPr>
      <w:r w:rsidRPr="00AA6764">
        <w:rPr>
          <w:lang w:val="en-US"/>
        </w:rPr>
        <w:t xml:space="preserve">Monastiriotis V (2005) Labour Market Flexibility in the UK: Regional Variations and the Role of Global/Local Forces. </w:t>
      </w:r>
      <w:r w:rsidRPr="00AA6764">
        <w:rPr>
          <w:i/>
          <w:iCs/>
          <w:lang w:val="en-US"/>
        </w:rPr>
        <w:t>Economic and Industrial Democracy</w:t>
      </w:r>
      <w:r w:rsidRPr="00AA6764">
        <w:rPr>
          <w:lang w:val="en-US"/>
        </w:rPr>
        <w:t xml:space="preserve"> 26: 443–477.</w:t>
      </w:r>
    </w:p>
    <w:p w14:paraId="603A5745" w14:textId="77777777" w:rsidR="00AA6764" w:rsidRPr="00AA6764" w:rsidRDefault="00AA6764" w:rsidP="006E23BC">
      <w:pPr>
        <w:pStyle w:val="Bibliography"/>
        <w:rPr>
          <w:lang w:val="en-US"/>
        </w:rPr>
      </w:pPr>
      <w:r w:rsidRPr="00AA6764">
        <w:rPr>
          <w:lang w:val="en-US"/>
        </w:rPr>
        <w:t xml:space="preserve">Morgan G, Froud J, Quack S, et al. (2011) Capitalism in crisis: organizational perspectives. </w:t>
      </w:r>
      <w:r w:rsidRPr="00AA6764">
        <w:rPr>
          <w:i/>
          <w:iCs/>
          <w:lang w:val="en-US"/>
        </w:rPr>
        <w:t>Organization</w:t>
      </w:r>
      <w:r w:rsidRPr="00AA6764">
        <w:rPr>
          <w:lang w:val="en-US"/>
        </w:rPr>
        <w:t xml:space="preserve"> 18: 147–152.</w:t>
      </w:r>
    </w:p>
    <w:p w14:paraId="3932E9CD" w14:textId="77777777" w:rsidR="00AA6764" w:rsidRPr="00AA6764" w:rsidRDefault="00AA6764" w:rsidP="006E23BC">
      <w:pPr>
        <w:pStyle w:val="Bibliography"/>
        <w:rPr>
          <w:lang w:val="en-US"/>
        </w:rPr>
      </w:pPr>
      <w:r w:rsidRPr="00AA6764">
        <w:rPr>
          <w:lang w:val="en-US"/>
        </w:rPr>
        <w:t xml:space="preserve">Porter M (1990) What is National Competitiveness. </w:t>
      </w:r>
      <w:r w:rsidRPr="00AA6764">
        <w:rPr>
          <w:i/>
          <w:iCs/>
          <w:lang w:val="en-US"/>
        </w:rPr>
        <w:t>Harvard Business Review</w:t>
      </w:r>
      <w:r w:rsidRPr="00AA6764">
        <w:rPr>
          <w:lang w:val="en-US"/>
        </w:rPr>
        <w:t>: 84–85.</w:t>
      </w:r>
    </w:p>
    <w:p w14:paraId="71404159" w14:textId="77777777" w:rsidR="00AA6764" w:rsidRPr="00AA6764" w:rsidRDefault="00AA6764" w:rsidP="006E23BC">
      <w:pPr>
        <w:pStyle w:val="Bibliography"/>
        <w:rPr>
          <w:lang w:val="en-US"/>
        </w:rPr>
      </w:pPr>
      <w:r w:rsidRPr="00AA6764">
        <w:rPr>
          <w:lang w:val="en-US"/>
        </w:rPr>
        <w:t xml:space="preserve">Posthuma RA, Campion MC, Masimova M, et al. (2013) A High Performance Work Practices Taxonomy: Integrating the Literature and Directing Future Research. </w:t>
      </w:r>
      <w:r w:rsidRPr="00AA6764">
        <w:rPr>
          <w:i/>
          <w:iCs/>
          <w:lang w:val="en-US"/>
        </w:rPr>
        <w:t>Journal of Management</w:t>
      </w:r>
      <w:r w:rsidRPr="00AA6764">
        <w:rPr>
          <w:lang w:val="en-US"/>
        </w:rPr>
        <w:t xml:space="preserve"> 39(5): 1184–1220.</w:t>
      </w:r>
    </w:p>
    <w:p w14:paraId="4917F868" w14:textId="77777777" w:rsidR="00AA6764" w:rsidRPr="00AA6764" w:rsidRDefault="00AA6764" w:rsidP="006E23BC">
      <w:pPr>
        <w:pStyle w:val="Bibliography"/>
        <w:rPr>
          <w:lang w:val="en-US"/>
        </w:rPr>
      </w:pPr>
      <w:r w:rsidRPr="00AA6764">
        <w:rPr>
          <w:lang w:val="en-US"/>
        </w:rPr>
        <w:t xml:space="preserve">Riedmann A, Van Gyes G, Román A, et al. (2009) </w:t>
      </w:r>
      <w:r w:rsidRPr="00AA6764">
        <w:rPr>
          <w:i/>
          <w:iCs/>
          <w:lang w:val="en-US"/>
        </w:rPr>
        <w:t>European Company Survey (ECS 2009) – Technical Report: Methodology, Questionnaire Development and Fieldwork</w:t>
      </w:r>
      <w:r w:rsidRPr="00AA6764">
        <w:rPr>
          <w:lang w:val="en-US"/>
        </w:rPr>
        <w:t>. Munich: TNS Infratest Sozialforschung.</w:t>
      </w:r>
    </w:p>
    <w:p w14:paraId="37A17809" w14:textId="77777777" w:rsidR="00AA6764" w:rsidRPr="00AA6764" w:rsidRDefault="00AA6764" w:rsidP="006E23BC">
      <w:pPr>
        <w:pStyle w:val="Bibliography"/>
        <w:rPr>
          <w:lang w:val="en-US"/>
        </w:rPr>
      </w:pPr>
      <w:r w:rsidRPr="00AA6764">
        <w:rPr>
          <w:lang w:val="en-US"/>
        </w:rPr>
        <w:t xml:space="preserve">Schwab K and Sala i Martin X (2013) </w:t>
      </w:r>
      <w:r w:rsidRPr="00AA6764">
        <w:rPr>
          <w:i/>
          <w:iCs/>
          <w:lang w:val="en-US"/>
        </w:rPr>
        <w:t>The Global Competitiveness Report 2013-2014</w:t>
      </w:r>
      <w:r w:rsidRPr="00AA6764">
        <w:rPr>
          <w:lang w:val="en-US"/>
        </w:rPr>
        <w:t>. Geneva: World Economic Forum.</w:t>
      </w:r>
    </w:p>
    <w:p w14:paraId="4886CB55" w14:textId="77777777" w:rsidR="00AA6764" w:rsidRPr="00AA6764" w:rsidRDefault="00AA6764" w:rsidP="006E23BC">
      <w:pPr>
        <w:pStyle w:val="Bibliography"/>
        <w:rPr>
          <w:lang w:val="en-US"/>
        </w:rPr>
      </w:pPr>
      <w:r w:rsidRPr="00AA6764">
        <w:rPr>
          <w:lang w:val="en-US"/>
        </w:rPr>
        <w:t xml:space="preserve">Shin D and Konrad AM (2014) Causality Between High-Performance Work Systems and Organizational Performance. </w:t>
      </w:r>
      <w:r w:rsidRPr="00AA6764">
        <w:rPr>
          <w:i/>
          <w:iCs/>
          <w:lang w:val="en-US"/>
        </w:rPr>
        <w:t>Journal of Management</w:t>
      </w:r>
      <w:r w:rsidRPr="00AA6764">
        <w:rPr>
          <w:lang w:val="en-US"/>
        </w:rPr>
        <w:t>. Available from: http://jom.sagepub.com/content/early/2014/07/29/0149206314544746 (accessed 12 May 2016).</w:t>
      </w:r>
    </w:p>
    <w:p w14:paraId="76336274" w14:textId="77777777" w:rsidR="00AA6764" w:rsidRPr="00AA6764" w:rsidRDefault="00AA6764" w:rsidP="006E23BC">
      <w:pPr>
        <w:pStyle w:val="Bibliography"/>
        <w:rPr>
          <w:lang w:val="en-US"/>
        </w:rPr>
      </w:pPr>
      <w:r w:rsidRPr="00AA6764">
        <w:rPr>
          <w:lang w:val="en-US"/>
        </w:rPr>
        <w:t xml:space="preserve">Streeck W (2005) The Sociology of Labor Markets and Trade Unions. In: Smelser N and Swedberg R (eds), </w:t>
      </w:r>
      <w:r w:rsidRPr="00AA6764">
        <w:rPr>
          <w:i/>
          <w:iCs/>
          <w:lang w:val="en-US"/>
        </w:rPr>
        <w:t>The Handbook of Economic Sociology</w:t>
      </w:r>
      <w:r w:rsidRPr="00AA6764">
        <w:rPr>
          <w:lang w:val="en-US"/>
        </w:rPr>
        <w:t>, Princeton: Princeton University Press, pp. 254–283.</w:t>
      </w:r>
    </w:p>
    <w:p w14:paraId="2C54EF88" w14:textId="77777777" w:rsidR="00AA6764" w:rsidRPr="00AA6764" w:rsidRDefault="00AA6764" w:rsidP="006E23BC">
      <w:pPr>
        <w:pStyle w:val="Bibliography"/>
        <w:rPr>
          <w:lang w:val="en-US"/>
        </w:rPr>
      </w:pPr>
      <w:r w:rsidRPr="00AA6764">
        <w:rPr>
          <w:lang w:val="en-US"/>
        </w:rPr>
        <w:t xml:space="preserve">Tregaskis O, Daniels K, Glover L, et al. (2013) High Performance Work Practices and Firm Performance: A Longitudinal Case Study. </w:t>
      </w:r>
      <w:r w:rsidRPr="00AA6764">
        <w:rPr>
          <w:i/>
          <w:iCs/>
          <w:lang w:val="en-US"/>
        </w:rPr>
        <w:t>British Journal of Management</w:t>
      </w:r>
      <w:r w:rsidRPr="00AA6764">
        <w:rPr>
          <w:lang w:val="en-US"/>
        </w:rPr>
        <w:t xml:space="preserve"> 24(2): 225–244.</w:t>
      </w:r>
    </w:p>
    <w:p w14:paraId="517603C1" w14:textId="77777777" w:rsidR="00AA6764" w:rsidRPr="00AA6764" w:rsidRDefault="00AA6764" w:rsidP="006E23BC">
      <w:pPr>
        <w:pStyle w:val="Bibliography"/>
        <w:rPr>
          <w:lang w:val="en-US"/>
        </w:rPr>
      </w:pPr>
      <w:r w:rsidRPr="00AA6764">
        <w:rPr>
          <w:lang w:val="en-US"/>
        </w:rPr>
        <w:t xml:space="preserve">Vergeer R and Kleinknecht A (2014) Do labour market reforms reduce labour productivity growth? A panel data analysis of 20 OECD countries (1960–2004). </w:t>
      </w:r>
      <w:r w:rsidRPr="00AA6764">
        <w:rPr>
          <w:i/>
          <w:iCs/>
          <w:lang w:val="en-US"/>
        </w:rPr>
        <w:t>International Labor Review</w:t>
      </w:r>
      <w:r w:rsidRPr="00AA6764">
        <w:rPr>
          <w:lang w:val="en-US"/>
        </w:rPr>
        <w:t xml:space="preserve"> 153(3): 365–393.</w:t>
      </w:r>
    </w:p>
    <w:p w14:paraId="377AEAAA" w14:textId="77777777" w:rsidR="00AA6764" w:rsidRPr="00AA6764" w:rsidRDefault="00AA6764" w:rsidP="006E23BC">
      <w:pPr>
        <w:pStyle w:val="Bibliography"/>
        <w:rPr>
          <w:lang w:val="en-US"/>
        </w:rPr>
      </w:pPr>
      <w:r w:rsidRPr="00AA6764">
        <w:rPr>
          <w:lang w:val="en-US"/>
        </w:rPr>
        <w:t xml:space="preserve">Zagelmeyer S (2005) The Employer’s Perspective on Collective Bargaining Centralization: an Analytical Framework. </w:t>
      </w:r>
      <w:r w:rsidRPr="00AA6764">
        <w:rPr>
          <w:i/>
          <w:iCs/>
          <w:lang w:val="en-US"/>
        </w:rPr>
        <w:t>The International Journal of Human Resource Management</w:t>
      </w:r>
      <w:r w:rsidRPr="00AA6764">
        <w:rPr>
          <w:lang w:val="en-US"/>
        </w:rPr>
        <w:t xml:space="preserve"> 16: 1623–1639.</w:t>
      </w:r>
    </w:p>
    <w:p w14:paraId="75F167C4" w14:textId="3A60E912" w:rsidR="00435568" w:rsidRDefault="00ED68DE" w:rsidP="00A71B58">
      <w:pPr>
        <w:spacing w:before="480" w:after="240"/>
        <w:outlineLvl w:val="0"/>
        <w:rPr>
          <w:lang w:val="en-US"/>
        </w:rPr>
        <w:sectPr w:rsidR="00435568" w:rsidSect="007F01D4">
          <w:endnotePr>
            <w:numFmt w:val="decimal"/>
          </w:endnotePr>
          <w:pgSz w:w="11906" w:h="16838"/>
          <w:pgMar w:top="1985" w:right="1797" w:bottom="1985" w:left="1797" w:header="709" w:footer="709" w:gutter="0"/>
          <w:cols w:space="708"/>
          <w:docGrid w:linePitch="360"/>
        </w:sectPr>
      </w:pPr>
      <w:r>
        <w:rPr>
          <w:b/>
          <w:lang w:val="en-US"/>
        </w:rPr>
        <w:fldChar w:fldCharType="end"/>
      </w:r>
    </w:p>
    <w:tbl>
      <w:tblPr>
        <w:tblStyle w:val="TableGrid1"/>
        <w:tblW w:w="9458" w:type="dxa"/>
        <w:jc w:val="center"/>
        <w:tblLayout w:type="fixed"/>
        <w:tblLook w:val="04A0" w:firstRow="1" w:lastRow="0" w:firstColumn="1" w:lastColumn="0" w:noHBand="0" w:noVBand="1"/>
      </w:tblPr>
      <w:tblGrid>
        <w:gridCol w:w="2983"/>
        <w:gridCol w:w="1295"/>
        <w:gridCol w:w="1295"/>
        <w:gridCol w:w="1295"/>
        <w:gridCol w:w="1295"/>
        <w:gridCol w:w="1295"/>
      </w:tblGrid>
      <w:tr w:rsidR="007B4DF5" w:rsidRPr="007B4DF5" w14:paraId="08EBA49A" w14:textId="77777777" w:rsidTr="00DC1C6C">
        <w:trPr>
          <w:trHeight w:val="330"/>
          <w:jc w:val="center"/>
        </w:trPr>
        <w:tc>
          <w:tcPr>
            <w:tcW w:w="9458" w:type="dxa"/>
            <w:gridSpan w:val="6"/>
            <w:tcBorders>
              <w:top w:val="nil"/>
              <w:left w:val="nil"/>
              <w:bottom w:val="single" w:sz="4" w:space="0" w:color="auto"/>
              <w:right w:val="nil"/>
            </w:tcBorders>
            <w:vAlign w:val="center"/>
          </w:tcPr>
          <w:p w14:paraId="1B161CE9" w14:textId="77777777" w:rsidR="007B4DF5" w:rsidRPr="007B4DF5" w:rsidRDefault="007B4DF5" w:rsidP="0053519D">
            <w:pPr>
              <w:spacing w:before="0" w:after="0" w:line="240" w:lineRule="auto"/>
              <w:rPr>
                <w:rFonts w:eastAsia="MS Mincho" w:cs="Times New Roman"/>
                <w:b/>
              </w:rPr>
            </w:pPr>
            <w:r w:rsidRPr="007B4DF5">
              <w:rPr>
                <w:rFonts w:eastAsia="MS Mincho" w:cs="Times New Roman"/>
                <w:b/>
              </w:rPr>
              <w:t xml:space="preserve">Table 1: Distribution of productivity change across EU-15 establishments </w:t>
            </w:r>
          </w:p>
          <w:p w14:paraId="3A5FD142" w14:textId="77777777" w:rsidR="007B4DF5" w:rsidRPr="007B4DF5" w:rsidRDefault="007B4DF5" w:rsidP="0053519D">
            <w:pPr>
              <w:spacing w:before="0" w:after="0" w:line="240" w:lineRule="auto"/>
              <w:jc w:val="center"/>
              <w:rPr>
                <w:rFonts w:eastAsia="MS Mincho" w:cs="Times New Roman"/>
                <w:b/>
              </w:rPr>
            </w:pPr>
          </w:p>
        </w:tc>
      </w:tr>
      <w:tr w:rsidR="007B4DF5" w:rsidRPr="007B4DF5" w14:paraId="5A697ECD" w14:textId="77777777" w:rsidTr="00DC1C6C">
        <w:trPr>
          <w:trHeight w:val="330"/>
          <w:jc w:val="center"/>
        </w:trPr>
        <w:tc>
          <w:tcPr>
            <w:tcW w:w="2983" w:type="dxa"/>
            <w:tcBorders>
              <w:left w:val="nil"/>
              <w:bottom w:val="single" w:sz="4" w:space="0" w:color="auto"/>
              <w:right w:val="nil"/>
            </w:tcBorders>
            <w:vAlign w:val="center"/>
          </w:tcPr>
          <w:p w14:paraId="53165055" w14:textId="77777777" w:rsidR="007B4DF5" w:rsidRPr="007D7BE0" w:rsidRDefault="007B4DF5" w:rsidP="0053519D">
            <w:pPr>
              <w:spacing w:before="0" w:after="0" w:line="240" w:lineRule="auto"/>
              <w:jc w:val="center"/>
              <w:rPr>
                <w:rFonts w:eastAsia="MS Mincho" w:cs="Times New Roman"/>
                <w:b/>
                <w:sz w:val="20"/>
                <w:szCs w:val="20"/>
              </w:rPr>
            </w:pPr>
          </w:p>
        </w:tc>
        <w:tc>
          <w:tcPr>
            <w:tcW w:w="1295" w:type="dxa"/>
            <w:tcBorders>
              <w:left w:val="nil"/>
              <w:bottom w:val="single" w:sz="4" w:space="0" w:color="auto"/>
              <w:right w:val="nil"/>
            </w:tcBorders>
            <w:vAlign w:val="center"/>
          </w:tcPr>
          <w:p w14:paraId="1A14A30D" w14:textId="77777777" w:rsidR="007B4DF5" w:rsidRPr="007D7BE0" w:rsidRDefault="007B4DF5" w:rsidP="0053519D">
            <w:pPr>
              <w:spacing w:before="0" w:after="0" w:line="240" w:lineRule="auto"/>
              <w:jc w:val="center"/>
              <w:rPr>
                <w:rFonts w:eastAsia="MS Mincho" w:cs="Times New Roman"/>
                <w:b/>
                <w:sz w:val="20"/>
                <w:szCs w:val="20"/>
              </w:rPr>
            </w:pPr>
            <w:r w:rsidRPr="007D7BE0">
              <w:rPr>
                <w:rFonts w:eastAsia="MS Mincho" w:cs="Times New Roman"/>
                <w:b/>
                <w:sz w:val="20"/>
                <w:szCs w:val="20"/>
              </w:rPr>
              <w:t>EU-15</w:t>
            </w:r>
          </w:p>
        </w:tc>
        <w:tc>
          <w:tcPr>
            <w:tcW w:w="1295" w:type="dxa"/>
            <w:tcBorders>
              <w:left w:val="nil"/>
              <w:bottom w:val="single" w:sz="4" w:space="0" w:color="auto"/>
              <w:right w:val="nil"/>
            </w:tcBorders>
            <w:vAlign w:val="center"/>
          </w:tcPr>
          <w:p w14:paraId="24BFD8DB" w14:textId="782C9CBE" w:rsidR="007B4DF5" w:rsidRPr="007D7BE0" w:rsidRDefault="007B4DF5" w:rsidP="0053519D">
            <w:pPr>
              <w:spacing w:before="0" w:after="0" w:line="240" w:lineRule="auto"/>
              <w:jc w:val="center"/>
              <w:rPr>
                <w:rFonts w:eastAsia="MS Mincho" w:cs="Times New Roman"/>
                <w:b/>
                <w:sz w:val="20"/>
                <w:szCs w:val="20"/>
              </w:rPr>
            </w:pPr>
            <w:r w:rsidRPr="007D7BE0">
              <w:rPr>
                <w:rFonts w:eastAsia="MS Mincho" w:cs="Times New Roman"/>
                <w:b/>
                <w:sz w:val="20"/>
                <w:szCs w:val="20"/>
              </w:rPr>
              <w:t>South</w:t>
            </w:r>
            <w:r w:rsidR="007D7BE0" w:rsidRPr="007D7BE0">
              <w:rPr>
                <w:rFonts w:eastAsia="MS Mincho" w:cs="Times New Roman"/>
                <w:b/>
                <w:sz w:val="20"/>
                <w:szCs w:val="20"/>
              </w:rPr>
              <w:t>ern</w:t>
            </w:r>
          </w:p>
        </w:tc>
        <w:tc>
          <w:tcPr>
            <w:tcW w:w="1295" w:type="dxa"/>
            <w:tcBorders>
              <w:left w:val="nil"/>
              <w:bottom w:val="single" w:sz="4" w:space="0" w:color="auto"/>
              <w:right w:val="nil"/>
            </w:tcBorders>
            <w:vAlign w:val="center"/>
          </w:tcPr>
          <w:p w14:paraId="6EEF06B3" w14:textId="71537A7D" w:rsidR="007B4DF5" w:rsidRPr="007D7BE0" w:rsidRDefault="007D7BE0" w:rsidP="0053519D">
            <w:pPr>
              <w:spacing w:before="0" w:after="0" w:line="240" w:lineRule="auto"/>
              <w:jc w:val="center"/>
              <w:rPr>
                <w:rFonts w:eastAsia="MS Mincho" w:cs="Times New Roman"/>
                <w:b/>
                <w:sz w:val="20"/>
                <w:szCs w:val="20"/>
              </w:rPr>
            </w:pPr>
            <w:r w:rsidRPr="007D7BE0">
              <w:rPr>
                <w:rFonts w:eastAsia="MS Mincho" w:cs="Times New Roman"/>
                <w:b/>
                <w:sz w:val="20"/>
                <w:szCs w:val="20"/>
              </w:rPr>
              <w:t>C</w:t>
            </w:r>
            <w:r w:rsidR="00DC1C6C">
              <w:rPr>
                <w:rFonts w:eastAsia="MS Mincho" w:cs="Times New Roman"/>
                <w:b/>
                <w:sz w:val="20"/>
                <w:szCs w:val="20"/>
              </w:rPr>
              <w:t>ontinental</w:t>
            </w:r>
          </w:p>
        </w:tc>
        <w:tc>
          <w:tcPr>
            <w:tcW w:w="1295" w:type="dxa"/>
            <w:tcBorders>
              <w:left w:val="nil"/>
              <w:bottom w:val="single" w:sz="4" w:space="0" w:color="auto"/>
              <w:right w:val="nil"/>
            </w:tcBorders>
            <w:vAlign w:val="center"/>
          </w:tcPr>
          <w:p w14:paraId="62E0E342" w14:textId="790A13C5" w:rsidR="007B4DF5" w:rsidRPr="007D7BE0" w:rsidRDefault="007D7BE0" w:rsidP="0053519D">
            <w:pPr>
              <w:spacing w:before="0" w:after="0" w:line="240" w:lineRule="auto"/>
              <w:jc w:val="center"/>
              <w:rPr>
                <w:rFonts w:eastAsia="MS Mincho" w:cs="Times New Roman"/>
                <w:b/>
                <w:sz w:val="20"/>
                <w:szCs w:val="20"/>
              </w:rPr>
            </w:pPr>
            <w:r w:rsidRPr="007D7BE0">
              <w:rPr>
                <w:rFonts w:eastAsia="MS Mincho" w:cs="Times New Roman"/>
                <w:b/>
                <w:sz w:val="20"/>
                <w:szCs w:val="20"/>
              </w:rPr>
              <w:t>Nordic</w:t>
            </w:r>
          </w:p>
        </w:tc>
        <w:tc>
          <w:tcPr>
            <w:tcW w:w="1295" w:type="dxa"/>
            <w:tcBorders>
              <w:left w:val="nil"/>
              <w:bottom w:val="single" w:sz="4" w:space="0" w:color="auto"/>
              <w:right w:val="nil"/>
            </w:tcBorders>
            <w:vAlign w:val="center"/>
          </w:tcPr>
          <w:p w14:paraId="687B39E9" w14:textId="77777777" w:rsidR="007B4DF5" w:rsidRPr="007D7BE0" w:rsidRDefault="007B4DF5" w:rsidP="0053519D">
            <w:pPr>
              <w:spacing w:before="0" w:after="0" w:line="240" w:lineRule="auto"/>
              <w:jc w:val="center"/>
              <w:rPr>
                <w:rFonts w:eastAsia="MS Mincho" w:cs="Times New Roman"/>
                <w:b/>
                <w:sz w:val="20"/>
                <w:szCs w:val="20"/>
              </w:rPr>
            </w:pPr>
            <w:r w:rsidRPr="007D7BE0">
              <w:rPr>
                <w:rFonts w:eastAsia="MS Mincho" w:cs="Times New Roman"/>
                <w:b/>
                <w:sz w:val="20"/>
                <w:szCs w:val="20"/>
              </w:rPr>
              <w:t>Liberal</w:t>
            </w:r>
          </w:p>
        </w:tc>
      </w:tr>
      <w:tr w:rsidR="007B4DF5" w:rsidRPr="007B4DF5" w14:paraId="3C6D5E1E" w14:textId="77777777" w:rsidTr="00DC1C6C">
        <w:trPr>
          <w:trHeight w:val="330"/>
          <w:jc w:val="center"/>
        </w:trPr>
        <w:tc>
          <w:tcPr>
            <w:tcW w:w="2983" w:type="dxa"/>
            <w:tcBorders>
              <w:left w:val="nil"/>
              <w:bottom w:val="nil"/>
              <w:right w:val="nil"/>
            </w:tcBorders>
            <w:vAlign w:val="center"/>
          </w:tcPr>
          <w:p w14:paraId="1C32728A" w14:textId="77777777" w:rsidR="007B4DF5" w:rsidRPr="007D7BE0" w:rsidRDefault="007B4DF5" w:rsidP="0053519D">
            <w:pPr>
              <w:spacing w:before="0" w:after="0" w:line="240" w:lineRule="auto"/>
              <w:rPr>
                <w:rFonts w:eastAsia="MS Mincho" w:cs="Times New Roman"/>
                <w:b/>
                <w:i/>
                <w:sz w:val="20"/>
                <w:szCs w:val="20"/>
              </w:rPr>
            </w:pPr>
            <w:r w:rsidRPr="007D7BE0">
              <w:rPr>
                <w:rFonts w:eastAsia="MS Mincho" w:cs="Times New Roman"/>
                <w:b/>
                <w:i/>
                <w:sz w:val="20"/>
                <w:szCs w:val="20"/>
              </w:rPr>
              <w:t>Productivity in last 3 years</w:t>
            </w:r>
          </w:p>
        </w:tc>
        <w:tc>
          <w:tcPr>
            <w:tcW w:w="1295" w:type="dxa"/>
            <w:tcBorders>
              <w:left w:val="nil"/>
              <w:bottom w:val="nil"/>
              <w:right w:val="nil"/>
            </w:tcBorders>
            <w:vAlign w:val="center"/>
          </w:tcPr>
          <w:p w14:paraId="5660D978" w14:textId="77777777" w:rsidR="007B4DF5" w:rsidRPr="007D7BE0" w:rsidRDefault="007B4DF5" w:rsidP="0053519D">
            <w:pPr>
              <w:spacing w:before="0" w:after="0" w:line="240" w:lineRule="auto"/>
              <w:jc w:val="center"/>
              <w:rPr>
                <w:rFonts w:eastAsia="MS Mincho" w:cs="Times New Roman"/>
                <w:b/>
                <w:sz w:val="20"/>
                <w:szCs w:val="20"/>
              </w:rPr>
            </w:pPr>
          </w:p>
        </w:tc>
        <w:tc>
          <w:tcPr>
            <w:tcW w:w="1295" w:type="dxa"/>
            <w:tcBorders>
              <w:left w:val="nil"/>
              <w:bottom w:val="nil"/>
              <w:right w:val="nil"/>
            </w:tcBorders>
            <w:vAlign w:val="center"/>
          </w:tcPr>
          <w:p w14:paraId="5C83B96B" w14:textId="77777777" w:rsidR="007B4DF5" w:rsidRPr="007D7BE0" w:rsidRDefault="007B4DF5" w:rsidP="0053519D">
            <w:pPr>
              <w:spacing w:before="0" w:after="0" w:line="240" w:lineRule="auto"/>
              <w:jc w:val="center"/>
              <w:rPr>
                <w:rFonts w:eastAsia="MS Mincho" w:cs="Times New Roman"/>
                <w:b/>
                <w:sz w:val="20"/>
                <w:szCs w:val="20"/>
              </w:rPr>
            </w:pPr>
          </w:p>
        </w:tc>
        <w:tc>
          <w:tcPr>
            <w:tcW w:w="1295" w:type="dxa"/>
            <w:tcBorders>
              <w:left w:val="nil"/>
              <w:bottom w:val="nil"/>
              <w:right w:val="nil"/>
            </w:tcBorders>
            <w:vAlign w:val="center"/>
          </w:tcPr>
          <w:p w14:paraId="446D1C22" w14:textId="77777777" w:rsidR="007B4DF5" w:rsidRPr="007D7BE0" w:rsidRDefault="007B4DF5" w:rsidP="0053519D">
            <w:pPr>
              <w:spacing w:before="0" w:after="0" w:line="240" w:lineRule="auto"/>
              <w:jc w:val="center"/>
              <w:rPr>
                <w:rFonts w:eastAsia="MS Mincho" w:cs="Times New Roman"/>
                <w:b/>
                <w:sz w:val="20"/>
                <w:szCs w:val="20"/>
              </w:rPr>
            </w:pPr>
          </w:p>
        </w:tc>
        <w:tc>
          <w:tcPr>
            <w:tcW w:w="1295" w:type="dxa"/>
            <w:tcBorders>
              <w:left w:val="nil"/>
              <w:bottom w:val="nil"/>
              <w:right w:val="nil"/>
            </w:tcBorders>
            <w:vAlign w:val="center"/>
          </w:tcPr>
          <w:p w14:paraId="28DD0B29" w14:textId="77777777" w:rsidR="007B4DF5" w:rsidRPr="007D7BE0" w:rsidRDefault="007B4DF5" w:rsidP="0053519D">
            <w:pPr>
              <w:spacing w:before="0" w:after="0" w:line="240" w:lineRule="auto"/>
              <w:jc w:val="center"/>
              <w:rPr>
                <w:rFonts w:eastAsia="MS Mincho" w:cs="Times New Roman"/>
                <w:b/>
                <w:sz w:val="20"/>
                <w:szCs w:val="20"/>
              </w:rPr>
            </w:pPr>
          </w:p>
        </w:tc>
        <w:tc>
          <w:tcPr>
            <w:tcW w:w="1295" w:type="dxa"/>
            <w:tcBorders>
              <w:left w:val="nil"/>
              <w:bottom w:val="nil"/>
              <w:right w:val="nil"/>
            </w:tcBorders>
            <w:vAlign w:val="center"/>
          </w:tcPr>
          <w:p w14:paraId="4301F052" w14:textId="77777777" w:rsidR="007B4DF5" w:rsidRPr="007D7BE0" w:rsidRDefault="007B4DF5" w:rsidP="0053519D">
            <w:pPr>
              <w:spacing w:before="0" w:after="0" w:line="240" w:lineRule="auto"/>
              <w:jc w:val="center"/>
              <w:rPr>
                <w:rFonts w:eastAsia="MS Mincho" w:cs="Times New Roman"/>
                <w:b/>
                <w:sz w:val="20"/>
                <w:szCs w:val="20"/>
              </w:rPr>
            </w:pPr>
          </w:p>
        </w:tc>
      </w:tr>
      <w:tr w:rsidR="007B4DF5" w:rsidRPr="007B4DF5" w14:paraId="31CF0997" w14:textId="77777777" w:rsidTr="00DC1C6C">
        <w:trPr>
          <w:trHeight w:val="330"/>
          <w:jc w:val="center"/>
        </w:trPr>
        <w:tc>
          <w:tcPr>
            <w:tcW w:w="2983" w:type="dxa"/>
            <w:tcBorders>
              <w:top w:val="nil"/>
              <w:left w:val="nil"/>
              <w:bottom w:val="nil"/>
              <w:right w:val="nil"/>
            </w:tcBorders>
            <w:vAlign w:val="center"/>
          </w:tcPr>
          <w:p w14:paraId="4AC0870E" w14:textId="77777777" w:rsidR="007B4DF5" w:rsidRPr="007B4DF5" w:rsidRDefault="007B4DF5" w:rsidP="0053519D">
            <w:pPr>
              <w:spacing w:before="0" w:after="0" w:line="240" w:lineRule="auto"/>
              <w:jc w:val="right"/>
              <w:rPr>
                <w:rFonts w:eastAsia="MS Mincho" w:cs="Times New Roman"/>
                <w:sz w:val="20"/>
                <w:szCs w:val="20"/>
              </w:rPr>
            </w:pPr>
            <w:r w:rsidRPr="007B4DF5">
              <w:rPr>
                <w:rFonts w:eastAsia="MS Mincho" w:cs="Times New Roman"/>
                <w:sz w:val="20"/>
                <w:szCs w:val="20"/>
              </w:rPr>
              <w:t>Decreased</w:t>
            </w:r>
          </w:p>
        </w:tc>
        <w:tc>
          <w:tcPr>
            <w:tcW w:w="1295" w:type="dxa"/>
            <w:tcBorders>
              <w:top w:val="nil"/>
              <w:left w:val="nil"/>
              <w:bottom w:val="nil"/>
              <w:right w:val="nil"/>
            </w:tcBorders>
            <w:vAlign w:val="center"/>
          </w:tcPr>
          <w:p w14:paraId="5709FBFA" w14:textId="115BEB3F" w:rsidR="007B4DF5" w:rsidRPr="007B4DF5" w:rsidRDefault="00414D36" w:rsidP="0053519D">
            <w:pPr>
              <w:spacing w:before="0" w:after="0" w:line="240" w:lineRule="auto"/>
              <w:jc w:val="center"/>
              <w:rPr>
                <w:rFonts w:eastAsia="MS Mincho" w:cs="Times New Roman"/>
                <w:sz w:val="20"/>
                <w:szCs w:val="20"/>
              </w:rPr>
            </w:pPr>
            <w:r>
              <w:rPr>
                <w:rFonts w:eastAsia="MS Mincho" w:cs="Times New Roman"/>
                <w:sz w:val="20"/>
                <w:szCs w:val="20"/>
              </w:rPr>
              <w:t>0.14</w:t>
            </w:r>
          </w:p>
        </w:tc>
        <w:tc>
          <w:tcPr>
            <w:tcW w:w="1295" w:type="dxa"/>
            <w:tcBorders>
              <w:top w:val="nil"/>
              <w:left w:val="nil"/>
              <w:bottom w:val="nil"/>
              <w:right w:val="nil"/>
            </w:tcBorders>
            <w:vAlign w:val="center"/>
          </w:tcPr>
          <w:p w14:paraId="35148222" w14:textId="3AD39680" w:rsidR="007B4DF5" w:rsidRPr="007B4DF5" w:rsidRDefault="00414D36" w:rsidP="0053519D">
            <w:pPr>
              <w:spacing w:before="0" w:after="0" w:line="240" w:lineRule="auto"/>
              <w:jc w:val="center"/>
              <w:rPr>
                <w:rFonts w:eastAsia="MS Mincho" w:cs="Times New Roman"/>
                <w:sz w:val="20"/>
                <w:szCs w:val="20"/>
              </w:rPr>
            </w:pPr>
            <w:r>
              <w:rPr>
                <w:rFonts w:eastAsia="MS Mincho" w:cs="Times New Roman"/>
                <w:sz w:val="20"/>
                <w:szCs w:val="20"/>
              </w:rPr>
              <w:t>0.17</w:t>
            </w:r>
          </w:p>
        </w:tc>
        <w:tc>
          <w:tcPr>
            <w:tcW w:w="1295" w:type="dxa"/>
            <w:tcBorders>
              <w:top w:val="nil"/>
              <w:left w:val="nil"/>
              <w:bottom w:val="nil"/>
              <w:right w:val="nil"/>
            </w:tcBorders>
            <w:vAlign w:val="center"/>
          </w:tcPr>
          <w:p w14:paraId="6ED123CC" w14:textId="77777777" w:rsidR="007B4DF5" w:rsidRPr="007B4DF5" w:rsidRDefault="007B4DF5" w:rsidP="0053519D">
            <w:pPr>
              <w:spacing w:before="0" w:after="0" w:line="240" w:lineRule="auto"/>
              <w:jc w:val="center"/>
              <w:rPr>
                <w:rFonts w:eastAsia="MS Mincho" w:cs="Times New Roman"/>
                <w:sz w:val="20"/>
                <w:szCs w:val="20"/>
              </w:rPr>
            </w:pPr>
            <w:r w:rsidRPr="007B4DF5">
              <w:rPr>
                <w:rFonts w:eastAsia="MS Mincho" w:cs="Times New Roman"/>
                <w:sz w:val="20"/>
                <w:szCs w:val="20"/>
              </w:rPr>
              <w:t>0.11</w:t>
            </w:r>
          </w:p>
        </w:tc>
        <w:tc>
          <w:tcPr>
            <w:tcW w:w="1295" w:type="dxa"/>
            <w:tcBorders>
              <w:top w:val="nil"/>
              <w:left w:val="nil"/>
              <w:bottom w:val="nil"/>
              <w:right w:val="nil"/>
            </w:tcBorders>
            <w:vAlign w:val="center"/>
          </w:tcPr>
          <w:p w14:paraId="685733F4" w14:textId="77777777" w:rsidR="007B4DF5" w:rsidRPr="007B4DF5" w:rsidRDefault="007B4DF5" w:rsidP="0053519D">
            <w:pPr>
              <w:spacing w:before="0" w:after="0" w:line="240" w:lineRule="auto"/>
              <w:jc w:val="center"/>
              <w:rPr>
                <w:rFonts w:eastAsia="MS Mincho" w:cs="Times New Roman"/>
                <w:sz w:val="20"/>
                <w:szCs w:val="20"/>
              </w:rPr>
            </w:pPr>
            <w:r w:rsidRPr="007B4DF5">
              <w:rPr>
                <w:rFonts w:eastAsia="MS Mincho" w:cs="Times New Roman"/>
                <w:sz w:val="20"/>
                <w:szCs w:val="20"/>
              </w:rPr>
              <w:t>0.08</w:t>
            </w:r>
          </w:p>
        </w:tc>
        <w:tc>
          <w:tcPr>
            <w:tcW w:w="1295" w:type="dxa"/>
            <w:tcBorders>
              <w:top w:val="nil"/>
              <w:left w:val="nil"/>
              <w:bottom w:val="nil"/>
              <w:right w:val="nil"/>
            </w:tcBorders>
            <w:vAlign w:val="center"/>
          </w:tcPr>
          <w:p w14:paraId="747118BD" w14:textId="77777777" w:rsidR="007B4DF5" w:rsidRPr="007B4DF5" w:rsidRDefault="007B4DF5" w:rsidP="0053519D">
            <w:pPr>
              <w:spacing w:before="0" w:after="0" w:line="240" w:lineRule="auto"/>
              <w:jc w:val="center"/>
              <w:rPr>
                <w:rFonts w:eastAsia="MS Mincho" w:cs="Times New Roman"/>
                <w:sz w:val="20"/>
                <w:szCs w:val="20"/>
              </w:rPr>
            </w:pPr>
            <w:r w:rsidRPr="007B4DF5">
              <w:rPr>
                <w:rFonts w:eastAsia="MS Mincho" w:cs="Times New Roman"/>
                <w:sz w:val="20"/>
                <w:szCs w:val="20"/>
              </w:rPr>
              <w:t>0.16</w:t>
            </w:r>
          </w:p>
        </w:tc>
      </w:tr>
      <w:tr w:rsidR="007B4DF5" w:rsidRPr="007B4DF5" w14:paraId="2F26F7E4" w14:textId="77777777" w:rsidTr="00DC1C6C">
        <w:trPr>
          <w:trHeight w:val="330"/>
          <w:jc w:val="center"/>
        </w:trPr>
        <w:tc>
          <w:tcPr>
            <w:tcW w:w="2983" w:type="dxa"/>
            <w:tcBorders>
              <w:top w:val="nil"/>
              <w:left w:val="nil"/>
              <w:bottom w:val="nil"/>
              <w:right w:val="nil"/>
            </w:tcBorders>
            <w:vAlign w:val="center"/>
          </w:tcPr>
          <w:p w14:paraId="6EAFB44E" w14:textId="77777777" w:rsidR="007B4DF5" w:rsidRPr="007B4DF5" w:rsidRDefault="007B4DF5" w:rsidP="0053519D">
            <w:pPr>
              <w:spacing w:before="0" w:after="0" w:line="240" w:lineRule="auto"/>
              <w:jc w:val="right"/>
              <w:rPr>
                <w:rFonts w:eastAsia="MS Mincho" w:cs="Times New Roman"/>
                <w:sz w:val="20"/>
                <w:szCs w:val="20"/>
              </w:rPr>
            </w:pPr>
            <w:r w:rsidRPr="007B4DF5">
              <w:rPr>
                <w:rFonts w:eastAsia="MS Mincho" w:cs="Times New Roman"/>
                <w:sz w:val="20"/>
                <w:szCs w:val="20"/>
              </w:rPr>
              <w:t>About the same</w:t>
            </w:r>
          </w:p>
        </w:tc>
        <w:tc>
          <w:tcPr>
            <w:tcW w:w="1295" w:type="dxa"/>
            <w:tcBorders>
              <w:top w:val="nil"/>
              <w:left w:val="nil"/>
              <w:bottom w:val="nil"/>
              <w:right w:val="nil"/>
            </w:tcBorders>
            <w:vAlign w:val="center"/>
          </w:tcPr>
          <w:p w14:paraId="65A4F4FE" w14:textId="1152F3FE" w:rsidR="007B4DF5" w:rsidRPr="007B4DF5" w:rsidRDefault="00414D36" w:rsidP="0053519D">
            <w:pPr>
              <w:spacing w:before="0" w:after="0" w:line="240" w:lineRule="auto"/>
              <w:jc w:val="center"/>
              <w:rPr>
                <w:rFonts w:eastAsia="MS Mincho" w:cs="Times New Roman"/>
                <w:sz w:val="20"/>
                <w:szCs w:val="20"/>
              </w:rPr>
            </w:pPr>
            <w:r>
              <w:rPr>
                <w:rFonts w:eastAsia="MS Mincho" w:cs="Times New Roman"/>
                <w:sz w:val="20"/>
                <w:szCs w:val="20"/>
              </w:rPr>
              <w:t>0.33</w:t>
            </w:r>
          </w:p>
        </w:tc>
        <w:tc>
          <w:tcPr>
            <w:tcW w:w="1295" w:type="dxa"/>
            <w:tcBorders>
              <w:top w:val="nil"/>
              <w:left w:val="nil"/>
              <w:bottom w:val="nil"/>
              <w:right w:val="nil"/>
            </w:tcBorders>
            <w:vAlign w:val="center"/>
          </w:tcPr>
          <w:p w14:paraId="04579A68" w14:textId="74E97315" w:rsidR="007B4DF5" w:rsidRPr="007B4DF5" w:rsidRDefault="00414D36" w:rsidP="0053519D">
            <w:pPr>
              <w:spacing w:before="0" w:after="0" w:line="240" w:lineRule="auto"/>
              <w:jc w:val="center"/>
              <w:rPr>
                <w:rFonts w:eastAsia="MS Mincho" w:cs="Times New Roman"/>
                <w:sz w:val="20"/>
                <w:szCs w:val="20"/>
              </w:rPr>
            </w:pPr>
            <w:r>
              <w:rPr>
                <w:rFonts w:eastAsia="MS Mincho" w:cs="Times New Roman"/>
                <w:sz w:val="20"/>
                <w:szCs w:val="20"/>
              </w:rPr>
              <w:t>0.32</w:t>
            </w:r>
          </w:p>
        </w:tc>
        <w:tc>
          <w:tcPr>
            <w:tcW w:w="1295" w:type="dxa"/>
            <w:tcBorders>
              <w:top w:val="nil"/>
              <w:left w:val="nil"/>
              <w:bottom w:val="nil"/>
              <w:right w:val="nil"/>
            </w:tcBorders>
            <w:vAlign w:val="center"/>
          </w:tcPr>
          <w:p w14:paraId="2FCB2B00" w14:textId="58A378DA" w:rsidR="007B4DF5" w:rsidRPr="007B4DF5" w:rsidRDefault="00414D36" w:rsidP="0053519D">
            <w:pPr>
              <w:spacing w:before="0" w:after="0" w:line="240" w:lineRule="auto"/>
              <w:jc w:val="center"/>
              <w:rPr>
                <w:rFonts w:eastAsia="MS Mincho" w:cs="Times New Roman"/>
                <w:sz w:val="20"/>
                <w:szCs w:val="20"/>
              </w:rPr>
            </w:pPr>
            <w:r>
              <w:rPr>
                <w:rFonts w:eastAsia="MS Mincho" w:cs="Times New Roman"/>
                <w:sz w:val="20"/>
                <w:szCs w:val="20"/>
              </w:rPr>
              <w:t>0.34</w:t>
            </w:r>
          </w:p>
        </w:tc>
        <w:tc>
          <w:tcPr>
            <w:tcW w:w="1295" w:type="dxa"/>
            <w:tcBorders>
              <w:top w:val="nil"/>
              <w:left w:val="nil"/>
              <w:bottom w:val="nil"/>
              <w:right w:val="nil"/>
            </w:tcBorders>
            <w:vAlign w:val="center"/>
          </w:tcPr>
          <w:p w14:paraId="203D60B7" w14:textId="77777777" w:rsidR="007B4DF5" w:rsidRPr="007B4DF5" w:rsidRDefault="007B4DF5" w:rsidP="0053519D">
            <w:pPr>
              <w:spacing w:before="0" w:after="0" w:line="240" w:lineRule="auto"/>
              <w:jc w:val="center"/>
              <w:rPr>
                <w:rFonts w:eastAsia="MS Mincho" w:cs="Times New Roman"/>
                <w:sz w:val="20"/>
                <w:szCs w:val="20"/>
              </w:rPr>
            </w:pPr>
            <w:r w:rsidRPr="007B4DF5">
              <w:rPr>
                <w:rFonts w:eastAsia="MS Mincho" w:cs="Times New Roman"/>
                <w:sz w:val="20"/>
                <w:szCs w:val="20"/>
              </w:rPr>
              <w:t>0.27</w:t>
            </w:r>
          </w:p>
        </w:tc>
        <w:tc>
          <w:tcPr>
            <w:tcW w:w="1295" w:type="dxa"/>
            <w:tcBorders>
              <w:top w:val="nil"/>
              <w:left w:val="nil"/>
              <w:bottom w:val="nil"/>
              <w:right w:val="nil"/>
            </w:tcBorders>
            <w:vAlign w:val="center"/>
          </w:tcPr>
          <w:p w14:paraId="6DB40B6B" w14:textId="77777777" w:rsidR="007B4DF5" w:rsidRPr="007B4DF5" w:rsidRDefault="007B4DF5" w:rsidP="0053519D">
            <w:pPr>
              <w:spacing w:before="0" w:after="0" w:line="240" w:lineRule="auto"/>
              <w:jc w:val="center"/>
              <w:rPr>
                <w:rFonts w:eastAsia="MS Mincho" w:cs="Times New Roman"/>
                <w:sz w:val="20"/>
                <w:szCs w:val="20"/>
              </w:rPr>
            </w:pPr>
            <w:r w:rsidRPr="007B4DF5">
              <w:rPr>
                <w:rFonts w:eastAsia="MS Mincho" w:cs="Times New Roman"/>
                <w:sz w:val="20"/>
                <w:szCs w:val="20"/>
              </w:rPr>
              <w:t>0.34</w:t>
            </w:r>
          </w:p>
        </w:tc>
      </w:tr>
      <w:tr w:rsidR="007B4DF5" w:rsidRPr="007B4DF5" w14:paraId="7DFC8CE0" w14:textId="77777777" w:rsidTr="00DC1C6C">
        <w:trPr>
          <w:trHeight w:val="330"/>
          <w:jc w:val="center"/>
        </w:trPr>
        <w:tc>
          <w:tcPr>
            <w:tcW w:w="2983" w:type="dxa"/>
            <w:tcBorders>
              <w:top w:val="nil"/>
              <w:left w:val="nil"/>
              <w:bottom w:val="nil"/>
              <w:right w:val="nil"/>
            </w:tcBorders>
            <w:vAlign w:val="center"/>
          </w:tcPr>
          <w:p w14:paraId="0500AE96" w14:textId="77777777" w:rsidR="007B4DF5" w:rsidRPr="007B4DF5" w:rsidRDefault="007B4DF5" w:rsidP="0053519D">
            <w:pPr>
              <w:spacing w:before="0" w:after="0" w:line="240" w:lineRule="auto"/>
              <w:jc w:val="right"/>
              <w:rPr>
                <w:rFonts w:eastAsia="MS Mincho" w:cs="Times New Roman"/>
                <w:sz w:val="20"/>
                <w:szCs w:val="20"/>
              </w:rPr>
            </w:pPr>
            <w:r w:rsidRPr="007B4DF5">
              <w:rPr>
                <w:rFonts w:eastAsia="MS Mincho" w:cs="Times New Roman"/>
                <w:sz w:val="20"/>
                <w:szCs w:val="20"/>
              </w:rPr>
              <w:t>Increased slightly</w:t>
            </w:r>
          </w:p>
        </w:tc>
        <w:tc>
          <w:tcPr>
            <w:tcW w:w="1295" w:type="dxa"/>
            <w:tcBorders>
              <w:top w:val="nil"/>
              <w:left w:val="nil"/>
              <w:bottom w:val="nil"/>
              <w:right w:val="nil"/>
            </w:tcBorders>
            <w:vAlign w:val="center"/>
          </w:tcPr>
          <w:p w14:paraId="06367248" w14:textId="320336AE" w:rsidR="007B4DF5" w:rsidRPr="007B4DF5" w:rsidRDefault="00414D36" w:rsidP="0053519D">
            <w:pPr>
              <w:spacing w:before="0" w:after="0" w:line="240" w:lineRule="auto"/>
              <w:jc w:val="center"/>
              <w:rPr>
                <w:rFonts w:eastAsia="MS Mincho" w:cs="Times New Roman"/>
                <w:sz w:val="20"/>
                <w:szCs w:val="20"/>
              </w:rPr>
            </w:pPr>
            <w:r>
              <w:rPr>
                <w:rFonts w:eastAsia="MS Mincho" w:cs="Times New Roman"/>
                <w:sz w:val="20"/>
                <w:szCs w:val="20"/>
              </w:rPr>
              <w:t>0.33</w:t>
            </w:r>
          </w:p>
        </w:tc>
        <w:tc>
          <w:tcPr>
            <w:tcW w:w="1295" w:type="dxa"/>
            <w:tcBorders>
              <w:top w:val="nil"/>
              <w:left w:val="nil"/>
              <w:bottom w:val="nil"/>
              <w:right w:val="nil"/>
            </w:tcBorders>
            <w:vAlign w:val="center"/>
          </w:tcPr>
          <w:p w14:paraId="71CAFA10" w14:textId="79B22053" w:rsidR="007B4DF5" w:rsidRPr="007B4DF5" w:rsidRDefault="00414D36" w:rsidP="0053519D">
            <w:pPr>
              <w:spacing w:before="0" w:after="0" w:line="240" w:lineRule="auto"/>
              <w:jc w:val="center"/>
              <w:rPr>
                <w:rFonts w:eastAsia="MS Mincho" w:cs="Times New Roman"/>
                <w:sz w:val="20"/>
                <w:szCs w:val="20"/>
              </w:rPr>
            </w:pPr>
            <w:r>
              <w:rPr>
                <w:rFonts w:eastAsia="MS Mincho" w:cs="Times New Roman"/>
                <w:sz w:val="20"/>
                <w:szCs w:val="20"/>
              </w:rPr>
              <w:t>0.26</w:t>
            </w:r>
          </w:p>
        </w:tc>
        <w:tc>
          <w:tcPr>
            <w:tcW w:w="1295" w:type="dxa"/>
            <w:tcBorders>
              <w:top w:val="nil"/>
              <w:left w:val="nil"/>
              <w:bottom w:val="nil"/>
              <w:right w:val="nil"/>
            </w:tcBorders>
            <w:vAlign w:val="center"/>
          </w:tcPr>
          <w:p w14:paraId="12E823B6" w14:textId="7B93498D" w:rsidR="007B4DF5" w:rsidRPr="007B4DF5" w:rsidRDefault="00414D36" w:rsidP="0053519D">
            <w:pPr>
              <w:spacing w:before="0" w:after="0" w:line="240" w:lineRule="auto"/>
              <w:jc w:val="center"/>
              <w:rPr>
                <w:rFonts w:eastAsia="MS Mincho" w:cs="Times New Roman"/>
                <w:sz w:val="20"/>
                <w:szCs w:val="20"/>
              </w:rPr>
            </w:pPr>
            <w:r>
              <w:rPr>
                <w:rFonts w:eastAsia="MS Mincho" w:cs="Times New Roman"/>
                <w:sz w:val="20"/>
                <w:szCs w:val="20"/>
              </w:rPr>
              <w:t>0.38</w:t>
            </w:r>
          </w:p>
        </w:tc>
        <w:tc>
          <w:tcPr>
            <w:tcW w:w="1295" w:type="dxa"/>
            <w:tcBorders>
              <w:top w:val="nil"/>
              <w:left w:val="nil"/>
              <w:bottom w:val="nil"/>
              <w:right w:val="nil"/>
            </w:tcBorders>
            <w:vAlign w:val="center"/>
          </w:tcPr>
          <w:p w14:paraId="6EAEC62B" w14:textId="77777777" w:rsidR="007B4DF5" w:rsidRPr="007B4DF5" w:rsidRDefault="007B4DF5" w:rsidP="0053519D">
            <w:pPr>
              <w:spacing w:before="0" w:after="0" w:line="240" w:lineRule="auto"/>
              <w:jc w:val="center"/>
              <w:rPr>
                <w:rFonts w:eastAsia="MS Mincho" w:cs="Times New Roman"/>
                <w:sz w:val="20"/>
                <w:szCs w:val="20"/>
              </w:rPr>
            </w:pPr>
            <w:r w:rsidRPr="007B4DF5">
              <w:rPr>
                <w:rFonts w:eastAsia="MS Mincho" w:cs="Times New Roman"/>
                <w:sz w:val="20"/>
                <w:szCs w:val="20"/>
              </w:rPr>
              <w:t>0.44</w:t>
            </w:r>
          </w:p>
        </w:tc>
        <w:tc>
          <w:tcPr>
            <w:tcW w:w="1295" w:type="dxa"/>
            <w:tcBorders>
              <w:top w:val="nil"/>
              <w:left w:val="nil"/>
              <w:bottom w:val="nil"/>
              <w:right w:val="nil"/>
            </w:tcBorders>
            <w:vAlign w:val="center"/>
          </w:tcPr>
          <w:p w14:paraId="41F563A5" w14:textId="77777777" w:rsidR="007B4DF5" w:rsidRPr="007B4DF5" w:rsidRDefault="007B4DF5" w:rsidP="0053519D">
            <w:pPr>
              <w:spacing w:before="0" w:after="0" w:line="240" w:lineRule="auto"/>
              <w:jc w:val="center"/>
              <w:rPr>
                <w:rFonts w:eastAsia="MS Mincho" w:cs="Times New Roman"/>
                <w:sz w:val="20"/>
                <w:szCs w:val="20"/>
              </w:rPr>
            </w:pPr>
            <w:r w:rsidRPr="007B4DF5">
              <w:rPr>
                <w:rFonts w:eastAsia="MS Mincho" w:cs="Times New Roman"/>
                <w:sz w:val="20"/>
                <w:szCs w:val="20"/>
              </w:rPr>
              <w:t>0.31</w:t>
            </w:r>
          </w:p>
        </w:tc>
      </w:tr>
      <w:tr w:rsidR="007B4DF5" w:rsidRPr="007B4DF5" w14:paraId="50FEB779" w14:textId="77777777" w:rsidTr="00DC1C6C">
        <w:trPr>
          <w:trHeight w:val="330"/>
          <w:jc w:val="center"/>
        </w:trPr>
        <w:tc>
          <w:tcPr>
            <w:tcW w:w="2983" w:type="dxa"/>
            <w:tcBorders>
              <w:top w:val="nil"/>
              <w:left w:val="nil"/>
              <w:bottom w:val="single" w:sz="4" w:space="0" w:color="auto"/>
              <w:right w:val="nil"/>
            </w:tcBorders>
            <w:vAlign w:val="center"/>
          </w:tcPr>
          <w:p w14:paraId="5CB568B5" w14:textId="77777777" w:rsidR="007B4DF5" w:rsidRPr="007B4DF5" w:rsidRDefault="007B4DF5" w:rsidP="0053519D">
            <w:pPr>
              <w:spacing w:before="0" w:after="0" w:line="240" w:lineRule="auto"/>
              <w:jc w:val="right"/>
              <w:rPr>
                <w:rFonts w:eastAsia="MS Mincho" w:cs="Times New Roman"/>
                <w:sz w:val="20"/>
                <w:szCs w:val="20"/>
              </w:rPr>
            </w:pPr>
            <w:r w:rsidRPr="007B4DF5">
              <w:rPr>
                <w:rFonts w:eastAsia="MS Mincho" w:cs="Times New Roman"/>
                <w:sz w:val="20"/>
                <w:szCs w:val="20"/>
              </w:rPr>
              <w:t>Increased considerably</w:t>
            </w:r>
          </w:p>
        </w:tc>
        <w:tc>
          <w:tcPr>
            <w:tcW w:w="1295" w:type="dxa"/>
            <w:tcBorders>
              <w:top w:val="nil"/>
              <w:left w:val="nil"/>
              <w:bottom w:val="single" w:sz="4" w:space="0" w:color="auto"/>
              <w:right w:val="nil"/>
            </w:tcBorders>
            <w:vAlign w:val="center"/>
          </w:tcPr>
          <w:p w14:paraId="367EC0FF" w14:textId="56D52359" w:rsidR="007B4DF5" w:rsidRPr="007B4DF5" w:rsidRDefault="00414D36" w:rsidP="0053519D">
            <w:pPr>
              <w:spacing w:before="0" w:after="0" w:line="240" w:lineRule="auto"/>
              <w:jc w:val="center"/>
              <w:rPr>
                <w:rFonts w:eastAsia="MS Mincho" w:cs="Times New Roman"/>
                <w:sz w:val="20"/>
                <w:szCs w:val="20"/>
              </w:rPr>
            </w:pPr>
            <w:r>
              <w:rPr>
                <w:rFonts w:eastAsia="MS Mincho" w:cs="Times New Roman"/>
                <w:sz w:val="20"/>
                <w:szCs w:val="20"/>
              </w:rPr>
              <w:t>0.21</w:t>
            </w:r>
          </w:p>
        </w:tc>
        <w:tc>
          <w:tcPr>
            <w:tcW w:w="1295" w:type="dxa"/>
            <w:tcBorders>
              <w:top w:val="nil"/>
              <w:left w:val="nil"/>
              <w:bottom w:val="single" w:sz="4" w:space="0" w:color="auto"/>
              <w:right w:val="nil"/>
            </w:tcBorders>
            <w:vAlign w:val="center"/>
          </w:tcPr>
          <w:p w14:paraId="37BEB6ED" w14:textId="124B4B9B" w:rsidR="007B4DF5" w:rsidRPr="007B4DF5" w:rsidRDefault="00414D36" w:rsidP="0053519D">
            <w:pPr>
              <w:spacing w:before="0" w:after="0" w:line="240" w:lineRule="auto"/>
              <w:jc w:val="center"/>
              <w:rPr>
                <w:rFonts w:eastAsia="MS Mincho" w:cs="Times New Roman"/>
                <w:sz w:val="20"/>
                <w:szCs w:val="20"/>
              </w:rPr>
            </w:pPr>
            <w:r>
              <w:rPr>
                <w:rFonts w:eastAsia="MS Mincho" w:cs="Times New Roman"/>
                <w:sz w:val="20"/>
                <w:szCs w:val="20"/>
              </w:rPr>
              <w:t>0.25</w:t>
            </w:r>
          </w:p>
        </w:tc>
        <w:tc>
          <w:tcPr>
            <w:tcW w:w="1295" w:type="dxa"/>
            <w:tcBorders>
              <w:top w:val="nil"/>
              <w:left w:val="nil"/>
              <w:bottom w:val="single" w:sz="4" w:space="0" w:color="auto"/>
              <w:right w:val="nil"/>
            </w:tcBorders>
            <w:vAlign w:val="center"/>
          </w:tcPr>
          <w:p w14:paraId="2A7C7618" w14:textId="5865D20A" w:rsidR="007B4DF5" w:rsidRPr="007B4DF5" w:rsidRDefault="00414D36" w:rsidP="0053519D">
            <w:pPr>
              <w:spacing w:before="0" w:after="0" w:line="240" w:lineRule="auto"/>
              <w:jc w:val="center"/>
              <w:rPr>
                <w:rFonts w:eastAsia="MS Mincho" w:cs="Times New Roman"/>
                <w:sz w:val="20"/>
                <w:szCs w:val="20"/>
              </w:rPr>
            </w:pPr>
            <w:r>
              <w:rPr>
                <w:rFonts w:eastAsia="MS Mincho" w:cs="Times New Roman"/>
                <w:sz w:val="20"/>
                <w:szCs w:val="20"/>
              </w:rPr>
              <w:t>0.18</w:t>
            </w:r>
          </w:p>
        </w:tc>
        <w:tc>
          <w:tcPr>
            <w:tcW w:w="1295" w:type="dxa"/>
            <w:tcBorders>
              <w:top w:val="nil"/>
              <w:left w:val="nil"/>
              <w:bottom w:val="single" w:sz="4" w:space="0" w:color="auto"/>
              <w:right w:val="nil"/>
            </w:tcBorders>
            <w:vAlign w:val="center"/>
          </w:tcPr>
          <w:p w14:paraId="03CB41F3" w14:textId="77777777" w:rsidR="007B4DF5" w:rsidRPr="007B4DF5" w:rsidRDefault="007B4DF5" w:rsidP="0053519D">
            <w:pPr>
              <w:spacing w:before="0" w:after="0" w:line="240" w:lineRule="auto"/>
              <w:jc w:val="center"/>
              <w:rPr>
                <w:rFonts w:eastAsia="MS Mincho" w:cs="Times New Roman"/>
                <w:sz w:val="20"/>
                <w:szCs w:val="20"/>
                <w:lang w:val="el-GR"/>
              </w:rPr>
            </w:pPr>
            <w:r w:rsidRPr="007B4DF5">
              <w:rPr>
                <w:rFonts w:eastAsia="MS Mincho" w:cs="Times New Roman"/>
                <w:sz w:val="20"/>
                <w:szCs w:val="20"/>
              </w:rPr>
              <w:t>0.20</w:t>
            </w:r>
          </w:p>
        </w:tc>
        <w:tc>
          <w:tcPr>
            <w:tcW w:w="1295" w:type="dxa"/>
            <w:tcBorders>
              <w:top w:val="nil"/>
              <w:left w:val="nil"/>
              <w:bottom w:val="single" w:sz="4" w:space="0" w:color="auto"/>
              <w:right w:val="nil"/>
            </w:tcBorders>
            <w:vAlign w:val="center"/>
          </w:tcPr>
          <w:p w14:paraId="27ADC8D7" w14:textId="77777777" w:rsidR="007B4DF5" w:rsidRPr="007B4DF5" w:rsidRDefault="007B4DF5" w:rsidP="0053519D">
            <w:pPr>
              <w:spacing w:before="0" w:after="0" w:line="240" w:lineRule="auto"/>
              <w:jc w:val="center"/>
              <w:rPr>
                <w:rFonts w:eastAsia="MS Mincho" w:cs="Times New Roman"/>
                <w:sz w:val="20"/>
                <w:szCs w:val="20"/>
              </w:rPr>
            </w:pPr>
            <w:r w:rsidRPr="007B4DF5">
              <w:rPr>
                <w:rFonts w:eastAsia="MS Mincho" w:cs="Times New Roman"/>
                <w:sz w:val="20"/>
                <w:szCs w:val="20"/>
              </w:rPr>
              <w:t>0.19</w:t>
            </w:r>
          </w:p>
        </w:tc>
      </w:tr>
      <w:tr w:rsidR="007B4DF5" w:rsidRPr="007B4DF5" w14:paraId="2831D1CC" w14:textId="77777777" w:rsidTr="00DC1C6C">
        <w:trPr>
          <w:trHeight w:val="330"/>
          <w:jc w:val="center"/>
        </w:trPr>
        <w:tc>
          <w:tcPr>
            <w:tcW w:w="2983" w:type="dxa"/>
            <w:tcBorders>
              <w:top w:val="nil"/>
              <w:left w:val="nil"/>
              <w:bottom w:val="single" w:sz="4" w:space="0" w:color="auto"/>
              <w:right w:val="nil"/>
            </w:tcBorders>
            <w:vAlign w:val="center"/>
          </w:tcPr>
          <w:p w14:paraId="56D16EDA" w14:textId="77777777" w:rsidR="007B4DF5" w:rsidRPr="007B4DF5" w:rsidRDefault="007B4DF5" w:rsidP="0053519D">
            <w:pPr>
              <w:spacing w:before="0" w:after="0" w:line="240" w:lineRule="auto"/>
              <w:jc w:val="right"/>
              <w:rPr>
                <w:rFonts w:eastAsia="MS Mincho" w:cs="Times New Roman"/>
                <w:sz w:val="20"/>
                <w:szCs w:val="20"/>
              </w:rPr>
            </w:pPr>
            <w:r w:rsidRPr="007B4DF5">
              <w:rPr>
                <w:rFonts w:eastAsia="MS Mincho" w:cs="Times New Roman"/>
                <w:sz w:val="20"/>
                <w:szCs w:val="20"/>
              </w:rPr>
              <w:t>Observations (unweighted)</w:t>
            </w:r>
          </w:p>
        </w:tc>
        <w:tc>
          <w:tcPr>
            <w:tcW w:w="1295" w:type="dxa"/>
            <w:tcBorders>
              <w:top w:val="nil"/>
              <w:left w:val="nil"/>
              <w:bottom w:val="single" w:sz="4" w:space="0" w:color="auto"/>
              <w:right w:val="nil"/>
            </w:tcBorders>
            <w:vAlign w:val="center"/>
          </w:tcPr>
          <w:p w14:paraId="3B968F7E" w14:textId="5663FE24" w:rsidR="007B4DF5" w:rsidRPr="007B4DF5" w:rsidRDefault="00414D36" w:rsidP="0053519D">
            <w:pPr>
              <w:spacing w:before="0" w:after="0" w:line="240" w:lineRule="auto"/>
              <w:jc w:val="center"/>
              <w:rPr>
                <w:rFonts w:eastAsia="MS Mincho" w:cs="Times New Roman"/>
                <w:sz w:val="20"/>
                <w:szCs w:val="20"/>
              </w:rPr>
            </w:pPr>
            <w:r>
              <w:rPr>
                <w:rFonts w:eastAsia="MS Mincho" w:cs="Times New Roman"/>
                <w:sz w:val="20"/>
                <w:szCs w:val="20"/>
              </w:rPr>
              <w:t>10,048</w:t>
            </w:r>
          </w:p>
        </w:tc>
        <w:tc>
          <w:tcPr>
            <w:tcW w:w="1295" w:type="dxa"/>
            <w:tcBorders>
              <w:top w:val="nil"/>
              <w:left w:val="nil"/>
              <w:bottom w:val="single" w:sz="4" w:space="0" w:color="auto"/>
              <w:right w:val="nil"/>
            </w:tcBorders>
            <w:vAlign w:val="center"/>
          </w:tcPr>
          <w:p w14:paraId="1A0B96A3" w14:textId="4F40BAB7" w:rsidR="007B4DF5" w:rsidRPr="007B4DF5" w:rsidRDefault="00414D36" w:rsidP="0053519D">
            <w:pPr>
              <w:spacing w:before="0" w:after="0" w:line="240" w:lineRule="auto"/>
              <w:jc w:val="center"/>
              <w:rPr>
                <w:rFonts w:eastAsia="MS Mincho" w:cs="Times New Roman"/>
                <w:sz w:val="20"/>
                <w:szCs w:val="20"/>
              </w:rPr>
            </w:pPr>
            <w:r>
              <w:rPr>
                <w:rFonts w:eastAsia="MS Mincho" w:cs="Times New Roman"/>
                <w:sz w:val="20"/>
                <w:szCs w:val="20"/>
              </w:rPr>
              <w:t>3,216</w:t>
            </w:r>
          </w:p>
        </w:tc>
        <w:tc>
          <w:tcPr>
            <w:tcW w:w="1295" w:type="dxa"/>
            <w:tcBorders>
              <w:top w:val="nil"/>
              <w:left w:val="nil"/>
              <w:bottom w:val="single" w:sz="4" w:space="0" w:color="auto"/>
              <w:right w:val="nil"/>
            </w:tcBorders>
            <w:vAlign w:val="center"/>
          </w:tcPr>
          <w:p w14:paraId="499EB817" w14:textId="0C21F3F0" w:rsidR="007B4DF5" w:rsidRPr="007B4DF5" w:rsidRDefault="00414D36" w:rsidP="0053519D">
            <w:pPr>
              <w:spacing w:before="0" w:after="0" w:line="240" w:lineRule="auto"/>
              <w:jc w:val="center"/>
              <w:rPr>
                <w:rFonts w:eastAsia="MS Mincho" w:cs="Times New Roman"/>
                <w:sz w:val="20"/>
                <w:szCs w:val="20"/>
              </w:rPr>
            </w:pPr>
            <w:r>
              <w:rPr>
                <w:rFonts w:eastAsia="MS Mincho" w:cs="Times New Roman"/>
                <w:sz w:val="20"/>
                <w:szCs w:val="20"/>
              </w:rPr>
              <w:t>3,462</w:t>
            </w:r>
          </w:p>
        </w:tc>
        <w:tc>
          <w:tcPr>
            <w:tcW w:w="1295" w:type="dxa"/>
            <w:tcBorders>
              <w:top w:val="nil"/>
              <w:left w:val="nil"/>
              <w:bottom w:val="single" w:sz="4" w:space="0" w:color="auto"/>
              <w:right w:val="nil"/>
            </w:tcBorders>
            <w:vAlign w:val="center"/>
          </w:tcPr>
          <w:p w14:paraId="69093221" w14:textId="7F2358B2" w:rsidR="007B4DF5" w:rsidRPr="007B4DF5" w:rsidRDefault="00414D36" w:rsidP="0053519D">
            <w:pPr>
              <w:spacing w:before="0" w:after="0" w:line="240" w:lineRule="auto"/>
              <w:jc w:val="center"/>
              <w:rPr>
                <w:rFonts w:eastAsia="MS Mincho" w:cs="Times New Roman"/>
                <w:sz w:val="20"/>
                <w:szCs w:val="20"/>
              </w:rPr>
            </w:pPr>
            <w:r>
              <w:rPr>
                <w:rFonts w:eastAsia="MS Mincho" w:cs="Times New Roman"/>
                <w:sz w:val="20"/>
                <w:szCs w:val="20"/>
              </w:rPr>
              <w:t>1,992</w:t>
            </w:r>
          </w:p>
        </w:tc>
        <w:tc>
          <w:tcPr>
            <w:tcW w:w="1295" w:type="dxa"/>
            <w:tcBorders>
              <w:top w:val="nil"/>
              <w:left w:val="nil"/>
              <w:bottom w:val="single" w:sz="4" w:space="0" w:color="auto"/>
              <w:right w:val="nil"/>
            </w:tcBorders>
            <w:vAlign w:val="center"/>
          </w:tcPr>
          <w:p w14:paraId="20D50BC9" w14:textId="77777777" w:rsidR="007B4DF5" w:rsidRPr="007B4DF5" w:rsidRDefault="007B4DF5" w:rsidP="0053519D">
            <w:pPr>
              <w:spacing w:before="0" w:after="0" w:line="240" w:lineRule="auto"/>
              <w:jc w:val="center"/>
              <w:rPr>
                <w:rFonts w:eastAsia="MS Mincho" w:cs="Times New Roman"/>
                <w:sz w:val="20"/>
                <w:szCs w:val="20"/>
              </w:rPr>
            </w:pPr>
            <w:r w:rsidRPr="007B4DF5">
              <w:rPr>
                <w:rFonts w:eastAsia="MS Mincho" w:cs="Times New Roman"/>
                <w:sz w:val="20"/>
                <w:szCs w:val="20"/>
              </w:rPr>
              <w:t>1,378</w:t>
            </w:r>
          </w:p>
        </w:tc>
      </w:tr>
      <w:tr w:rsidR="007B4DF5" w:rsidRPr="007B4DF5" w14:paraId="6E2DCDDB" w14:textId="77777777" w:rsidTr="00DC1C6C">
        <w:trPr>
          <w:trHeight w:val="330"/>
          <w:jc w:val="center"/>
        </w:trPr>
        <w:tc>
          <w:tcPr>
            <w:tcW w:w="9458" w:type="dxa"/>
            <w:gridSpan w:val="6"/>
            <w:tcBorders>
              <w:top w:val="single" w:sz="4" w:space="0" w:color="auto"/>
              <w:left w:val="nil"/>
              <w:bottom w:val="nil"/>
              <w:right w:val="nil"/>
            </w:tcBorders>
            <w:vAlign w:val="center"/>
          </w:tcPr>
          <w:p w14:paraId="1A4A464B" w14:textId="77777777" w:rsidR="007B4DF5" w:rsidRPr="007B4DF5" w:rsidRDefault="007B4DF5" w:rsidP="0053519D">
            <w:pPr>
              <w:spacing w:before="0" w:after="0" w:line="240" w:lineRule="auto"/>
              <w:rPr>
                <w:rFonts w:eastAsia="MS Mincho" w:cs="Times New Roman"/>
                <w:sz w:val="20"/>
                <w:szCs w:val="20"/>
              </w:rPr>
            </w:pPr>
          </w:p>
          <w:p w14:paraId="2E777427" w14:textId="77777777" w:rsidR="007B4DF5" w:rsidRPr="007B4DF5" w:rsidRDefault="007B4DF5" w:rsidP="0053519D">
            <w:pPr>
              <w:spacing w:before="0" w:after="0" w:line="240" w:lineRule="auto"/>
              <w:rPr>
                <w:rFonts w:eastAsia="MS Mincho" w:cs="Times New Roman"/>
                <w:sz w:val="18"/>
                <w:szCs w:val="18"/>
              </w:rPr>
            </w:pPr>
            <w:r w:rsidRPr="007B4DF5">
              <w:rPr>
                <w:rFonts w:eastAsia="MS Mincho" w:cs="Times New Roman"/>
                <w:sz w:val="18"/>
                <w:szCs w:val="18"/>
              </w:rPr>
              <w:t xml:space="preserve">Source: ECS 2009 and authors’ calculations. </w:t>
            </w:r>
          </w:p>
          <w:p w14:paraId="37AFCBE4" w14:textId="77777777" w:rsidR="007B4DF5" w:rsidRPr="007B4DF5" w:rsidRDefault="007B4DF5" w:rsidP="0053519D">
            <w:pPr>
              <w:spacing w:before="0" w:after="0" w:line="240" w:lineRule="auto"/>
              <w:rPr>
                <w:rFonts w:eastAsia="MS Mincho" w:cs="Times New Roman"/>
                <w:sz w:val="20"/>
                <w:szCs w:val="20"/>
              </w:rPr>
            </w:pPr>
            <w:r w:rsidRPr="007B4DF5">
              <w:rPr>
                <w:rFonts w:eastAsia="MS Mincho" w:cs="Times New Roman"/>
                <w:sz w:val="18"/>
                <w:szCs w:val="18"/>
              </w:rPr>
              <w:t xml:space="preserve">Notes: Numbers show the proportion of establishments giving each response for each country grouping; column proportions may not add to one due to rounding; weighted data. </w:t>
            </w:r>
          </w:p>
        </w:tc>
      </w:tr>
    </w:tbl>
    <w:p w14:paraId="48710155" w14:textId="77777777" w:rsidR="007B4DF5" w:rsidRPr="007B4DF5" w:rsidRDefault="007B4DF5" w:rsidP="007B4DF5">
      <w:pPr>
        <w:rPr>
          <w:rFonts w:eastAsia="MS Mincho" w:cs="Times New Roman"/>
        </w:rPr>
      </w:pPr>
    </w:p>
    <w:tbl>
      <w:tblPr>
        <w:tblStyle w:val="TableGrid1"/>
        <w:tblW w:w="9583" w:type="dxa"/>
        <w:jc w:val="center"/>
        <w:tblLayout w:type="fixed"/>
        <w:tblLook w:val="04A0" w:firstRow="1" w:lastRow="0" w:firstColumn="1" w:lastColumn="0" w:noHBand="0" w:noVBand="1"/>
      </w:tblPr>
      <w:tblGrid>
        <w:gridCol w:w="3393"/>
        <w:gridCol w:w="1238"/>
        <w:gridCol w:w="1238"/>
        <w:gridCol w:w="1405"/>
        <w:gridCol w:w="1070"/>
        <w:gridCol w:w="1239"/>
      </w:tblGrid>
      <w:tr w:rsidR="007B4DF5" w:rsidRPr="007B4DF5" w14:paraId="7CB127E3" w14:textId="77777777" w:rsidTr="00D575E7">
        <w:trPr>
          <w:trHeight w:val="306"/>
          <w:jc w:val="center"/>
        </w:trPr>
        <w:tc>
          <w:tcPr>
            <w:tcW w:w="9583" w:type="dxa"/>
            <w:gridSpan w:val="6"/>
            <w:tcBorders>
              <w:top w:val="nil"/>
              <w:left w:val="nil"/>
              <w:bottom w:val="single" w:sz="4" w:space="0" w:color="auto"/>
              <w:right w:val="nil"/>
            </w:tcBorders>
            <w:vAlign w:val="center"/>
          </w:tcPr>
          <w:p w14:paraId="324CF824" w14:textId="451EC46B" w:rsidR="007B4DF5" w:rsidRPr="007B4DF5" w:rsidRDefault="007B4DF5" w:rsidP="0053519D">
            <w:pPr>
              <w:spacing w:before="0" w:after="0" w:line="240" w:lineRule="auto"/>
              <w:rPr>
                <w:rFonts w:eastAsia="MS Mincho" w:cs="Times New Roman"/>
                <w:b/>
              </w:rPr>
            </w:pPr>
            <w:r w:rsidRPr="007B4DF5">
              <w:rPr>
                <w:rFonts w:eastAsia="MS Mincho" w:cs="Times New Roman"/>
                <w:b/>
              </w:rPr>
              <w:t xml:space="preserve">Table 2: Distribution of bargaining level, employee representation and </w:t>
            </w:r>
            <w:r w:rsidR="009C5E2C">
              <w:rPr>
                <w:rFonts w:eastAsia="MS Mincho" w:cs="Times New Roman"/>
                <w:b/>
              </w:rPr>
              <w:t>workplace</w:t>
            </w:r>
            <w:r w:rsidRPr="007B4DF5">
              <w:rPr>
                <w:rFonts w:eastAsia="MS Mincho" w:cs="Times New Roman"/>
                <w:b/>
              </w:rPr>
              <w:t xml:space="preserve"> practices across EU-15 establishments</w:t>
            </w:r>
          </w:p>
          <w:p w14:paraId="4DD843E3" w14:textId="77777777" w:rsidR="007B4DF5" w:rsidRPr="007B4DF5" w:rsidRDefault="007B4DF5" w:rsidP="0053519D">
            <w:pPr>
              <w:spacing w:before="0" w:after="0" w:line="240" w:lineRule="auto"/>
              <w:jc w:val="center"/>
              <w:rPr>
                <w:rFonts w:eastAsia="MS Mincho" w:cs="Times New Roman"/>
                <w:b/>
              </w:rPr>
            </w:pPr>
          </w:p>
        </w:tc>
      </w:tr>
      <w:tr w:rsidR="007D7BE0" w:rsidRPr="007D7BE0" w14:paraId="3784DFA5" w14:textId="77777777" w:rsidTr="00D575E7">
        <w:trPr>
          <w:trHeight w:val="306"/>
          <w:jc w:val="center"/>
        </w:trPr>
        <w:tc>
          <w:tcPr>
            <w:tcW w:w="3393" w:type="dxa"/>
            <w:tcBorders>
              <w:left w:val="nil"/>
              <w:bottom w:val="nil"/>
              <w:right w:val="nil"/>
            </w:tcBorders>
            <w:vAlign w:val="center"/>
          </w:tcPr>
          <w:p w14:paraId="33543A29" w14:textId="77777777" w:rsidR="007D7BE0" w:rsidRPr="007D7BE0" w:rsidRDefault="007D7BE0" w:rsidP="0053519D">
            <w:pPr>
              <w:spacing w:before="0" w:after="0" w:line="240" w:lineRule="auto"/>
              <w:jc w:val="center"/>
              <w:rPr>
                <w:rFonts w:eastAsia="MS Mincho" w:cs="Times New Roman"/>
                <w:b/>
                <w:sz w:val="20"/>
                <w:szCs w:val="20"/>
              </w:rPr>
            </w:pPr>
          </w:p>
        </w:tc>
        <w:tc>
          <w:tcPr>
            <w:tcW w:w="1238" w:type="dxa"/>
            <w:tcBorders>
              <w:left w:val="nil"/>
              <w:bottom w:val="nil"/>
              <w:right w:val="nil"/>
            </w:tcBorders>
            <w:vAlign w:val="center"/>
          </w:tcPr>
          <w:p w14:paraId="4147F2C3" w14:textId="1F8BFBA3" w:rsidR="007D7BE0" w:rsidRPr="007D7BE0" w:rsidRDefault="007D7BE0" w:rsidP="0053519D">
            <w:pPr>
              <w:spacing w:before="0" w:after="0" w:line="240" w:lineRule="auto"/>
              <w:jc w:val="center"/>
              <w:rPr>
                <w:rFonts w:eastAsia="MS Mincho" w:cs="Times New Roman"/>
                <w:b/>
                <w:sz w:val="20"/>
                <w:szCs w:val="20"/>
              </w:rPr>
            </w:pPr>
            <w:r w:rsidRPr="007D7BE0">
              <w:rPr>
                <w:rFonts w:eastAsia="MS Mincho" w:cs="Times New Roman"/>
                <w:b/>
                <w:sz w:val="20"/>
                <w:szCs w:val="20"/>
              </w:rPr>
              <w:t>EU-15</w:t>
            </w:r>
          </w:p>
        </w:tc>
        <w:tc>
          <w:tcPr>
            <w:tcW w:w="1238" w:type="dxa"/>
            <w:tcBorders>
              <w:left w:val="nil"/>
              <w:bottom w:val="nil"/>
              <w:right w:val="nil"/>
            </w:tcBorders>
            <w:vAlign w:val="center"/>
          </w:tcPr>
          <w:p w14:paraId="003901B4" w14:textId="608BFD94" w:rsidR="007D7BE0" w:rsidRPr="007D7BE0" w:rsidRDefault="007D7BE0" w:rsidP="0053519D">
            <w:pPr>
              <w:spacing w:before="0" w:after="0" w:line="240" w:lineRule="auto"/>
              <w:jc w:val="center"/>
              <w:rPr>
                <w:rFonts w:eastAsia="MS Mincho" w:cs="Times New Roman"/>
                <w:b/>
                <w:sz w:val="20"/>
                <w:szCs w:val="20"/>
              </w:rPr>
            </w:pPr>
            <w:r w:rsidRPr="007D7BE0">
              <w:rPr>
                <w:rFonts w:eastAsia="MS Mincho" w:cs="Times New Roman"/>
                <w:b/>
                <w:sz w:val="20"/>
                <w:szCs w:val="20"/>
              </w:rPr>
              <w:t>Southern</w:t>
            </w:r>
          </w:p>
        </w:tc>
        <w:tc>
          <w:tcPr>
            <w:tcW w:w="1405" w:type="dxa"/>
            <w:tcBorders>
              <w:left w:val="nil"/>
              <w:bottom w:val="nil"/>
              <w:right w:val="nil"/>
            </w:tcBorders>
            <w:vAlign w:val="center"/>
          </w:tcPr>
          <w:p w14:paraId="26030838" w14:textId="66CD763A" w:rsidR="007D7BE0" w:rsidRPr="007D7BE0" w:rsidRDefault="00D86DDF" w:rsidP="0053519D">
            <w:pPr>
              <w:spacing w:before="0" w:after="0" w:line="240" w:lineRule="auto"/>
              <w:jc w:val="center"/>
              <w:rPr>
                <w:rFonts w:eastAsia="MS Mincho" w:cs="Times New Roman"/>
                <w:b/>
                <w:sz w:val="20"/>
                <w:szCs w:val="20"/>
              </w:rPr>
            </w:pPr>
            <w:r>
              <w:rPr>
                <w:rFonts w:eastAsia="MS Mincho" w:cs="Times New Roman"/>
                <w:b/>
                <w:sz w:val="20"/>
                <w:szCs w:val="20"/>
              </w:rPr>
              <w:t>Continental</w:t>
            </w:r>
          </w:p>
        </w:tc>
        <w:tc>
          <w:tcPr>
            <w:tcW w:w="1070" w:type="dxa"/>
            <w:tcBorders>
              <w:left w:val="nil"/>
              <w:bottom w:val="nil"/>
              <w:right w:val="nil"/>
            </w:tcBorders>
            <w:vAlign w:val="center"/>
          </w:tcPr>
          <w:p w14:paraId="5D5F1E2A" w14:textId="67DF53E6" w:rsidR="007D7BE0" w:rsidRPr="007D7BE0" w:rsidRDefault="007D7BE0" w:rsidP="0053519D">
            <w:pPr>
              <w:spacing w:before="0" w:after="0" w:line="240" w:lineRule="auto"/>
              <w:jc w:val="center"/>
              <w:rPr>
                <w:rFonts w:eastAsia="MS Mincho" w:cs="Times New Roman"/>
                <w:b/>
                <w:sz w:val="20"/>
                <w:szCs w:val="20"/>
              </w:rPr>
            </w:pPr>
            <w:r w:rsidRPr="007D7BE0">
              <w:rPr>
                <w:rFonts w:eastAsia="MS Mincho" w:cs="Times New Roman"/>
                <w:b/>
                <w:sz w:val="20"/>
                <w:szCs w:val="20"/>
              </w:rPr>
              <w:t>Nordic</w:t>
            </w:r>
          </w:p>
        </w:tc>
        <w:tc>
          <w:tcPr>
            <w:tcW w:w="1239" w:type="dxa"/>
            <w:tcBorders>
              <w:left w:val="nil"/>
              <w:bottom w:val="nil"/>
              <w:right w:val="nil"/>
            </w:tcBorders>
            <w:vAlign w:val="center"/>
          </w:tcPr>
          <w:p w14:paraId="251526F9" w14:textId="5E337DE1" w:rsidR="007D7BE0" w:rsidRPr="007D7BE0" w:rsidRDefault="007D7BE0" w:rsidP="0053519D">
            <w:pPr>
              <w:spacing w:before="0" w:after="0" w:line="240" w:lineRule="auto"/>
              <w:jc w:val="center"/>
              <w:rPr>
                <w:rFonts w:eastAsia="MS Mincho" w:cs="Times New Roman"/>
                <w:b/>
                <w:sz w:val="20"/>
                <w:szCs w:val="20"/>
              </w:rPr>
            </w:pPr>
            <w:r w:rsidRPr="007D7BE0">
              <w:rPr>
                <w:rFonts w:eastAsia="MS Mincho" w:cs="Times New Roman"/>
                <w:b/>
                <w:sz w:val="20"/>
                <w:szCs w:val="20"/>
              </w:rPr>
              <w:t>Liberal</w:t>
            </w:r>
          </w:p>
        </w:tc>
      </w:tr>
      <w:tr w:rsidR="00D575E7" w:rsidRPr="007B4DF5" w14:paraId="038B4C79" w14:textId="77777777" w:rsidTr="00D575E7">
        <w:trPr>
          <w:trHeight w:val="306"/>
          <w:jc w:val="center"/>
        </w:trPr>
        <w:tc>
          <w:tcPr>
            <w:tcW w:w="3393" w:type="dxa"/>
            <w:tcBorders>
              <w:top w:val="nil"/>
              <w:left w:val="nil"/>
              <w:bottom w:val="nil"/>
              <w:right w:val="nil"/>
            </w:tcBorders>
            <w:vAlign w:val="center"/>
          </w:tcPr>
          <w:p w14:paraId="6A17D3FE" w14:textId="5F550D6E" w:rsidR="00D575E7" w:rsidRPr="007B4DF5" w:rsidRDefault="00E71CB6" w:rsidP="0053519D">
            <w:pPr>
              <w:spacing w:before="0" w:after="0" w:line="240" w:lineRule="auto"/>
              <w:rPr>
                <w:rFonts w:eastAsia="MS Mincho" w:cs="Times New Roman"/>
                <w:b/>
                <w:i/>
                <w:sz w:val="20"/>
                <w:szCs w:val="20"/>
              </w:rPr>
            </w:pPr>
            <w:r>
              <w:rPr>
                <w:rFonts w:eastAsia="MS Mincho" w:cs="Times New Roman"/>
                <w:b/>
                <w:i/>
                <w:sz w:val="20"/>
                <w:szCs w:val="20"/>
              </w:rPr>
              <w:t>E</w:t>
            </w:r>
            <w:r w:rsidR="00E23442">
              <w:rPr>
                <w:rFonts w:eastAsia="MS Mincho" w:cs="Times New Roman"/>
                <w:b/>
                <w:i/>
                <w:sz w:val="20"/>
                <w:szCs w:val="20"/>
              </w:rPr>
              <w:t>mployment relations institutions</w:t>
            </w:r>
          </w:p>
        </w:tc>
        <w:tc>
          <w:tcPr>
            <w:tcW w:w="1238" w:type="dxa"/>
            <w:tcBorders>
              <w:top w:val="nil"/>
              <w:left w:val="nil"/>
              <w:bottom w:val="nil"/>
              <w:right w:val="nil"/>
            </w:tcBorders>
            <w:vAlign w:val="center"/>
          </w:tcPr>
          <w:p w14:paraId="2F2CA63E" w14:textId="77777777" w:rsidR="00D575E7" w:rsidRPr="007B4DF5" w:rsidRDefault="00D575E7" w:rsidP="0053519D">
            <w:pPr>
              <w:spacing w:before="0" w:after="0" w:line="240" w:lineRule="auto"/>
              <w:jc w:val="center"/>
              <w:rPr>
                <w:rFonts w:eastAsia="MS Mincho" w:cs="Times New Roman"/>
                <w:bCs/>
                <w:color w:val="000000"/>
                <w:sz w:val="20"/>
                <w:szCs w:val="20"/>
              </w:rPr>
            </w:pPr>
          </w:p>
        </w:tc>
        <w:tc>
          <w:tcPr>
            <w:tcW w:w="1238" w:type="dxa"/>
            <w:tcBorders>
              <w:top w:val="nil"/>
              <w:left w:val="nil"/>
              <w:bottom w:val="nil"/>
              <w:right w:val="nil"/>
            </w:tcBorders>
            <w:vAlign w:val="center"/>
          </w:tcPr>
          <w:p w14:paraId="5EF272BC" w14:textId="77777777" w:rsidR="00D575E7" w:rsidRPr="007B4DF5" w:rsidRDefault="00D575E7" w:rsidP="0053519D">
            <w:pPr>
              <w:spacing w:before="0" w:after="0" w:line="240" w:lineRule="auto"/>
              <w:jc w:val="center"/>
              <w:rPr>
                <w:rFonts w:eastAsia="MS Mincho" w:cs="Times New Roman"/>
                <w:bCs/>
                <w:color w:val="000000"/>
                <w:sz w:val="20"/>
                <w:szCs w:val="20"/>
              </w:rPr>
            </w:pPr>
          </w:p>
        </w:tc>
        <w:tc>
          <w:tcPr>
            <w:tcW w:w="1405" w:type="dxa"/>
            <w:tcBorders>
              <w:top w:val="nil"/>
              <w:left w:val="nil"/>
              <w:bottom w:val="nil"/>
              <w:right w:val="nil"/>
            </w:tcBorders>
            <w:vAlign w:val="center"/>
          </w:tcPr>
          <w:p w14:paraId="16288AD0" w14:textId="77777777" w:rsidR="00D575E7" w:rsidRPr="007B4DF5" w:rsidRDefault="00D575E7" w:rsidP="0053519D">
            <w:pPr>
              <w:spacing w:before="0" w:after="0" w:line="240" w:lineRule="auto"/>
              <w:jc w:val="center"/>
              <w:rPr>
                <w:rFonts w:eastAsia="MS Mincho" w:cs="Times New Roman"/>
                <w:bCs/>
                <w:color w:val="000000"/>
                <w:sz w:val="20"/>
                <w:szCs w:val="20"/>
              </w:rPr>
            </w:pPr>
          </w:p>
        </w:tc>
        <w:tc>
          <w:tcPr>
            <w:tcW w:w="1070" w:type="dxa"/>
            <w:tcBorders>
              <w:top w:val="nil"/>
              <w:left w:val="nil"/>
              <w:bottom w:val="nil"/>
              <w:right w:val="nil"/>
            </w:tcBorders>
            <w:vAlign w:val="center"/>
          </w:tcPr>
          <w:p w14:paraId="2C621259" w14:textId="77777777" w:rsidR="00D575E7" w:rsidRPr="007B4DF5" w:rsidRDefault="00D575E7" w:rsidP="0053519D">
            <w:pPr>
              <w:spacing w:before="0" w:after="0" w:line="240" w:lineRule="auto"/>
              <w:jc w:val="center"/>
              <w:rPr>
                <w:rFonts w:eastAsia="MS Mincho" w:cs="Times New Roman"/>
                <w:bCs/>
                <w:color w:val="000000"/>
                <w:sz w:val="20"/>
                <w:szCs w:val="20"/>
              </w:rPr>
            </w:pPr>
          </w:p>
        </w:tc>
        <w:tc>
          <w:tcPr>
            <w:tcW w:w="1239" w:type="dxa"/>
            <w:tcBorders>
              <w:top w:val="nil"/>
              <w:left w:val="nil"/>
              <w:bottom w:val="nil"/>
              <w:right w:val="nil"/>
            </w:tcBorders>
            <w:vAlign w:val="center"/>
          </w:tcPr>
          <w:p w14:paraId="4966B06E" w14:textId="77777777" w:rsidR="00D575E7" w:rsidRPr="007B4DF5" w:rsidRDefault="00D575E7" w:rsidP="0053519D">
            <w:pPr>
              <w:spacing w:before="0" w:after="0" w:line="240" w:lineRule="auto"/>
              <w:jc w:val="center"/>
              <w:rPr>
                <w:rFonts w:eastAsia="MS Mincho" w:cs="Times New Roman"/>
                <w:bCs/>
                <w:color w:val="000000"/>
                <w:sz w:val="20"/>
                <w:szCs w:val="20"/>
              </w:rPr>
            </w:pPr>
          </w:p>
        </w:tc>
      </w:tr>
      <w:tr w:rsidR="007D7BE0" w:rsidRPr="007B4DF5" w14:paraId="4B52C3F0" w14:textId="77777777" w:rsidTr="00D575E7">
        <w:trPr>
          <w:trHeight w:val="306"/>
          <w:jc w:val="center"/>
        </w:trPr>
        <w:tc>
          <w:tcPr>
            <w:tcW w:w="3393" w:type="dxa"/>
            <w:tcBorders>
              <w:top w:val="nil"/>
              <w:left w:val="nil"/>
              <w:bottom w:val="nil"/>
              <w:right w:val="nil"/>
            </w:tcBorders>
            <w:vAlign w:val="center"/>
          </w:tcPr>
          <w:p w14:paraId="7F8497D3" w14:textId="3428A5E7" w:rsidR="007D7BE0" w:rsidRPr="00D575E7" w:rsidRDefault="00D575E7" w:rsidP="0053519D">
            <w:pPr>
              <w:spacing w:before="0" w:after="0" w:line="240" w:lineRule="auto"/>
              <w:rPr>
                <w:rFonts w:eastAsia="MS Mincho" w:cs="Times New Roman"/>
                <w:i/>
                <w:sz w:val="20"/>
                <w:szCs w:val="20"/>
              </w:rPr>
            </w:pPr>
            <w:r>
              <w:rPr>
                <w:rFonts w:eastAsia="MS Mincho" w:cs="Times New Roman"/>
                <w:i/>
                <w:sz w:val="20"/>
                <w:szCs w:val="20"/>
              </w:rPr>
              <w:t>Collective Bargaining</w:t>
            </w:r>
          </w:p>
        </w:tc>
        <w:tc>
          <w:tcPr>
            <w:tcW w:w="1238" w:type="dxa"/>
            <w:tcBorders>
              <w:top w:val="nil"/>
              <w:left w:val="nil"/>
              <w:bottom w:val="nil"/>
              <w:right w:val="nil"/>
            </w:tcBorders>
            <w:vAlign w:val="center"/>
          </w:tcPr>
          <w:p w14:paraId="1CC18685" w14:textId="77777777" w:rsidR="007D7BE0" w:rsidRPr="007B4DF5" w:rsidRDefault="007D7BE0" w:rsidP="0053519D">
            <w:pPr>
              <w:spacing w:before="0" w:after="0" w:line="240" w:lineRule="auto"/>
              <w:jc w:val="center"/>
              <w:rPr>
                <w:rFonts w:eastAsia="MS Mincho" w:cs="Times New Roman"/>
                <w:bCs/>
                <w:color w:val="000000"/>
                <w:sz w:val="20"/>
                <w:szCs w:val="20"/>
              </w:rPr>
            </w:pPr>
          </w:p>
        </w:tc>
        <w:tc>
          <w:tcPr>
            <w:tcW w:w="1238" w:type="dxa"/>
            <w:tcBorders>
              <w:top w:val="nil"/>
              <w:left w:val="nil"/>
              <w:bottom w:val="nil"/>
              <w:right w:val="nil"/>
            </w:tcBorders>
            <w:vAlign w:val="center"/>
          </w:tcPr>
          <w:p w14:paraId="47526260" w14:textId="77777777" w:rsidR="007D7BE0" w:rsidRPr="007B4DF5" w:rsidRDefault="007D7BE0" w:rsidP="0053519D">
            <w:pPr>
              <w:spacing w:before="0" w:after="0" w:line="240" w:lineRule="auto"/>
              <w:jc w:val="center"/>
              <w:rPr>
                <w:rFonts w:eastAsia="MS Mincho" w:cs="Times New Roman"/>
                <w:bCs/>
                <w:color w:val="000000"/>
                <w:sz w:val="20"/>
                <w:szCs w:val="20"/>
              </w:rPr>
            </w:pPr>
          </w:p>
        </w:tc>
        <w:tc>
          <w:tcPr>
            <w:tcW w:w="1405" w:type="dxa"/>
            <w:tcBorders>
              <w:top w:val="nil"/>
              <w:left w:val="nil"/>
              <w:bottom w:val="nil"/>
              <w:right w:val="nil"/>
            </w:tcBorders>
            <w:vAlign w:val="center"/>
          </w:tcPr>
          <w:p w14:paraId="3E94D058" w14:textId="77777777" w:rsidR="007D7BE0" w:rsidRPr="007B4DF5" w:rsidRDefault="007D7BE0" w:rsidP="0053519D">
            <w:pPr>
              <w:spacing w:before="0" w:after="0" w:line="240" w:lineRule="auto"/>
              <w:jc w:val="center"/>
              <w:rPr>
                <w:rFonts w:eastAsia="MS Mincho" w:cs="Times New Roman"/>
                <w:bCs/>
                <w:color w:val="000000"/>
                <w:sz w:val="20"/>
                <w:szCs w:val="20"/>
              </w:rPr>
            </w:pPr>
          </w:p>
        </w:tc>
        <w:tc>
          <w:tcPr>
            <w:tcW w:w="1070" w:type="dxa"/>
            <w:tcBorders>
              <w:top w:val="nil"/>
              <w:left w:val="nil"/>
              <w:bottom w:val="nil"/>
              <w:right w:val="nil"/>
            </w:tcBorders>
            <w:vAlign w:val="center"/>
          </w:tcPr>
          <w:p w14:paraId="6E09A724" w14:textId="77777777" w:rsidR="007D7BE0" w:rsidRPr="007B4DF5" w:rsidRDefault="007D7BE0" w:rsidP="0053519D">
            <w:pPr>
              <w:spacing w:before="0" w:after="0" w:line="240" w:lineRule="auto"/>
              <w:jc w:val="center"/>
              <w:rPr>
                <w:rFonts w:eastAsia="MS Mincho" w:cs="Times New Roman"/>
                <w:bCs/>
                <w:color w:val="000000"/>
                <w:sz w:val="20"/>
                <w:szCs w:val="20"/>
              </w:rPr>
            </w:pPr>
          </w:p>
        </w:tc>
        <w:tc>
          <w:tcPr>
            <w:tcW w:w="1239" w:type="dxa"/>
            <w:tcBorders>
              <w:top w:val="nil"/>
              <w:left w:val="nil"/>
              <w:bottom w:val="nil"/>
              <w:right w:val="nil"/>
            </w:tcBorders>
            <w:vAlign w:val="center"/>
          </w:tcPr>
          <w:p w14:paraId="035E14DB" w14:textId="77777777" w:rsidR="007D7BE0" w:rsidRPr="007B4DF5" w:rsidRDefault="007D7BE0" w:rsidP="0053519D">
            <w:pPr>
              <w:spacing w:before="0" w:after="0" w:line="240" w:lineRule="auto"/>
              <w:jc w:val="center"/>
              <w:rPr>
                <w:rFonts w:eastAsia="MS Mincho" w:cs="Times New Roman"/>
                <w:bCs/>
                <w:color w:val="000000"/>
                <w:sz w:val="20"/>
                <w:szCs w:val="20"/>
              </w:rPr>
            </w:pPr>
          </w:p>
        </w:tc>
      </w:tr>
      <w:tr w:rsidR="007D7BE0" w:rsidRPr="007B4DF5" w14:paraId="191A8360" w14:textId="77777777" w:rsidTr="00D86DDF">
        <w:trPr>
          <w:trHeight w:val="306"/>
          <w:jc w:val="center"/>
        </w:trPr>
        <w:tc>
          <w:tcPr>
            <w:tcW w:w="3393" w:type="dxa"/>
            <w:tcBorders>
              <w:top w:val="nil"/>
              <w:left w:val="nil"/>
              <w:bottom w:val="nil"/>
              <w:right w:val="nil"/>
            </w:tcBorders>
            <w:vAlign w:val="center"/>
          </w:tcPr>
          <w:p w14:paraId="4133B8BC" w14:textId="77777777" w:rsidR="007D7BE0" w:rsidRPr="007B4DF5" w:rsidRDefault="007D7BE0" w:rsidP="0053519D">
            <w:pPr>
              <w:spacing w:before="0" w:after="0" w:line="240" w:lineRule="auto"/>
              <w:jc w:val="right"/>
              <w:rPr>
                <w:rFonts w:eastAsia="MS Mincho" w:cs="Times New Roman"/>
                <w:sz w:val="20"/>
                <w:szCs w:val="20"/>
              </w:rPr>
            </w:pPr>
            <w:r w:rsidRPr="007B4DF5">
              <w:rPr>
                <w:rFonts w:eastAsia="MS Mincho" w:cs="Times New Roman"/>
                <w:sz w:val="20"/>
                <w:szCs w:val="20"/>
              </w:rPr>
              <w:t>No collective bargaining</w:t>
            </w:r>
          </w:p>
        </w:tc>
        <w:tc>
          <w:tcPr>
            <w:tcW w:w="1238" w:type="dxa"/>
            <w:tcBorders>
              <w:top w:val="nil"/>
              <w:left w:val="nil"/>
              <w:bottom w:val="nil"/>
              <w:right w:val="nil"/>
            </w:tcBorders>
            <w:vAlign w:val="center"/>
          </w:tcPr>
          <w:p w14:paraId="7842E95F" w14:textId="36882E87" w:rsidR="007D7BE0" w:rsidRPr="007B4DF5" w:rsidRDefault="00414D36" w:rsidP="0053519D">
            <w:pPr>
              <w:spacing w:before="0" w:after="0" w:line="240" w:lineRule="auto"/>
              <w:jc w:val="center"/>
              <w:rPr>
                <w:rFonts w:eastAsia="MS Mincho" w:cs="Times New Roman"/>
                <w:bCs/>
                <w:color w:val="000000"/>
                <w:sz w:val="20"/>
                <w:szCs w:val="20"/>
              </w:rPr>
            </w:pPr>
            <w:r>
              <w:rPr>
                <w:rFonts w:eastAsia="MS Mincho" w:cs="Times New Roman"/>
                <w:bCs/>
                <w:color w:val="000000"/>
                <w:sz w:val="20"/>
                <w:szCs w:val="20"/>
              </w:rPr>
              <w:t>0.31</w:t>
            </w:r>
          </w:p>
        </w:tc>
        <w:tc>
          <w:tcPr>
            <w:tcW w:w="1238" w:type="dxa"/>
            <w:tcBorders>
              <w:top w:val="nil"/>
              <w:left w:val="nil"/>
              <w:bottom w:val="nil"/>
              <w:right w:val="nil"/>
            </w:tcBorders>
            <w:vAlign w:val="center"/>
          </w:tcPr>
          <w:p w14:paraId="39FFE2FD" w14:textId="75553524" w:rsidR="007D7BE0" w:rsidRPr="007B4DF5" w:rsidRDefault="00414D36" w:rsidP="0053519D">
            <w:pPr>
              <w:spacing w:before="0" w:after="0" w:line="240" w:lineRule="auto"/>
              <w:jc w:val="center"/>
              <w:rPr>
                <w:rFonts w:eastAsia="MS Mincho" w:cs="Times New Roman"/>
                <w:bCs/>
                <w:color w:val="000000"/>
                <w:sz w:val="20"/>
                <w:szCs w:val="20"/>
              </w:rPr>
            </w:pPr>
            <w:r>
              <w:rPr>
                <w:rFonts w:eastAsia="MS Mincho" w:cs="Times New Roman"/>
                <w:bCs/>
                <w:color w:val="000000"/>
                <w:sz w:val="20"/>
                <w:szCs w:val="20"/>
              </w:rPr>
              <w:t>0.18</w:t>
            </w:r>
          </w:p>
        </w:tc>
        <w:tc>
          <w:tcPr>
            <w:tcW w:w="1405" w:type="dxa"/>
            <w:tcBorders>
              <w:top w:val="nil"/>
              <w:left w:val="nil"/>
              <w:bottom w:val="nil"/>
              <w:right w:val="nil"/>
            </w:tcBorders>
            <w:vAlign w:val="center"/>
          </w:tcPr>
          <w:p w14:paraId="28B3D8F5"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0.27</w:t>
            </w:r>
          </w:p>
        </w:tc>
        <w:tc>
          <w:tcPr>
            <w:tcW w:w="1070" w:type="dxa"/>
            <w:tcBorders>
              <w:top w:val="nil"/>
              <w:left w:val="nil"/>
              <w:bottom w:val="nil"/>
              <w:right w:val="nil"/>
            </w:tcBorders>
            <w:vAlign w:val="center"/>
          </w:tcPr>
          <w:p w14:paraId="1696E8B4"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0.16</w:t>
            </w:r>
          </w:p>
        </w:tc>
        <w:tc>
          <w:tcPr>
            <w:tcW w:w="1239" w:type="dxa"/>
            <w:tcBorders>
              <w:top w:val="nil"/>
              <w:left w:val="nil"/>
              <w:bottom w:val="nil"/>
              <w:right w:val="nil"/>
            </w:tcBorders>
            <w:vAlign w:val="center"/>
          </w:tcPr>
          <w:p w14:paraId="3669EF9F"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0.65</w:t>
            </w:r>
          </w:p>
        </w:tc>
      </w:tr>
      <w:tr w:rsidR="007D7BE0" w:rsidRPr="007B4DF5" w14:paraId="4F258777" w14:textId="77777777" w:rsidTr="00D86DDF">
        <w:trPr>
          <w:trHeight w:val="306"/>
          <w:jc w:val="center"/>
        </w:trPr>
        <w:tc>
          <w:tcPr>
            <w:tcW w:w="3393" w:type="dxa"/>
            <w:tcBorders>
              <w:top w:val="nil"/>
              <w:left w:val="nil"/>
              <w:bottom w:val="nil"/>
              <w:right w:val="nil"/>
            </w:tcBorders>
            <w:vAlign w:val="center"/>
          </w:tcPr>
          <w:p w14:paraId="292EC0D5" w14:textId="2E70065B" w:rsidR="007D7BE0" w:rsidRPr="007B4DF5" w:rsidRDefault="00DC1C6C" w:rsidP="0053519D">
            <w:pPr>
              <w:spacing w:before="0" w:after="0" w:line="240" w:lineRule="auto"/>
              <w:jc w:val="right"/>
              <w:rPr>
                <w:rFonts w:eastAsia="MS Mincho" w:cs="Times New Roman"/>
                <w:sz w:val="20"/>
                <w:szCs w:val="20"/>
              </w:rPr>
            </w:pPr>
            <w:r>
              <w:rPr>
                <w:rFonts w:eastAsia="MS Mincho" w:cs="Times New Roman"/>
                <w:sz w:val="20"/>
                <w:szCs w:val="20"/>
              </w:rPr>
              <w:t>Decentralised</w:t>
            </w:r>
            <w:r w:rsidR="007D7BE0" w:rsidRPr="007B4DF5">
              <w:rPr>
                <w:rFonts w:eastAsia="MS Mincho" w:cs="Times New Roman"/>
                <w:sz w:val="20"/>
                <w:szCs w:val="20"/>
              </w:rPr>
              <w:t xml:space="preserve"> bargaining </w:t>
            </w:r>
          </w:p>
        </w:tc>
        <w:tc>
          <w:tcPr>
            <w:tcW w:w="1238" w:type="dxa"/>
            <w:tcBorders>
              <w:top w:val="nil"/>
              <w:left w:val="nil"/>
              <w:bottom w:val="nil"/>
              <w:right w:val="nil"/>
            </w:tcBorders>
            <w:vAlign w:val="center"/>
          </w:tcPr>
          <w:p w14:paraId="01A885BF" w14:textId="339444F9" w:rsidR="007D7BE0" w:rsidRPr="007B4DF5" w:rsidRDefault="00414D36" w:rsidP="0053519D">
            <w:pPr>
              <w:spacing w:before="0" w:after="0" w:line="240" w:lineRule="auto"/>
              <w:jc w:val="center"/>
              <w:rPr>
                <w:rFonts w:eastAsia="MS Mincho" w:cs="Times New Roman"/>
                <w:bCs/>
                <w:color w:val="000000"/>
                <w:sz w:val="20"/>
                <w:szCs w:val="20"/>
              </w:rPr>
            </w:pPr>
            <w:r>
              <w:rPr>
                <w:rFonts w:eastAsia="MS Mincho" w:cs="Times New Roman"/>
                <w:bCs/>
                <w:color w:val="000000"/>
                <w:sz w:val="20"/>
                <w:szCs w:val="20"/>
              </w:rPr>
              <w:t>0.28</w:t>
            </w:r>
          </w:p>
        </w:tc>
        <w:tc>
          <w:tcPr>
            <w:tcW w:w="1238" w:type="dxa"/>
            <w:tcBorders>
              <w:top w:val="nil"/>
              <w:left w:val="nil"/>
              <w:bottom w:val="nil"/>
              <w:right w:val="nil"/>
            </w:tcBorders>
            <w:vAlign w:val="center"/>
          </w:tcPr>
          <w:p w14:paraId="391FA61C" w14:textId="53301242" w:rsidR="007D7BE0" w:rsidRPr="007B4DF5" w:rsidRDefault="00414D36" w:rsidP="0053519D">
            <w:pPr>
              <w:spacing w:before="0" w:after="0" w:line="240" w:lineRule="auto"/>
              <w:jc w:val="center"/>
              <w:rPr>
                <w:rFonts w:eastAsia="MS Mincho" w:cs="Times New Roman"/>
                <w:bCs/>
                <w:color w:val="000000"/>
                <w:sz w:val="20"/>
                <w:szCs w:val="20"/>
              </w:rPr>
            </w:pPr>
            <w:r>
              <w:rPr>
                <w:rFonts w:eastAsia="MS Mincho" w:cs="Times New Roman"/>
                <w:bCs/>
                <w:color w:val="000000"/>
                <w:sz w:val="20"/>
                <w:szCs w:val="20"/>
              </w:rPr>
              <w:t>0.24</w:t>
            </w:r>
          </w:p>
        </w:tc>
        <w:tc>
          <w:tcPr>
            <w:tcW w:w="1405" w:type="dxa"/>
            <w:tcBorders>
              <w:top w:val="nil"/>
              <w:left w:val="nil"/>
              <w:bottom w:val="nil"/>
              <w:right w:val="nil"/>
            </w:tcBorders>
            <w:vAlign w:val="center"/>
          </w:tcPr>
          <w:p w14:paraId="0E346315"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0.32</w:t>
            </w:r>
          </w:p>
        </w:tc>
        <w:tc>
          <w:tcPr>
            <w:tcW w:w="1070" w:type="dxa"/>
            <w:tcBorders>
              <w:top w:val="nil"/>
              <w:left w:val="nil"/>
              <w:bottom w:val="nil"/>
              <w:right w:val="nil"/>
            </w:tcBorders>
            <w:vAlign w:val="center"/>
          </w:tcPr>
          <w:p w14:paraId="0AC9D295"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0.28</w:t>
            </w:r>
          </w:p>
        </w:tc>
        <w:tc>
          <w:tcPr>
            <w:tcW w:w="1239" w:type="dxa"/>
            <w:tcBorders>
              <w:top w:val="nil"/>
              <w:left w:val="nil"/>
              <w:bottom w:val="nil"/>
              <w:right w:val="nil"/>
            </w:tcBorders>
            <w:vAlign w:val="center"/>
          </w:tcPr>
          <w:p w14:paraId="7BA04936"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0.25</w:t>
            </w:r>
          </w:p>
        </w:tc>
      </w:tr>
      <w:tr w:rsidR="007D7BE0" w:rsidRPr="007B4DF5" w14:paraId="71628498" w14:textId="77777777" w:rsidTr="00D86DDF">
        <w:trPr>
          <w:trHeight w:val="306"/>
          <w:jc w:val="center"/>
        </w:trPr>
        <w:tc>
          <w:tcPr>
            <w:tcW w:w="3393" w:type="dxa"/>
            <w:tcBorders>
              <w:top w:val="nil"/>
              <w:left w:val="nil"/>
              <w:bottom w:val="nil"/>
              <w:right w:val="nil"/>
            </w:tcBorders>
            <w:vAlign w:val="center"/>
          </w:tcPr>
          <w:p w14:paraId="6DCABAF7" w14:textId="733D6E00" w:rsidR="007D7BE0" w:rsidRPr="007B4DF5" w:rsidRDefault="00DC1C6C" w:rsidP="0053519D">
            <w:pPr>
              <w:spacing w:before="0" w:after="0" w:line="240" w:lineRule="auto"/>
              <w:jc w:val="right"/>
              <w:rPr>
                <w:rFonts w:eastAsia="MS Mincho" w:cs="Times New Roman"/>
                <w:sz w:val="20"/>
                <w:szCs w:val="20"/>
              </w:rPr>
            </w:pPr>
            <w:r>
              <w:rPr>
                <w:rFonts w:eastAsia="MS Mincho" w:cs="Times New Roman"/>
                <w:sz w:val="20"/>
                <w:szCs w:val="20"/>
              </w:rPr>
              <w:t xml:space="preserve">Centralised </w:t>
            </w:r>
            <w:r w:rsidR="007D7BE0" w:rsidRPr="007B4DF5">
              <w:rPr>
                <w:rFonts w:eastAsia="MS Mincho" w:cs="Times New Roman"/>
                <w:sz w:val="20"/>
                <w:szCs w:val="20"/>
              </w:rPr>
              <w:t xml:space="preserve">bargaining </w:t>
            </w:r>
          </w:p>
        </w:tc>
        <w:tc>
          <w:tcPr>
            <w:tcW w:w="1238" w:type="dxa"/>
            <w:tcBorders>
              <w:top w:val="nil"/>
              <w:left w:val="nil"/>
              <w:bottom w:val="nil"/>
              <w:right w:val="nil"/>
            </w:tcBorders>
            <w:vAlign w:val="center"/>
          </w:tcPr>
          <w:p w14:paraId="157394A9" w14:textId="52590C40" w:rsidR="007D7BE0" w:rsidRPr="007B4DF5" w:rsidRDefault="00414D36" w:rsidP="0053519D">
            <w:pPr>
              <w:spacing w:before="0" w:after="0" w:line="240" w:lineRule="auto"/>
              <w:jc w:val="center"/>
              <w:rPr>
                <w:rFonts w:eastAsia="MS Mincho" w:cs="Times New Roman"/>
                <w:bCs/>
                <w:color w:val="000000"/>
                <w:sz w:val="20"/>
                <w:szCs w:val="20"/>
              </w:rPr>
            </w:pPr>
            <w:r>
              <w:rPr>
                <w:rFonts w:eastAsia="MS Mincho" w:cs="Times New Roman"/>
                <w:bCs/>
                <w:color w:val="000000"/>
                <w:sz w:val="20"/>
                <w:szCs w:val="20"/>
              </w:rPr>
              <w:t>0.38</w:t>
            </w:r>
          </w:p>
        </w:tc>
        <w:tc>
          <w:tcPr>
            <w:tcW w:w="1238" w:type="dxa"/>
            <w:tcBorders>
              <w:top w:val="nil"/>
              <w:left w:val="nil"/>
              <w:bottom w:val="nil"/>
              <w:right w:val="nil"/>
            </w:tcBorders>
            <w:vAlign w:val="center"/>
          </w:tcPr>
          <w:p w14:paraId="0E1AE5D9" w14:textId="770717C6" w:rsidR="007D7BE0" w:rsidRPr="007B4DF5" w:rsidRDefault="00414D36" w:rsidP="0053519D">
            <w:pPr>
              <w:spacing w:before="0" w:after="0" w:line="240" w:lineRule="auto"/>
              <w:jc w:val="center"/>
              <w:rPr>
                <w:rFonts w:eastAsia="MS Mincho" w:cs="Times New Roman"/>
                <w:bCs/>
                <w:color w:val="000000"/>
                <w:sz w:val="20"/>
                <w:szCs w:val="20"/>
              </w:rPr>
            </w:pPr>
            <w:r>
              <w:rPr>
                <w:rFonts w:eastAsia="MS Mincho" w:cs="Times New Roman"/>
                <w:bCs/>
                <w:color w:val="000000"/>
                <w:sz w:val="20"/>
                <w:szCs w:val="20"/>
              </w:rPr>
              <w:t>0.53</w:t>
            </w:r>
          </w:p>
        </w:tc>
        <w:tc>
          <w:tcPr>
            <w:tcW w:w="1405" w:type="dxa"/>
            <w:tcBorders>
              <w:top w:val="nil"/>
              <w:left w:val="nil"/>
              <w:bottom w:val="nil"/>
              <w:right w:val="nil"/>
            </w:tcBorders>
            <w:vAlign w:val="center"/>
          </w:tcPr>
          <w:p w14:paraId="38F07021" w14:textId="11045BE2" w:rsidR="007D7BE0" w:rsidRPr="007B4DF5" w:rsidRDefault="00414D36" w:rsidP="0053519D">
            <w:pPr>
              <w:spacing w:before="0" w:after="0" w:line="240" w:lineRule="auto"/>
              <w:jc w:val="center"/>
              <w:rPr>
                <w:rFonts w:eastAsia="MS Mincho" w:cs="Times New Roman"/>
                <w:bCs/>
                <w:color w:val="000000"/>
                <w:sz w:val="20"/>
                <w:szCs w:val="20"/>
              </w:rPr>
            </w:pPr>
            <w:r>
              <w:rPr>
                <w:rFonts w:eastAsia="MS Mincho" w:cs="Times New Roman"/>
                <w:bCs/>
                <w:color w:val="000000"/>
                <w:sz w:val="20"/>
                <w:szCs w:val="20"/>
              </w:rPr>
              <w:t>0.38</w:t>
            </w:r>
          </w:p>
        </w:tc>
        <w:tc>
          <w:tcPr>
            <w:tcW w:w="1070" w:type="dxa"/>
            <w:tcBorders>
              <w:top w:val="nil"/>
              <w:left w:val="nil"/>
              <w:bottom w:val="nil"/>
              <w:right w:val="nil"/>
            </w:tcBorders>
            <w:vAlign w:val="center"/>
          </w:tcPr>
          <w:p w14:paraId="7B0A6199"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0.51</w:t>
            </w:r>
          </w:p>
        </w:tc>
        <w:tc>
          <w:tcPr>
            <w:tcW w:w="1239" w:type="dxa"/>
            <w:tcBorders>
              <w:top w:val="nil"/>
              <w:left w:val="nil"/>
              <w:bottom w:val="nil"/>
              <w:right w:val="nil"/>
            </w:tcBorders>
            <w:vAlign w:val="center"/>
          </w:tcPr>
          <w:p w14:paraId="584F32F3"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0.10</w:t>
            </w:r>
          </w:p>
        </w:tc>
      </w:tr>
      <w:tr w:rsidR="007D7BE0" w:rsidRPr="007B4DF5" w14:paraId="2699E4FD" w14:textId="77777777" w:rsidTr="00D86DDF">
        <w:trPr>
          <w:trHeight w:val="306"/>
          <w:jc w:val="center"/>
        </w:trPr>
        <w:tc>
          <w:tcPr>
            <w:tcW w:w="3393" w:type="dxa"/>
            <w:tcBorders>
              <w:top w:val="nil"/>
              <w:left w:val="nil"/>
              <w:bottom w:val="nil"/>
              <w:right w:val="nil"/>
            </w:tcBorders>
            <w:vAlign w:val="center"/>
          </w:tcPr>
          <w:p w14:paraId="6B859FC5" w14:textId="332AEFFC" w:rsidR="007D7BE0" w:rsidRPr="007B4DF5" w:rsidRDefault="00D86DDF" w:rsidP="0053519D">
            <w:pPr>
              <w:spacing w:before="0" w:after="0" w:line="240" w:lineRule="auto"/>
              <w:jc w:val="right"/>
              <w:rPr>
                <w:rFonts w:eastAsia="MS Mincho" w:cs="Times New Roman"/>
                <w:sz w:val="20"/>
                <w:szCs w:val="20"/>
              </w:rPr>
            </w:pPr>
            <w:r>
              <w:rPr>
                <w:rFonts w:eastAsia="MS Mincho" w:cs="Times New Roman"/>
                <w:sz w:val="20"/>
                <w:szCs w:val="20"/>
              </w:rPr>
              <w:t>Two-tier bargaining</w:t>
            </w:r>
          </w:p>
        </w:tc>
        <w:tc>
          <w:tcPr>
            <w:tcW w:w="1238" w:type="dxa"/>
            <w:tcBorders>
              <w:top w:val="nil"/>
              <w:left w:val="nil"/>
              <w:bottom w:val="nil"/>
              <w:right w:val="nil"/>
            </w:tcBorders>
            <w:vAlign w:val="center"/>
          </w:tcPr>
          <w:p w14:paraId="004F3FC8"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0.03</w:t>
            </w:r>
          </w:p>
        </w:tc>
        <w:tc>
          <w:tcPr>
            <w:tcW w:w="1238" w:type="dxa"/>
            <w:tcBorders>
              <w:top w:val="nil"/>
              <w:left w:val="nil"/>
              <w:bottom w:val="nil"/>
              <w:right w:val="nil"/>
            </w:tcBorders>
            <w:vAlign w:val="center"/>
          </w:tcPr>
          <w:p w14:paraId="7B4E8ED4"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0.06</w:t>
            </w:r>
          </w:p>
        </w:tc>
        <w:tc>
          <w:tcPr>
            <w:tcW w:w="1405" w:type="dxa"/>
            <w:tcBorders>
              <w:top w:val="nil"/>
              <w:left w:val="nil"/>
              <w:bottom w:val="nil"/>
              <w:right w:val="nil"/>
            </w:tcBorders>
            <w:vAlign w:val="center"/>
          </w:tcPr>
          <w:p w14:paraId="0FCA5D8C" w14:textId="2FD9823C" w:rsidR="007D7BE0" w:rsidRPr="007B4DF5" w:rsidRDefault="00414D36" w:rsidP="0053519D">
            <w:pPr>
              <w:spacing w:before="0" w:after="0" w:line="240" w:lineRule="auto"/>
              <w:jc w:val="center"/>
              <w:rPr>
                <w:rFonts w:eastAsia="MS Mincho" w:cs="Times New Roman"/>
                <w:bCs/>
                <w:color w:val="000000"/>
                <w:sz w:val="20"/>
                <w:szCs w:val="20"/>
              </w:rPr>
            </w:pPr>
            <w:r>
              <w:rPr>
                <w:rFonts w:eastAsia="MS Mincho" w:cs="Times New Roman"/>
                <w:bCs/>
                <w:color w:val="000000"/>
                <w:sz w:val="20"/>
                <w:szCs w:val="20"/>
              </w:rPr>
              <w:t>0.03</w:t>
            </w:r>
          </w:p>
        </w:tc>
        <w:tc>
          <w:tcPr>
            <w:tcW w:w="1070" w:type="dxa"/>
            <w:tcBorders>
              <w:top w:val="nil"/>
              <w:left w:val="nil"/>
              <w:bottom w:val="nil"/>
              <w:right w:val="nil"/>
            </w:tcBorders>
            <w:vAlign w:val="center"/>
          </w:tcPr>
          <w:p w14:paraId="61736F64"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0.05</w:t>
            </w:r>
          </w:p>
        </w:tc>
        <w:tc>
          <w:tcPr>
            <w:tcW w:w="1239" w:type="dxa"/>
            <w:tcBorders>
              <w:top w:val="nil"/>
              <w:left w:val="nil"/>
              <w:bottom w:val="nil"/>
              <w:right w:val="nil"/>
            </w:tcBorders>
            <w:vAlign w:val="center"/>
          </w:tcPr>
          <w:p w14:paraId="24853DA0"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0.01</w:t>
            </w:r>
          </w:p>
        </w:tc>
      </w:tr>
      <w:tr w:rsidR="007D7BE0" w:rsidRPr="007B4DF5" w14:paraId="472AD6A5" w14:textId="77777777" w:rsidTr="00D86DDF">
        <w:trPr>
          <w:trHeight w:val="306"/>
          <w:jc w:val="center"/>
        </w:trPr>
        <w:tc>
          <w:tcPr>
            <w:tcW w:w="3393" w:type="dxa"/>
            <w:tcBorders>
              <w:top w:val="nil"/>
              <w:left w:val="nil"/>
              <w:bottom w:val="nil"/>
              <w:right w:val="nil"/>
            </w:tcBorders>
            <w:vAlign w:val="center"/>
          </w:tcPr>
          <w:p w14:paraId="78F28AC9" w14:textId="16DB3704" w:rsidR="007D7BE0" w:rsidRPr="00D575E7" w:rsidRDefault="00D575E7" w:rsidP="0053519D">
            <w:pPr>
              <w:spacing w:before="0" w:after="0" w:line="240" w:lineRule="auto"/>
              <w:rPr>
                <w:rFonts w:eastAsia="MS Mincho" w:cs="Times New Roman"/>
                <w:i/>
                <w:sz w:val="20"/>
                <w:szCs w:val="20"/>
              </w:rPr>
            </w:pPr>
            <w:r>
              <w:rPr>
                <w:rFonts w:eastAsia="MS Mincho" w:cs="Times New Roman"/>
                <w:i/>
                <w:sz w:val="20"/>
                <w:szCs w:val="20"/>
              </w:rPr>
              <w:t>Employee Representation</w:t>
            </w:r>
          </w:p>
        </w:tc>
        <w:tc>
          <w:tcPr>
            <w:tcW w:w="1238" w:type="dxa"/>
            <w:tcBorders>
              <w:top w:val="nil"/>
              <w:left w:val="nil"/>
              <w:bottom w:val="nil"/>
              <w:right w:val="nil"/>
            </w:tcBorders>
            <w:vAlign w:val="center"/>
          </w:tcPr>
          <w:p w14:paraId="0BC328CC" w14:textId="77777777" w:rsidR="007D7BE0" w:rsidRPr="007B4DF5" w:rsidRDefault="007D7BE0" w:rsidP="0053519D">
            <w:pPr>
              <w:spacing w:before="0" w:after="0" w:line="240" w:lineRule="auto"/>
              <w:jc w:val="center"/>
              <w:rPr>
                <w:rFonts w:eastAsia="MS Mincho" w:cs="Times New Roman"/>
                <w:bCs/>
                <w:color w:val="000000"/>
                <w:sz w:val="20"/>
                <w:szCs w:val="20"/>
              </w:rPr>
            </w:pPr>
          </w:p>
        </w:tc>
        <w:tc>
          <w:tcPr>
            <w:tcW w:w="1238" w:type="dxa"/>
            <w:tcBorders>
              <w:top w:val="nil"/>
              <w:left w:val="nil"/>
              <w:bottom w:val="nil"/>
              <w:right w:val="nil"/>
            </w:tcBorders>
            <w:vAlign w:val="center"/>
          </w:tcPr>
          <w:p w14:paraId="5900E39D" w14:textId="77777777" w:rsidR="007D7BE0" w:rsidRPr="007B4DF5" w:rsidRDefault="007D7BE0" w:rsidP="0053519D">
            <w:pPr>
              <w:spacing w:before="0" w:after="0" w:line="240" w:lineRule="auto"/>
              <w:jc w:val="center"/>
              <w:rPr>
                <w:rFonts w:eastAsia="MS Mincho" w:cs="Times New Roman"/>
                <w:bCs/>
                <w:color w:val="000000"/>
                <w:sz w:val="20"/>
                <w:szCs w:val="20"/>
              </w:rPr>
            </w:pPr>
          </w:p>
        </w:tc>
        <w:tc>
          <w:tcPr>
            <w:tcW w:w="1405" w:type="dxa"/>
            <w:tcBorders>
              <w:top w:val="nil"/>
              <w:left w:val="nil"/>
              <w:bottom w:val="nil"/>
              <w:right w:val="nil"/>
            </w:tcBorders>
            <w:vAlign w:val="center"/>
          </w:tcPr>
          <w:p w14:paraId="1228DF25" w14:textId="77777777" w:rsidR="007D7BE0" w:rsidRPr="007B4DF5" w:rsidRDefault="007D7BE0" w:rsidP="0053519D">
            <w:pPr>
              <w:spacing w:before="0" w:after="0" w:line="240" w:lineRule="auto"/>
              <w:jc w:val="center"/>
              <w:rPr>
                <w:rFonts w:eastAsia="MS Mincho" w:cs="Times New Roman"/>
                <w:bCs/>
                <w:color w:val="000000"/>
                <w:sz w:val="20"/>
                <w:szCs w:val="20"/>
              </w:rPr>
            </w:pPr>
          </w:p>
        </w:tc>
        <w:tc>
          <w:tcPr>
            <w:tcW w:w="1070" w:type="dxa"/>
            <w:tcBorders>
              <w:top w:val="nil"/>
              <w:left w:val="nil"/>
              <w:bottom w:val="nil"/>
              <w:right w:val="nil"/>
            </w:tcBorders>
            <w:vAlign w:val="center"/>
          </w:tcPr>
          <w:p w14:paraId="45055181" w14:textId="77777777" w:rsidR="007D7BE0" w:rsidRPr="007B4DF5" w:rsidRDefault="007D7BE0" w:rsidP="0053519D">
            <w:pPr>
              <w:spacing w:before="0" w:after="0" w:line="240" w:lineRule="auto"/>
              <w:jc w:val="center"/>
              <w:rPr>
                <w:rFonts w:eastAsia="MS Mincho" w:cs="Times New Roman"/>
                <w:bCs/>
                <w:color w:val="000000"/>
                <w:sz w:val="20"/>
                <w:szCs w:val="20"/>
              </w:rPr>
            </w:pPr>
          </w:p>
        </w:tc>
        <w:tc>
          <w:tcPr>
            <w:tcW w:w="1239" w:type="dxa"/>
            <w:tcBorders>
              <w:top w:val="nil"/>
              <w:left w:val="nil"/>
              <w:bottom w:val="nil"/>
              <w:right w:val="nil"/>
            </w:tcBorders>
            <w:vAlign w:val="center"/>
          </w:tcPr>
          <w:p w14:paraId="78148B24" w14:textId="77777777" w:rsidR="007D7BE0" w:rsidRPr="007B4DF5" w:rsidRDefault="007D7BE0" w:rsidP="0053519D">
            <w:pPr>
              <w:spacing w:before="0" w:after="0" w:line="240" w:lineRule="auto"/>
              <w:jc w:val="center"/>
              <w:rPr>
                <w:rFonts w:eastAsia="MS Mincho" w:cs="Times New Roman"/>
                <w:bCs/>
                <w:color w:val="000000"/>
                <w:sz w:val="20"/>
                <w:szCs w:val="20"/>
              </w:rPr>
            </w:pPr>
          </w:p>
        </w:tc>
      </w:tr>
      <w:tr w:rsidR="007D7BE0" w:rsidRPr="007B4DF5" w14:paraId="36D6EF76" w14:textId="77777777" w:rsidTr="00D86DDF">
        <w:trPr>
          <w:trHeight w:val="306"/>
          <w:jc w:val="center"/>
        </w:trPr>
        <w:tc>
          <w:tcPr>
            <w:tcW w:w="3393" w:type="dxa"/>
            <w:tcBorders>
              <w:top w:val="nil"/>
              <w:left w:val="nil"/>
              <w:bottom w:val="nil"/>
              <w:right w:val="nil"/>
            </w:tcBorders>
            <w:vAlign w:val="center"/>
          </w:tcPr>
          <w:p w14:paraId="51794771" w14:textId="77777777" w:rsidR="007D7BE0" w:rsidRPr="007B4DF5" w:rsidRDefault="007D7BE0" w:rsidP="0053519D">
            <w:pPr>
              <w:spacing w:before="0" w:after="0" w:line="240" w:lineRule="auto"/>
              <w:jc w:val="right"/>
              <w:rPr>
                <w:rFonts w:eastAsia="MS Mincho" w:cs="Times New Roman"/>
                <w:sz w:val="20"/>
                <w:szCs w:val="20"/>
              </w:rPr>
            </w:pPr>
            <w:r w:rsidRPr="007B4DF5">
              <w:rPr>
                <w:rFonts w:eastAsia="MS Mincho" w:cs="Times New Roman"/>
                <w:sz w:val="20"/>
                <w:szCs w:val="20"/>
              </w:rPr>
              <w:t>No employee representation</w:t>
            </w:r>
          </w:p>
        </w:tc>
        <w:tc>
          <w:tcPr>
            <w:tcW w:w="1238" w:type="dxa"/>
            <w:tcBorders>
              <w:top w:val="nil"/>
              <w:left w:val="nil"/>
              <w:bottom w:val="nil"/>
              <w:right w:val="nil"/>
            </w:tcBorders>
            <w:vAlign w:val="center"/>
          </w:tcPr>
          <w:p w14:paraId="34B6892D" w14:textId="498F70B5" w:rsidR="007D7BE0" w:rsidRPr="007B4DF5" w:rsidRDefault="00414D36" w:rsidP="0053519D">
            <w:pPr>
              <w:spacing w:before="0" w:after="0" w:line="240" w:lineRule="auto"/>
              <w:jc w:val="center"/>
              <w:rPr>
                <w:rFonts w:eastAsia="MS Mincho" w:cs="Times New Roman"/>
                <w:bCs/>
                <w:color w:val="000000"/>
                <w:sz w:val="20"/>
                <w:szCs w:val="20"/>
              </w:rPr>
            </w:pPr>
            <w:r>
              <w:rPr>
                <w:rFonts w:eastAsia="MS Mincho" w:cs="Times New Roman"/>
                <w:bCs/>
                <w:color w:val="000000"/>
                <w:sz w:val="20"/>
                <w:szCs w:val="20"/>
              </w:rPr>
              <w:t>0.73</w:t>
            </w:r>
          </w:p>
        </w:tc>
        <w:tc>
          <w:tcPr>
            <w:tcW w:w="1238" w:type="dxa"/>
            <w:tcBorders>
              <w:top w:val="nil"/>
              <w:left w:val="nil"/>
              <w:bottom w:val="nil"/>
              <w:right w:val="nil"/>
            </w:tcBorders>
            <w:vAlign w:val="center"/>
          </w:tcPr>
          <w:p w14:paraId="59B955FE" w14:textId="445C56B5" w:rsidR="007D7BE0" w:rsidRPr="007B4DF5" w:rsidRDefault="00414D36" w:rsidP="0053519D">
            <w:pPr>
              <w:spacing w:before="0" w:after="0" w:line="240" w:lineRule="auto"/>
              <w:jc w:val="center"/>
              <w:rPr>
                <w:rFonts w:eastAsia="MS Mincho" w:cs="Times New Roman"/>
                <w:bCs/>
                <w:color w:val="000000"/>
                <w:sz w:val="20"/>
                <w:szCs w:val="20"/>
              </w:rPr>
            </w:pPr>
            <w:r>
              <w:rPr>
                <w:rFonts w:eastAsia="MS Mincho" w:cs="Times New Roman"/>
                <w:bCs/>
                <w:color w:val="000000"/>
                <w:sz w:val="20"/>
                <w:szCs w:val="20"/>
              </w:rPr>
              <w:t>0.68</w:t>
            </w:r>
          </w:p>
        </w:tc>
        <w:tc>
          <w:tcPr>
            <w:tcW w:w="1405" w:type="dxa"/>
            <w:tcBorders>
              <w:top w:val="nil"/>
              <w:left w:val="nil"/>
              <w:bottom w:val="nil"/>
              <w:right w:val="nil"/>
            </w:tcBorders>
            <w:vAlign w:val="center"/>
          </w:tcPr>
          <w:p w14:paraId="3624D887" w14:textId="789C6102" w:rsidR="007D7BE0" w:rsidRPr="007B4DF5" w:rsidRDefault="00414D36" w:rsidP="0053519D">
            <w:pPr>
              <w:spacing w:before="0" w:after="0" w:line="240" w:lineRule="auto"/>
              <w:jc w:val="center"/>
              <w:rPr>
                <w:rFonts w:eastAsia="MS Mincho" w:cs="Times New Roman"/>
                <w:bCs/>
                <w:color w:val="000000"/>
                <w:sz w:val="20"/>
                <w:szCs w:val="20"/>
              </w:rPr>
            </w:pPr>
            <w:r>
              <w:rPr>
                <w:rFonts w:eastAsia="MS Mincho" w:cs="Times New Roman"/>
                <w:bCs/>
                <w:color w:val="000000"/>
                <w:sz w:val="20"/>
                <w:szCs w:val="20"/>
              </w:rPr>
              <w:t>0.78</w:t>
            </w:r>
          </w:p>
        </w:tc>
        <w:tc>
          <w:tcPr>
            <w:tcW w:w="1070" w:type="dxa"/>
            <w:tcBorders>
              <w:top w:val="nil"/>
              <w:left w:val="nil"/>
              <w:bottom w:val="nil"/>
              <w:right w:val="nil"/>
            </w:tcBorders>
            <w:vAlign w:val="center"/>
          </w:tcPr>
          <w:p w14:paraId="3E93720F"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0.45</w:t>
            </w:r>
          </w:p>
        </w:tc>
        <w:tc>
          <w:tcPr>
            <w:tcW w:w="1239" w:type="dxa"/>
            <w:tcBorders>
              <w:top w:val="nil"/>
              <w:left w:val="nil"/>
              <w:bottom w:val="nil"/>
              <w:right w:val="nil"/>
            </w:tcBorders>
            <w:vAlign w:val="center"/>
          </w:tcPr>
          <w:p w14:paraId="398B7A13"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0.81</w:t>
            </w:r>
          </w:p>
        </w:tc>
      </w:tr>
      <w:tr w:rsidR="007D7BE0" w:rsidRPr="007B4DF5" w14:paraId="42473433" w14:textId="77777777" w:rsidTr="00D86DDF">
        <w:trPr>
          <w:trHeight w:val="306"/>
          <w:jc w:val="center"/>
        </w:trPr>
        <w:tc>
          <w:tcPr>
            <w:tcW w:w="3393" w:type="dxa"/>
            <w:tcBorders>
              <w:top w:val="nil"/>
              <w:left w:val="nil"/>
              <w:bottom w:val="nil"/>
              <w:right w:val="nil"/>
            </w:tcBorders>
            <w:vAlign w:val="center"/>
          </w:tcPr>
          <w:p w14:paraId="6EAD636C" w14:textId="77777777" w:rsidR="007D7BE0" w:rsidRPr="007B4DF5" w:rsidRDefault="007D7BE0" w:rsidP="0053519D">
            <w:pPr>
              <w:spacing w:before="0" w:after="0" w:line="240" w:lineRule="auto"/>
              <w:jc w:val="right"/>
              <w:rPr>
                <w:rFonts w:eastAsia="MS Mincho" w:cs="Times New Roman"/>
                <w:sz w:val="20"/>
                <w:szCs w:val="20"/>
              </w:rPr>
            </w:pPr>
            <w:r w:rsidRPr="007B4DF5">
              <w:rPr>
                <w:rFonts w:eastAsia="MS Mincho" w:cs="Times New Roman"/>
                <w:sz w:val="20"/>
                <w:szCs w:val="20"/>
              </w:rPr>
              <w:t>WC-type representation only</w:t>
            </w:r>
          </w:p>
        </w:tc>
        <w:tc>
          <w:tcPr>
            <w:tcW w:w="1238" w:type="dxa"/>
            <w:tcBorders>
              <w:top w:val="nil"/>
              <w:left w:val="nil"/>
              <w:bottom w:val="nil"/>
              <w:right w:val="nil"/>
            </w:tcBorders>
            <w:vAlign w:val="center"/>
          </w:tcPr>
          <w:p w14:paraId="0CCC131C" w14:textId="6096FCFB" w:rsidR="007D7BE0" w:rsidRPr="007B4DF5" w:rsidRDefault="00414D36" w:rsidP="0053519D">
            <w:pPr>
              <w:spacing w:before="0" w:after="0" w:line="240" w:lineRule="auto"/>
              <w:jc w:val="center"/>
              <w:rPr>
                <w:rFonts w:eastAsia="MS Mincho" w:cs="Times New Roman"/>
                <w:bCs/>
                <w:color w:val="000000"/>
                <w:sz w:val="20"/>
                <w:szCs w:val="20"/>
              </w:rPr>
            </w:pPr>
            <w:r>
              <w:rPr>
                <w:rFonts w:eastAsia="MS Mincho" w:cs="Times New Roman"/>
                <w:bCs/>
                <w:color w:val="000000"/>
                <w:sz w:val="20"/>
                <w:szCs w:val="20"/>
              </w:rPr>
              <w:t>0.15</w:t>
            </w:r>
          </w:p>
        </w:tc>
        <w:tc>
          <w:tcPr>
            <w:tcW w:w="1238" w:type="dxa"/>
            <w:tcBorders>
              <w:top w:val="nil"/>
              <w:left w:val="nil"/>
              <w:bottom w:val="nil"/>
              <w:right w:val="nil"/>
            </w:tcBorders>
            <w:vAlign w:val="center"/>
          </w:tcPr>
          <w:p w14:paraId="0C05C9CE" w14:textId="0CA046E2" w:rsidR="007D7BE0" w:rsidRPr="007B4DF5" w:rsidRDefault="00414D36" w:rsidP="0053519D">
            <w:pPr>
              <w:spacing w:before="0" w:after="0" w:line="240" w:lineRule="auto"/>
              <w:jc w:val="center"/>
              <w:rPr>
                <w:rFonts w:eastAsia="MS Mincho" w:cs="Times New Roman"/>
                <w:bCs/>
                <w:color w:val="000000"/>
                <w:sz w:val="20"/>
                <w:szCs w:val="20"/>
              </w:rPr>
            </w:pPr>
            <w:r>
              <w:rPr>
                <w:rFonts w:eastAsia="MS Mincho" w:cs="Times New Roman"/>
                <w:bCs/>
                <w:color w:val="000000"/>
                <w:sz w:val="20"/>
                <w:szCs w:val="20"/>
              </w:rPr>
              <w:t>0.14</w:t>
            </w:r>
          </w:p>
        </w:tc>
        <w:tc>
          <w:tcPr>
            <w:tcW w:w="1405" w:type="dxa"/>
            <w:tcBorders>
              <w:top w:val="nil"/>
              <w:left w:val="nil"/>
              <w:bottom w:val="nil"/>
              <w:right w:val="nil"/>
            </w:tcBorders>
            <w:vAlign w:val="center"/>
          </w:tcPr>
          <w:p w14:paraId="551B92E4" w14:textId="3B343E8F" w:rsidR="007D7BE0" w:rsidRPr="007B4DF5" w:rsidRDefault="00414D36" w:rsidP="0053519D">
            <w:pPr>
              <w:spacing w:before="0" w:after="0" w:line="240" w:lineRule="auto"/>
              <w:jc w:val="center"/>
              <w:rPr>
                <w:rFonts w:eastAsia="MS Mincho" w:cs="Times New Roman"/>
                <w:bCs/>
                <w:color w:val="000000"/>
                <w:sz w:val="20"/>
                <w:szCs w:val="20"/>
              </w:rPr>
            </w:pPr>
            <w:r>
              <w:rPr>
                <w:rFonts w:eastAsia="MS Mincho" w:cs="Times New Roman"/>
                <w:bCs/>
                <w:color w:val="000000"/>
                <w:sz w:val="20"/>
                <w:szCs w:val="20"/>
              </w:rPr>
              <w:t>0.19</w:t>
            </w:r>
          </w:p>
        </w:tc>
        <w:tc>
          <w:tcPr>
            <w:tcW w:w="1070" w:type="dxa"/>
            <w:tcBorders>
              <w:top w:val="nil"/>
              <w:left w:val="nil"/>
              <w:bottom w:val="nil"/>
              <w:right w:val="nil"/>
            </w:tcBorders>
            <w:vAlign w:val="center"/>
          </w:tcPr>
          <w:p w14:paraId="1DDF115E"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0.03</w:t>
            </w:r>
          </w:p>
        </w:tc>
        <w:tc>
          <w:tcPr>
            <w:tcW w:w="1239" w:type="dxa"/>
            <w:tcBorders>
              <w:top w:val="nil"/>
              <w:left w:val="nil"/>
              <w:bottom w:val="nil"/>
              <w:right w:val="nil"/>
            </w:tcBorders>
            <w:vAlign w:val="center"/>
          </w:tcPr>
          <w:p w14:paraId="11AA0324"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0.12</w:t>
            </w:r>
          </w:p>
        </w:tc>
      </w:tr>
      <w:tr w:rsidR="007D7BE0" w:rsidRPr="007B4DF5" w14:paraId="743FC749" w14:textId="77777777" w:rsidTr="00D86DDF">
        <w:trPr>
          <w:trHeight w:val="306"/>
          <w:jc w:val="center"/>
        </w:trPr>
        <w:tc>
          <w:tcPr>
            <w:tcW w:w="3393" w:type="dxa"/>
            <w:tcBorders>
              <w:top w:val="nil"/>
              <w:left w:val="nil"/>
              <w:bottom w:val="nil"/>
              <w:right w:val="nil"/>
            </w:tcBorders>
            <w:vAlign w:val="center"/>
          </w:tcPr>
          <w:p w14:paraId="40AA643D" w14:textId="77777777" w:rsidR="007D7BE0" w:rsidRPr="007B4DF5" w:rsidRDefault="007D7BE0" w:rsidP="0053519D">
            <w:pPr>
              <w:spacing w:before="0" w:after="0" w:line="240" w:lineRule="auto"/>
              <w:jc w:val="right"/>
              <w:rPr>
                <w:rFonts w:eastAsia="MS Mincho" w:cs="Times New Roman"/>
                <w:sz w:val="20"/>
                <w:szCs w:val="20"/>
              </w:rPr>
            </w:pPr>
            <w:r w:rsidRPr="007B4DF5">
              <w:rPr>
                <w:rFonts w:eastAsia="MS Mincho" w:cs="Times New Roman"/>
                <w:sz w:val="20"/>
                <w:szCs w:val="20"/>
              </w:rPr>
              <w:t>TU representation only</w:t>
            </w:r>
          </w:p>
        </w:tc>
        <w:tc>
          <w:tcPr>
            <w:tcW w:w="1238" w:type="dxa"/>
            <w:tcBorders>
              <w:top w:val="nil"/>
              <w:left w:val="nil"/>
              <w:bottom w:val="nil"/>
              <w:right w:val="nil"/>
            </w:tcBorders>
            <w:vAlign w:val="center"/>
          </w:tcPr>
          <w:p w14:paraId="63D45E96"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0.04</w:t>
            </w:r>
          </w:p>
        </w:tc>
        <w:tc>
          <w:tcPr>
            <w:tcW w:w="1238" w:type="dxa"/>
            <w:tcBorders>
              <w:top w:val="nil"/>
              <w:left w:val="nil"/>
              <w:bottom w:val="nil"/>
              <w:right w:val="nil"/>
            </w:tcBorders>
            <w:vAlign w:val="center"/>
          </w:tcPr>
          <w:p w14:paraId="653D85F1"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0.02</w:t>
            </w:r>
          </w:p>
        </w:tc>
        <w:tc>
          <w:tcPr>
            <w:tcW w:w="1405" w:type="dxa"/>
            <w:tcBorders>
              <w:top w:val="nil"/>
              <w:left w:val="nil"/>
              <w:bottom w:val="nil"/>
              <w:right w:val="nil"/>
            </w:tcBorders>
            <w:vAlign w:val="center"/>
          </w:tcPr>
          <w:p w14:paraId="04486C82"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0.01</w:t>
            </w:r>
          </w:p>
        </w:tc>
        <w:tc>
          <w:tcPr>
            <w:tcW w:w="1070" w:type="dxa"/>
            <w:tcBorders>
              <w:top w:val="nil"/>
              <w:left w:val="nil"/>
              <w:bottom w:val="nil"/>
              <w:right w:val="nil"/>
            </w:tcBorders>
            <w:vAlign w:val="center"/>
          </w:tcPr>
          <w:p w14:paraId="697777AA"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0.40</w:t>
            </w:r>
          </w:p>
        </w:tc>
        <w:tc>
          <w:tcPr>
            <w:tcW w:w="1239" w:type="dxa"/>
            <w:tcBorders>
              <w:top w:val="nil"/>
              <w:left w:val="nil"/>
              <w:bottom w:val="nil"/>
              <w:right w:val="nil"/>
            </w:tcBorders>
            <w:vAlign w:val="center"/>
          </w:tcPr>
          <w:p w14:paraId="273696B1"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0.04</w:t>
            </w:r>
          </w:p>
        </w:tc>
      </w:tr>
      <w:tr w:rsidR="007D7BE0" w:rsidRPr="007B4DF5" w14:paraId="49797F76" w14:textId="77777777" w:rsidTr="00D86DDF">
        <w:trPr>
          <w:trHeight w:val="306"/>
          <w:jc w:val="center"/>
        </w:trPr>
        <w:tc>
          <w:tcPr>
            <w:tcW w:w="3393" w:type="dxa"/>
            <w:tcBorders>
              <w:top w:val="nil"/>
              <w:left w:val="nil"/>
              <w:bottom w:val="nil"/>
              <w:right w:val="nil"/>
            </w:tcBorders>
            <w:vAlign w:val="center"/>
          </w:tcPr>
          <w:p w14:paraId="4DCD2432" w14:textId="77777777" w:rsidR="007D7BE0" w:rsidRPr="007B4DF5" w:rsidRDefault="007D7BE0" w:rsidP="0053519D">
            <w:pPr>
              <w:spacing w:before="0" w:after="0" w:line="240" w:lineRule="auto"/>
              <w:jc w:val="right"/>
              <w:rPr>
                <w:rFonts w:eastAsia="MS Mincho" w:cs="Times New Roman"/>
                <w:sz w:val="20"/>
                <w:szCs w:val="20"/>
              </w:rPr>
            </w:pPr>
            <w:r w:rsidRPr="007B4DF5">
              <w:rPr>
                <w:rFonts w:eastAsia="MS Mincho" w:cs="Times New Roman"/>
                <w:sz w:val="20"/>
                <w:szCs w:val="20"/>
              </w:rPr>
              <w:t>Both types of representation</w:t>
            </w:r>
          </w:p>
        </w:tc>
        <w:tc>
          <w:tcPr>
            <w:tcW w:w="1238" w:type="dxa"/>
            <w:tcBorders>
              <w:top w:val="nil"/>
              <w:left w:val="nil"/>
              <w:bottom w:val="nil"/>
              <w:right w:val="nil"/>
            </w:tcBorders>
            <w:vAlign w:val="center"/>
          </w:tcPr>
          <w:p w14:paraId="51F26290" w14:textId="5B956F7F" w:rsidR="007D7BE0" w:rsidRPr="007B4DF5" w:rsidRDefault="00414D36" w:rsidP="0053519D">
            <w:pPr>
              <w:spacing w:before="0" w:after="0" w:line="240" w:lineRule="auto"/>
              <w:jc w:val="center"/>
              <w:rPr>
                <w:rFonts w:eastAsia="MS Mincho" w:cs="Times New Roman"/>
                <w:bCs/>
                <w:color w:val="000000"/>
                <w:sz w:val="20"/>
                <w:szCs w:val="20"/>
              </w:rPr>
            </w:pPr>
            <w:r>
              <w:rPr>
                <w:rFonts w:eastAsia="MS Mincho" w:cs="Times New Roman"/>
                <w:bCs/>
                <w:color w:val="000000"/>
                <w:sz w:val="20"/>
                <w:szCs w:val="20"/>
              </w:rPr>
              <w:t>0.08</w:t>
            </w:r>
          </w:p>
        </w:tc>
        <w:tc>
          <w:tcPr>
            <w:tcW w:w="1238" w:type="dxa"/>
            <w:tcBorders>
              <w:top w:val="nil"/>
              <w:left w:val="nil"/>
              <w:bottom w:val="nil"/>
              <w:right w:val="nil"/>
            </w:tcBorders>
            <w:vAlign w:val="center"/>
          </w:tcPr>
          <w:p w14:paraId="5ABC0454" w14:textId="72F18377" w:rsidR="007D7BE0" w:rsidRPr="007B4DF5" w:rsidRDefault="00414D36" w:rsidP="0053519D">
            <w:pPr>
              <w:spacing w:before="0" w:after="0" w:line="240" w:lineRule="auto"/>
              <w:jc w:val="center"/>
              <w:rPr>
                <w:rFonts w:eastAsia="MS Mincho" w:cs="Times New Roman"/>
                <w:bCs/>
                <w:color w:val="000000"/>
                <w:sz w:val="20"/>
                <w:szCs w:val="20"/>
              </w:rPr>
            </w:pPr>
            <w:r>
              <w:rPr>
                <w:rFonts w:eastAsia="MS Mincho" w:cs="Times New Roman"/>
                <w:bCs/>
                <w:color w:val="000000"/>
                <w:sz w:val="20"/>
                <w:szCs w:val="20"/>
              </w:rPr>
              <w:t>0.17</w:t>
            </w:r>
          </w:p>
        </w:tc>
        <w:tc>
          <w:tcPr>
            <w:tcW w:w="1405" w:type="dxa"/>
            <w:tcBorders>
              <w:top w:val="nil"/>
              <w:left w:val="nil"/>
              <w:bottom w:val="nil"/>
              <w:right w:val="nil"/>
            </w:tcBorders>
            <w:vAlign w:val="center"/>
          </w:tcPr>
          <w:p w14:paraId="79FEF86F" w14:textId="345C5771" w:rsidR="007D7BE0" w:rsidRPr="007B4DF5" w:rsidRDefault="00414D36" w:rsidP="0053519D">
            <w:pPr>
              <w:spacing w:before="0" w:after="0" w:line="240" w:lineRule="auto"/>
              <w:jc w:val="center"/>
              <w:rPr>
                <w:rFonts w:eastAsia="MS Mincho" w:cs="Times New Roman"/>
                <w:bCs/>
                <w:color w:val="000000"/>
                <w:sz w:val="20"/>
                <w:szCs w:val="20"/>
              </w:rPr>
            </w:pPr>
            <w:r>
              <w:rPr>
                <w:rFonts w:eastAsia="MS Mincho" w:cs="Times New Roman"/>
                <w:bCs/>
                <w:color w:val="000000"/>
                <w:sz w:val="20"/>
                <w:szCs w:val="20"/>
              </w:rPr>
              <w:t>0.02</w:t>
            </w:r>
          </w:p>
        </w:tc>
        <w:tc>
          <w:tcPr>
            <w:tcW w:w="1070" w:type="dxa"/>
            <w:tcBorders>
              <w:top w:val="nil"/>
              <w:left w:val="nil"/>
              <w:bottom w:val="nil"/>
              <w:right w:val="nil"/>
            </w:tcBorders>
            <w:vAlign w:val="center"/>
          </w:tcPr>
          <w:p w14:paraId="458DA612"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0.12</w:t>
            </w:r>
          </w:p>
        </w:tc>
        <w:tc>
          <w:tcPr>
            <w:tcW w:w="1239" w:type="dxa"/>
            <w:tcBorders>
              <w:top w:val="nil"/>
              <w:left w:val="nil"/>
              <w:bottom w:val="nil"/>
              <w:right w:val="nil"/>
            </w:tcBorders>
            <w:vAlign w:val="center"/>
          </w:tcPr>
          <w:p w14:paraId="6628E22B" w14:textId="77777777" w:rsidR="007D7BE0" w:rsidRPr="007B4DF5" w:rsidRDefault="007D7BE0" w:rsidP="0053519D">
            <w:pPr>
              <w:spacing w:before="0" w:after="0" w:line="240" w:lineRule="auto"/>
              <w:jc w:val="center"/>
              <w:rPr>
                <w:rFonts w:eastAsia="MS Mincho" w:cs="Times New Roman"/>
                <w:bCs/>
                <w:color w:val="000000"/>
                <w:sz w:val="20"/>
                <w:szCs w:val="20"/>
              </w:rPr>
            </w:pPr>
            <w:r w:rsidRPr="007B4DF5">
              <w:rPr>
                <w:rFonts w:eastAsia="MS Mincho" w:cs="Times New Roman"/>
                <w:bCs/>
                <w:color w:val="000000"/>
                <w:sz w:val="20"/>
                <w:szCs w:val="20"/>
              </w:rPr>
              <w:t>0.03</w:t>
            </w:r>
          </w:p>
        </w:tc>
      </w:tr>
      <w:tr w:rsidR="007D7BE0" w:rsidRPr="007B4DF5" w14:paraId="36744E67" w14:textId="77777777" w:rsidTr="00D86DDF">
        <w:trPr>
          <w:trHeight w:val="306"/>
          <w:jc w:val="center"/>
        </w:trPr>
        <w:tc>
          <w:tcPr>
            <w:tcW w:w="3393" w:type="dxa"/>
            <w:tcBorders>
              <w:top w:val="nil"/>
              <w:left w:val="nil"/>
              <w:bottom w:val="nil"/>
              <w:right w:val="nil"/>
            </w:tcBorders>
            <w:vAlign w:val="center"/>
          </w:tcPr>
          <w:p w14:paraId="551BA4A9" w14:textId="3B17865C" w:rsidR="007D7BE0" w:rsidRPr="007B4DF5" w:rsidRDefault="00C21B2F" w:rsidP="0053519D">
            <w:pPr>
              <w:spacing w:before="0" w:after="0" w:line="240" w:lineRule="auto"/>
              <w:rPr>
                <w:rFonts w:eastAsia="MS Mincho" w:cs="Times New Roman"/>
                <w:b/>
                <w:i/>
                <w:sz w:val="20"/>
                <w:szCs w:val="20"/>
              </w:rPr>
            </w:pPr>
            <w:r>
              <w:rPr>
                <w:rFonts w:eastAsia="MS Mincho" w:cs="Times New Roman"/>
                <w:b/>
                <w:i/>
                <w:sz w:val="20"/>
                <w:szCs w:val="20"/>
              </w:rPr>
              <w:t xml:space="preserve">Workplace </w:t>
            </w:r>
            <w:r w:rsidR="00D575E7">
              <w:rPr>
                <w:rFonts w:eastAsia="MS Mincho" w:cs="Times New Roman"/>
                <w:b/>
                <w:i/>
                <w:sz w:val="20"/>
                <w:szCs w:val="20"/>
              </w:rPr>
              <w:t>P</w:t>
            </w:r>
            <w:r w:rsidR="007D7BE0" w:rsidRPr="007B4DF5">
              <w:rPr>
                <w:rFonts w:eastAsia="MS Mincho" w:cs="Times New Roman"/>
                <w:b/>
                <w:i/>
                <w:sz w:val="20"/>
                <w:szCs w:val="20"/>
              </w:rPr>
              <w:t>ractices</w:t>
            </w:r>
          </w:p>
        </w:tc>
        <w:tc>
          <w:tcPr>
            <w:tcW w:w="1238" w:type="dxa"/>
            <w:tcBorders>
              <w:top w:val="nil"/>
              <w:left w:val="nil"/>
              <w:bottom w:val="nil"/>
              <w:right w:val="nil"/>
            </w:tcBorders>
            <w:vAlign w:val="center"/>
          </w:tcPr>
          <w:p w14:paraId="2088DC96" w14:textId="77777777" w:rsidR="007D7BE0" w:rsidRPr="007B4DF5" w:rsidRDefault="007D7BE0" w:rsidP="0053519D">
            <w:pPr>
              <w:spacing w:before="0" w:after="0" w:line="240" w:lineRule="auto"/>
              <w:jc w:val="center"/>
              <w:rPr>
                <w:rFonts w:eastAsia="MS Mincho" w:cs="Times New Roman"/>
                <w:bCs/>
                <w:color w:val="000000"/>
                <w:sz w:val="20"/>
                <w:szCs w:val="20"/>
              </w:rPr>
            </w:pPr>
          </w:p>
        </w:tc>
        <w:tc>
          <w:tcPr>
            <w:tcW w:w="1238" w:type="dxa"/>
            <w:tcBorders>
              <w:top w:val="nil"/>
              <w:left w:val="nil"/>
              <w:bottom w:val="nil"/>
              <w:right w:val="nil"/>
            </w:tcBorders>
            <w:vAlign w:val="center"/>
          </w:tcPr>
          <w:p w14:paraId="3D831D44" w14:textId="77777777" w:rsidR="007D7BE0" w:rsidRPr="007B4DF5" w:rsidRDefault="007D7BE0" w:rsidP="0053519D">
            <w:pPr>
              <w:spacing w:before="0" w:after="0" w:line="240" w:lineRule="auto"/>
              <w:jc w:val="center"/>
              <w:rPr>
                <w:rFonts w:eastAsia="MS Mincho" w:cs="Times New Roman"/>
                <w:bCs/>
                <w:color w:val="000000"/>
                <w:sz w:val="20"/>
                <w:szCs w:val="20"/>
              </w:rPr>
            </w:pPr>
          </w:p>
        </w:tc>
        <w:tc>
          <w:tcPr>
            <w:tcW w:w="1405" w:type="dxa"/>
            <w:tcBorders>
              <w:top w:val="nil"/>
              <w:left w:val="nil"/>
              <w:bottom w:val="nil"/>
              <w:right w:val="nil"/>
            </w:tcBorders>
            <w:vAlign w:val="center"/>
          </w:tcPr>
          <w:p w14:paraId="6A068B13" w14:textId="77777777" w:rsidR="007D7BE0" w:rsidRPr="007B4DF5" w:rsidRDefault="007D7BE0" w:rsidP="0053519D">
            <w:pPr>
              <w:spacing w:before="0" w:after="0" w:line="240" w:lineRule="auto"/>
              <w:jc w:val="center"/>
              <w:rPr>
                <w:rFonts w:eastAsia="MS Mincho" w:cs="Times New Roman"/>
                <w:bCs/>
                <w:color w:val="000000"/>
                <w:sz w:val="20"/>
                <w:szCs w:val="20"/>
              </w:rPr>
            </w:pPr>
          </w:p>
        </w:tc>
        <w:tc>
          <w:tcPr>
            <w:tcW w:w="1070" w:type="dxa"/>
            <w:tcBorders>
              <w:top w:val="nil"/>
              <w:left w:val="nil"/>
              <w:bottom w:val="nil"/>
              <w:right w:val="nil"/>
            </w:tcBorders>
            <w:vAlign w:val="center"/>
          </w:tcPr>
          <w:p w14:paraId="18123BC9" w14:textId="77777777" w:rsidR="007D7BE0" w:rsidRPr="007B4DF5" w:rsidRDefault="007D7BE0" w:rsidP="0053519D">
            <w:pPr>
              <w:spacing w:before="0" w:after="0" w:line="240" w:lineRule="auto"/>
              <w:jc w:val="center"/>
              <w:rPr>
                <w:rFonts w:eastAsia="MS Mincho" w:cs="Times New Roman"/>
                <w:bCs/>
                <w:color w:val="000000"/>
                <w:sz w:val="20"/>
                <w:szCs w:val="20"/>
              </w:rPr>
            </w:pPr>
          </w:p>
        </w:tc>
        <w:tc>
          <w:tcPr>
            <w:tcW w:w="1239" w:type="dxa"/>
            <w:tcBorders>
              <w:top w:val="nil"/>
              <w:left w:val="nil"/>
              <w:bottom w:val="nil"/>
              <w:right w:val="nil"/>
            </w:tcBorders>
            <w:vAlign w:val="center"/>
          </w:tcPr>
          <w:p w14:paraId="0E8C465E" w14:textId="77777777" w:rsidR="007D7BE0" w:rsidRPr="007B4DF5" w:rsidRDefault="007D7BE0" w:rsidP="0053519D">
            <w:pPr>
              <w:spacing w:before="0" w:after="0" w:line="240" w:lineRule="auto"/>
              <w:jc w:val="center"/>
              <w:rPr>
                <w:rFonts w:eastAsia="MS Mincho" w:cs="Times New Roman"/>
                <w:bCs/>
                <w:color w:val="000000"/>
                <w:sz w:val="20"/>
                <w:szCs w:val="20"/>
              </w:rPr>
            </w:pPr>
          </w:p>
        </w:tc>
      </w:tr>
      <w:tr w:rsidR="007D7BE0" w:rsidRPr="007B4DF5" w14:paraId="41821154" w14:textId="77777777" w:rsidTr="00D86DDF">
        <w:trPr>
          <w:trHeight w:val="306"/>
          <w:jc w:val="center"/>
        </w:trPr>
        <w:tc>
          <w:tcPr>
            <w:tcW w:w="3393" w:type="dxa"/>
            <w:tcBorders>
              <w:top w:val="nil"/>
              <w:left w:val="nil"/>
              <w:bottom w:val="nil"/>
              <w:right w:val="nil"/>
            </w:tcBorders>
            <w:vAlign w:val="center"/>
          </w:tcPr>
          <w:p w14:paraId="52945CD5" w14:textId="77777777" w:rsidR="007D7BE0" w:rsidRPr="00D575E7" w:rsidRDefault="007D7BE0" w:rsidP="0053519D">
            <w:pPr>
              <w:spacing w:before="0" w:after="0" w:line="240" w:lineRule="auto"/>
              <w:jc w:val="right"/>
              <w:rPr>
                <w:rFonts w:eastAsia="MS Mincho" w:cs="Times New Roman"/>
                <w:sz w:val="20"/>
                <w:szCs w:val="20"/>
              </w:rPr>
            </w:pPr>
            <w:r w:rsidRPr="00D575E7">
              <w:rPr>
                <w:rFonts w:eastAsia="MS Mincho" w:cs="Times New Roman"/>
                <w:sz w:val="20"/>
                <w:szCs w:val="20"/>
              </w:rPr>
              <w:t>Performance related pay</w:t>
            </w:r>
          </w:p>
        </w:tc>
        <w:tc>
          <w:tcPr>
            <w:tcW w:w="1238" w:type="dxa"/>
            <w:tcBorders>
              <w:top w:val="nil"/>
              <w:left w:val="nil"/>
              <w:bottom w:val="nil"/>
              <w:right w:val="nil"/>
            </w:tcBorders>
            <w:vAlign w:val="center"/>
          </w:tcPr>
          <w:p w14:paraId="20BA35A4" w14:textId="152F3AA7" w:rsidR="007D7BE0" w:rsidRPr="007B4DF5" w:rsidRDefault="00414D36" w:rsidP="0053519D">
            <w:pPr>
              <w:spacing w:before="0" w:after="0" w:line="240" w:lineRule="auto"/>
              <w:jc w:val="center"/>
              <w:rPr>
                <w:rFonts w:eastAsia="MS Mincho" w:cs="Times New Roman"/>
                <w:color w:val="000000"/>
                <w:sz w:val="20"/>
                <w:szCs w:val="20"/>
              </w:rPr>
            </w:pPr>
            <w:r>
              <w:rPr>
                <w:rFonts w:eastAsia="MS Mincho" w:cs="Times New Roman"/>
                <w:color w:val="000000"/>
                <w:sz w:val="20"/>
                <w:szCs w:val="20"/>
              </w:rPr>
              <w:t>0.36</w:t>
            </w:r>
          </w:p>
        </w:tc>
        <w:tc>
          <w:tcPr>
            <w:tcW w:w="1238" w:type="dxa"/>
            <w:tcBorders>
              <w:top w:val="nil"/>
              <w:left w:val="nil"/>
              <w:bottom w:val="nil"/>
              <w:right w:val="nil"/>
            </w:tcBorders>
            <w:vAlign w:val="center"/>
          </w:tcPr>
          <w:p w14:paraId="22A89B63" w14:textId="37ECBC6E" w:rsidR="007D7BE0" w:rsidRPr="007B4DF5" w:rsidRDefault="00414D36" w:rsidP="0053519D">
            <w:pPr>
              <w:spacing w:before="0" w:after="0" w:line="240" w:lineRule="auto"/>
              <w:jc w:val="center"/>
              <w:rPr>
                <w:rFonts w:eastAsia="MS Mincho" w:cs="Times New Roman"/>
                <w:color w:val="000000"/>
                <w:sz w:val="20"/>
                <w:szCs w:val="20"/>
              </w:rPr>
            </w:pPr>
            <w:r>
              <w:rPr>
                <w:rFonts w:eastAsia="MS Mincho" w:cs="Times New Roman"/>
                <w:color w:val="000000"/>
                <w:sz w:val="20"/>
                <w:szCs w:val="20"/>
              </w:rPr>
              <w:t>0.30</w:t>
            </w:r>
          </w:p>
        </w:tc>
        <w:tc>
          <w:tcPr>
            <w:tcW w:w="1405" w:type="dxa"/>
            <w:tcBorders>
              <w:top w:val="nil"/>
              <w:left w:val="nil"/>
              <w:bottom w:val="nil"/>
              <w:right w:val="nil"/>
            </w:tcBorders>
            <w:vAlign w:val="center"/>
          </w:tcPr>
          <w:p w14:paraId="395DF164" w14:textId="3A0D015B" w:rsidR="007D7BE0" w:rsidRPr="007B4DF5" w:rsidRDefault="00414D36" w:rsidP="0053519D">
            <w:pPr>
              <w:spacing w:before="0" w:after="0" w:line="240" w:lineRule="auto"/>
              <w:jc w:val="center"/>
              <w:rPr>
                <w:rFonts w:eastAsia="MS Mincho" w:cs="Times New Roman"/>
                <w:color w:val="000000"/>
                <w:sz w:val="20"/>
                <w:szCs w:val="20"/>
              </w:rPr>
            </w:pPr>
            <w:r>
              <w:rPr>
                <w:rFonts w:eastAsia="MS Mincho" w:cs="Times New Roman"/>
                <w:color w:val="000000"/>
                <w:sz w:val="20"/>
                <w:szCs w:val="20"/>
              </w:rPr>
              <w:t>0.41</w:t>
            </w:r>
          </w:p>
        </w:tc>
        <w:tc>
          <w:tcPr>
            <w:tcW w:w="1070" w:type="dxa"/>
            <w:tcBorders>
              <w:top w:val="nil"/>
              <w:left w:val="nil"/>
              <w:bottom w:val="nil"/>
              <w:right w:val="nil"/>
            </w:tcBorders>
            <w:vAlign w:val="center"/>
          </w:tcPr>
          <w:p w14:paraId="64026DA8" w14:textId="77777777" w:rsidR="007D7BE0" w:rsidRPr="007B4DF5" w:rsidRDefault="007D7BE0" w:rsidP="0053519D">
            <w:pPr>
              <w:spacing w:before="0" w:after="0" w:line="240" w:lineRule="auto"/>
              <w:jc w:val="center"/>
              <w:rPr>
                <w:rFonts w:eastAsia="MS Mincho" w:cs="Times New Roman"/>
                <w:color w:val="000000"/>
                <w:sz w:val="20"/>
                <w:szCs w:val="20"/>
              </w:rPr>
            </w:pPr>
            <w:r w:rsidRPr="007B4DF5">
              <w:rPr>
                <w:rFonts w:eastAsia="MS Mincho" w:cs="Times New Roman"/>
                <w:color w:val="000000"/>
                <w:sz w:val="20"/>
                <w:szCs w:val="20"/>
              </w:rPr>
              <w:t>0.42</w:t>
            </w:r>
          </w:p>
        </w:tc>
        <w:tc>
          <w:tcPr>
            <w:tcW w:w="1239" w:type="dxa"/>
            <w:tcBorders>
              <w:top w:val="nil"/>
              <w:left w:val="nil"/>
              <w:bottom w:val="nil"/>
              <w:right w:val="nil"/>
            </w:tcBorders>
            <w:vAlign w:val="center"/>
          </w:tcPr>
          <w:p w14:paraId="4C35A830" w14:textId="77777777" w:rsidR="007D7BE0" w:rsidRPr="007B4DF5" w:rsidRDefault="007D7BE0" w:rsidP="0053519D">
            <w:pPr>
              <w:spacing w:before="0" w:after="0" w:line="240" w:lineRule="auto"/>
              <w:jc w:val="center"/>
              <w:rPr>
                <w:rFonts w:eastAsia="MS Mincho" w:cs="Times New Roman"/>
                <w:color w:val="000000"/>
                <w:sz w:val="20"/>
                <w:szCs w:val="20"/>
              </w:rPr>
            </w:pPr>
            <w:r w:rsidRPr="007B4DF5">
              <w:rPr>
                <w:rFonts w:eastAsia="MS Mincho" w:cs="Times New Roman"/>
                <w:color w:val="000000"/>
                <w:sz w:val="20"/>
                <w:szCs w:val="20"/>
              </w:rPr>
              <w:t>0.37</w:t>
            </w:r>
          </w:p>
        </w:tc>
      </w:tr>
      <w:tr w:rsidR="007D7BE0" w:rsidRPr="007B4DF5" w14:paraId="40771B3B" w14:textId="77777777" w:rsidTr="00D86DDF">
        <w:trPr>
          <w:trHeight w:val="306"/>
          <w:jc w:val="center"/>
        </w:trPr>
        <w:tc>
          <w:tcPr>
            <w:tcW w:w="3393" w:type="dxa"/>
            <w:tcBorders>
              <w:top w:val="nil"/>
              <w:left w:val="nil"/>
              <w:bottom w:val="nil"/>
              <w:right w:val="nil"/>
            </w:tcBorders>
            <w:vAlign w:val="center"/>
          </w:tcPr>
          <w:p w14:paraId="35DF9FD4" w14:textId="77777777" w:rsidR="007D7BE0" w:rsidRPr="00D575E7" w:rsidRDefault="007D7BE0" w:rsidP="0053519D">
            <w:pPr>
              <w:spacing w:before="0" w:after="0" w:line="240" w:lineRule="auto"/>
              <w:jc w:val="right"/>
              <w:rPr>
                <w:rFonts w:eastAsia="MS Mincho" w:cs="Times New Roman"/>
                <w:sz w:val="20"/>
                <w:szCs w:val="20"/>
              </w:rPr>
            </w:pPr>
            <w:r w:rsidRPr="00D575E7">
              <w:rPr>
                <w:rFonts w:eastAsia="MS Mincho" w:cs="Times New Roman"/>
                <w:sz w:val="20"/>
                <w:szCs w:val="20"/>
              </w:rPr>
              <w:t>Training</w:t>
            </w:r>
          </w:p>
        </w:tc>
        <w:tc>
          <w:tcPr>
            <w:tcW w:w="1238" w:type="dxa"/>
            <w:tcBorders>
              <w:top w:val="nil"/>
              <w:left w:val="nil"/>
              <w:bottom w:val="nil"/>
              <w:right w:val="nil"/>
            </w:tcBorders>
            <w:vAlign w:val="center"/>
          </w:tcPr>
          <w:p w14:paraId="5F035976" w14:textId="77777777" w:rsidR="007D7BE0" w:rsidRPr="007B4DF5" w:rsidRDefault="007D7BE0" w:rsidP="0053519D">
            <w:pPr>
              <w:spacing w:before="0" w:after="0" w:line="240" w:lineRule="auto"/>
              <w:jc w:val="center"/>
              <w:rPr>
                <w:rFonts w:eastAsia="MS Mincho" w:cs="Times New Roman"/>
                <w:color w:val="000000"/>
                <w:sz w:val="20"/>
                <w:szCs w:val="20"/>
              </w:rPr>
            </w:pPr>
            <w:r w:rsidRPr="007B4DF5">
              <w:rPr>
                <w:rFonts w:eastAsia="MS Mincho" w:cs="Times New Roman"/>
                <w:color w:val="000000"/>
                <w:sz w:val="20"/>
                <w:szCs w:val="20"/>
              </w:rPr>
              <w:t>0.64</w:t>
            </w:r>
          </w:p>
        </w:tc>
        <w:tc>
          <w:tcPr>
            <w:tcW w:w="1238" w:type="dxa"/>
            <w:tcBorders>
              <w:top w:val="nil"/>
              <w:left w:val="nil"/>
              <w:bottom w:val="nil"/>
              <w:right w:val="nil"/>
            </w:tcBorders>
            <w:vAlign w:val="center"/>
          </w:tcPr>
          <w:p w14:paraId="1E8BEEB8" w14:textId="614E6B2C" w:rsidR="007D7BE0" w:rsidRPr="007B4DF5" w:rsidRDefault="00414D36" w:rsidP="0053519D">
            <w:pPr>
              <w:spacing w:before="0" w:after="0" w:line="240" w:lineRule="auto"/>
              <w:jc w:val="center"/>
              <w:rPr>
                <w:rFonts w:eastAsia="MS Mincho" w:cs="Times New Roman"/>
                <w:color w:val="000000"/>
                <w:sz w:val="20"/>
                <w:szCs w:val="20"/>
              </w:rPr>
            </w:pPr>
            <w:r>
              <w:rPr>
                <w:rFonts w:eastAsia="MS Mincho" w:cs="Times New Roman"/>
                <w:color w:val="000000"/>
                <w:sz w:val="20"/>
                <w:szCs w:val="20"/>
              </w:rPr>
              <w:t>0.50</w:t>
            </w:r>
          </w:p>
        </w:tc>
        <w:tc>
          <w:tcPr>
            <w:tcW w:w="1405" w:type="dxa"/>
            <w:tcBorders>
              <w:top w:val="nil"/>
              <w:left w:val="nil"/>
              <w:bottom w:val="nil"/>
              <w:right w:val="nil"/>
            </w:tcBorders>
            <w:vAlign w:val="center"/>
          </w:tcPr>
          <w:p w14:paraId="7951BD11" w14:textId="56B74015" w:rsidR="007D7BE0" w:rsidRPr="007B4DF5" w:rsidRDefault="00414D36" w:rsidP="0053519D">
            <w:pPr>
              <w:spacing w:before="0" w:after="0" w:line="240" w:lineRule="auto"/>
              <w:jc w:val="center"/>
              <w:rPr>
                <w:rFonts w:eastAsia="MS Mincho" w:cs="Times New Roman"/>
                <w:color w:val="000000"/>
                <w:sz w:val="20"/>
                <w:szCs w:val="20"/>
              </w:rPr>
            </w:pPr>
            <w:r>
              <w:rPr>
                <w:rFonts w:eastAsia="MS Mincho" w:cs="Times New Roman"/>
                <w:color w:val="000000"/>
                <w:sz w:val="20"/>
                <w:szCs w:val="20"/>
              </w:rPr>
              <w:t>0.70</w:t>
            </w:r>
          </w:p>
        </w:tc>
        <w:tc>
          <w:tcPr>
            <w:tcW w:w="1070" w:type="dxa"/>
            <w:tcBorders>
              <w:top w:val="nil"/>
              <w:left w:val="nil"/>
              <w:bottom w:val="nil"/>
              <w:right w:val="nil"/>
            </w:tcBorders>
            <w:vAlign w:val="center"/>
          </w:tcPr>
          <w:p w14:paraId="4FCF262B" w14:textId="77777777" w:rsidR="007D7BE0" w:rsidRPr="007B4DF5" w:rsidRDefault="007D7BE0" w:rsidP="0053519D">
            <w:pPr>
              <w:spacing w:before="0" w:after="0" w:line="240" w:lineRule="auto"/>
              <w:jc w:val="center"/>
              <w:rPr>
                <w:rFonts w:eastAsia="MS Mincho" w:cs="Times New Roman"/>
                <w:color w:val="000000"/>
                <w:sz w:val="20"/>
                <w:szCs w:val="20"/>
              </w:rPr>
            </w:pPr>
            <w:r w:rsidRPr="007B4DF5">
              <w:rPr>
                <w:rFonts w:eastAsia="MS Mincho" w:cs="Times New Roman"/>
                <w:color w:val="000000"/>
                <w:sz w:val="20"/>
                <w:szCs w:val="20"/>
              </w:rPr>
              <w:t>0.57</w:t>
            </w:r>
          </w:p>
        </w:tc>
        <w:tc>
          <w:tcPr>
            <w:tcW w:w="1239" w:type="dxa"/>
            <w:tcBorders>
              <w:top w:val="nil"/>
              <w:left w:val="nil"/>
              <w:bottom w:val="nil"/>
              <w:right w:val="nil"/>
            </w:tcBorders>
            <w:vAlign w:val="center"/>
          </w:tcPr>
          <w:p w14:paraId="58F81629" w14:textId="77777777" w:rsidR="007D7BE0" w:rsidRPr="007B4DF5" w:rsidRDefault="007D7BE0" w:rsidP="0053519D">
            <w:pPr>
              <w:spacing w:before="0" w:after="0" w:line="240" w:lineRule="auto"/>
              <w:jc w:val="center"/>
              <w:rPr>
                <w:rFonts w:eastAsia="MS Mincho" w:cs="Times New Roman"/>
                <w:color w:val="000000"/>
                <w:sz w:val="20"/>
                <w:szCs w:val="20"/>
              </w:rPr>
            </w:pPr>
            <w:r w:rsidRPr="007B4DF5">
              <w:rPr>
                <w:rFonts w:eastAsia="MS Mincho" w:cs="Times New Roman"/>
                <w:color w:val="000000"/>
                <w:sz w:val="20"/>
                <w:szCs w:val="20"/>
              </w:rPr>
              <w:t>0.75</w:t>
            </w:r>
          </w:p>
        </w:tc>
      </w:tr>
      <w:tr w:rsidR="007D7BE0" w:rsidRPr="007B4DF5" w14:paraId="0829AC51" w14:textId="77777777" w:rsidTr="00D86DDF">
        <w:trPr>
          <w:trHeight w:val="306"/>
          <w:jc w:val="center"/>
        </w:trPr>
        <w:tc>
          <w:tcPr>
            <w:tcW w:w="3393" w:type="dxa"/>
            <w:tcBorders>
              <w:top w:val="nil"/>
              <w:left w:val="nil"/>
              <w:bottom w:val="single" w:sz="4" w:space="0" w:color="auto"/>
              <w:right w:val="nil"/>
            </w:tcBorders>
            <w:vAlign w:val="center"/>
          </w:tcPr>
          <w:p w14:paraId="345C7556" w14:textId="77777777" w:rsidR="007D7BE0" w:rsidRPr="00D575E7" w:rsidRDefault="007D7BE0" w:rsidP="0053519D">
            <w:pPr>
              <w:spacing w:before="0" w:after="0" w:line="240" w:lineRule="auto"/>
              <w:jc w:val="right"/>
              <w:rPr>
                <w:rFonts w:eastAsia="MS Mincho" w:cs="Times New Roman"/>
                <w:sz w:val="20"/>
                <w:szCs w:val="20"/>
              </w:rPr>
            </w:pPr>
            <w:r w:rsidRPr="00D575E7">
              <w:rPr>
                <w:rFonts w:eastAsia="MS Mincho" w:cs="Times New Roman"/>
                <w:sz w:val="20"/>
                <w:szCs w:val="20"/>
              </w:rPr>
              <w:t>Teamwork</w:t>
            </w:r>
          </w:p>
        </w:tc>
        <w:tc>
          <w:tcPr>
            <w:tcW w:w="1238" w:type="dxa"/>
            <w:tcBorders>
              <w:top w:val="nil"/>
              <w:left w:val="nil"/>
              <w:bottom w:val="single" w:sz="4" w:space="0" w:color="auto"/>
              <w:right w:val="nil"/>
            </w:tcBorders>
            <w:vAlign w:val="center"/>
          </w:tcPr>
          <w:p w14:paraId="5A0E21FB" w14:textId="77777777" w:rsidR="007D7BE0" w:rsidRPr="007B4DF5" w:rsidRDefault="007D7BE0" w:rsidP="0053519D">
            <w:pPr>
              <w:spacing w:before="0" w:after="0" w:line="240" w:lineRule="auto"/>
              <w:jc w:val="center"/>
              <w:rPr>
                <w:rFonts w:eastAsia="MS Mincho" w:cs="Times New Roman"/>
                <w:color w:val="000000"/>
                <w:sz w:val="20"/>
                <w:szCs w:val="20"/>
              </w:rPr>
            </w:pPr>
            <w:r w:rsidRPr="007B4DF5">
              <w:rPr>
                <w:rFonts w:eastAsia="MS Mincho" w:cs="Times New Roman"/>
                <w:color w:val="000000"/>
                <w:sz w:val="20"/>
                <w:szCs w:val="20"/>
              </w:rPr>
              <w:t>0.81</w:t>
            </w:r>
          </w:p>
        </w:tc>
        <w:tc>
          <w:tcPr>
            <w:tcW w:w="1238" w:type="dxa"/>
            <w:tcBorders>
              <w:top w:val="nil"/>
              <w:left w:val="nil"/>
              <w:bottom w:val="single" w:sz="4" w:space="0" w:color="auto"/>
              <w:right w:val="nil"/>
            </w:tcBorders>
            <w:vAlign w:val="center"/>
          </w:tcPr>
          <w:p w14:paraId="6B3A8DCC" w14:textId="0E20DD3B" w:rsidR="007D7BE0" w:rsidRPr="007B4DF5" w:rsidRDefault="00414D36" w:rsidP="0053519D">
            <w:pPr>
              <w:spacing w:before="0" w:after="0" w:line="240" w:lineRule="auto"/>
              <w:jc w:val="center"/>
              <w:rPr>
                <w:rFonts w:eastAsia="MS Mincho" w:cs="Times New Roman"/>
                <w:color w:val="000000"/>
                <w:sz w:val="20"/>
                <w:szCs w:val="20"/>
              </w:rPr>
            </w:pPr>
            <w:r>
              <w:rPr>
                <w:rFonts w:eastAsia="MS Mincho" w:cs="Times New Roman"/>
                <w:color w:val="000000"/>
                <w:sz w:val="20"/>
                <w:szCs w:val="20"/>
              </w:rPr>
              <w:t>0.71</w:t>
            </w:r>
          </w:p>
        </w:tc>
        <w:tc>
          <w:tcPr>
            <w:tcW w:w="1405" w:type="dxa"/>
            <w:tcBorders>
              <w:top w:val="nil"/>
              <w:left w:val="nil"/>
              <w:bottom w:val="single" w:sz="4" w:space="0" w:color="auto"/>
              <w:right w:val="nil"/>
            </w:tcBorders>
            <w:vAlign w:val="center"/>
          </w:tcPr>
          <w:p w14:paraId="405EAF5D" w14:textId="300369C9" w:rsidR="007D7BE0" w:rsidRPr="007B4DF5" w:rsidRDefault="00414D36" w:rsidP="0053519D">
            <w:pPr>
              <w:spacing w:before="0" w:after="0" w:line="240" w:lineRule="auto"/>
              <w:jc w:val="center"/>
              <w:rPr>
                <w:rFonts w:eastAsia="MS Mincho" w:cs="Times New Roman"/>
                <w:color w:val="000000"/>
                <w:sz w:val="20"/>
                <w:szCs w:val="20"/>
              </w:rPr>
            </w:pPr>
            <w:r>
              <w:rPr>
                <w:rFonts w:eastAsia="MS Mincho" w:cs="Times New Roman"/>
                <w:color w:val="000000"/>
                <w:sz w:val="20"/>
                <w:szCs w:val="20"/>
              </w:rPr>
              <w:t>0.85</w:t>
            </w:r>
          </w:p>
        </w:tc>
        <w:tc>
          <w:tcPr>
            <w:tcW w:w="1070" w:type="dxa"/>
            <w:tcBorders>
              <w:top w:val="nil"/>
              <w:left w:val="nil"/>
              <w:bottom w:val="single" w:sz="4" w:space="0" w:color="auto"/>
              <w:right w:val="nil"/>
            </w:tcBorders>
            <w:vAlign w:val="center"/>
          </w:tcPr>
          <w:p w14:paraId="0B7A5E20" w14:textId="77777777" w:rsidR="007D7BE0" w:rsidRPr="007B4DF5" w:rsidRDefault="007D7BE0" w:rsidP="0053519D">
            <w:pPr>
              <w:spacing w:before="0" w:after="0" w:line="240" w:lineRule="auto"/>
              <w:jc w:val="center"/>
              <w:rPr>
                <w:rFonts w:eastAsia="MS Mincho" w:cs="Times New Roman"/>
                <w:color w:val="000000"/>
                <w:sz w:val="20"/>
                <w:szCs w:val="20"/>
              </w:rPr>
            </w:pPr>
            <w:r w:rsidRPr="007B4DF5">
              <w:rPr>
                <w:rFonts w:eastAsia="MS Mincho" w:cs="Times New Roman"/>
                <w:color w:val="000000"/>
                <w:sz w:val="20"/>
                <w:szCs w:val="20"/>
              </w:rPr>
              <w:t>0.83</w:t>
            </w:r>
          </w:p>
        </w:tc>
        <w:tc>
          <w:tcPr>
            <w:tcW w:w="1239" w:type="dxa"/>
            <w:tcBorders>
              <w:top w:val="nil"/>
              <w:left w:val="nil"/>
              <w:bottom w:val="single" w:sz="4" w:space="0" w:color="auto"/>
              <w:right w:val="nil"/>
            </w:tcBorders>
            <w:vAlign w:val="center"/>
          </w:tcPr>
          <w:p w14:paraId="7079B535" w14:textId="77777777" w:rsidR="007D7BE0" w:rsidRPr="007B4DF5" w:rsidRDefault="007D7BE0" w:rsidP="0053519D">
            <w:pPr>
              <w:spacing w:before="0" w:after="0" w:line="240" w:lineRule="auto"/>
              <w:jc w:val="center"/>
              <w:rPr>
                <w:rFonts w:eastAsia="MS Mincho" w:cs="Times New Roman"/>
                <w:color w:val="000000"/>
                <w:sz w:val="20"/>
                <w:szCs w:val="20"/>
              </w:rPr>
            </w:pPr>
            <w:r w:rsidRPr="007B4DF5">
              <w:rPr>
                <w:rFonts w:eastAsia="MS Mincho" w:cs="Times New Roman"/>
                <w:color w:val="000000"/>
                <w:sz w:val="20"/>
                <w:szCs w:val="20"/>
              </w:rPr>
              <w:t>0.87</w:t>
            </w:r>
          </w:p>
        </w:tc>
      </w:tr>
      <w:tr w:rsidR="007D7BE0" w:rsidRPr="007B4DF5" w14:paraId="4B002855" w14:textId="77777777" w:rsidTr="00D86DDF">
        <w:trPr>
          <w:trHeight w:val="306"/>
          <w:jc w:val="center"/>
        </w:trPr>
        <w:tc>
          <w:tcPr>
            <w:tcW w:w="3393" w:type="dxa"/>
            <w:tcBorders>
              <w:top w:val="single" w:sz="4" w:space="0" w:color="auto"/>
              <w:left w:val="nil"/>
              <w:bottom w:val="single" w:sz="4" w:space="0" w:color="auto"/>
              <w:right w:val="nil"/>
            </w:tcBorders>
            <w:vAlign w:val="center"/>
          </w:tcPr>
          <w:p w14:paraId="41C44EDB" w14:textId="77777777" w:rsidR="007D7BE0" w:rsidRPr="007B4DF5" w:rsidRDefault="007D7BE0" w:rsidP="0053519D">
            <w:pPr>
              <w:spacing w:before="0" w:after="0" w:line="240" w:lineRule="auto"/>
              <w:jc w:val="right"/>
              <w:rPr>
                <w:rFonts w:eastAsia="MS Mincho" w:cs="Times New Roman"/>
                <w:sz w:val="20"/>
                <w:szCs w:val="20"/>
              </w:rPr>
            </w:pPr>
            <w:r w:rsidRPr="007B4DF5">
              <w:rPr>
                <w:rFonts w:eastAsia="MS Mincho" w:cs="Times New Roman"/>
                <w:sz w:val="20"/>
                <w:szCs w:val="20"/>
              </w:rPr>
              <w:t>Observations (unweighted)</w:t>
            </w:r>
          </w:p>
        </w:tc>
        <w:tc>
          <w:tcPr>
            <w:tcW w:w="1238" w:type="dxa"/>
            <w:tcBorders>
              <w:top w:val="single" w:sz="4" w:space="0" w:color="auto"/>
              <w:left w:val="nil"/>
              <w:bottom w:val="single" w:sz="4" w:space="0" w:color="auto"/>
              <w:right w:val="nil"/>
            </w:tcBorders>
            <w:vAlign w:val="center"/>
          </w:tcPr>
          <w:p w14:paraId="23120093" w14:textId="45842FB0" w:rsidR="007D7BE0" w:rsidRPr="007B4DF5" w:rsidRDefault="00414D36" w:rsidP="0053519D">
            <w:pPr>
              <w:spacing w:before="0" w:after="0" w:line="240" w:lineRule="auto"/>
              <w:jc w:val="center"/>
              <w:rPr>
                <w:rFonts w:eastAsia="MS Mincho" w:cs="Times New Roman"/>
                <w:sz w:val="20"/>
                <w:szCs w:val="20"/>
              </w:rPr>
            </w:pPr>
            <w:r>
              <w:rPr>
                <w:rFonts w:eastAsia="MS Mincho" w:cs="Times New Roman"/>
                <w:sz w:val="20"/>
                <w:szCs w:val="20"/>
              </w:rPr>
              <w:t>10,048</w:t>
            </w:r>
          </w:p>
        </w:tc>
        <w:tc>
          <w:tcPr>
            <w:tcW w:w="1238" w:type="dxa"/>
            <w:tcBorders>
              <w:top w:val="single" w:sz="4" w:space="0" w:color="auto"/>
              <w:left w:val="nil"/>
              <w:bottom w:val="single" w:sz="4" w:space="0" w:color="auto"/>
              <w:right w:val="nil"/>
            </w:tcBorders>
            <w:vAlign w:val="center"/>
          </w:tcPr>
          <w:p w14:paraId="04ACD927" w14:textId="26BE22EB" w:rsidR="007D7BE0" w:rsidRPr="007B4DF5" w:rsidRDefault="00414D36" w:rsidP="0053519D">
            <w:pPr>
              <w:spacing w:before="0" w:after="0" w:line="240" w:lineRule="auto"/>
              <w:jc w:val="center"/>
              <w:rPr>
                <w:rFonts w:eastAsia="MS Mincho" w:cs="Times New Roman"/>
                <w:sz w:val="20"/>
                <w:szCs w:val="20"/>
              </w:rPr>
            </w:pPr>
            <w:r>
              <w:rPr>
                <w:rFonts w:eastAsia="MS Mincho" w:cs="Times New Roman"/>
                <w:sz w:val="20"/>
                <w:szCs w:val="20"/>
              </w:rPr>
              <w:t>3,216</w:t>
            </w:r>
          </w:p>
        </w:tc>
        <w:tc>
          <w:tcPr>
            <w:tcW w:w="1405" w:type="dxa"/>
            <w:tcBorders>
              <w:top w:val="single" w:sz="4" w:space="0" w:color="auto"/>
              <w:left w:val="nil"/>
              <w:bottom w:val="single" w:sz="4" w:space="0" w:color="auto"/>
              <w:right w:val="nil"/>
            </w:tcBorders>
            <w:vAlign w:val="center"/>
          </w:tcPr>
          <w:p w14:paraId="76136729" w14:textId="65963794" w:rsidR="007D7BE0" w:rsidRPr="007B4DF5" w:rsidRDefault="00414D36" w:rsidP="0053519D">
            <w:pPr>
              <w:spacing w:before="0" w:after="0" w:line="240" w:lineRule="auto"/>
              <w:jc w:val="center"/>
              <w:rPr>
                <w:rFonts w:eastAsia="MS Mincho" w:cs="Times New Roman"/>
                <w:sz w:val="20"/>
                <w:szCs w:val="20"/>
              </w:rPr>
            </w:pPr>
            <w:r>
              <w:rPr>
                <w:rFonts w:eastAsia="MS Mincho" w:cs="Times New Roman"/>
                <w:sz w:val="20"/>
                <w:szCs w:val="20"/>
              </w:rPr>
              <w:t>3,462</w:t>
            </w:r>
          </w:p>
        </w:tc>
        <w:tc>
          <w:tcPr>
            <w:tcW w:w="1070" w:type="dxa"/>
            <w:tcBorders>
              <w:top w:val="single" w:sz="4" w:space="0" w:color="auto"/>
              <w:left w:val="nil"/>
              <w:bottom w:val="single" w:sz="4" w:space="0" w:color="auto"/>
              <w:right w:val="nil"/>
            </w:tcBorders>
            <w:vAlign w:val="center"/>
          </w:tcPr>
          <w:p w14:paraId="6169805C" w14:textId="77777777" w:rsidR="007D7BE0" w:rsidRPr="007B4DF5" w:rsidRDefault="007D7BE0" w:rsidP="0053519D">
            <w:pPr>
              <w:spacing w:before="0" w:after="0" w:line="240" w:lineRule="auto"/>
              <w:jc w:val="center"/>
              <w:rPr>
                <w:rFonts w:eastAsia="MS Mincho" w:cs="Times New Roman"/>
                <w:sz w:val="20"/>
                <w:szCs w:val="20"/>
              </w:rPr>
            </w:pPr>
            <w:r w:rsidRPr="007B4DF5">
              <w:rPr>
                <w:rFonts w:eastAsia="MS Mincho" w:cs="Times New Roman"/>
                <w:sz w:val="20"/>
                <w:szCs w:val="20"/>
              </w:rPr>
              <w:t>1,992</w:t>
            </w:r>
          </w:p>
        </w:tc>
        <w:tc>
          <w:tcPr>
            <w:tcW w:w="1239" w:type="dxa"/>
            <w:tcBorders>
              <w:top w:val="single" w:sz="4" w:space="0" w:color="auto"/>
              <w:left w:val="nil"/>
              <w:bottom w:val="single" w:sz="4" w:space="0" w:color="auto"/>
              <w:right w:val="nil"/>
            </w:tcBorders>
            <w:vAlign w:val="center"/>
          </w:tcPr>
          <w:p w14:paraId="276E3BFD" w14:textId="77777777" w:rsidR="007D7BE0" w:rsidRPr="007B4DF5" w:rsidRDefault="007D7BE0" w:rsidP="0053519D">
            <w:pPr>
              <w:spacing w:before="0" w:after="0" w:line="240" w:lineRule="auto"/>
              <w:jc w:val="center"/>
              <w:rPr>
                <w:rFonts w:eastAsia="MS Mincho" w:cs="Times New Roman"/>
                <w:sz w:val="20"/>
                <w:szCs w:val="20"/>
              </w:rPr>
            </w:pPr>
            <w:r w:rsidRPr="007B4DF5">
              <w:rPr>
                <w:rFonts w:eastAsia="MS Mincho" w:cs="Times New Roman"/>
                <w:sz w:val="20"/>
                <w:szCs w:val="20"/>
              </w:rPr>
              <w:t>1,378</w:t>
            </w:r>
          </w:p>
        </w:tc>
      </w:tr>
      <w:tr w:rsidR="007D7BE0" w:rsidRPr="007B4DF5" w14:paraId="0E940D29" w14:textId="77777777" w:rsidTr="00D575E7">
        <w:trPr>
          <w:trHeight w:val="306"/>
          <w:jc w:val="center"/>
        </w:trPr>
        <w:tc>
          <w:tcPr>
            <w:tcW w:w="9583" w:type="dxa"/>
            <w:gridSpan w:val="6"/>
            <w:tcBorders>
              <w:top w:val="single" w:sz="4" w:space="0" w:color="auto"/>
              <w:left w:val="nil"/>
              <w:bottom w:val="nil"/>
              <w:right w:val="nil"/>
            </w:tcBorders>
            <w:vAlign w:val="center"/>
          </w:tcPr>
          <w:p w14:paraId="60183366" w14:textId="77777777" w:rsidR="007D7BE0" w:rsidRPr="007B4DF5" w:rsidRDefault="007D7BE0" w:rsidP="0053519D">
            <w:pPr>
              <w:spacing w:before="0" w:after="0" w:line="240" w:lineRule="auto"/>
              <w:rPr>
                <w:rFonts w:eastAsia="MS Mincho" w:cs="Times New Roman"/>
                <w:sz w:val="20"/>
                <w:szCs w:val="20"/>
              </w:rPr>
            </w:pPr>
          </w:p>
          <w:p w14:paraId="1B78A6D3" w14:textId="77777777" w:rsidR="007D7BE0" w:rsidRPr="007B4DF5" w:rsidRDefault="007D7BE0" w:rsidP="0053519D">
            <w:pPr>
              <w:spacing w:before="0" w:after="0" w:line="240" w:lineRule="auto"/>
              <w:rPr>
                <w:rFonts w:eastAsia="MS Mincho" w:cs="Times New Roman"/>
                <w:sz w:val="18"/>
                <w:szCs w:val="18"/>
              </w:rPr>
            </w:pPr>
            <w:r w:rsidRPr="007B4DF5">
              <w:rPr>
                <w:rFonts w:eastAsia="MS Mincho" w:cs="Times New Roman"/>
                <w:sz w:val="18"/>
                <w:szCs w:val="18"/>
              </w:rPr>
              <w:t xml:space="preserve">Source: ECS 2009 and authors’ calculations. </w:t>
            </w:r>
          </w:p>
          <w:p w14:paraId="7EA4AD29" w14:textId="77777777" w:rsidR="007D7BE0" w:rsidRPr="007B4DF5" w:rsidRDefault="007D7BE0" w:rsidP="0053519D">
            <w:pPr>
              <w:spacing w:before="0" w:after="0" w:line="240" w:lineRule="auto"/>
              <w:rPr>
                <w:rFonts w:eastAsia="MS Mincho" w:cs="Times New Roman"/>
                <w:sz w:val="20"/>
                <w:szCs w:val="20"/>
              </w:rPr>
            </w:pPr>
            <w:r w:rsidRPr="007B4DF5">
              <w:rPr>
                <w:rFonts w:eastAsia="MS Mincho" w:cs="Times New Roman"/>
                <w:sz w:val="18"/>
                <w:szCs w:val="18"/>
              </w:rPr>
              <w:t>Notes: Numbers show proportion of establishments for the relevant characteristic and country grouping; weighted data.</w:t>
            </w:r>
            <w:r w:rsidRPr="007B4DF5">
              <w:rPr>
                <w:rFonts w:eastAsia="MS Mincho" w:cs="Times New Roman"/>
                <w:sz w:val="20"/>
                <w:szCs w:val="20"/>
              </w:rPr>
              <w:t xml:space="preserve"> </w:t>
            </w:r>
          </w:p>
        </w:tc>
      </w:tr>
    </w:tbl>
    <w:p w14:paraId="318FA787" w14:textId="77777777" w:rsidR="007B4DF5" w:rsidRPr="007B4DF5" w:rsidRDefault="007B4DF5" w:rsidP="007B4DF5">
      <w:pPr>
        <w:rPr>
          <w:rFonts w:eastAsia="MS Mincho" w:cs="Times New Roman"/>
        </w:rPr>
      </w:pPr>
    </w:p>
    <w:p w14:paraId="6F1AB2D8" w14:textId="77777777" w:rsidR="007B4DF5" w:rsidRPr="007B4DF5" w:rsidRDefault="007B4DF5" w:rsidP="007B4DF5">
      <w:pPr>
        <w:rPr>
          <w:rFonts w:eastAsia="MS Mincho" w:cs="Times New Roman"/>
        </w:rPr>
        <w:sectPr w:rsidR="007B4DF5" w:rsidRPr="007B4DF5" w:rsidSect="005112FF">
          <w:pgSz w:w="11906" w:h="16838"/>
          <w:pgMar w:top="1440" w:right="1797" w:bottom="1440" w:left="1797" w:header="709" w:footer="709" w:gutter="0"/>
          <w:cols w:space="708"/>
          <w:docGrid w:linePitch="360"/>
        </w:sectPr>
      </w:pPr>
    </w:p>
    <w:tbl>
      <w:tblPr>
        <w:tblW w:w="14670" w:type="dxa"/>
        <w:tblLayout w:type="fixed"/>
        <w:tblLook w:val="04A0" w:firstRow="1" w:lastRow="0" w:firstColumn="1" w:lastColumn="0" w:noHBand="0" w:noVBand="1"/>
      </w:tblPr>
      <w:tblGrid>
        <w:gridCol w:w="2610"/>
        <w:gridCol w:w="1204"/>
        <w:gridCol w:w="1204"/>
        <w:gridCol w:w="1206"/>
        <w:gridCol w:w="96"/>
        <w:gridCol w:w="1109"/>
        <w:gridCol w:w="1211"/>
        <w:gridCol w:w="1205"/>
        <w:gridCol w:w="1205"/>
        <w:gridCol w:w="1312"/>
        <w:gridCol w:w="1099"/>
        <w:gridCol w:w="1209"/>
      </w:tblGrid>
      <w:tr w:rsidR="007B4DF5" w:rsidRPr="007B4DF5" w14:paraId="344F61F2" w14:textId="77777777" w:rsidTr="003019B8">
        <w:trPr>
          <w:trHeight w:val="218"/>
        </w:trPr>
        <w:tc>
          <w:tcPr>
            <w:tcW w:w="14670" w:type="dxa"/>
            <w:gridSpan w:val="12"/>
            <w:tcBorders>
              <w:left w:val="nil"/>
              <w:bottom w:val="nil"/>
              <w:right w:val="nil"/>
            </w:tcBorders>
            <w:shd w:val="clear" w:color="auto" w:fill="auto"/>
            <w:noWrap/>
            <w:vAlign w:val="bottom"/>
          </w:tcPr>
          <w:p w14:paraId="71411657" w14:textId="01349B2B" w:rsidR="007B4DF5" w:rsidRPr="007B4DF5" w:rsidRDefault="007B4DF5" w:rsidP="0053519D">
            <w:pPr>
              <w:spacing w:before="0" w:after="0" w:line="240" w:lineRule="auto"/>
              <w:rPr>
                <w:rFonts w:eastAsia="Times New Roman" w:cs="Arial"/>
                <w:b/>
                <w:lang w:eastAsia="en-GB"/>
              </w:rPr>
            </w:pPr>
            <w:r w:rsidRPr="007B4DF5">
              <w:rPr>
                <w:rFonts w:eastAsia="Times New Roman" w:cs="Arial"/>
                <w:b/>
                <w:lang w:eastAsia="en-GB"/>
              </w:rPr>
              <w:t>Table 3: Ordered probit estimate</w:t>
            </w:r>
            <w:r w:rsidR="007C3AE1">
              <w:rPr>
                <w:rFonts w:eastAsia="Times New Roman" w:cs="Arial"/>
                <w:b/>
                <w:lang w:eastAsia="en-GB"/>
              </w:rPr>
              <w:t>s of productivity change models</w:t>
            </w:r>
          </w:p>
          <w:p w14:paraId="690307CE" w14:textId="77777777" w:rsidR="007B4DF5" w:rsidRPr="007B4DF5" w:rsidRDefault="007B4DF5" w:rsidP="0053519D">
            <w:pPr>
              <w:spacing w:before="0" w:after="0" w:line="240" w:lineRule="auto"/>
              <w:rPr>
                <w:rFonts w:eastAsia="Times New Roman" w:cs="Arial"/>
                <w:b/>
                <w:sz w:val="20"/>
                <w:szCs w:val="20"/>
                <w:lang w:eastAsia="en-GB"/>
              </w:rPr>
            </w:pPr>
          </w:p>
        </w:tc>
      </w:tr>
      <w:tr w:rsidR="007B4DF5" w:rsidRPr="007B4DF5" w14:paraId="33390B03" w14:textId="77777777" w:rsidTr="0053519D">
        <w:trPr>
          <w:trHeight w:val="218"/>
        </w:trPr>
        <w:tc>
          <w:tcPr>
            <w:tcW w:w="2610" w:type="dxa"/>
            <w:tcBorders>
              <w:top w:val="single" w:sz="4" w:space="0" w:color="auto"/>
              <w:left w:val="nil"/>
              <w:bottom w:val="nil"/>
              <w:right w:val="nil"/>
            </w:tcBorders>
            <w:shd w:val="clear" w:color="auto" w:fill="auto"/>
            <w:noWrap/>
            <w:vAlign w:val="center"/>
          </w:tcPr>
          <w:p w14:paraId="646D6145" w14:textId="77777777" w:rsidR="007B4DF5" w:rsidRPr="007B4DF5" w:rsidRDefault="007B4DF5" w:rsidP="0053519D">
            <w:pPr>
              <w:spacing w:before="0" w:after="0" w:line="240" w:lineRule="auto"/>
              <w:jc w:val="center"/>
              <w:rPr>
                <w:rFonts w:eastAsia="Times New Roman" w:cs="Arial"/>
                <w:b/>
                <w:sz w:val="20"/>
                <w:szCs w:val="20"/>
                <w:lang w:eastAsia="en-GB"/>
              </w:rPr>
            </w:pPr>
          </w:p>
        </w:tc>
        <w:tc>
          <w:tcPr>
            <w:tcW w:w="6030" w:type="dxa"/>
            <w:gridSpan w:val="6"/>
            <w:tcBorders>
              <w:top w:val="single" w:sz="4" w:space="0" w:color="auto"/>
              <w:left w:val="nil"/>
              <w:bottom w:val="nil"/>
              <w:right w:val="single" w:sz="4" w:space="0" w:color="auto"/>
            </w:tcBorders>
            <w:shd w:val="clear" w:color="auto" w:fill="auto"/>
            <w:noWrap/>
            <w:vAlign w:val="center"/>
          </w:tcPr>
          <w:p w14:paraId="53398488" w14:textId="77777777" w:rsidR="007B4DF5" w:rsidRPr="007B4DF5" w:rsidRDefault="007B4DF5" w:rsidP="0053519D">
            <w:pPr>
              <w:spacing w:before="0" w:after="0" w:line="240" w:lineRule="auto"/>
              <w:jc w:val="center"/>
              <w:rPr>
                <w:rFonts w:eastAsia="Times New Roman" w:cs="Arial"/>
                <w:b/>
                <w:sz w:val="20"/>
                <w:szCs w:val="20"/>
                <w:lang w:eastAsia="en-GB"/>
              </w:rPr>
            </w:pPr>
            <w:r w:rsidRPr="007B4DF5">
              <w:rPr>
                <w:rFonts w:eastAsia="Times New Roman" w:cs="Arial"/>
                <w:b/>
                <w:sz w:val="20"/>
                <w:szCs w:val="20"/>
                <w:lang w:eastAsia="en-GB"/>
              </w:rPr>
              <w:t>(1)</w:t>
            </w:r>
          </w:p>
        </w:tc>
        <w:tc>
          <w:tcPr>
            <w:tcW w:w="6030" w:type="dxa"/>
            <w:gridSpan w:val="5"/>
            <w:tcBorders>
              <w:top w:val="single" w:sz="4" w:space="0" w:color="auto"/>
              <w:left w:val="single" w:sz="4" w:space="0" w:color="auto"/>
              <w:bottom w:val="nil"/>
              <w:right w:val="nil"/>
            </w:tcBorders>
            <w:shd w:val="clear" w:color="auto" w:fill="auto"/>
            <w:noWrap/>
            <w:vAlign w:val="center"/>
          </w:tcPr>
          <w:p w14:paraId="609E47E5" w14:textId="77777777" w:rsidR="007B4DF5" w:rsidRPr="007B4DF5" w:rsidRDefault="007B4DF5" w:rsidP="0053519D">
            <w:pPr>
              <w:spacing w:before="0" w:after="0" w:line="240" w:lineRule="auto"/>
              <w:jc w:val="center"/>
              <w:rPr>
                <w:rFonts w:eastAsia="Times New Roman" w:cs="Arial"/>
                <w:b/>
                <w:sz w:val="20"/>
                <w:szCs w:val="20"/>
                <w:lang w:eastAsia="en-GB"/>
              </w:rPr>
            </w:pPr>
            <w:r w:rsidRPr="007B4DF5">
              <w:rPr>
                <w:rFonts w:eastAsia="Times New Roman" w:cs="Arial"/>
                <w:b/>
                <w:sz w:val="20"/>
                <w:szCs w:val="20"/>
                <w:lang w:eastAsia="en-GB"/>
              </w:rPr>
              <w:t>(2)</w:t>
            </w:r>
          </w:p>
        </w:tc>
      </w:tr>
      <w:tr w:rsidR="007D7BE0" w:rsidRPr="007D7BE0" w14:paraId="6445D852" w14:textId="77777777" w:rsidTr="0053519D">
        <w:trPr>
          <w:trHeight w:val="218"/>
        </w:trPr>
        <w:tc>
          <w:tcPr>
            <w:tcW w:w="2610" w:type="dxa"/>
            <w:tcBorders>
              <w:top w:val="nil"/>
              <w:left w:val="nil"/>
              <w:bottom w:val="nil"/>
              <w:right w:val="nil"/>
            </w:tcBorders>
            <w:shd w:val="clear" w:color="auto" w:fill="auto"/>
            <w:noWrap/>
            <w:vAlign w:val="center"/>
            <w:hideMark/>
          </w:tcPr>
          <w:p w14:paraId="2E683E5E" w14:textId="77777777" w:rsidR="007D7BE0" w:rsidRPr="007D7BE0" w:rsidRDefault="007D7BE0" w:rsidP="0053519D">
            <w:pPr>
              <w:spacing w:before="0" w:after="0" w:line="240" w:lineRule="auto"/>
              <w:jc w:val="center"/>
              <w:rPr>
                <w:rFonts w:eastAsia="Times New Roman" w:cs="Arial"/>
                <w:b/>
                <w:sz w:val="20"/>
                <w:szCs w:val="20"/>
                <w:lang w:eastAsia="en-GB"/>
              </w:rPr>
            </w:pPr>
          </w:p>
        </w:tc>
        <w:tc>
          <w:tcPr>
            <w:tcW w:w="1204" w:type="dxa"/>
            <w:tcBorders>
              <w:top w:val="nil"/>
              <w:left w:val="nil"/>
              <w:bottom w:val="nil"/>
              <w:right w:val="nil"/>
            </w:tcBorders>
            <w:shd w:val="clear" w:color="auto" w:fill="auto"/>
            <w:noWrap/>
            <w:vAlign w:val="center"/>
            <w:hideMark/>
          </w:tcPr>
          <w:p w14:paraId="702D728A" w14:textId="192C064D" w:rsidR="007D7BE0" w:rsidRPr="007D7BE0" w:rsidRDefault="007D7BE0" w:rsidP="0053519D">
            <w:pPr>
              <w:spacing w:before="0" w:after="0" w:line="240" w:lineRule="auto"/>
              <w:jc w:val="center"/>
              <w:rPr>
                <w:rFonts w:eastAsia="Times New Roman" w:cs="Arial"/>
                <w:b/>
                <w:sz w:val="20"/>
                <w:szCs w:val="20"/>
                <w:lang w:eastAsia="en-GB"/>
              </w:rPr>
            </w:pPr>
            <w:r w:rsidRPr="007D7BE0">
              <w:rPr>
                <w:rFonts w:eastAsia="MS Mincho" w:cs="Times New Roman"/>
                <w:b/>
                <w:sz w:val="20"/>
                <w:szCs w:val="20"/>
              </w:rPr>
              <w:t>EU-15</w:t>
            </w:r>
          </w:p>
        </w:tc>
        <w:tc>
          <w:tcPr>
            <w:tcW w:w="1204" w:type="dxa"/>
            <w:tcBorders>
              <w:top w:val="nil"/>
              <w:left w:val="nil"/>
              <w:bottom w:val="nil"/>
              <w:right w:val="nil"/>
            </w:tcBorders>
            <w:shd w:val="clear" w:color="auto" w:fill="auto"/>
            <w:noWrap/>
            <w:vAlign w:val="center"/>
            <w:hideMark/>
          </w:tcPr>
          <w:p w14:paraId="1A900289" w14:textId="4A1B6AE6" w:rsidR="007D7BE0" w:rsidRPr="007D7BE0" w:rsidRDefault="007D7BE0" w:rsidP="0053519D">
            <w:pPr>
              <w:spacing w:before="0" w:after="0" w:line="240" w:lineRule="auto"/>
              <w:jc w:val="center"/>
              <w:rPr>
                <w:rFonts w:eastAsia="Times New Roman" w:cs="Arial"/>
                <w:b/>
                <w:sz w:val="20"/>
                <w:szCs w:val="20"/>
                <w:lang w:eastAsia="en-GB"/>
              </w:rPr>
            </w:pPr>
            <w:r w:rsidRPr="007D7BE0">
              <w:rPr>
                <w:rFonts w:eastAsia="MS Mincho" w:cs="Times New Roman"/>
                <w:b/>
                <w:sz w:val="20"/>
                <w:szCs w:val="20"/>
              </w:rPr>
              <w:t>Southern</w:t>
            </w:r>
          </w:p>
        </w:tc>
        <w:tc>
          <w:tcPr>
            <w:tcW w:w="1302" w:type="dxa"/>
            <w:gridSpan w:val="2"/>
            <w:tcBorders>
              <w:top w:val="nil"/>
              <w:left w:val="nil"/>
              <w:bottom w:val="nil"/>
              <w:right w:val="nil"/>
            </w:tcBorders>
            <w:shd w:val="clear" w:color="auto" w:fill="auto"/>
            <w:noWrap/>
            <w:vAlign w:val="center"/>
            <w:hideMark/>
          </w:tcPr>
          <w:p w14:paraId="21BDF28D" w14:textId="30BE8E96" w:rsidR="007D7BE0" w:rsidRPr="007D7BE0" w:rsidRDefault="00D86DDF" w:rsidP="0053519D">
            <w:pPr>
              <w:spacing w:before="0" w:after="0" w:line="240" w:lineRule="auto"/>
              <w:jc w:val="center"/>
              <w:rPr>
                <w:rFonts w:eastAsia="Times New Roman" w:cs="Arial"/>
                <w:b/>
                <w:sz w:val="20"/>
                <w:szCs w:val="20"/>
                <w:lang w:eastAsia="en-GB"/>
              </w:rPr>
            </w:pPr>
            <w:r>
              <w:rPr>
                <w:rFonts w:eastAsia="MS Mincho" w:cs="Times New Roman"/>
                <w:b/>
                <w:sz w:val="20"/>
                <w:szCs w:val="20"/>
              </w:rPr>
              <w:t>Continental</w:t>
            </w:r>
          </w:p>
        </w:tc>
        <w:tc>
          <w:tcPr>
            <w:tcW w:w="1109" w:type="dxa"/>
            <w:tcBorders>
              <w:top w:val="nil"/>
              <w:left w:val="nil"/>
              <w:bottom w:val="nil"/>
              <w:right w:val="nil"/>
            </w:tcBorders>
            <w:shd w:val="clear" w:color="auto" w:fill="auto"/>
            <w:noWrap/>
            <w:vAlign w:val="center"/>
            <w:hideMark/>
          </w:tcPr>
          <w:p w14:paraId="0F0EC838" w14:textId="740F0559" w:rsidR="007D7BE0" w:rsidRPr="007D7BE0" w:rsidRDefault="007D7BE0" w:rsidP="0053519D">
            <w:pPr>
              <w:spacing w:before="0" w:after="0" w:line="240" w:lineRule="auto"/>
              <w:jc w:val="center"/>
              <w:rPr>
                <w:rFonts w:eastAsia="Times New Roman" w:cs="Arial"/>
                <w:b/>
                <w:sz w:val="20"/>
                <w:szCs w:val="20"/>
                <w:lang w:eastAsia="en-GB"/>
              </w:rPr>
            </w:pPr>
            <w:r w:rsidRPr="007D7BE0">
              <w:rPr>
                <w:rFonts w:eastAsia="MS Mincho" w:cs="Times New Roman"/>
                <w:b/>
                <w:sz w:val="20"/>
                <w:szCs w:val="20"/>
              </w:rPr>
              <w:t>Nordic</w:t>
            </w:r>
          </w:p>
        </w:tc>
        <w:tc>
          <w:tcPr>
            <w:tcW w:w="1211" w:type="dxa"/>
            <w:tcBorders>
              <w:top w:val="nil"/>
              <w:left w:val="nil"/>
              <w:bottom w:val="nil"/>
              <w:right w:val="single" w:sz="4" w:space="0" w:color="auto"/>
            </w:tcBorders>
            <w:shd w:val="clear" w:color="auto" w:fill="auto"/>
            <w:noWrap/>
            <w:vAlign w:val="center"/>
            <w:hideMark/>
          </w:tcPr>
          <w:p w14:paraId="4523BA46" w14:textId="4A520E37" w:rsidR="007D7BE0" w:rsidRPr="007D7BE0" w:rsidRDefault="007D7BE0" w:rsidP="0053519D">
            <w:pPr>
              <w:spacing w:before="0" w:after="0" w:line="240" w:lineRule="auto"/>
              <w:jc w:val="center"/>
              <w:rPr>
                <w:rFonts w:eastAsia="Times New Roman" w:cs="Arial"/>
                <w:b/>
                <w:sz w:val="20"/>
                <w:szCs w:val="20"/>
                <w:lang w:eastAsia="en-GB"/>
              </w:rPr>
            </w:pPr>
            <w:r w:rsidRPr="007D7BE0">
              <w:rPr>
                <w:rFonts w:eastAsia="MS Mincho" w:cs="Times New Roman"/>
                <w:b/>
                <w:sz w:val="20"/>
                <w:szCs w:val="20"/>
              </w:rPr>
              <w:t>Liberal</w:t>
            </w:r>
          </w:p>
        </w:tc>
        <w:tc>
          <w:tcPr>
            <w:tcW w:w="1205" w:type="dxa"/>
            <w:tcBorders>
              <w:top w:val="nil"/>
              <w:left w:val="single" w:sz="4" w:space="0" w:color="auto"/>
              <w:bottom w:val="nil"/>
              <w:right w:val="nil"/>
            </w:tcBorders>
            <w:shd w:val="clear" w:color="auto" w:fill="auto"/>
            <w:noWrap/>
            <w:vAlign w:val="center"/>
            <w:hideMark/>
          </w:tcPr>
          <w:p w14:paraId="06ADF689" w14:textId="51DD3147" w:rsidR="007D7BE0" w:rsidRPr="007D7BE0" w:rsidRDefault="007D7BE0" w:rsidP="0053519D">
            <w:pPr>
              <w:spacing w:before="0" w:after="0" w:line="240" w:lineRule="auto"/>
              <w:jc w:val="center"/>
              <w:rPr>
                <w:rFonts w:eastAsia="Times New Roman" w:cs="Arial"/>
                <w:b/>
                <w:sz w:val="20"/>
                <w:szCs w:val="20"/>
                <w:lang w:eastAsia="en-GB"/>
              </w:rPr>
            </w:pPr>
            <w:r w:rsidRPr="007D7BE0">
              <w:rPr>
                <w:rFonts w:eastAsia="MS Mincho" w:cs="Times New Roman"/>
                <w:b/>
                <w:sz w:val="20"/>
                <w:szCs w:val="20"/>
              </w:rPr>
              <w:t>EU-15</w:t>
            </w:r>
          </w:p>
        </w:tc>
        <w:tc>
          <w:tcPr>
            <w:tcW w:w="1205" w:type="dxa"/>
            <w:tcBorders>
              <w:top w:val="nil"/>
              <w:left w:val="nil"/>
              <w:bottom w:val="nil"/>
              <w:right w:val="nil"/>
            </w:tcBorders>
            <w:shd w:val="clear" w:color="auto" w:fill="auto"/>
            <w:noWrap/>
            <w:vAlign w:val="center"/>
            <w:hideMark/>
          </w:tcPr>
          <w:p w14:paraId="5AD796D9" w14:textId="1444814F" w:rsidR="007D7BE0" w:rsidRPr="007D7BE0" w:rsidRDefault="007D7BE0" w:rsidP="0053519D">
            <w:pPr>
              <w:spacing w:before="0" w:after="0" w:line="240" w:lineRule="auto"/>
              <w:jc w:val="center"/>
              <w:rPr>
                <w:rFonts w:eastAsia="Times New Roman" w:cs="Arial"/>
                <w:b/>
                <w:sz w:val="20"/>
                <w:szCs w:val="20"/>
                <w:lang w:eastAsia="en-GB"/>
              </w:rPr>
            </w:pPr>
            <w:r w:rsidRPr="007D7BE0">
              <w:rPr>
                <w:rFonts w:eastAsia="MS Mincho" w:cs="Times New Roman"/>
                <w:b/>
                <w:sz w:val="20"/>
                <w:szCs w:val="20"/>
              </w:rPr>
              <w:t>Southern</w:t>
            </w:r>
          </w:p>
        </w:tc>
        <w:tc>
          <w:tcPr>
            <w:tcW w:w="1312" w:type="dxa"/>
            <w:tcBorders>
              <w:top w:val="nil"/>
              <w:left w:val="nil"/>
              <w:bottom w:val="nil"/>
              <w:right w:val="nil"/>
            </w:tcBorders>
            <w:shd w:val="clear" w:color="auto" w:fill="auto"/>
            <w:noWrap/>
            <w:vAlign w:val="center"/>
            <w:hideMark/>
          </w:tcPr>
          <w:p w14:paraId="1BC2DBB3" w14:textId="18CCB3BB" w:rsidR="007D7BE0" w:rsidRPr="007D7BE0" w:rsidRDefault="00D86DDF" w:rsidP="0053519D">
            <w:pPr>
              <w:spacing w:before="0" w:after="0" w:line="240" w:lineRule="auto"/>
              <w:jc w:val="center"/>
              <w:rPr>
                <w:rFonts w:eastAsia="Times New Roman" w:cs="Arial"/>
                <w:b/>
                <w:sz w:val="20"/>
                <w:szCs w:val="20"/>
                <w:lang w:eastAsia="en-GB"/>
              </w:rPr>
            </w:pPr>
            <w:r>
              <w:rPr>
                <w:rFonts w:eastAsia="MS Mincho" w:cs="Times New Roman"/>
                <w:b/>
                <w:sz w:val="20"/>
                <w:szCs w:val="20"/>
              </w:rPr>
              <w:t>Continental</w:t>
            </w:r>
          </w:p>
        </w:tc>
        <w:tc>
          <w:tcPr>
            <w:tcW w:w="1099" w:type="dxa"/>
            <w:tcBorders>
              <w:top w:val="nil"/>
              <w:left w:val="nil"/>
              <w:bottom w:val="nil"/>
              <w:right w:val="nil"/>
            </w:tcBorders>
            <w:shd w:val="clear" w:color="auto" w:fill="auto"/>
            <w:noWrap/>
            <w:vAlign w:val="center"/>
            <w:hideMark/>
          </w:tcPr>
          <w:p w14:paraId="1D7325D7" w14:textId="09C8FBBE" w:rsidR="007D7BE0" w:rsidRPr="007D7BE0" w:rsidRDefault="007D7BE0" w:rsidP="0053519D">
            <w:pPr>
              <w:spacing w:before="0" w:after="0" w:line="240" w:lineRule="auto"/>
              <w:jc w:val="center"/>
              <w:rPr>
                <w:rFonts w:eastAsia="Times New Roman" w:cs="Arial"/>
                <w:b/>
                <w:sz w:val="20"/>
                <w:szCs w:val="20"/>
                <w:lang w:eastAsia="en-GB"/>
              </w:rPr>
            </w:pPr>
            <w:r w:rsidRPr="007D7BE0">
              <w:rPr>
                <w:rFonts w:eastAsia="MS Mincho" w:cs="Times New Roman"/>
                <w:b/>
                <w:sz w:val="20"/>
                <w:szCs w:val="20"/>
              </w:rPr>
              <w:t>Nordic</w:t>
            </w:r>
          </w:p>
        </w:tc>
        <w:tc>
          <w:tcPr>
            <w:tcW w:w="1209" w:type="dxa"/>
            <w:tcBorders>
              <w:top w:val="nil"/>
              <w:left w:val="nil"/>
              <w:bottom w:val="nil"/>
              <w:right w:val="nil"/>
            </w:tcBorders>
            <w:shd w:val="clear" w:color="auto" w:fill="auto"/>
            <w:noWrap/>
            <w:vAlign w:val="center"/>
            <w:hideMark/>
          </w:tcPr>
          <w:p w14:paraId="657F6B57" w14:textId="6909E292" w:rsidR="007D7BE0" w:rsidRPr="007D7BE0" w:rsidRDefault="007D7BE0" w:rsidP="0053519D">
            <w:pPr>
              <w:spacing w:before="0" w:after="0" w:line="240" w:lineRule="auto"/>
              <w:jc w:val="center"/>
              <w:rPr>
                <w:rFonts w:eastAsia="Times New Roman" w:cs="Arial"/>
                <w:b/>
                <w:sz w:val="20"/>
                <w:szCs w:val="20"/>
                <w:lang w:eastAsia="en-GB"/>
              </w:rPr>
            </w:pPr>
            <w:r w:rsidRPr="007D7BE0">
              <w:rPr>
                <w:rFonts w:eastAsia="MS Mincho" w:cs="Times New Roman"/>
                <w:b/>
                <w:sz w:val="20"/>
                <w:szCs w:val="20"/>
              </w:rPr>
              <w:t>Liberal</w:t>
            </w:r>
          </w:p>
        </w:tc>
      </w:tr>
      <w:tr w:rsidR="007B4DF5" w:rsidRPr="007B4DF5" w14:paraId="391951D3" w14:textId="77777777" w:rsidTr="0053519D">
        <w:trPr>
          <w:trHeight w:val="218"/>
        </w:trPr>
        <w:tc>
          <w:tcPr>
            <w:tcW w:w="2610" w:type="dxa"/>
            <w:tcBorders>
              <w:top w:val="single" w:sz="4" w:space="0" w:color="auto"/>
              <w:left w:val="nil"/>
              <w:bottom w:val="nil"/>
              <w:right w:val="nil"/>
            </w:tcBorders>
            <w:shd w:val="clear" w:color="auto" w:fill="auto"/>
            <w:noWrap/>
            <w:vAlign w:val="center"/>
            <w:hideMark/>
          </w:tcPr>
          <w:p w14:paraId="6688BB52" w14:textId="77777777" w:rsidR="007B4DF5" w:rsidRPr="007B4DF5" w:rsidRDefault="007B4DF5" w:rsidP="0053519D">
            <w:pPr>
              <w:spacing w:before="0" w:after="0" w:line="240" w:lineRule="auto"/>
              <w:jc w:val="center"/>
              <w:rPr>
                <w:rFonts w:eastAsia="Times New Roman" w:cs="Arial"/>
                <w:b/>
                <w:sz w:val="20"/>
                <w:szCs w:val="20"/>
                <w:lang w:eastAsia="en-GB"/>
              </w:rPr>
            </w:pPr>
          </w:p>
        </w:tc>
        <w:tc>
          <w:tcPr>
            <w:tcW w:w="1204" w:type="dxa"/>
            <w:tcBorders>
              <w:top w:val="single" w:sz="4" w:space="0" w:color="auto"/>
              <w:left w:val="nil"/>
              <w:bottom w:val="nil"/>
              <w:right w:val="nil"/>
            </w:tcBorders>
            <w:shd w:val="clear" w:color="auto" w:fill="auto"/>
            <w:noWrap/>
            <w:vAlign w:val="center"/>
            <w:hideMark/>
          </w:tcPr>
          <w:p w14:paraId="26872A75" w14:textId="77777777" w:rsidR="007B4DF5" w:rsidRPr="007B4DF5" w:rsidRDefault="007B4DF5" w:rsidP="0053519D">
            <w:pPr>
              <w:spacing w:before="0" w:after="0" w:line="240" w:lineRule="auto"/>
              <w:jc w:val="center"/>
              <w:rPr>
                <w:rFonts w:eastAsia="Times New Roman" w:cs="Arial"/>
                <w:sz w:val="20"/>
                <w:szCs w:val="20"/>
                <w:lang w:eastAsia="en-GB"/>
              </w:rPr>
            </w:pPr>
          </w:p>
        </w:tc>
        <w:tc>
          <w:tcPr>
            <w:tcW w:w="1204" w:type="dxa"/>
            <w:tcBorders>
              <w:top w:val="single" w:sz="4" w:space="0" w:color="auto"/>
              <w:left w:val="nil"/>
              <w:bottom w:val="nil"/>
              <w:right w:val="nil"/>
            </w:tcBorders>
            <w:shd w:val="clear" w:color="auto" w:fill="auto"/>
            <w:noWrap/>
            <w:vAlign w:val="center"/>
            <w:hideMark/>
          </w:tcPr>
          <w:p w14:paraId="2A749309" w14:textId="77777777" w:rsidR="007B4DF5" w:rsidRPr="007B4DF5" w:rsidRDefault="007B4DF5" w:rsidP="0053519D">
            <w:pPr>
              <w:spacing w:before="0" w:after="0" w:line="240" w:lineRule="auto"/>
              <w:jc w:val="center"/>
              <w:rPr>
                <w:rFonts w:eastAsia="Times New Roman" w:cs="Arial"/>
                <w:sz w:val="20"/>
                <w:szCs w:val="20"/>
                <w:lang w:eastAsia="en-GB"/>
              </w:rPr>
            </w:pPr>
          </w:p>
        </w:tc>
        <w:tc>
          <w:tcPr>
            <w:tcW w:w="1302" w:type="dxa"/>
            <w:gridSpan w:val="2"/>
            <w:tcBorders>
              <w:top w:val="single" w:sz="4" w:space="0" w:color="auto"/>
              <w:left w:val="nil"/>
              <w:bottom w:val="nil"/>
              <w:right w:val="nil"/>
            </w:tcBorders>
            <w:shd w:val="clear" w:color="auto" w:fill="auto"/>
            <w:noWrap/>
            <w:vAlign w:val="center"/>
            <w:hideMark/>
          </w:tcPr>
          <w:p w14:paraId="55399384" w14:textId="77777777" w:rsidR="007B4DF5" w:rsidRPr="007B4DF5" w:rsidRDefault="007B4DF5" w:rsidP="0053519D">
            <w:pPr>
              <w:spacing w:before="0" w:after="0" w:line="240" w:lineRule="auto"/>
              <w:jc w:val="center"/>
              <w:rPr>
                <w:rFonts w:eastAsia="Times New Roman" w:cs="Arial"/>
                <w:sz w:val="20"/>
                <w:szCs w:val="20"/>
                <w:lang w:eastAsia="en-GB"/>
              </w:rPr>
            </w:pPr>
          </w:p>
        </w:tc>
        <w:tc>
          <w:tcPr>
            <w:tcW w:w="1109" w:type="dxa"/>
            <w:tcBorders>
              <w:top w:val="single" w:sz="4" w:space="0" w:color="auto"/>
              <w:left w:val="nil"/>
              <w:bottom w:val="nil"/>
              <w:right w:val="nil"/>
            </w:tcBorders>
            <w:shd w:val="clear" w:color="auto" w:fill="auto"/>
            <w:noWrap/>
            <w:vAlign w:val="center"/>
            <w:hideMark/>
          </w:tcPr>
          <w:p w14:paraId="1CDD013A" w14:textId="77777777" w:rsidR="007B4DF5" w:rsidRPr="007B4DF5" w:rsidRDefault="007B4DF5" w:rsidP="0053519D">
            <w:pPr>
              <w:spacing w:before="0" w:after="0" w:line="240" w:lineRule="auto"/>
              <w:jc w:val="center"/>
              <w:rPr>
                <w:rFonts w:eastAsia="Times New Roman" w:cs="Arial"/>
                <w:sz w:val="20"/>
                <w:szCs w:val="20"/>
                <w:lang w:eastAsia="en-GB"/>
              </w:rPr>
            </w:pPr>
          </w:p>
        </w:tc>
        <w:tc>
          <w:tcPr>
            <w:tcW w:w="1211" w:type="dxa"/>
            <w:tcBorders>
              <w:top w:val="single" w:sz="4" w:space="0" w:color="auto"/>
              <w:left w:val="nil"/>
              <w:bottom w:val="nil"/>
              <w:right w:val="single" w:sz="4" w:space="0" w:color="auto"/>
            </w:tcBorders>
            <w:shd w:val="clear" w:color="auto" w:fill="auto"/>
            <w:noWrap/>
            <w:vAlign w:val="center"/>
            <w:hideMark/>
          </w:tcPr>
          <w:p w14:paraId="6584D27A" w14:textId="77777777" w:rsidR="007B4DF5" w:rsidRPr="007B4DF5" w:rsidRDefault="007B4DF5" w:rsidP="0053519D">
            <w:pPr>
              <w:spacing w:before="0" w:after="0" w:line="240" w:lineRule="auto"/>
              <w:jc w:val="center"/>
              <w:rPr>
                <w:rFonts w:eastAsia="Times New Roman" w:cs="Arial"/>
                <w:sz w:val="20"/>
                <w:szCs w:val="20"/>
                <w:lang w:eastAsia="en-GB"/>
              </w:rPr>
            </w:pPr>
          </w:p>
        </w:tc>
        <w:tc>
          <w:tcPr>
            <w:tcW w:w="1205" w:type="dxa"/>
            <w:tcBorders>
              <w:top w:val="single" w:sz="4" w:space="0" w:color="auto"/>
              <w:left w:val="single" w:sz="4" w:space="0" w:color="auto"/>
              <w:bottom w:val="nil"/>
              <w:right w:val="nil"/>
            </w:tcBorders>
            <w:shd w:val="clear" w:color="auto" w:fill="auto"/>
            <w:noWrap/>
            <w:vAlign w:val="center"/>
            <w:hideMark/>
          </w:tcPr>
          <w:p w14:paraId="338B8C4E" w14:textId="77777777" w:rsidR="007B4DF5" w:rsidRPr="007B4DF5" w:rsidRDefault="007B4DF5" w:rsidP="0053519D">
            <w:pPr>
              <w:spacing w:before="0" w:after="0" w:line="240" w:lineRule="auto"/>
              <w:jc w:val="center"/>
              <w:rPr>
                <w:rFonts w:eastAsia="Times New Roman" w:cs="Arial"/>
                <w:sz w:val="20"/>
                <w:szCs w:val="20"/>
                <w:lang w:eastAsia="en-GB"/>
              </w:rPr>
            </w:pPr>
          </w:p>
        </w:tc>
        <w:tc>
          <w:tcPr>
            <w:tcW w:w="1205" w:type="dxa"/>
            <w:tcBorders>
              <w:top w:val="single" w:sz="4" w:space="0" w:color="auto"/>
              <w:left w:val="nil"/>
              <w:bottom w:val="nil"/>
              <w:right w:val="nil"/>
            </w:tcBorders>
            <w:shd w:val="clear" w:color="auto" w:fill="auto"/>
            <w:noWrap/>
            <w:vAlign w:val="center"/>
            <w:hideMark/>
          </w:tcPr>
          <w:p w14:paraId="0B925B17" w14:textId="77777777" w:rsidR="007B4DF5" w:rsidRPr="007B4DF5" w:rsidRDefault="007B4DF5" w:rsidP="0053519D">
            <w:pPr>
              <w:spacing w:before="0" w:after="0" w:line="240" w:lineRule="auto"/>
              <w:jc w:val="center"/>
              <w:rPr>
                <w:rFonts w:eastAsia="Times New Roman" w:cs="Arial"/>
                <w:sz w:val="20"/>
                <w:szCs w:val="20"/>
                <w:lang w:eastAsia="en-GB"/>
              </w:rPr>
            </w:pPr>
          </w:p>
        </w:tc>
        <w:tc>
          <w:tcPr>
            <w:tcW w:w="1312" w:type="dxa"/>
            <w:tcBorders>
              <w:top w:val="single" w:sz="4" w:space="0" w:color="auto"/>
              <w:left w:val="nil"/>
              <w:bottom w:val="nil"/>
              <w:right w:val="nil"/>
            </w:tcBorders>
            <w:shd w:val="clear" w:color="auto" w:fill="auto"/>
            <w:noWrap/>
            <w:vAlign w:val="center"/>
            <w:hideMark/>
          </w:tcPr>
          <w:p w14:paraId="08BD312A" w14:textId="77777777" w:rsidR="007B4DF5" w:rsidRPr="007B4DF5" w:rsidRDefault="007B4DF5" w:rsidP="0053519D">
            <w:pPr>
              <w:spacing w:before="0" w:after="0" w:line="240" w:lineRule="auto"/>
              <w:jc w:val="center"/>
              <w:rPr>
                <w:rFonts w:eastAsia="Times New Roman" w:cs="Arial"/>
                <w:sz w:val="20"/>
                <w:szCs w:val="20"/>
                <w:lang w:eastAsia="en-GB"/>
              </w:rPr>
            </w:pPr>
          </w:p>
        </w:tc>
        <w:tc>
          <w:tcPr>
            <w:tcW w:w="1099" w:type="dxa"/>
            <w:tcBorders>
              <w:top w:val="single" w:sz="4" w:space="0" w:color="auto"/>
              <w:left w:val="nil"/>
              <w:bottom w:val="nil"/>
              <w:right w:val="nil"/>
            </w:tcBorders>
            <w:shd w:val="clear" w:color="auto" w:fill="auto"/>
            <w:noWrap/>
            <w:vAlign w:val="center"/>
            <w:hideMark/>
          </w:tcPr>
          <w:p w14:paraId="5D13C763" w14:textId="77777777" w:rsidR="007B4DF5" w:rsidRPr="007B4DF5" w:rsidRDefault="007B4DF5" w:rsidP="0053519D">
            <w:pPr>
              <w:spacing w:before="0" w:after="0" w:line="240" w:lineRule="auto"/>
              <w:jc w:val="center"/>
              <w:rPr>
                <w:rFonts w:eastAsia="Times New Roman" w:cs="Arial"/>
                <w:sz w:val="20"/>
                <w:szCs w:val="20"/>
                <w:lang w:eastAsia="en-GB"/>
              </w:rPr>
            </w:pPr>
          </w:p>
        </w:tc>
        <w:tc>
          <w:tcPr>
            <w:tcW w:w="1209" w:type="dxa"/>
            <w:tcBorders>
              <w:top w:val="single" w:sz="4" w:space="0" w:color="auto"/>
              <w:left w:val="nil"/>
              <w:bottom w:val="nil"/>
              <w:right w:val="nil"/>
            </w:tcBorders>
            <w:shd w:val="clear" w:color="auto" w:fill="auto"/>
            <w:noWrap/>
            <w:vAlign w:val="center"/>
            <w:hideMark/>
          </w:tcPr>
          <w:p w14:paraId="5AD50478" w14:textId="77777777" w:rsidR="007B4DF5" w:rsidRPr="007B4DF5" w:rsidRDefault="007B4DF5" w:rsidP="0053519D">
            <w:pPr>
              <w:spacing w:before="0" w:after="0" w:line="240" w:lineRule="auto"/>
              <w:jc w:val="center"/>
              <w:rPr>
                <w:rFonts w:eastAsia="Times New Roman" w:cs="Arial"/>
                <w:sz w:val="20"/>
                <w:szCs w:val="20"/>
                <w:lang w:eastAsia="en-GB"/>
              </w:rPr>
            </w:pPr>
          </w:p>
        </w:tc>
      </w:tr>
      <w:tr w:rsidR="00EA079C" w:rsidRPr="007B4DF5" w14:paraId="7FAFC157" w14:textId="77777777" w:rsidTr="0053519D">
        <w:trPr>
          <w:trHeight w:val="218"/>
        </w:trPr>
        <w:tc>
          <w:tcPr>
            <w:tcW w:w="8640" w:type="dxa"/>
            <w:gridSpan w:val="7"/>
            <w:tcBorders>
              <w:top w:val="nil"/>
              <w:left w:val="nil"/>
              <w:bottom w:val="nil"/>
              <w:right w:val="single" w:sz="4" w:space="0" w:color="auto"/>
            </w:tcBorders>
            <w:shd w:val="clear" w:color="auto" w:fill="auto"/>
            <w:noWrap/>
            <w:vAlign w:val="center"/>
          </w:tcPr>
          <w:p w14:paraId="5861BEE6" w14:textId="77777777" w:rsidR="00EA079C" w:rsidRPr="007B4DF5" w:rsidRDefault="00EA079C" w:rsidP="0053519D">
            <w:pPr>
              <w:spacing w:before="0" w:after="0" w:line="240" w:lineRule="auto"/>
              <w:rPr>
                <w:rFonts w:eastAsia="Times New Roman" w:cs="Arial"/>
                <w:b/>
                <w:bCs/>
                <w:i/>
                <w:sz w:val="20"/>
                <w:szCs w:val="20"/>
                <w:lang w:eastAsia="en-GB"/>
              </w:rPr>
            </w:pPr>
            <w:r w:rsidRPr="007B4DF5">
              <w:rPr>
                <w:rFonts w:eastAsia="Times New Roman" w:cs="Arial"/>
                <w:b/>
                <w:bCs/>
                <w:i/>
                <w:sz w:val="20"/>
                <w:szCs w:val="20"/>
                <w:lang w:eastAsia="en-GB"/>
              </w:rPr>
              <w:t>Bargaining Level (Ref: No bargaining)</w:t>
            </w:r>
          </w:p>
          <w:p w14:paraId="2C081BE7" w14:textId="77777777" w:rsidR="00EA079C" w:rsidRPr="007B4DF5" w:rsidRDefault="00EA079C" w:rsidP="0053519D">
            <w:pPr>
              <w:spacing w:before="0" w:after="0" w:line="240" w:lineRule="auto"/>
              <w:jc w:val="center"/>
              <w:rPr>
                <w:rFonts w:eastAsia="Times New Roman" w:cs="Arial"/>
                <w:bCs/>
                <w:sz w:val="20"/>
                <w:szCs w:val="20"/>
                <w:lang w:eastAsia="en-GB"/>
              </w:rPr>
            </w:pPr>
          </w:p>
        </w:tc>
        <w:tc>
          <w:tcPr>
            <w:tcW w:w="1205" w:type="dxa"/>
            <w:tcBorders>
              <w:top w:val="nil"/>
              <w:left w:val="single" w:sz="4" w:space="0" w:color="auto"/>
              <w:bottom w:val="nil"/>
              <w:right w:val="nil"/>
            </w:tcBorders>
            <w:shd w:val="clear" w:color="auto" w:fill="auto"/>
            <w:noWrap/>
            <w:vAlign w:val="center"/>
          </w:tcPr>
          <w:p w14:paraId="4E232497" w14:textId="77777777" w:rsidR="00EA079C" w:rsidRPr="007B4DF5" w:rsidRDefault="00EA079C" w:rsidP="0053519D">
            <w:pPr>
              <w:spacing w:before="0" w:after="0" w:line="240" w:lineRule="auto"/>
              <w:jc w:val="center"/>
              <w:rPr>
                <w:rFonts w:eastAsia="Times New Roman" w:cs="Arial"/>
                <w:bCs/>
                <w:sz w:val="20"/>
                <w:szCs w:val="20"/>
                <w:lang w:eastAsia="en-GB"/>
              </w:rPr>
            </w:pPr>
          </w:p>
        </w:tc>
        <w:tc>
          <w:tcPr>
            <w:tcW w:w="1205" w:type="dxa"/>
            <w:tcBorders>
              <w:top w:val="nil"/>
              <w:left w:val="nil"/>
              <w:bottom w:val="nil"/>
              <w:right w:val="nil"/>
            </w:tcBorders>
            <w:shd w:val="clear" w:color="auto" w:fill="auto"/>
            <w:noWrap/>
            <w:vAlign w:val="center"/>
          </w:tcPr>
          <w:p w14:paraId="353F8D1F" w14:textId="77777777" w:rsidR="00EA079C" w:rsidRPr="007B4DF5" w:rsidRDefault="00EA079C" w:rsidP="0053519D">
            <w:pPr>
              <w:spacing w:before="0" w:after="0" w:line="240" w:lineRule="auto"/>
              <w:jc w:val="center"/>
              <w:rPr>
                <w:rFonts w:eastAsia="Times New Roman" w:cs="Arial"/>
                <w:bCs/>
                <w:sz w:val="20"/>
                <w:szCs w:val="20"/>
                <w:lang w:eastAsia="en-GB"/>
              </w:rPr>
            </w:pPr>
          </w:p>
        </w:tc>
        <w:tc>
          <w:tcPr>
            <w:tcW w:w="1312" w:type="dxa"/>
            <w:tcBorders>
              <w:top w:val="nil"/>
              <w:left w:val="nil"/>
              <w:bottom w:val="nil"/>
              <w:right w:val="nil"/>
            </w:tcBorders>
            <w:shd w:val="clear" w:color="auto" w:fill="auto"/>
            <w:noWrap/>
            <w:vAlign w:val="center"/>
          </w:tcPr>
          <w:p w14:paraId="6215B70D" w14:textId="77777777" w:rsidR="00EA079C" w:rsidRPr="007B4DF5" w:rsidRDefault="00EA079C" w:rsidP="0053519D">
            <w:pPr>
              <w:spacing w:before="0" w:after="0" w:line="240" w:lineRule="auto"/>
              <w:jc w:val="center"/>
              <w:rPr>
                <w:rFonts w:eastAsia="Times New Roman" w:cs="Arial"/>
                <w:bCs/>
                <w:sz w:val="20"/>
                <w:szCs w:val="20"/>
                <w:lang w:eastAsia="en-GB"/>
              </w:rPr>
            </w:pPr>
          </w:p>
        </w:tc>
        <w:tc>
          <w:tcPr>
            <w:tcW w:w="1099" w:type="dxa"/>
            <w:tcBorders>
              <w:top w:val="nil"/>
              <w:left w:val="nil"/>
              <w:bottom w:val="nil"/>
              <w:right w:val="nil"/>
            </w:tcBorders>
            <w:shd w:val="clear" w:color="auto" w:fill="auto"/>
            <w:noWrap/>
            <w:vAlign w:val="center"/>
          </w:tcPr>
          <w:p w14:paraId="761C50ED" w14:textId="77777777" w:rsidR="00EA079C" w:rsidRPr="007B4DF5" w:rsidRDefault="00EA079C" w:rsidP="0053519D">
            <w:pPr>
              <w:spacing w:before="0" w:after="0" w:line="240" w:lineRule="auto"/>
              <w:jc w:val="center"/>
              <w:rPr>
                <w:rFonts w:eastAsia="Times New Roman" w:cs="Arial"/>
                <w:bCs/>
                <w:sz w:val="20"/>
                <w:szCs w:val="20"/>
                <w:lang w:eastAsia="en-GB"/>
              </w:rPr>
            </w:pPr>
          </w:p>
        </w:tc>
        <w:tc>
          <w:tcPr>
            <w:tcW w:w="1209" w:type="dxa"/>
            <w:tcBorders>
              <w:top w:val="nil"/>
              <w:left w:val="nil"/>
              <w:bottom w:val="nil"/>
              <w:right w:val="nil"/>
            </w:tcBorders>
            <w:shd w:val="clear" w:color="auto" w:fill="auto"/>
            <w:noWrap/>
            <w:vAlign w:val="center"/>
          </w:tcPr>
          <w:p w14:paraId="375980D2" w14:textId="77777777" w:rsidR="00EA079C" w:rsidRPr="007B4DF5" w:rsidRDefault="00EA079C" w:rsidP="0053519D">
            <w:pPr>
              <w:spacing w:before="0" w:after="0" w:line="240" w:lineRule="auto"/>
              <w:jc w:val="center"/>
              <w:rPr>
                <w:rFonts w:eastAsia="Times New Roman" w:cs="Arial"/>
                <w:bCs/>
                <w:sz w:val="20"/>
                <w:szCs w:val="20"/>
                <w:lang w:eastAsia="en-GB"/>
              </w:rPr>
            </w:pPr>
          </w:p>
        </w:tc>
      </w:tr>
      <w:tr w:rsidR="00331192" w:rsidRPr="007B4DF5" w14:paraId="098A8177" w14:textId="77777777" w:rsidTr="0053519D">
        <w:trPr>
          <w:trHeight w:val="218"/>
        </w:trPr>
        <w:tc>
          <w:tcPr>
            <w:tcW w:w="2610" w:type="dxa"/>
            <w:tcBorders>
              <w:top w:val="nil"/>
              <w:left w:val="nil"/>
              <w:bottom w:val="nil"/>
              <w:right w:val="nil"/>
            </w:tcBorders>
            <w:shd w:val="clear" w:color="auto" w:fill="auto"/>
            <w:noWrap/>
            <w:vAlign w:val="center"/>
            <w:hideMark/>
          </w:tcPr>
          <w:p w14:paraId="14992AA2" w14:textId="009A1408" w:rsidR="00331192" w:rsidRPr="007B4DF5" w:rsidRDefault="00D86DDF" w:rsidP="0053519D">
            <w:pPr>
              <w:spacing w:before="0" w:after="0" w:line="240" w:lineRule="auto"/>
              <w:jc w:val="right"/>
              <w:rPr>
                <w:rFonts w:eastAsia="Times New Roman" w:cs="Arial"/>
                <w:b/>
                <w:bCs/>
                <w:sz w:val="20"/>
                <w:szCs w:val="20"/>
                <w:lang w:eastAsia="en-GB"/>
              </w:rPr>
            </w:pPr>
            <w:r>
              <w:rPr>
                <w:rFonts w:eastAsia="Times New Roman" w:cs="Arial"/>
                <w:b/>
                <w:bCs/>
                <w:sz w:val="20"/>
                <w:szCs w:val="20"/>
                <w:lang w:eastAsia="en-GB"/>
              </w:rPr>
              <w:t>Decentralised</w:t>
            </w:r>
          </w:p>
        </w:tc>
        <w:tc>
          <w:tcPr>
            <w:tcW w:w="1204" w:type="dxa"/>
            <w:tcBorders>
              <w:top w:val="nil"/>
              <w:left w:val="nil"/>
              <w:bottom w:val="nil"/>
              <w:right w:val="nil"/>
            </w:tcBorders>
            <w:shd w:val="clear" w:color="auto" w:fill="auto"/>
            <w:noWrap/>
            <w:vAlign w:val="center"/>
            <w:hideMark/>
          </w:tcPr>
          <w:p w14:paraId="53053E6D" w14:textId="15EFE3FF"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0.0802</w:t>
            </w:r>
          </w:p>
        </w:tc>
        <w:tc>
          <w:tcPr>
            <w:tcW w:w="1204" w:type="dxa"/>
            <w:tcBorders>
              <w:top w:val="nil"/>
              <w:left w:val="nil"/>
              <w:bottom w:val="nil"/>
              <w:right w:val="nil"/>
            </w:tcBorders>
            <w:shd w:val="clear" w:color="auto" w:fill="auto"/>
            <w:noWrap/>
            <w:vAlign w:val="center"/>
            <w:hideMark/>
          </w:tcPr>
          <w:p w14:paraId="0B38B092" w14:textId="3E365072"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0.0853</w:t>
            </w:r>
          </w:p>
        </w:tc>
        <w:tc>
          <w:tcPr>
            <w:tcW w:w="1206" w:type="dxa"/>
            <w:tcBorders>
              <w:top w:val="nil"/>
              <w:left w:val="nil"/>
              <w:bottom w:val="nil"/>
              <w:right w:val="nil"/>
            </w:tcBorders>
            <w:shd w:val="clear" w:color="auto" w:fill="auto"/>
            <w:noWrap/>
            <w:vAlign w:val="center"/>
            <w:hideMark/>
          </w:tcPr>
          <w:p w14:paraId="18DA83C5" w14:textId="089DECDB"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-0.0266</w:t>
            </w:r>
          </w:p>
        </w:tc>
        <w:tc>
          <w:tcPr>
            <w:tcW w:w="1205" w:type="dxa"/>
            <w:gridSpan w:val="2"/>
            <w:tcBorders>
              <w:top w:val="nil"/>
              <w:left w:val="nil"/>
              <w:bottom w:val="nil"/>
              <w:right w:val="nil"/>
            </w:tcBorders>
            <w:shd w:val="clear" w:color="auto" w:fill="auto"/>
            <w:noWrap/>
            <w:vAlign w:val="center"/>
            <w:hideMark/>
          </w:tcPr>
          <w:p w14:paraId="11FDCEEC" w14:textId="2E4D2863"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0.0479</w:t>
            </w:r>
          </w:p>
        </w:tc>
        <w:tc>
          <w:tcPr>
            <w:tcW w:w="1211" w:type="dxa"/>
            <w:tcBorders>
              <w:top w:val="nil"/>
              <w:left w:val="nil"/>
              <w:bottom w:val="nil"/>
              <w:right w:val="single" w:sz="4" w:space="0" w:color="auto"/>
            </w:tcBorders>
            <w:shd w:val="clear" w:color="auto" w:fill="auto"/>
            <w:noWrap/>
            <w:vAlign w:val="center"/>
            <w:hideMark/>
          </w:tcPr>
          <w:p w14:paraId="50F7E99B" w14:textId="3808FA40"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0.2113**</w:t>
            </w:r>
          </w:p>
        </w:tc>
        <w:tc>
          <w:tcPr>
            <w:tcW w:w="1205" w:type="dxa"/>
            <w:tcBorders>
              <w:top w:val="nil"/>
              <w:left w:val="single" w:sz="4" w:space="0" w:color="auto"/>
              <w:bottom w:val="nil"/>
              <w:right w:val="nil"/>
            </w:tcBorders>
            <w:shd w:val="clear" w:color="auto" w:fill="auto"/>
            <w:noWrap/>
            <w:vAlign w:val="center"/>
            <w:hideMark/>
          </w:tcPr>
          <w:p w14:paraId="51C9D026" w14:textId="368346EE"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0.0685</w:t>
            </w:r>
          </w:p>
        </w:tc>
        <w:tc>
          <w:tcPr>
            <w:tcW w:w="1205" w:type="dxa"/>
            <w:tcBorders>
              <w:top w:val="nil"/>
              <w:left w:val="nil"/>
              <w:bottom w:val="nil"/>
              <w:right w:val="nil"/>
            </w:tcBorders>
            <w:shd w:val="clear" w:color="auto" w:fill="auto"/>
            <w:noWrap/>
            <w:vAlign w:val="center"/>
            <w:hideMark/>
          </w:tcPr>
          <w:p w14:paraId="464330C6" w14:textId="21947FB3"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0.0207</w:t>
            </w:r>
          </w:p>
        </w:tc>
        <w:tc>
          <w:tcPr>
            <w:tcW w:w="1312" w:type="dxa"/>
            <w:tcBorders>
              <w:top w:val="nil"/>
              <w:left w:val="nil"/>
              <w:bottom w:val="nil"/>
              <w:right w:val="nil"/>
            </w:tcBorders>
            <w:shd w:val="clear" w:color="auto" w:fill="auto"/>
            <w:noWrap/>
            <w:vAlign w:val="center"/>
            <w:hideMark/>
          </w:tcPr>
          <w:p w14:paraId="1AB2F625" w14:textId="16FF886F"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-0.0171</w:t>
            </w:r>
          </w:p>
        </w:tc>
        <w:tc>
          <w:tcPr>
            <w:tcW w:w="1099" w:type="dxa"/>
            <w:tcBorders>
              <w:top w:val="nil"/>
              <w:left w:val="nil"/>
              <w:bottom w:val="nil"/>
              <w:right w:val="nil"/>
            </w:tcBorders>
            <w:shd w:val="clear" w:color="auto" w:fill="auto"/>
            <w:noWrap/>
            <w:vAlign w:val="center"/>
            <w:hideMark/>
          </w:tcPr>
          <w:p w14:paraId="5E99B797" w14:textId="7FD6D7FC"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0.0302</w:t>
            </w:r>
          </w:p>
        </w:tc>
        <w:tc>
          <w:tcPr>
            <w:tcW w:w="1209" w:type="dxa"/>
            <w:tcBorders>
              <w:top w:val="nil"/>
              <w:left w:val="nil"/>
              <w:bottom w:val="nil"/>
              <w:right w:val="nil"/>
            </w:tcBorders>
            <w:shd w:val="clear" w:color="auto" w:fill="auto"/>
            <w:noWrap/>
            <w:vAlign w:val="center"/>
            <w:hideMark/>
          </w:tcPr>
          <w:p w14:paraId="4A250701" w14:textId="67AEE342"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0.2230**</w:t>
            </w:r>
          </w:p>
        </w:tc>
      </w:tr>
      <w:tr w:rsidR="00331192" w:rsidRPr="007B4DF5" w14:paraId="32453940" w14:textId="77777777" w:rsidTr="0053519D">
        <w:trPr>
          <w:trHeight w:val="218"/>
        </w:trPr>
        <w:tc>
          <w:tcPr>
            <w:tcW w:w="2610" w:type="dxa"/>
            <w:tcBorders>
              <w:top w:val="nil"/>
              <w:left w:val="nil"/>
              <w:bottom w:val="nil"/>
              <w:right w:val="nil"/>
            </w:tcBorders>
            <w:shd w:val="clear" w:color="auto" w:fill="auto"/>
            <w:noWrap/>
            <w:vAlign w:val="center"/>
            <w:hideMark/>
          </w:tcPr>
          <w:p w14:paraId="21956C61" w14:textId="77777777" w:rsidR="00331192" w:rsidRPr="007B4DF5" w:rsidRDefault="00331192" w:rsidP="0053519D">
            <w:pPr>
              <w:spacing w:before="0" w:after="0" w:line="240" w:lineRule="auto"/>
              <w:jc w:val="right"/>
              <w:rPr>
                <w:rFonts w:eastAsia="Times New Roman" w:cs="Arial"/>
                <w:b/>
                <w:bCs/>
                <w:sz w:val="20"/>
                <w:szCs w:val="20"/>
                <w:lang w:eastAsia="en-GB"/>
              </w:rPr>
            </w:pPr>
          </w:p>
        </w:tc>
        <w:tc>
          <w:tcPr>
            <w:tcW w:w="1204" w:type="dxa"/>
            <w:tcBorders>
              <w:top w:val="nil"/>
              <w:left w:val="nil"/>
              <w:bottom w:val="nil"/>
              <w:right w:val="nil"/>
            </w:tcBorders>
            <w:shd w:val="clear" w:color="auto" w:fill="auto"/>
            <w:noWrap/>
            <w:vAlign w:val="center"/>
            <w:hideMark/>
          </w:tcPr>
          <w:p w14:paraId="7C6B76EA" w14:textId="6DF48B81"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[0.0548]</w:t>
            </w:r>
          </w:p>
        </w:tc>
        <w:tc>
          <w:tcPr>
            <w:tcW w:w="1204" w:type="dxa"/>
            <w:tcBorders>
              <w:top w:val="nil"/>
              <w:left w:val="nil"/>
              <w:bottom w:val="nil"/>
              <w:right w:val="nil"/>
            </w:tcBorders>
            <w:shd w:val="clear" w:color="auto" w:fill="auto"/>
            <w:noWrap/>
            <w:vAlign w:val="center"/>
            <w:hideMark/>
          </w:tcPr>
          <w:p w14:paraId="41BDD942" w14:textId="579C1B75"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[0.1053]</w:t>
            </w:r>
          </w:p>
        </w:tc>
        <w:tc>
          <w:tcPr>
            <w:tcW w:w="1206" w:type="dxa"/>
            <w:tcBorders>
              <w:top w:val="nil"/>
              <w:left w:val="nil"/>
              <w:bottom w:val="nil"/>
              <w:right w:val="nil"/>
            </w:tcBorders>
            <w:shd w:val="clear" w:color="auto" w:fill="auto"/>
            <w:noWrap/>
            <w:vAlign w:val="center"/>
            <w:hideMark/>
          </w:tcPr>
          <w:p w14:paraId="2B448255" w14:textId="2507BBF7"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[0.0911]</w:t>
            </w:r>
          </w:p>
        </w:tc>
        <w:tc>
          <w:tcPr>
            <w:tcW w:w="1205" w:type="dxa"/>
            <w:gridSpan w:val="2"/>
            <w:tcBorders>
              <w:top w:val="nil"/>
              <w:left w:val="nil"/>
              <w:bottom w:val="nil"/>
              <w:right w:val="nil"/>
            </w:tcBorders>
            <w:shd w:val="clear" w:color="auto" w:fill="auto"/>
            <w:noWrap/>
            <w:vAlign w:val="center"/>
            <w:hideMark/>
          </w:tcPr>
          <w:p w14:paraId="7E48CA0C" w14:textId="2ABCAD70"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[0.1266]</w:t>
            </w:r>
          </w:p>
        </w:tc>
        <w:tc>
          <w:tcPr>
            <w:tcW w:w="1211" w:type="dxa"/>
            <w:tcBorders>
              <w:top w:val="nil"/>
              <w:left w:val="nil"/>
              <w:bottom w:val="nil"/>
              <w:right w:val="single" w:sz="4" w:space="0" w:color="auto"/>
            </w:tcBorders>
            <w:shd w:val="clear" w:color="auto" w:fill="auto"/>
            <w:noWrap/>
            <w:vAlign w:val="center"/>
            <w:hideMark/>
          </w:tcPr>
          <w:p w14:paraId="497C2006" w14:textId="428F581C"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[0.1069]</w:t>
            </w:r>
          </w:p>
        </w:tc>
        <w:tc>
          <w:tcPr>
            <w:tcW w:w="1205" w:type="dxa"/>
            <w:tcBorders>
              <w:top w:val="nil"/>
              <w:left w:val="single" w:sz="4" w:space="0" w:color="auto"/>
              <w:bottom w:val="nil"/>
              <w:right w:val="nil"/>
            </w:tcBorders>
            <w:shd w:val="clear" w:color="auto" w:fill="auto"/>
            <w:noWrap/>
            <w:vAlign w:val="center"/>
            <w:hideMark/>
          </w:tcPr>
          <w:p w14:paraId="39E57526" w14:textId="387D63E8"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[0.0553]</w:t>
            </w:r>
          </w:p>
        </w:tc>
        <w:tc>
          <w:tcPr>
            <w:tcW w:w="1205" w:type="dxa"/>
            <w:tcBorders>
              <w:top w:val="nil"/>
              <w:left w:val="nil"/>
              <w:bottom w:val="nil"/>
              <w:right w:val="nil"/>
            </w:tcBorders>
            <w:shd w:val="clear" w:color="auto" w:fill="auto"/>
            <w:noWrap/>
            <w:vAlign w:val="center"/>
            <w:hideMark/>
          </w:tcPr>
          <w:p w14:paraId="32CC0D05" w14:textId="529003A5"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[0.1029]</w:t>
            </w:r>
          </w:p>
        </w:tc>
        <w:tc>
          <w:tcPr>
            <w:tcW w:w="1312" w:type="dxa"/>
            <w:tcBorders>
              <w:top w:val="nil"/>
              <w:left w:val="nil"/>
              <w:bottom w:val="nil"/>
              <w:right w:val="nil"/>
            </w:tcBorders>
            <w:shd w:val="clear" w:color="auto" w:fill="auto"/>
            <w:noWrap/>
            <w:vAlign w:val="center"/>
            <w:hideMark/>
          </w:tcPr>
          <w:p w14:paraId="591C46F7" w14:textId="6FA178AB"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[0.0936]</w:t>
            </w:r>
          </w:p>
        </w:tc>
        <w:tc>
          <w:tcPr>
            <w:tcW w:w="1099" w:type="dxa"/>
            <w:tcBorders>
              <w:top w:val="nil"/>
              <w:left w:val="nil"/>
              <w:bottom w:val="nil"/>
              <w:right w:val="nil"/>
            </w:tcBorders>
            <w:shd w:val="clear" w:color="auto" w:fill="auto"/>
            <w:noWrap/>
            <w:vAlign w:val="center"/>
            <w:hideMark/>
          </w:tcPr>
          <w:p w14:paraId="2CDB5CE1" w14:textId="15523025"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[0.1319]</w:t>
            </w:r>
          </w:p>
        </w:tc>
        <w:tc>
          <w:tcPr>
            <w:tcW w:w="1209" w:type="dxa"/>
            <w:tcBorders>
              <w:top w:val="nil"/>
              <w:left w:val="nil"/>
              <w:bottom w:val="nil"/>
              <w:right w:val="nil"/>
            </w:tcBorders>
            <w:shd w:val="clear" w:color="auto" w:fill="auto"/>
            <w:noWrap/>
            <w:vAlign w:val="center"/>
            <w:hideMark/>
          </w:tcPr>
          <w:p w14:paraId="7686F3D5" w14:textId="64B3B43C"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[0.1099]</w:t>
            </w:r>
          </w:p>
        </w:tc>
      </w:tr>
      <w:tr w:rsidR="00331192" w:rsidRPr="007B4DF5" w14:paraId="54E4FA0F" w14:textId="77777777" w:rsidTr="0053519D">
        <w:trPr>
          <w:trHeight w:val="218"/>
        </w:trPr>
        <w:tc>
          <w:tcPr>
            <w:tcW w:w="2610" w:type="dxa"/>
            <w:tcBorders>
              <w:top w:val="nil"/>
              <w:left w:val="nil"/>
              <w:bottom w:val="nil"/>
              <w:right w:val="nil"/>
            </w:tcBorders>
            <w:shd w:val="clear" w:color="auto" w:fill="auto"/>
            <w:noWrap/>
            <w:vAlign w:val="center"/>
            <w:hideMark/>
          </w:tcPr>
          <w:p w14:paraId="24B2244B" w14:textId="0978B6CB" w:rsidR="00331192" w:rsidRPr="007B4DF5" w:rsidRDefault="00D86DDF" w:rsidP="0053519D">
            <w:pPr>
              <w:spacing w:before="0" w:after="0" w:line="240" w:lineRule="auto"/>
              <w:jc w:val="right"/>
              <w:rPr>
                <w:rFonts w:eastAsia="Times New Roman" w:cs="Arial"/>
                <w:b/>
                <w:bCs/>
                <w:sz w:val="20"/>
                <w:szCs w:val="20"/>
                <w:lang w:eastAsia="en-GB"/>
              </w:rPr>
            </w:pPr>
            <w:r>
              <w:rPr>
                <w:rFonts w:eastAsia="Times New Roman" w:cs="Arial"/>
                <w:b/>
                <w:bCs/>
                <w:sz w:val="20"/>
                <w:szCs w:val="20"/>
                <w:lang w:eastAsia="en-GB"/>
              </w:rPr>
              <w:t>Centralised</w:t>
            </w:r>
          </w:p>
        </w:tc>
        <w:tc>
          <w:tcPr>
            <w:tcW w:w="1204" w:type="dxa"/>
            <w:tcBorders>
              <w:top w:val="nil"/>
              <w:left w:val="nil"/>
              <w:bottom w:val="nil"/>
              <w:right w:val="nil"/>
            </w:tcBorders>
            <w:shd w:val="clear" w:color="auto" w:fill="auto"/>
            <w:noWrap/>
            <w:vAlign w:val="center"/>
            <w:hideMark/>
          </w:tcPr>
          <w:p w14:paraId="61271521" w14:textId="376DCE8C"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-0.0655</w:t>
            </w:r>
          </w:p>
        </w:tc>
        <w:tc>
          <w:tcPr>
            <w:tcW w:w="1204" w:type="dxa"/>
            <w:tcBorders>
              <w:top w:val="nil"/>
              <w:left w:val="nil"/>
              <w:bottom w:val="nil"/>
              <w:right w:val="nil"/>
            </w:tcBorders>
            <w:shd w:val="clear" w:color="auto" w:fill="auto"/>
            <w:noWrap/>
            <w:vAlign w:val="center"/>
            <w:hideMark/>
          </w:tcPr>
          <w:p w14:paraId="3362828F" w14:textId="415967AD"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0.0043</w:t>
            </w:r>
          </w:p>
        </w:tc>
        <w:tc>
          <w:tcPr>
            <w:tcW w:w="1206" w:type="dxa"/>
            <w:tcBorders>
              <w:top w:val="nil"/>
              <w:left w:val="nil"/>
              <w:bottom w:val="nil"/>
              <w:right w:val="nil"/>
            </w:tcBorders>
            <w:shd w:val="clear" w:color="auto" w:fill="auto"/>
            <w:noWrap/>
            <w:vAlign w:val="center"/>
            <w:hideMark/>
          </w:tcPr>
          <w:p w14:paraId="65376D2E" w14:textId="650E8564"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-0.1994**</w:t>
            </w:r>
          </w:p>
        </w:tc>
        <w:tc>
          <w:tcPr>
            <w:tcW w:w="1205" w:type="dxa"/>
            <w:gridSpan w:val="2"/>
            <w:tcBorders>
              <w:top w:val="nil"/>
              <w:left w:val="nil"/>
              <w:bottom w:val="nil"/>
              <w:right w:val="nil"/>
            </w:tcBorders>
            <w:shd w:val="clear" w:color="auto" w:fill="auto"/>
            <w:noWrap/>
            <w:vAlign w:val="center"/>
            <w:hideMark/>
          </w:tcPr>
          <w:p w14:paraId="1A64779F" w14:textId="61C7CB93"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-0.0805</w:t>
            </w:r>
          </w:p>
        </w:tc>
        <w:tc>
          <w:tcPr>
            <w:tcW w:w="1211" w:type="dxa"/>
            <w:tcBorders>
              <w:top w:val="nil"/>
              <w:left w:val="nil"/>
              <w:bottom w:val="nil"/>
              <w:right w:val="single" w:sz="4" w:space="0" w:color="auto"/>
            </w:tcBorders>
            <w:shd w:val="clear" w:color="auto" w:fill="auto"/>
            <w:noWrap/>
            <w:vAlign w:val="center"/>
            <w:hideMark/>
          </w:tcPr>
          <w:p w14:paraId="1B4DD68C" w14:textId="641E0B91"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-0.0584</w:t>
            </w:r>
          </w:p>
        </w:tc>
        <w:tc>
          <w:tcPr>
            <w:tcW w:w="1205" w:type="dxa"/>
            <w:tcBorders>
              <w:top w:val="nil"/>
              <w:left w:val="single" w:sz="4" w:space="0" w:color="auto"/>
              <w:bottom w:val="nil"/>
              <w:right w:val="nil"/>
            </w:tcBorders>
            <w:shd w:val="clear" w:color="auto" w:fill="auto"/>
            <w:noWrap/>
            <w:vAlign w:val="center"/>
            <w:hideMark/>
          </w:tcPr>
          <w:p w14:paraId="142C6CCA" w14:textId="3B75F14E"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-0.0838</w:t>
            </w:r>
          </w:p>
        </w:tc>
        <w:tc>
          <w:tcPr>
            <w:tcW w:w="1205" w:type="dxa"/>
            <w:tcBorders>
              <w:top w:val="nil"/>
              <w:left w:val="nil"/>
              <w:bottom w:val="nil"/>
              <w:right w:val="nil"/>
            </w:tcBorders>
            <w:shd w:val="clear" w:color="auto" w:fill="auto"/>
            <w:noWrap/>
            <w:vAlign w:val="center"/>
            <w:hideMark/>
          </w:tcPr>
          <w:p w14:paraId="07563024" w14:textId="2A6DFA99"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-0.0331</w:t>
            </w:r>
          </w:p>
        </w:tc>
        <w:tc>
          <w:tcPr>
            <w:tcW w:w="1312" w:type="dxa"/>
            <w:tcBorders>
              <w:top w:val="nil"/>
              <w:left w:val="nil"/>
              <w:bottom w:val="nil"/>
              <w:right w:val="nil"/>
            </w:tcBorders>
            <w:shd w:val="clear" w:color="auto" w:fill="auto"/>
            <w:noWrap/>
            <w:vAlign w:val="center"/>
            <w:hideMark/>
          </w:tcPr>
          <w:p w14:paraId="108195BF" w14:textId="4ACEA13B"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-0.1712*</w:t>
            </w:r>
          </w:p>
        </w:tc>
        <w:tc>
          <w:tcPr>
            <w:tcW w:w="1099" w:type="dxa"/>
            <w:tcBorders>
              <w:top w:val="nil"/>
              <w:left w:val="nil"/>
              <w:bottom w:val="nil"/>
              <w:right w:val="nil"/>
            </w:tcBorders>
            <w:shd w:val="clear" w:color="auto" w:fill="auto"/>
            <w:noWrap/>
            <w:vAlign w:val="center"/>
            <w:hideMark/>
          </w:tcPr>
          <w:p w14:paraId="565A6A7F" w14:textId="1232A6C9"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-0.1054</w:t>
            </w:r>
          </w:p>
        </w:tc>
        <w:tc>
          <w:tcPr>
            <w:tcW w:w="1209" w:type="dxa"/>
            <w:tcBorders>
              <w:top w:val="nil"/>
              <w:left w:val="nil"/>
              <w:bottom w:val="nil"/>
              <w:right w:val="nil"/>
            </w:tcBorders>
            <w:shd w:val="clear" w:color="auto" w:fill="auto"/>
            <w:noWrap/>
            <w:vAlign w:val="center"/>
            <w:hideMark/>
          </w:tcPr>
          <w:p w14:paraId="65B4671F" w14:textId="5F65A033"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-0.0377</w:t>
            </w:r>
          </w:p>
        </w:tc>
      </w:tr>
      <w:tr w:rsidR="00331192" w:rsidRPr="007B4DF5" w14:paraId="0595CD6A" w14:textId="77777777" w:rsidTr="0053519D">
        <w:trPr>
          <w:trHeight w:val="218"/>
        </w:trPr>
        <w:tc>
          <w:tcPr>
            <w:tcW w:w="2610" w:type="dxa"/>
            <w:tcBorders>
              <w:top w:val="nil"/>
              <w:left w:val="nil"/>
              <w:bottom w:val="nil"/>
              <w:right w:val="nil"/>
            </w:tcBorders>
            <w:shd w:val="clear" w:color="auto" w:fill="auto"/>
            <w:noWrap/>
            <w:vAlign w:val="center"/>
            <w:hideMark/>
          </w:tcPr>
          <w:p w14:paraId="6F59FD91" w14:textId="77777777" w:rsidR="00331192" w:rsidRPr="007B4DF5" w:rsidRDefault="00331192" w:rsidP="0053519D">
            <w:pPr>
              <w:spacing w:before="0" w:after="0" w:line="240" w:lineRule="auto"/>
              <w:jc w:val="right"/>
              <w:rPr>
                <w:rFonts w:eastAsia="Times New Roman" w:cs="Arial"/>
                <w:b/>
                <w:bCs/>
                <w:sz w:val="20"/>
                <w:szCs w:val="20"/>
                <w:lang w:eastAsia="en-GB"/>
              </w:rPr>
            </w:pPr>
          </w:p>
        </w:tc>
        <w:tc>
          <w:tcPr>
            <w:tcW w:w="1204" w:type="dxa"/>
            <w:tcBorders>
              <w:top w:val="nil"/>
              <w:left w:val="nil"/>
              <w:bottom w:val="nil"/>
              <w:right w:val="nil"/>
            </w:tcBorders>
            <w:shd w:val="clear" w:color="auto" w:fill="auto"/>
            <w:noWrap/>
            <w:vAlign w:val="center"/>
            <w:hideMark/>
          </w:tcPr>
          <w:p w14:paraId="6A61A7FF" w14:textId="1ACD990E"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[0.0522]</w:t>
            </w:r>
          </w:p>
        </w:tc>
        <w:tc>
          <w:tcPr>
            <w:tcW w:w="1204" w:type="dxa"/>
            <w:tcBorders>
              <w:top w:val="nil"/>
              <w:left w:val="nil"/>
              <w:bottom w:val="nil"/>
              <w:right w:val="nil"/>
            </w:tcBorders>
            <w:shd w:val="clear" w:color="auto" w:fill="auto"/>
            <w:noWrap/>
            <w:vAlign w:val="center"/>
            <w:hideMark/>
          </w:tcPr>
          <w:p w14:paraId="3F76D973" w14:textId="1ED91B3A"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[0.0890]</w:t>
            </w:r>
          </w:p>
        </w:tc>
        <w:tc>
          <w:tcPr>
            <w:tcW w:w="1206" w:type="dxa"/>
            <w:tcBorders>
              <w:top w:val="nil"/>
              <w:left w:val="nil"/>
              <w:bottom w:val="nil"/>
              <w:right w:val="nil"/>
            </w:tcBorders>
            <w:shd w:val="clear" w:color="auto" w:fill="auto"/>
            <w:noWrap/>
            <w:vAlign w:val="center"/>
            <w:hideMark/>
          </w:tcPr>
          <w:p w14:paraId="4D80D543" w14:textId="48436F94"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[0.0882]</w:t>
            </w:r>
          </w:p>
        </w:tc>
        <w:tc>
          <w:tcPr>
            <w:tcW w:w="1205" w:type="dxa"/>
            <w:gridSpan w:val="2"/>
            <w:tcBorders>
              <w:top w:val="nil"/>
              <w:left w:val="nil"/>
              <w:bottom w:val="nil"/>
              <w:right w:val="nil"/>
            </w:tcBorders>
            <w:shd w:val="clear" w:color="auto" w:fill="auto"/>
            <w:noWrap/>
            <w:vAlign w:val="center"/>
            <w:hideMark/>
          </w:tcPr>
          <w:p w14:paraId="628245ED" w14:textId="0184B5B5"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[0.1150]</w:t>
            </w:r>
          </w:p>
        </w:tc>
        <w:tc>
          <w:tcPr>
            <w:tcW w:w="1211" w:type="dxa"/>
            <w:tcBorders>
              <w:top w:val="nil"/>
              <w:left w:val="nil"/>
              <w:bottom w:val="nil"/>
              <w:right w:val="single" w:sz="4" w:space="0" w:color="auto"/>
            </w:tcBorders>
            <w:shd w:val="clear" w:color="auto" w:fill="auto"/>
            <w:noWrap/>
            <w:vAlign w:val="center"/>
            <w:hideMark/>
          </w:tcPr>
          <w:p w14:paraId="3AC18617" w14:textId="1859259C"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[0.1267]</w:t>
            </w:r>
          </w:p>
        </w:tc>
        <w:tc>
          <w:tcPr>
            <w:tcW w:w="1205" w:type="dxa"/>
            <w:tcBorders>
              <w:top w:val="nil"/>
              <w:left w:val="single" w:sz="4" w:space="0" w:color="auto"/>
              <w:bottom w:val="nil"/>
              <w:right w:val="nil"/>
            </w:tcBorders>
            <w:shd w:val="clear" w:color="auto" w:fill="auto"/>
            <w:noWrap/>
            <w:vAlign w:val="center"/>
            <w:hideMark/>
          </w:tcPr>
          <w:p w14:paraId="2D41F6E6" w14:textId="4E4D1E3A"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[0.0536]</w:t>
            </w:r>
          </w:p>
        </w:tc>
        <w:tc>
          <w:tcPr>
            <w:tcW w:w="1205" w:type="dxa"/>
            <w:tcBorders>
              <w:top w:val="nil"/>
              <w:left w:val="nil"/>
              <w:bottom w:val="nil"/>
              <w:right w:val="nil"/>
            </w:tcBorders>
            <w:shd w:val="clear" w:color="auto" w:fill="auto"/>
            <w:noWrap/>
            <w:vAlign w:val="center"/>
            <w:hideMark/>
          </w:tcPr>
          <w:p w14:paraId="56A9A786" w14:textId="72D20E0D"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[0.0903]</w:t>
            </w:r>
          </w:p>
        </w:tc>
        <w:tc>
          <w:tcPr>
            <w:tcW w:w="1312" w:type="dxa"/>
            <w:tcBorders>
              <w:top w:val="nil"/>
              <w:left w:val="nil"/>
              <w:bottom w:val="nil"/>
              <w:right w:val="nil"/>
            </w:tcBorders>
            <w:shd w:val="clear" w:color="auto" w:fill="auto"/>
            <w:noWrap/>
            <w:vAlign w:val="center"/>
            <w:hideMark/>
          </w:tcPr>
          <w:p w14:paraId="458CB4F1" w14:textId="53F2C7AC"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[0.0928]</w:t>
            </w:r>
          </w:p>
        </w:tc>
        <w:tc>
          <w:tcPr>
            <w:tcW w:w="1099" w:type="dxa"/>
            <w:tcBorders>
              <w:top w:val="nil"/>
              <w:left w:val="nil"/>
              <w:bottom w:val="nil"/>
              <w:right w:val="nil"/>
            </w:tcBorders>
            <w:shd w:val="clear" w:color="auto" w:fill="auto"/>
            <w:noWrap/>
            <w:vAlign w:val="center"/>
            <w:hideMark/>
          </w:tcPr>
          <w:p w14:paraId="420665A8" w14:textId="55590A94"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[0.1227]</w:t>
            </w:r>
          </w:p>
        </w:tc>
        <w:tc>
          <w:tcPr>
            <w:tcW w:w="1209" w:type="dxa"/>
            <w:tcBorders>
              <w:top w:val="nil"/>
              <w:left w:val="nil"/>
              <w:bottom w:val="nil"/>
              <w:right w:val="nil"/>
            </w:tcBorders>
            <w:shd w:val="clear" w:color="auto" w:fill="auto"/>
            <w:noWrap/>
            <w:vAlign w:val="center"/>
            <w:hideMark/>
          </w:tcPr>
          <w:p w14:paraId="0A76AB49" w14:textId="62238F18"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[0.1364]</w:t>
            </w:r>
          </w:p>
        </w:tc>
      </w:tr>
      <w:tr w:rsidR="00331192" w:rsidRPr="007B4DF5" w14:paraId="7604297B" w14:textId="77777777" w:rsidTr="0053519D">
        <w:trPr>
          <w:trHeight w:val="218"/>
        </w:trPr>
        <w:tc>
          <w:tcPr>
            <w:tcW w:w="2610" w:type="dxa"/>
            <w:tcBorders>
              <w:top w:val="nil"/>
              <w:left w:val="nil"/>
              <w:bottom w:val="nil"/>
              <w:right w:val="nil"/>
            </w:tcBorders>
            <w:shd w:val="clear" w:color="auto" w:fill="auto"/>
            <w:noWrap/>
            <w:vAlign w:val="center"/>
            <w:hideMark/>
          </w:tcPr>
          <w:p w14:paraId="5EF61055" w14:textId="64CE7976" w:rsidR="00331192" w:rsidRPr="007B4DF5" w:rsidRDefault="00D86DDF" w:rsidP="0053519D">
            <w:pPr>
              <w:spacing w:before="0" w:after="0" w:line="240" w:lineRule="auto"/>
              <w:jc w:val="right"/>
              <w:rPr>
                <w:rFonts w:eastAsia="Times New Roman" w:cs="Arial"/>
                <w:b/>
                <w:bCs/>
                <w:sz w:val="20"/>
                <w:szCs w:val="20"/>
                <w:lang w:eastAsia="en-GB"/>
              </w:rPr>
            </w:pPr>
            <w:r>
              <w:rPr>
                <w:rFonts w:eastAsia="Times New Roman" w:cs="Arial"/>
                <w:b/>
                <w:bCs/>
                <w:sz w:val="20"/>
                <w:szCs w:val="20"/>
                <w:lang w:eastAsia="en-GB"/>
              </w:rPr>
              <w:t>Two-tier</w:t>
            </w:r>
          </w:p>
        </w:tc>
        <w:tc>
          <w:tcPr>
            <w:tcW w:w="1204" w:type="dxa"/>
            <w:tcBorders>
              <w:top w:val="nil"/>
              <w:left w:val="nil"/>
              <w:bottom w:val="nil"/>
              <w:right w:val="nil"/>
            </w:tcBorders>
            <w:shd w:val="clear" w:color="auto" w:fill="auto"/>
            <w:noWrap/>
            <w:vAlign w:val="center"/>
            <w:hideMark/>
          </w:tcPr>
          <w:p w14:paraId="20DD68E5" w14:textId="5BC830BA"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-0.0336</w:t>
            </w:r>
          </w:p>
        </w:tc>
        <w:tc>
          <w:tcPr>
            <w:tcW w:w="1204" w:type="dxa"/>
            <w:tcBorders>
              <w:top w:val="nil"/>
              <w:left w:val="nil"/>
              <w:bottom w:val="nil"/>
              <w:right w:val="nil"/>
            </w:tcBorders>
            <w:shd w:val="clear" w:color="auto" w:fill="auto"/>
            <w:noWrap/>
            <w:vAlign w:val="center"/>
            <w:hideMark/>
          </w:tcPr>
          <w:p w14:paraId="690DCEC3" w14:textId="2F409B39"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-0.0134</w:t>
            </w:r>
          </w:p>
        </w:tc>
        <w:tc>
          <w:tcPr>
            <w:tcW w:w="1206" w:type="dxa"/>
            <w:tcBorders>
              <w:top w:val="nil"/>
              <w:left w:val="nil"/>
              <w:bottom w:val="nil"/>
              <w:right w:val="nil"/>
            </w:tcBorders>
            <w:shd w:val="clear" w:color="auto" w:fill="auto"/>
            <w:noWrap/>
            <w:vAlign w:val="center"/>
            <w:hideMark/>
          </w:tcPr>
          <w:p w14:paraId="51C20A2C" w14:textId="0FBCB579"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-0.0755</w:t>
            </w:r>
          </w:p>
        </w:tc>
        <w:tc>
          <w:tcPr>
            <w:tcW w:w="1205" w:type="dxa"/>
            <w:gridSpan w:val="2"/>
            <w:tcBorders>
              <w:top w:val="nil"/>
              <w:left w:val="nil"/>
              <w:bottom w:val="nil"/>
              <w:right w:val="nil"/>
            </w:tcBorders>
            <w:shd w:val="clear" w:color="auto" w:fill="auto"/>
            <w:noWrap/>
            <w:vAlign w:val="center"/>
            <w:hideMark/>
          </w:tcPr>
          <w:p w14:paraId="1C0D1314" w14:textId="442C6A4B"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0.0941</w:t>
            </w:r>
          </w:p>
        </w:tc>
        <w:tc>
          <w:tcPr>
            <w:tcW w:w="1211" w:type="dxa"/>
            <w:tcBorders>
              <w:top w:val="nil"/>
              <w:left w:val="nil"/>
              <w:bottom w:val="nil"/>
              <w:right w:val="single" w:sz="4" w:space="0" w:color="auto"/>
            </w:tcBorders>
            <w:shd w:val="clear" w:color="auto" w:fill="auto"/>
            <w:noWrap/>
            <w:vAlign w:val="center"/>
            <w:hideMark/>
          </w:tcPr>
          <w:p w14:paraId="3CA1989E" w14:textId="6D6A1204"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-0.1512</w:t>
            </w:r>
          </w:p>
        </w:tc>
        <w:tc>
          <w:tcPr>
            <w:tcW w:w="1205" w:type="dxa"/>
            <w:tcBorders>
              <w:top w:val="nil"/>
              <w:left w:val="single" w:sz="4" w:space="0" w:color="auto"/>
              <w:bottom w:val="nil"/>
              <w:right w:val="nil"/>
            </w:tcBorders>
            <w:shd w:val="clear" w:color="auto" w:fill="auto"/>
            <w:noWrap/>
            <w:vAlign w:val="center"/>
            <w:hideMark/>
          </w:tcPr>
          <w:p w14:paraId="1E68C1A3" w14:textId="655FB8C0"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-0.0560</w:t>
            </w:r>
          </w:p>
        </w:tc>
        <w:tc>
          <w:tcPr>
            <w:tcW w:w="1205" w:type="dxa"/>
            <w:tcBorders>
              <w:top w:val="nil"/>
              <w:left w:val="nil"/>
              <w:bottom w:val="nil"/>
              <w:right w:val="nil"/>
            </w:tcBorders>
            <w:shd w:val="clear" w:color="auto" w:fill="auto"/>
            <w:noWrap/>
            <w:vAlign w:val="center"/>
            <w:hideMark/>
          </w:tcPr>
          <w:p w14:paraId="33D954B2" w14:textId="353446FD"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-0.0639</w:t>
            </w:r>
          </w:p>
        </w:tc>
        <w:tc>
          <w:tcPr>
            <w:tcW w:w="1312" w:type="dxa"/>
            <w:tcBorders>
              <w:top w:val="nil"/>
              <w:left w:val="nil"/>
              <w:bottom w:val="nil"/>
              <w:right w:val="nil"/>
            </w:tcBorders>
            <w:shd w:val="clear" w:color="auto" w:fill="auto"/>
            <w:noWrap/>
            <w:vAlign w:val="center"/>
            <w:hideMark/>
          </w:tcPr>
          <w:p w14:paraId="3392F945" w14:textId="1D22E5FA"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-0.0005</w:t>
            </w:r>
          </w:p>
        </w:tc>
        <w:tc>
          <w:tcPr>
            <w:tcW w:w="1099" w:type="dxa"/>
            <w:tcBorders>
              <w:top w:val="nil"/>
              <w:left w:val="nil"/>
              <w:bottom w:val="nil"/>
              <w:right w:val="nil"/>
            </w:tcBorders>
            <w:shd w:val="clear" w:color="auto" w:fill="auto"/>
            <w:noWrap/>
            <w:vAlign w:val="center"/>
            <w:hideMark/>
          </w:tcPr>
          <w:p w14:paraId="2871A648" w14:textId="6E9C71EA"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0.0302</w:t>
            </w:r>
          </w:p>
        </w:tc>
        <w:tc>
          <w:tcPr>
            <w:tcW w:w="1209" w:type="dxa"/>
            <w:tcBorders>
              <w:top w:val="nil"/>
              <w:left w:val="nil"/>
              <w:bottom w:val="nil"/>
              <w:right w:val="nil"/>
            </w:tcBorders>
            <w:shd w:val="clear" w:color="auto" w:fill="auto"/>
            <w:noWrap/>
            <w:vAlign w:val="center"/>
            <w:hideMark/>
          </w:tcPr>
          <w:p w14:paraId="2B04E64F" w14:textId="43CBE0F4"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-0.0710</w:t>
            </w:r>
          </w:p>
        </w:tc>
      </w:tr>
      <w:tr w:rsidR="00331192" w:rsidRPr="007B4DF5" w14:paraId="5C2CFDB3" w14:textId="77777777" w:rsidTr="0053519D">
        <w:trPr>
          <w:trHeight w:val="218"/>
        </w:trPr>
        <w:tc>
          <w:tcPr>
            <w:tcW w:w="2610" w:type="dxa"/>
            <w:tcBorders>
              <w:top w:val="nil"/>
              <w:left w:val="nil"/>
              <w:bottom w:val="nil"/>
              <w:right w:val="nil"/>
            </w:tcBorders>
            <w:shd w:val="clear" w:color="auto" w:fill="auto"/>
            <w:noWrap/>
            <w:vAlign w:val="center"/>
            <w:hideMark/>
          </w:tcPr>
          <w:p w14:paraId="18B84A26" w14:textId="77777777" w:rsidR="00331192" w:rsidRPr="007B4DF5" w:rsidRDefault="00331192" w:rsidP="0053519D">
            <w:pPr>
              <w:spacing w:before="0" w:after="0" w:line="240" w:lineRule="auto"/>
              <w:jc w:val="right"/>
              <w:rPr>
                <w:rFonts w:eastAsia="Times New Roman" w:cs="Arial"/>
                <w:b/>
                <w:bCs/>
                <w:sz w:val="20"/>
                <w:szCs w:val="20"/>
                <w:lang w:eastAsia="en-GB"/>
              </w:rPr>
            </w:pPr>
          </w:p>
        </w:tc>
        <w:tc>
          <w:tcPr>
            <w:tcW w:w="1204" w:type="dxa"/>
            <w:tcBorders>
              <w:top w:val="nil"/>
              <w:left w:val="nil"/>
              <w:bottom w:val="nil"/>
              <w:right w:val="nil"/>
            </w:tcBorders>
            <w:shd w:val="clear" w:color="auto" w:fill="auto"/>
            <w:noWrap/>
            <w:vAlign w:val="center"/>
            <w:hideMark/>
          </w:tcPr>
          <w:p w14:paraId="71014E05" w14:textId="1639D9FE"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[0.0884]</w:t>
            </w:r>
          </w:p>
        </w:tc>
        <w:tc>
          <w:tcPr>
            <w:tcW w:w="1204" w:type="dxa"/>
            <w:tcBorders>
              <w:top w:val="nil"/>
              <w:left w:val="nil"/>
              <w:bottom w:val="nil"/>
              <w:right w:val="nil"/>
            </w:tcBorders>
            <w:shd w:val="clear" w:color="auto" w:fill="auto"/>
            <w:noWrap/>
            <w:vAlign w:val="center"/>
            <w:hideMark/>
          </w:tcPr>
          <w:p w14:paraId="5A1B1B30" w14:textId="1699DF00"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[0.1228]</w:t>
            </w:r>
          </w:p>
        </w:tc>
        <w:tc>
          <w:tcPr>
            <w:tcW w:w="1206" w:type="dxa"/>
            <w:tcBorders>
              <w:top w:val="nil"/>
              <w:left w:val="nil"/>
              <w:bottom w:val="nil"/>
              <w:right w:val="nil"/>
            </w:tcBorders>
            <w:shd w:val="clear" w:color="auto" w:fill="auto"/>
            <w:noWrap/>
            <w:vAlign w:val="center"/>
            <w:hideMark/>
          </w:tcPr>
          <w:p w14:paraId="5CEEE690" w14:textId="0CBE011B"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[0.1915]</w:t>
            </w:r>
          </w:p>
        </w:tc>
        <w:tc>
          <w:tcPr>
            <w:tcW w:w="1205" w:type="dxa"/>
            <w:gridSpan w:val="2"/>
            <w:tcBorders>
              <w:top w:val="nil"/>
              <w:left w:val="nil"/>
              <w:bottom w:val="nil"/>
              <w:right w:val="nil"/>
            </w:tcBorders>
            <w:shd w:val="clear" w:color="auto" w:fill="auto"/>
            <w:noWrap/>
            <w:vAlign w:val="center"/>
            <w:hideMark/>
          </w:tcPr>
          <w:p w14:paraId="54101241" w14:textId="734D8FDF"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[0.1806]</w:t>
            </w:r>
          </w:p>
        </w:tc>
        <w:tc>
          <w:tcPr>
            <w:tcW w:w="1211" w:type="dxa"/>
            <w:tcBorders>
              <w:top w:val="nil"/>
              <w:left w:val="nil"/>
              <w:bottom w:val="nil"/>
              <w:right w:val="single" w:sz="4" w:space="0" w:color="auto"/>
            </w:tcBorders>
            <w:shd w:val="clear" w:color="auto" w:fill="auto"/>
            <w:noWrap/>
            <w:vAlign w:val="center"/>
            <w:hideMark/>
          </w:tcPr>
          <w:p w14:paraId="07992FB1" w14:textId="56C59E56"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[0.2197]</w:t>
            </w:r>
          </w:p>
        </w:tc>
        <w:tc>
          <w:tcPr>
            <w:tcW w:w="1205" w:type="dxa"/>
            <w:tcBorders>
              <w:top w:val="nil"/>
              <w:left w:val="single" w:sz="4" w:space="0" w:color="auto"/>
              <w:bottom w:val="nil"/>
              <w:right w:val="nil"/>
            </w:tcBorders>
            <w:shd w:val="clear" w:color="auto" w:fill="auto"/>
            <w:noWrap/>
            <w:vAlign w:val="center"/>
            <w:hideMark/>
          </w:tcPr>
          <w:p w14:paraId="1AC7583E" w14:textId="2FFCE7F9"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[0.0867]</w:t>
            </w:r>
          </w:p>
        </w:tc>
        <w:tc>
          <w:tcPr>
            <w:tcW w:w="1205" w:type="dxa"/>
            <w:tcBorders>
              <w:top w:val="nil"/>
              <w:left w:val="nil"/>
              <w:bottom w:val="nil"/>
              <w:right w:val="nil"/>
            </w:tcBorders>
            <w:shd w:val="clear" w:color="auto" w:fill="auto"/>
            <w:noWrap/>
            <w:vAlign w:val="center"/>
            <w:hideMark/>
          </w:tcPr>
          <w:p w14:paraId="6C910C2D" w14:textId="2B08DD86"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[0.1268]</w:t>
            </w:r>
          </w:p>
        </w:tc>
        <w:tc>
          <w:tcPr>
            <w:tcW w:w="1312" w:type="dxa"/>
            <w:tcBorders>
              <w:top w:val="nil"/>
              <w:left w:val="nil"/>
              <w:bottom w:val="nil"/>
              <w:right w:val="nil"/>
            </w:tcBorders>
            <w:shd w:val="clear" w:color="auto" w:fill="auto"/>
            <w:noWrap/>
            <w:vAlign w:val="center"/>
            <w:hideMark/>
          </w:tcPr>
          <w:p w14:paraId="138D0965" w14:textId="118F7ABC"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[0.1921]</w:t>
            </w:r>
          </w:p>
        </w:tc>
        <w:tc>
          <w:tcPr>
            <w:tcW w:w="1099" w:type="dxa"/>
            <w:tcBorders>
              <w:top w:val="nil"/>
              <w:left w:val="nil"/>
              <w:bottom w:val="nil"/>
              <w:right w:val="nil"/>
            </w:tcBorders>
            <w:shd w:val="clear" w:color="auto" w:fill="auto"/>
            <w:noWrap/>
            <w:vAlign w:val="center"/>
            <w:hideMark/>
          </w:tcPr>
          <w:p w14:paraId="24AE22A9" w14:textId="4588D99A"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[0.1795]</w:t>
            </w:r>
          </w:p>
        </w:tc>
        <w:tc>
          <w:tcPr>
            <w:tcW w:w="1209" w:type="dxa"/>
            <w:tcBorders>
              <w:top w:val="nil"/>
              <w:left w:val="nil"/>
              <w:bottom w:val="nil"/>
              <w:right w:val="nil"/>
            </w:tcBorders>
            <w:shd w:val="clear" w:color="auto" w:fill="auto"/>
            <w:noWrap/>
            <w:vAlign w:val="center"/>
            <w:hideMark/>
          </w:tcPr>
          <w:p w14:paraId="4774855C" w14:textId="56A28CF2"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[0.2161]</w:t>
            </w:r>
          </w:p>
        </w:tc>
      </w:tr>
      <w:tr w:rsidR="00331192" w:rsidRPr="007B4DF5" w14:paraId="29AB5524" w14:textId="77777777" w:rsidTr="0053519D">
        <w:trPr>
          <w:trHeight w:val="218"/>
        </w:trPr>
        <w:tc>
          <w:tcPr>
            <w:tcW w:w="8640" w:type="dxa"/>
            <w:gridSpan w:val="7"/>
            <w:tcBorders>
              <w:top w:val="nil"/>
              <w:left w:val="nil"/>
              <w:bottom w:val="nil"/>
              <w:right w:val="single" w:sz="4" w:space="0" w:color="auto"/>
            </w:tcBorders>
            <w:shd w:val="clear" w:color="auto" w:fill="auto"/>
            <w:noWrap/>
            <w:vAlign w:val="center"/>
          </w:tcPr>
          <w:p w14:paraId="37F9E0A0" w14:textId="77777777" w:rsidR="00331192" w:rsidRPr="007B4DF5" w:rsidRDefault="00331192" w:rsidP="0053519D">
            <w:pPr>
              <w:spacing w:before="0" w:after="0" w:line="240" w:lineRule="auto"/>
              <w:rPr>
                <w:rFonts w:eastAsia="Times New Roman" w:cs="Arial"/>
                <w:b/>
                <w:bCs/>
                <w:i/>
                <w:sz w:val="20"/>
                <w:szCs w:val="20"/>
                <w:lang w:eastAsia="en-GB"/>
              </w:rPr>
            </w:pPr>
          </w:p>
          <w:p w14:paraId="082B26C8" w14:textId="77777777" w:rsidR="00331192" w:rsidRPr="007B4DF5" w:rsidRDefault="00331192" w:rsidP="0053519D">
            <w:pPr>
              <w:spacing w:before="0" w:after="0" w:line="240" w:lineRule="auto"/>
              <w:rPr>
                <w:rFonts w:eastAsia="Times New Roman" w:cs="Arial"/>
                <w:b/>
                <w:bCs/>
                <w:i/>
                <w:sz w:val="20"/>
                <w:szCs w:val="20"/>
                <w:lang w:eastAsia="en-GB"/>
              </w:rPr>
            </w:pPr>
            <w:r w:rsidRPr="007B4DF5">
              <w:rPr>
                <w:rFonts w:eastAsia="Times New Roman" w:cs="Arial"/>
                <w:b/>
                <w:bCs/>
                <w:i/>
                <w:sz w:val="20"/>
                <w:szCs w:val="20"/>
                <w:lang w:eastAsia="en-GB"/>
              </w:rPr>
              <w:t>Employee Representation (Ref: No institutional employee representation)</w:t>
            </w:r>
          </w:p>
          <w:p w14:paraId="5A6D0516"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205" w:type="dxa"/>
            <w:tcBorders>
              <w:top w:val="nil"/>
              <w:left w:val="single" w:sz="4" w:space="0" w:color="auto"/>
              <w:bottom w:val="nil"/>
              <w:right w:val="nil"/>
            </w:tcBorders>
            <w:shd w:val="clear" w:color="auto" w:fill="auto"/>
            <w:noWrap/>
            <w:vAlign w:val="center"/>
          </w:tcPr>
          <w:p w14:paraId="2369054B"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205" w:type="dxa"/>
            <w:tcBorders>
              <w:top w:val="nil"/>
              <w:left w:val="nil"/>
              <w:bottom w:val="nil"/>
              <w:right w:val="nil"/>
            </w:tcBorders>
            <w:shd w:val="clear" w:color="auto" w:fill="auto"/>
            <w:noWrap/>
            <w:vAlign w:val="center"/>
          </w:tcPr>
          <w:p w14:paraId="0EFCE218"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312" w:type="dxa"/>
            <w:tcBorders>
              <w:top w:val="nil"/>
              <w:left w:val="nil"/>
              <w:bottom w:val="nil"/>
              <w:right w:val="nil"/>
            </w:tcBorders>
            <w:shd w:val="clear" w:color="auto" w:fill="auto"/>
            <w:noWrap/>
            <w:vAlign w:val="center"/>
          </w:tcPr>
          <w:p w14:paraId="167A7003"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099" w:type="dxa"/>
            <w:tcBorders>
              <w:top w:val="nil"/>
              <w:left w:val="nil"/>
              <w:bottom w:val="nil"/>
              <w:right w:val="nil"/>
            </w:tcBorders>
            <w:shd w:val="clear" w:color="auto" w:fill="auto"/>
            <w:noWrap/>
            <w:vAlign w:val="center"/>
          </w:tcPr>
          <w:p w14:paraId="7227ECE4"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209" w:type="dxa"/>
            <w:tcBorders>
              <w:top w:val="nil"/>
              <w:left w:val="nil"/>
              <w:bottom w:val="nil"/>
              <w:right w:val="nil"/>
            </w:tcBorders>
            <w:shd w:val="clear" w:color="auto" w:fill="auto"/>
            <w:noWrap/>
            <w:vAlign w:val="center"/>
          </w:tcPr>
          <w:p w14:paraId="00B7E3D0" w14:textId="77777777" w:rsidR="00331192" w:rsidRPr="007B4DF5" w:rsidRDefault="00331192" w:rsidP="0053519D">
            <w:pPr>
              <w:spacing w:before="0" w:after="0" w:line="240" w:lineRule="auto"/>
              <w:jc w:val="center"/>
              <w:rPr>
                <w:rFonts w:eastAsia="Times New Roman" w:cs="Arial"/>
                <w:bCs/>
                <w:sz w:val="20"/>
                <w:szCs w:val="20"/>
                <w:lang w:eastAsia="en-GB"/>
              </w:rPr>
            </w:pPr>
          </w:p>
        </w:tc>
      </w:tr>
      <w:tr w:rsidR="00331192" w:rsidRPr="007B4DF5" w14:paraId="1515EDFB" w14:textId="77777777" w:rsidTr="0053519D">
        <w:trPr>
          <w:trHeight w:val="218"/>
        </w:trPr>
        <w:tc>
          <w:tcPr>
            <w:tcW w:w="2610" w:type="dxa"/>
            <w:tcBorders>
              <w:top w:val="nil"/>
              <w:left w:val="nil"/>
              <w:bottom w:val="nil"/>
              <w:right w:val="nil"/>
            </w:tcBorders>
            <w:shd w:val="clear" w:color="auto" w:fill="auto"/>
            <w:noWrap/>
            <w:vAlign w:val="center"/>
            <w:hideMark/>
          </w:tcPr>
          <w:p w14:paraId="2CEE10DC" w14:textId="77777777" w:rsidR="00331192" w:rsidRPr="007B4DF5" w:rsidRDefault="00331192" w:rsidP="0053519D">
            <w:pPr>
              <w:spacing w:before="0" w:after="0" w:line="240" w:lineRule="auto"/>
              <w:jc w:val="right"/>
              <w:rPr>
                <w:rFonts w:eastAsia="Times New Roman" w:cs="Arial"/>
                <w:b/>
                <w:bCs/>
                <w:sz w:val="20"/>
                <w:szCs w:val="20"/>
                <w:lang w:eastAsia="en-GB"/>
              </w:rPr>
            </w:pPr>
            <w:r w:rsidRPr="007B4DF5">
              <w:rPr>
                <w:rFonts w:eastAsia="Times New Roman" w:cs="Arial"/>
                <w:b/>
                <w:bCs/>
                <w:sz w:val="20"/>
                <w:szCs w:val="20"/>
                <w:lang w:eastAsia="en-GB"/>
              </w:rPr>
              <w:t>WC-type only</w:t>
            </w:r>
          </w:p>
        </w:tc>
        <w:tc>
          <w:tcPr>
            <w:tcW w:w="1204" w:type="dxa"/>
            <w:tcBorders>
              <w:top w:val="nil"/>
              <w:left w:val="nil"/>
              <w:bottom w:val="nil"/>
              <w:right w:val="nil"/>
            </w:tcBorders>
            <w:shd w:val="clear" w:color="auto" w:fill="auto"/>
            <w:noWrap/>
            <w:vAlign w:val="center"/>
            <w:hideMark/>
          </w:tcPr>
          <w:p w14:paraId="4409918A" w14:textId="5A10D453"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0.0783</w:t>
            </w:r>
          </w:p>
        </w:tc>
        <w:tc>
          <w:tcPr>
            <w:tcW w:w="1204" w:type="dxa"/>
            <w:tcBorders>
              <w:top w:val="nil"/>
              <w:left w:val="nil"/>
              <w:bottom w:val="nil"/>
              <w:right w:val="nil"/>
            </w:tcBorders>
            <w:shd w:val="clear" w:color="auto" w:fill="auto"/>
            <w:noWrap/>
            <w:vAlign w:val="center"/>
            <w:hideMark/>
          </w:tcPr>
          <w:p w14:paraId="3E213383" w14:textId="0465D5C7"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-0.0518</w:t>
            </w:r>
          </w:p>
        </w:tc>
        <w:tc>
          <w:tcPr>
            <w:tcW w:w="1206" w:type="dxa"/>
            <w:tcBorders>
              <w:top w:val="nil"/>
              <w:left w:val="nil"/>
              <w:bottom w:val="nil"/>
              <w:right w:val="nil"/>
            </w:tcBorders>
            <w:shd w:val="clear" w:color="auto" w:fill="auto"/>
            <w:noWrap/>
            <w:vAlign w:val="center"/>
            <w:hideMark/>
          </w:tcPr>
          <w:p w14:paraId="1AC1F89E" w14:textId="54C9B9AC"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0.1721**</w:t>
            </w:r>
          </w:p>
        </w:tc>
        <w:tc>
          <w:tcPr>
            <w:tcW w:w="1205" w:type="dxa"/>
            <w:gridSpan w:val="2"/>
            <w:tcBorders>
              <w:top w:val="nil"/>
              <w:left w:val="nil"/>
              <w:bottom w:val="nil"/>
              <w:right w:val="nil"/>
            </w:tcBorders>
            <w:shd w:val="clear" w:color="auto" w:fill="auto"/>
            <w:noWrap/>
            <w:vAlign w:val="center"/>
            <w:hideMark/>
          </w:tcPr>
          <w:p w14:paraId="1E6B7894" w14:textId="3A9F2569"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0.3554**</w:t>
            </w:r>
          </w:p>
        </w:tc>
        <w:tc>
          <w:tcPr>
            <w:tcW w:w="1211" w:type="dxa"/>
            <w:tcBorders>
              <w:top w:val="nil"/>
              <w:left w:val="nil"/>
              <w:bottom w:val="nil"/>
              <w:right w:val="single" w:sz="4" w:space="0" w:color="auto"/>
            </w:tcBorders>
            <w:shd w:val="clear" w:color="auto" w:fill="auto"/>
            <w:noWrap/>
            <w:vAlign w:val="center"/>
            <w:hideMark/>
          </w:tcPr>
          <w:p w14:paraId="1BFD7B91" w14:textId="53C0FA2A"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0.1233</w:t>
            </w:r>
          </w:p>
        </w:tc>
        <w:tc>
          <w:tcPr>
            <w:tcW w:w="1205" w:type="dxa"/>
            <w:tcBorders>
              <w:top w:val="nil"/>
              <w:left w:val="single" w:sz="4" w:space="0" w:color="auto"/>
              <w:bottom w:val="nil"/>
              <w:right w:val="nil"/>
            </w:tcBorders>
            <w:shd w:val="clear" w:color="auto" w:fill="auto"/>
            <w:noWrap/>
            <w:vAlign w:val="center"/>
            <w:hideMark/>
          </w:tcPr>
          <w:p w14:paraId="667A2D2F" w14:textId="69B7B4F7"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0.0115</w:t>
            </w:r>
          </w:p>
        </w:tc>
        <w:tc>
          <w:tcPr>
            <w:tcW w:w="1205" w:type="dxa"/>
            <w:tcBorders>
              <w:top w:val="nil"/>
              <w:left w:val="nil"/>
              <w:bottom w:val="nil"/>
              <w:right w:val="nil"/>
            </w:tcBorders>
            <w:shd w:val="clear" w:color="auto" w:fill="auto"/>
            <w:noWrap/>
            <w:vAlign w:val="center"/>
            <w:hideMark/>
          </w:tcPr>
          <w:p w14:paraId="78245729" w14:textId="5372CA14"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-0.0607</w:t>
            </w:r>
          </w:p>
        </w:tc>
        <w:tc>
          <w:tcPr>
            <w:tcW w:w="1312" w:type="dxa"/>
            <w:tcBorders>
              <w:top w:val="nil"/>
              <w:left w:val="nil"/>
              <w:bottom w:val="nil"/>
              <w:right w:val="nil"/>
            </w:tcBorders>
            <w:shd w:val="clear" w:color="auto" w:fill="auto"/>
            <w:noWrap/>
            <w:vAlign w:val="center"/>
            <w:hideMark/>
          </w:tcPr>
          <w:p w14:paraId="2530C019" w14:textId="42BBBE75"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0.1260</w:t>
            </w:r>
          </w:p>
        </w:tc>
        <w:tc>
          <w:tcPr>
            <w:tcW w:w="1099" w:type="dxa"/>
            <w:tcBorders>
              <w:top w:val="nil"/>
              <w:left w:val="nil"/>
              <w:bottom w:val="nil"/>
              <w:right w:val="nil"/>
            </w:tcBorders>
            <w:shd w:val="clear" w:color="auto" w:fill="auto"/>
            <w:noWrap/>
            <w:vAlign w:val="center"/>
            <w:hideMark/>
          </w:tcPr>
          <w:p w14:paraId="5A4650D4" w14:textId="39EACED0"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0.3075**</w:t>
            </w:r>
          </w:p>
        </w:tc>
        <w:tc>
          <w:tcPr>
            <w:tcW w:w="1209" w:type="dxa"/>
            <w:tcBorders>
              <w:top w:val="nil"/>
              <w:left w:val="nil"/>
              <w:bottom w:val="nil"/>
              <w:right w:val="nil"/>
            </w:tcBorders>
            <w:shd w:val="clear" w:color="auto" w:fill="auto"/>
            <w:noWrap/>
            <w:vAlign w:val="center"/>
            <w:hideMark/>
          </w:tcPr>
          <w:p w14:paraId="5697B55F" w14:textId="09ED7D36"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0.0701</w:t>
            </w:r>
          </w:p>
        </w:tc>
      </w:tr>
      <w:tr w:rsidR="00331192" w:rsidRPr="007B4DF5" w14:paraId="37C0423C" w14:textId="77777777" w:rsidTr="0053519D">
        <w:trPr>
          <w:trHeight w:val="218"/>
        </w:trPr>
        <w:tc>
          <w:tcPr>
            <w:tcW w:w="2610" w:type="dxa"/>
            <w:tcBorders>
              <w:top w:val="nil"/>
              <w:left w:val="nil"/>
              <w:bottom w:val="nil"/>
              <w:right w:val="nil"/>
            </w:tcBorders>
            <w:shd w:val="clear" w:color="auto" w:fill="auto"/>
            <w:noWrap/>
            <w:vAlign w:val="center"/>
            <w:hideMark/>
          </w:tcPr>
          <w:p w14:paraId="05578251" w14:textId="77777777" w:rsidR="00331192" w:rsidRPr="007B4DF5" w:rsidRDefault="00331192" w:rsidP="0053519D">
            <w:pPr>
              <w:spacing w:before="0" w:after="0" w:line="240" w:lineRule="auto"/>
              <w:jc w:val="right"/>
              <w:rPr>
                <w:rFonts w:eastAsia="Times New Roman" w:cs="Arial"/>
                <w:b/>
                <w:bCs/>
                <w:sz w:val="20"/>
                <w:szCs w:val="20"/>
                <w:lang w:eastAsia="en-GB"/>
              </w:rPr>
            </w:pPr>
          </w:p>
        </w:tc>
        <w:tc>
          <w:tcPr>
            <w:tcW w:w="1204" w:type="dxa"/>
            <w:tcBorders>
              <w:top w:val="nil"/>
              <w:left w:val="nil"/>
              <w:bottom w:val="nil"/>
              <w:right w:val="nil"/>
            </w:tcBorders>
            <w:shd w:val="clear" w:color="auto" w:fill="auto"/>
            <w:noWrap/>
            <w:vAlign w:val="center"/>
            <w:hideMark/>
          </w:tcPr>
          <w:p w14:paraId="092EFF86" w14:textId="0C4B2CB8"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[0.0539]</w:t>
            </w:r>
          </w:p>
        </w:tc>
        <w:tc>
          <w:tcPr>
            <w:tcW w:w="1204" w:type="dxa"/>
            <w:tcBorders>
              <w:top w:val="nil"/>
              <w:left w:val="nil"/>
              <w:bottom w:val="nil"/>
              <w:right w:val="nil"/>
            </w:tcBorders>
            <w:shd w:val="clear" w:color="auto" w:fill="auto"/>
            <w:noWrap/>
            <w:vAlign w:val="center"/>
            <w:hideMark/>
          </w:tcPr>
          <w:p w14:paraId="6B0D5D97" w14:textId="6ED0C7C0"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[0.0922]</w:t>
            </w:r>
          </w:p>
        </w:tc>
        <w:tc>
          <w:tcPr>
            <w:tcW w:w="1206" w:type="dxa"/>
            <w:tcBorders>
              <w:top w:val="nil"/>
              <w:left w:val="nil"/>
              <w:bottom w:val="nil"/>
              <w:right w:val="nil"/>
            </w:tcBorders>
            <w:shd w:val="clear" w:color="auto" w:fill="auto"/>
            <w:noWrap/>
            <w:vAlign w:val="center"/>
            <w:hideMark/>
          </w:tcPr>
          <w:p w14:paraId="7ACC669C" w14:textId="4828CCC5"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[0.0802]</w:t>
            </w:r>
          </w:p>
        </w:tc>
        <w:tc>
          <w:tcPr>
            <w:tcW w:w="1205" w:type="dxa"/>
            <w:gridSpan w:val="2"/>
            <w:tcBorders>
              <w:top w:val="nil"/>
              <w:left w:val="nil"/>
              <w:bottom w:val="nil"/>
              <w:right w:val="nil"/>
            </w:tcBorders>
            <w:shd w:val="clear" w:color="auto" w:fill="auto"/>
            <w:noWrap/>
            <w:vAlign w:val="center"/>
            <w:hideMark/>
          </w:tcPr>
          <w:p w14:paraId="0E895926" w14:textId="3EBAB0E4"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[0.1504]</w:t>
            </w:r>
          </w:p>
        </w:tc>
        <w:tc>
          <w:tcPr>
            <w:tcW w:w="1211" w:type="dxa"/>
            <w:tcBorders>
              <w:top w:val="nil"/>
              <w:left w:val="nil"/>
              <w:bottom w:val="nil"/>
              <w:right w:val="single" w:sz="4" w:space="0" w:color="auto"/>
            </w:tcBorders>
            <w:shd w:val="clear" w:color="auto" w:fill="auto"/>
            <w:noWrap/>
            <w:vAlign w:val="center"/>
            <w:hideMark/>
          </w:tcPr>
          <w:p w14:paraId="462DBEA0" w14:textId="5C765D59"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[0.1339]</w:t>
            </w:r>
          </w:p>
        </w:tc>
        <w:tc>
          <w:tcPr>
            <w:tcW w:w="1205" w:type="dxa"/>
            <w:tcBorders>
              <w:top w:val="nil"/>
              <w:left w:val="single" w:sz="4" w:space="0" w:color="auto"/>
              <w:bottom w:val="nil"/>
              <w:right w:val="nil"/>
            </w:tcBorders>
            <w:shd w:val="clear" w:color="auto" w:fill="auto"/>
            <w:noWrap/>
            <w:vAlign w:val="center"/>
            <w:hideMark/>
          </w:tcPr>
          <w:p w14:paraId="63F6E653" w14:textId="6D40C7DE"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[0.0574]</w:t>
            </w:r>
          </w:p>
        </w:tc>
        <w:tc>
          <w:tcPr>
            <w:tcW w:w="1205" w:type="dxa"/>
            <w:tcBorders>
              <w:top w:val="nil"/>
              <w:left w:val="nil"/>
              <w:bottom w:val="nil"/>
              <w:right w:val="nil"/>
            </w:tcBorders>
            <w:shd w:val="clear" w:color="auto" w:fill="auto"/>
            <w:noWrap/>
            <w:vAlign w:val="center"/>
            <w:hideMark/>
          </w:tcPr>
          <w:p w14:paraId="11EEF511" w14:textId="6D59EA40"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[0.0945]</w:t>
            </w:r>
          </w:p>
        </w:tc>
        <w:tc>
          <w:tcPr>
            <w:tcW w:w="1312" w:type="dxa"/>
            <w:tcBorders>
              <w:top w:val="nil"/>
              <w:left w:val="nil"/>
              <w:bottom w:val="nil"/>
              <w:right w:val="nil"/>
            </w:tcBorders>
            <w:shd w:val="clear" w:color="auto" w:fill="auto"/>
            <w:noWrap/>
            <w:vAlign w:val="center"/>
            <w:hideMark/>
          </w:tcPr>
          <w:p w14:paraId="173C4AC5" w14:textId="1CE48DD3"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[0.0961]</w:t>
            </w:r>
          </w:p>
        </w:tc>
        <w:tc>
          <w:tcPr>
            <w:tcW w:w="1099" w:type="dxa"/>
            <w:tcBorders>
              <w:top w:val="nil"/>
              <w:left w:val="nil"/>
              <w:bottom w:val="nil"/>
              <w:right w:val="nil"/>
            </w:tcBorders>
            <w:shd w:val="clear" w:color="auto" w:fill="auto"/>
            <w:noWrap/>
            <w:vAlign w:val="center"/>
            <w:hideMark/>
          </w:tcPr>
          <w:p w14:paraId="7F0D26E1" w14:textId="2CB264DC"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[0.1460]</w:t>
            </w:r>
          </w:p>
        </w:tc>
        <w:tc>
          <w:tcPr>
            <w:tcW w:w="1209" w:type="dxa"/>
            <w:tcBorders>
              <w:top w:val="nil"/>
              <w:left w:val="nil"/>
              <w:bottom w:val="nil"/>
              <w:right w:val="nil"/>
            </w:tcBorders>
            <w:shd w:val="clear" w:color="auto" w:fill="auto"/>
            <w:noWrap/>
            <w:vAlign w:val="center"/>
            <w:hideMark/>
          </w:tcPr>
          <w:p w14:paraId="3699723C" w14:textId="2EA867CD"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[0.1357]</w:t>
            </w:r>
          </w:p>
        </w:tc>
      </w:tr>
      <w:tr w:rsidR="00331192" w:rsidRPr="007B4DF5" w14:paraId="13C267DB" w14:textId="77777777" w:rsidTr="0053519D">
        <w:trPr>
          <w:trHeight w:val="218"/>
        </w:trPr>
        <w:tc>
          <w:tcPr>
            <w:tcW w:w="2610" w:type="dxa"/>
            <w:tcBorders>
              <w:top w:val="nil"/>
              <w:left w:val="nil"/>
              <w:bottom w:val="nil"/>
              <w:right w:val="nil"/>
            </w:tcBorders>
            <w:shd w:val="clear" w:color="auto" w:fill="auto"/>
            <w:noWrap/>
            <w:vAlign w:val="center"/>
            <w:hideMark/>
          </w:tcPr>
          <w:p w14:paraId="65B9DADA" w14:textId="77777777" w:rsidR="00331192" w:rsidRPr="007B4DF5" w:rsidRDefault="00331192" w:rsidP="0053519D">
            <w:pPr>
              <w:spacing w:before="0" w:after="0" w:line="240" w:lineRule="auto"/>
              <w:jc w:val="right"/>
              <w:rPr>
                <w:rFonts w:eastAsia="Times New Roman" w:cs="Arial"/>
                <w:b/>
                <w:bCs/>
                <w:sz w:val="20"/>
                <w:szCs w:val="20"/>
                <w:lang w:eastAsia="en-GB"/>
              </w:rPr>
            </w:pPr>
            <w:r w:rsidRPr="007B4DF5">
              <w:rPr>
                <w:rFonts w:eastAsia="Times New Roman" w:cs="Arial"/>
                <w:b/>
                <w:bCs/>
                <w:sz w:val="20"/>
                <w:szCs w:val="20"/>
                <w:lang w:eastAsia="en-GB"/>
              </w:rPr>
              <w:t>TU only</w:t>
            </w:r>
          </w:p>
        </w:tc>
        <w:tc>
          <w:tcPr>
            <w:tcW w:w="1204" w:type="dxa"/>
            <w:tcBorders>
              <w:top w:val="nil"/>
              <w:left w:val="nil"/>
              <w:bottom w:val="nil"/>
              <w:right w:val="nil"/>
            </w:tcBorders>
            <w:shd w:val="clear" w:color="auto" w:fill="auto"/>
            <w:noWrap/>
            <w:vAlign w:val="center"/>
            <w:hideMark/>
          </w:tcPr>
          <w:p w14:paraId="260DBBFB" w14:textId="393FD143"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-0.1384*</w:t>
            </w:r>
          </w:p>
        </w:tc>
        <w:tc>
          <w:tcPr>
            <w:tcW w:w="1204" w:type="dxa"/>
            <w:tcBorders>
              <w:top w:val="nil"/>
              <w:left w:val="nil"/>
              <w:bottom w:val="nil"/>
              <w:right w:val="nil"/>
            </w:tcBorders>
            <w:shd w:val="clear" w:color="auto" w:fill="auto"/>
            <w:noWrap/>
            <w:vAlign w:val="center"/>
            <w:hideMark/>
          </w:tcPr>
          <w:p w14:paraId="77F15D67" w14:textId="594570A1"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-0.1433</w:t>
            </w:r>
          </w:p>
        </w:tc>
        <w:tc>
          <w:tcPr>
            <w:tcW w:w="1206" w:type="dxa"/>
            <w:tcBorders>
              <w:top w:val="nil"/>
              <w:left w:val="nil"/>
              <w:bottom w:val="nil"/>
              <w:right w:val="nil"/>
            </w:tcBorders>
            <w:shd w:val="clear" w:color="auto" w:fill="auto"/>
            <w:noWrap/>
            <w:vAlign w:val="center"/>
            <w:hideMark/>
          </w:tcPr>
          <w:p w14:paraId="019934BA" w14:textId="6237AEE6"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-0.3539*</w:t>
            </w:r>
          </w:p>
        </w:tc>
        <w:tc>
          <w:tcPr>
            <w:tcW w:w="1205" w:type="dxa"/>
            <w:gridSpan w:val="2"/>
            <w:tcBorders>
              <w:top w:val="nil"/>
              <w:left w:val="nil"/>
              <w:bottom w:val="nil"/>
              <w:right w:val="nil"/>
            </w:tcBorders>
            <w:shd w:val="clear" w:color="auto" w:fill="auto"/>
            <w:noWrap/>
            <w:vAlign w:val="center"/>
            <w:hideMark/>
          </w:tcPr>
          <w:p w14:paraId="6D88843B" w14:textId="0E5A4A07"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-0.0385</w:t>
            </w:r>
          </w:p>
        </w:tc>
        <w:tc>
          <w:tcPr>
            <w:tcW w:w="1211" w:type="dxa"/>
            <w:tcBorders>
              <w:top w:val="nil"/>
              <w:left w:val="nil"/>
              <w:bottom w:val="nil"/>
              <w:right w:val="single" w:sz="4" w:space="0" w:color="auto"/>
            </w:tcBorders>
            <w:shd w:val="clear" w:color="auto" w:fill="auto"/>
            <w:noWrap/>
            <w:vAlign w:val="center"/>
            <w:hideMark/>
          </w:tcPr>
          <w:p w14:paraId="2945C246" w14:textId="1E967A08"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-0.1862</w:t>
            </w:r>
          </w:p>
        </w:tc>
        <w:tc>
          <w:tcPr>
            <w:tcW w:w="1205" w:type="dxa"/>
            <w:tcBorders>
              <w:top w:val="nil"/>
              <w:left w:val="single" w:sz="4" w:space="0" w:color="auto"/>
              <w:bottom w:val="nil"/>
              <w:right w:val="nil"/>
            </w:tcBorders>
            <w:shd w:val="clear" w:color="auto" w:fill="auto"/>
            <w:noWrap/>
            <w:vAlign w:val="center"/>
            <w:hideMark/>
          </w:tcPr>
          <w:p w14:paraId="743AB997" w14:textId="3C398D25"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-0.1745**</w:t>
            </w:r>
          </w:p>
        </w:tc>
        <w:tc>
          <w:tcPr>
            <w:tcW w:w="1205" w:type="dxa"/>
            <w:tcBorders>
              <w:top w:val="nil"/>
              <w:left w:val="nil"/>
              <w:bottom w:val="nil"/>
              <w:right w:val="nil"/>
            </w:tcBorders>
            <w:shd w:val="clear" w:color="auto" w:fill="auto"/>
            <w:noWrap/>
            <w:vAlign w:val="center"/>
            <w:hideMark/>
          </w:tcPr>
          <w:p w14:paraId="0BEEBE9C" w14:textId="27154A6C"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-0.2098</w:t>
            </w:r>
          </w:p>
        </w:tc>
        <w:tc>
          <w:tcPr>
            <w:tcW w:w="1312" w:type="dxa"/>
            <w:tcBorders>
              <w:top w:val="nil"/>
              <w:left w:val="nil"/>
              <w:bottom w:val="nil"/>
              <w:right w:val="nil"/>
            </w:tcBorders>
            <w:shd w:val="clear" w:color="auto" w:fill="auto"/>
            <w:noWrap/>
            <w:vAlign w:val="center"/>
            <w:hideMark/>
          </w:tcPr>
          <w:p w14:paraId="611317C0" w14:textId="5EAD47B5"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-0.3895*</w:t>
            </w:r>
          </w:p>
        </w:tc>
        <w:tc>
          <w:tcPr>
            <w:tcW w:w="1099" w:type="dxa"/>
            <w:tcBorders>
              <w:top w:val="nil"/>
              <w:left w:val="nil"/>
              <w:bottom w:val="nil"/>
              <w:right w:val="nil"/>
            </w:tcBorders>
            <w:shd w:val="clear" w:color="auto" w:fill="auto"/>
            <w:noWrap/>
            <w:vAlign w:val="center"/>
            <w:hideMark/>
          </w:tcPr>
          <w:p w14:paraId="3482F99E" w14:textId="24338B99"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-0.0877</w:t>
            </w:r>
          </w:p>
        </w:tc>
        <w:tc>
          <w:tcPr>
            <w:tcW w:w="1209" w:type="dxa"/>
            <w:tcBorders>
              <w:top w:val="nil"/>
              <w:left w:val="nil"/>
              <w:bottom w:val="nil"/>
              <w:right w:val="nil"/>
            </w:tcBorders>
            <w:shd w:val="clear" w:color="auto" w:fill="auto"/>
            <w:noWrap/>
            <w:vAlign w:val="center"/>
            <w:hideMark/>
          </w:tcPr>
          <w:p w14:paraId="1FAEE636" w14:textId="753EF498"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-0.2644</w:t>
            </w:r>
          </w:p>
        </w:tc>
      </w:tr>
      <w:tr w:rsidR="00331192" w:rsidRPr="007B4DF5" w14:paraId="5FAC2072" w14:textId="77777777" w:rsidTr="0053519D">
        <w:trPr>
          <w:trHeight w:val="218"/>
        </w:trPr>
        <w:tc>
          <w:tcPr>
            <w:tcW w:w="2610" w:type="dxa"/>
            <w:tcBorders>
              <w:top w:val="nil"/>
              <w:left w:val="nil"/>
              <w:bottom w:val="nil"/>
              <w:right w:val="nil"/>
            </w:tcBorders>
            <w:shd w:val="clear" w:color="auto" w:fill="auto"/>
            <w:noWrap/>
            <w:vAlign w:val="center"/>
            <w:hideMark/>
          </w:tcPr>
          <w:p w14:paraId="241705EA" w14:textId="77777777" w:rsidR="00331192" w:rsidRPr="007B4DF5" w:rsidRDefault="00331192" w:rsidP="0053519D">
            <w:pPr>
              <w:spacing w:before="0" w:after="0" w:line="240" w:lineRule="auto"/>
              <w:jc w:val="right"/>
              <w:rPr>
                <w:rFonts w:eastAsia="Times New Roman" w:cs="Arial"/>
                <w:b/>
                <w:bCs/>
                <w:sz w:val="20"/>
                <w:szCs w:val="20"/>
                <w:lang w:eastAsia="en-GB"/>
              </w:rPr>
            </w:pPr>
          </w:p>
        </w:tc>
        <w:tc>
          <w:tcPr>
            <w:tcW w:w="1204" w:type="dxa"/>
            <w:tcBorders>
              <w:top w:val="nil"/>
              <w:left w:val="nil"/>
              <w:bottom w:val="nil"/>
              <w:right w:val="nil"/>
            </w:tcBorders>
            <w:shd w:val="clear" w:color="auto" w:fill="auto"/>
            <w:noWrap/>
            <w:vAlign w:val="center"/>
            <w:hideMark/>
          </w:tcPr>
          <w:p w14:paraId="224AB52E" w14:textId="244F9913"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[0.0732]</w:t>
            </w:r>
          </w:p>
        </w:tc>
        <w:tc>
          <w:tcPr>
            <w:tcW w:w="1204" w:type="dxa"/>
            <w:tcBorders>
              <w:top w:val="nil"/>
              <w:left w:val="nil"/>
              <w:bottom w:val="nil"/>
              <w:right w:val="nil"/>
            </w:tcBorders>
            <w:shd w:val="clear" w:color="auto" w:fill="auto"/>
            <w:noWrap/>
            <w:vAlign w:val="center"/>
            <w:hideMark/>
          </w:tcPr>
          <w:p w14:paraId="27157104" w14:textId="2D5EE801"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[0.2001]</w:t>
            </w:r>
          </w:p>
        </w:tc>
        <w:tc>
          <w:tcPr>
            <w:tcW w:w="1206" w:type="dxa"/>
            <w:tcBorders>
              <w:top w:val="nil"/>
              <w:left w:val="nil"/>
              <w:bottom w:val="nil"/>
              <w:right w:val="nil"/>
            </w:tcBorders>
            <w:shd w:val="clear" w:color="auto" w:fill="auto"/>
            <w:noWrap/>
            <w:vAlign w:val="center"/>
            <w:hideMark/>
          </w:tcPr>
          <w:p w14:paraId="7C9D6EFB" w14:textId="244F3370"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[0.2102]</w:t>
            </w:r>
          </w:p>
        </w:tc>
        <w:tc>
          <w:tcPr>
            <w:tcW w:w="1205" w:type="dxa"/>
            <w:gridSpan w:val="2"/>
            <w:tcBorders>
              <w:top w:val="nil"/>
              <w:left w:val="nil"/>
              <w:bottom w:val="nil"/>
              <w:right w:val="nil"/>
            </w:tcBorders>
            <w:shd w:val="clear" w:color="auto" w:fill="auto"/>
            <w:noWrap/>
            <w:vAlign w:val="center"/>
            <w:hideMark/>
          </w:tcPr>
          <w:p w14:paraId="3EB78CCB" w14:textId="5EFE3D4C"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[0.0810]</w:t>
            </w:r>
          </w:p>
        </w:tc>
        <w:tc>
          <w:tcPr>
            <w:tcW w:w="1211" w:type="dxa"/>
            <w:tcBorders>
              <w:top w:val="nil"/>
              <w:left w:val="nil"/>
              <w:bottom w:val="nil"/>
              <w:right w:val="single" w:sz="4" w:space="0" w:color="auto"/>
            </w:tcBorders>
            <w:shd w:val="clear" w:color="auto" w:fill="auto"/>
            <w:noWrap/>
            <w:vAlign w:val="center"/>
            <w:hideMark/>
          </w:tcPr>
          <w:p w14:paraId="22A11A18" w14:textId="58B7EEE7"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[0.1732]</w:t>
            </w:r>
          </w:p>
        </w:tc>
        <w:tc>
          <w:tcPr>
            <w:tcW w:w="1205" w:type="dxa"/>
            <w:tcBorders>
              <w:top w:val="nil"/>
              <w:left w:val="single" w:sz="4" w:space="0" w:color="auto"/>
              <w:bottom w:val="nil"/>
              <w:right w:val="nil"/>
            </w:tcBorders>
            <w:shd w:val="clear" w:color="auto" w:fill="auto"/>
            <w:noWrap/>
            <w:vAlign w:val="center"/>
            <w:hideMark/>
          </w:tcPr>
          <w:p w14:paraId="1972D619" w14:textId="599432DD"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[0.0765]</w:t>
            </w:r>
          </w:p>
        </w:tc>
        <w:tc>
          <w:tcPr>
            <w:tcW w:w="1205" w:type="dxa"/>
            <w:tcBorders>
              <w:top w:val="nil"/>
              <w:left w:val="nil"/>
              <w:bottom w:val="nil"/>
              <w:right w:val="nil"/>
            </w:tcBorders>
            <w:shd w:val="clear" w:color="auto" w:fill="auto"/>
            <w:noWrap/>
            <w:vAlign w:val="center"/>
            <w:hideMark/>
          </w:tcPr>
          <w:p w14:paraId="658C4C94" w14:textId="590260FF"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[0.2184]</w:t>
            </w:r>
          </w:p>
        </w:tc>
        <w:tc>
          <w:tcPr>
            <w:tcW w:w="1312" w:type="dxa"/>
            <w:tcBorders>
              <w:top w:val="nil"/>
              <w:left w:val="nil"/>
              <w:bottom w:val="nil"/>
              <w:right w:val="nil"/>
            </w:tcBorders>
            <w:shd w:val="clear" w:color="auto" w:fill="auto"/>
            <w:noWrap/>
            <w:vAlign w:val="center"/>
            <w:hideMark/>
          </w:tcPr>
          <w:p w14:paraId="5262BF41" w14:textId="550B6704"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[0.2106]</w:t>
            </w:r>
          </w:p>
        </w:tc>
        <w:tc>
          <w:tcPr>
            <w:tcW w:w="1099" w:type="dxa"/>
            <w:tcBorders>
              <w:top w:val="nil"/>
              <w:left w:val="nil"/>
              <w:bottom w:val="nil"/>
              <w:right w:val="nil"/>
            </w:tcBorders>
            <w:shd w:val="clear" w:color="auto" w:fill="auto"/>
            <w:noWrap/>
            <w:vAlign w:val="center"/>
            <w:hideMark/>
          </w:tcPr>
          <w:p w14:paraId="314FF343" w14:textId="7B0572A5"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[0.0825]</w:t>
            </w:r>
          </w:p>
        </w:tc>
        <w:tc>
          <w:tcPr>
            <w:tcW w:w="1209" w:type="dxa"/>
            <w:tcBorders>
              <w:top w:val="nil"/>
              <w:left w:val="nil"/>
              <w:bottom w:val="nil"/>
              <w:right w:val="nil"/>
            </w:tcBorders>
            <w:shd w:val="clear" w:color="auto" w:fill="auto"/>
            <w:noWrap/>
            <w:vAlign w:val="center"/>
            <w:hideMark/>
          </w:tcPr>
          <w:p w14:paraId="6334123A" w14:textId="391330F3"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[0.1841]</w:t>
            </w:r>
          </w:p>
        </w:tc>
      </w:tr>
      <w:tr w:rsidR="00331192" w:rsidRPr="007B4DF5" w14:paraId="16FCBAB1" w14:textId="77777777" w:rsidTr="0053519D">
        <w:trPr>
          <w:trHeight w:val="218"/>
        </w:trPr>
        <w:tc>
          <w:tcPr>
            <w:tcW w:w="2610" w:type="dxa"/>
            <w:tcBorders>
              <w:top w:val="nil"/>
              <w:left w:val="nil"/>
              <w:bottom w:val="nil"/>
              <w:right w:val="nil"/>
            </w:tcBorders>
            <w:shd w:val="clear" w:color="auto" w:fill="auto"/>
            <w:noWrap/>
            <w:vAlign w:val="center"/>
            <w:hideMark/>
          </w:tcPr>
          <w:p w14:paraId="6965AC66" w14:textId="77777777" w:rsidR="00331192" w:rsidRPr="007B4DF5" w:rsidRDefault="00331192" w:rsidP="0053519D">
            <w:pPr>
              <w:spacing w:before="0" w:after="0" w:line="240" w:lineRule="auto"/>
              <w:jc w:val="right"/>
              <w:rPr>
                <w:rFonts w:eastAsia="Times New Roman" w:cs="Arial"/>
                <w:b/>
                <w:bCs/>
                <w:sz w:val="20"/>
                <w:szCs w:val="20"/>
                <w:lang w:eastAsia="en-GB"/>
              </w:rPr>
            </w:pPr>
            <w:r w:rsidRPr="007B4DF5">
              <w:rPr>
                <w:rFonts w:eastAsia="Times New Roman" w:cs="Arial"/>
                <w:b/>
                <w:bCs/>
                <w:sz w:val="20"/>
                <w:szCs w:val="20"/>
                <w:lang w:eastAsia="en-GB"/>
              </w:rPr>
              <w:t>Both</w:t>
            </w:r>
          </w:p>
        </w:tc>
        <w:tc>
          <w:tcPr>
            <w:tcW w:w="1204" w:type="dxa"/>
            <w:tcBorders>
              <w:top w:val="nil"/>
              <w:left w:val="nil"/>
              <w:bottom w:val="nil"/>
              <w:right w:val="nil"/>
            </w:tcBorders>
            <w:shd w:val="clear" w:color="auto" w:fill="auto"/>
            <w:noWrap/>
            <w:vAlign w:val="center"/>
            <w:hideMark/>
          </w:tcPr>
          <w:p w14:paraId="7C93AFF9" w14:textId="0F767785"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-0.0340</w:t>
            </w:r>
          </w:p>
        </w:tc>
        <w:tc>
          <w:tcPr>
            <w:tcW w:w="1204" w:type="dxa"/>
            <w:tcBorders>
              <w:top w:val="nil"/>
              <w:left w:val="nil"/>
              <w:bottom w:val="nil"/>
              <w:right w:val="nil"/>
            </w:tcBorders>
            <w:shd w:val="clear" w:color="auto" w:fill="auto"/>
            <w:noWrap/>
            <w:vAlign w:val="center"/>
            <w:hideMark/>
          </w:tcPr>
          <w:p w14:paraId="48D2EB60" w14:textId="2F3A9B65"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-0.1023</w:t>
            </w:r>
          </w:p>
        </w:tc>
        <w:tc>
          <w:tcPr>
            <w:tcW w:w="1206" w:type="dxa"/>
            <w:tcBorders>
              <w:top w:val="nil"/>
              <w:left w:val="nil"/>
              <w:bottom w:val="nil"/>
              <w:right w:val="nil"/>
            </w:tcBorders>
            <w:shd w:val="clear" w:color="auto" w:fill="auto"/>
            <w:noWrap/>
            <w:vAlign w:val="center"/>
            <w:hideMark/>
          </w:tcPr>
          <w:p w14:paraId="5E9CAEE5" w14:textId="19B09762"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-0.0744</w:t>
            </w:r>
          </w:p>
        </w:tc>
        <w:tc>
          <w:tcPr>
            <w:tcW w:w="1205" w:type="dxa"/>
            <w:gridSpan w:val="2"/>
            <w:tcBorders>
              <w:top w:val="nil"/>
              <w:left w:val="nil"/>
              <w:bottom w:val="nil"/>
              <w:right w:val="nil"/>
            </w:tcBorders>
            <w:shd w:val="clear" w:color="auto" w:fill="auto"/>
            <w:noWrap/>
            <w:vAlign w:val="center"/>
            <w:hideMark/>
          </w:tcPr>
          <w:p w14:paraId="3BEE6C0C" w14:textId="3B1AFCD0"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0.1731*</w:t>
            </w:r>
          </w:p>
        </w:tc>
        <w:tc>
          <w:tcPr>
            <w:tcW w:w="1211" w:type="dxa"/>
            <w:tcBorders>
              <w:top w:val="nil"/>
              <w:left w:val="nil"/>
              <w:bottom w:val="nil"/>
              <w:right w:val="single" w:sz="4" w:space="0" w:color="auto"/>
            </w:tcBorders>
            <w:shd w:val="clear" w:color="auto" w:fill="auto"/>
            <w:noWrap/>
            <w:vAlign w:val="center"/>
            <w:hideMark/>
          </w:tcPr>
          <w:p w14:paraId="44B3CE91" w14:textId="5CBD5AF3"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0.1617</w:t>
            </w:r>
          </w:p>
        </w:tc>
        <w:tc>
          <w:tcPr>
            <w:tcW w:w="1205" w:type="dxa"/>
            <w:tcBorders>
              <w:top w:val="nil"/>
              <w:left w:val="single" w:sz="4" w:space="0" w:color="auto"/>
              <w:bottom w:val="nil"/>
              <w:right w:val="nil"/>
            </w:tcBorders>
            <w:shd w:val="clear" w:color="auto" w:fill="auto"/>
            <w:noWrap/>
            <w:vAlign w:val="center"/>
            <w:hideMark/>
          </w:tcPr>
          <w:p w14:paraId="41087215" w14:textId="14A9EA6E"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-0.0899</w:t>
            </w:r>
          </w:p>
        </w:tc>
        <w:tc>
          <w:tcPr>
            <w:tcW w:w="1205" w:type="dxa"/>
            <w:tcBorders>
              <w:top w:val="nil"/>
              <w:left w:val="nil"/>
              <w:bottom w:val="nil"/>
              <w:right w:val="nil"/>
            </w:tcBorders>
            <w:shd w:val="clear" w:color="auto" w:fill="auto"/>
            <w:noWrap/>
            <w:vAlign w:val="center"/>
            <w:hideMark/>
          </w:tcPr>
          <w:p w14:paraId="7C0D6E8F" w14:textId="0BAE3DEC"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-0.1188</w:t>
            </w:r>
          </w:p>
        </w:tc>
        <w:tc>
          <w:tcPr>
            <w:tcW w:w="1312" w:type="dxa"/>
            <w:tcBorders>
              <w:top w:val="nil"/>
              <w:left w:val="nil"/>
              <w:bottom w:val="nil"/>
              <w:right w:val="nil"/>
            </w:tcBorders>
            <w:shd w:val="clear" w:color="auto" w:fill="auto"/>
            <w:noWrap/>
            <w:vAlign w:val="center"/>
            <w:hideMark/>
          </w:tcPr>
          <w:p w14:paraId="2A576979" w14:textId="70BF9196"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-0.0778</w:t>
            </w:r>
          </w:p>
        </w:tc>
        <w:tc>
          <w:tcPr>
            <w:tcW w:w="1099" w:type="dxa"/>
            <w:tcBorders>
              <w:top w:val="nil"/>
              <w:left w:val="nil"/>
              <w:bottom w:val="nil"/>
              <w:right w:val="nil"/>
            </w:tcBorders>
            <w:shd w:val="clear" w:color="auto" w:fill="auto"/>
            <w:noWrap/>
            <w:vAlign w:val="center"/>
            <w:hideMark/>
          </w:tcPr>
          <w:p w14:paraId="767614CE" w14:textId="5E380DDC"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0.0714</w:t>
            </w:r>
          </w:p>
        </w:tc>
        <w:tc>
          <w:tcPr>
            <w:tcW w:w="1209" w:type="dxa"/>
            <w:tcBorders>
              <w:top w:val="nil"/>
              <w:left w:val="nil"/>
              <w:bottom w:val="nil"/>
              <w:right w:val="nil"/>
            </w:tcBorders>
            <w:shd w:val="clear" w:color="auto" w:fill="auto"/>
            <w:noWrap/>
            <w:vAlign w:val="center"/>
            <w:hideMark/>
          </w:tcPr>
          <w:p w14:paraId="2B09187A" w14:textId="5ABD295D"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0.1017</w:t>
            </w:r>
          </w:p>
        </w:tc>
      </w:tr>
      <w:tr w:rsidR="00331192" w:rsidRPr="007B4DF5" w14:paraId="4C599763" w14:textId="77777777" w:rsidTr="0053519D">
        <w:trPr>
          <w:trHeight w:val="218"/>
        </w:trPr>
        <w:tc>
          <w:tcPr>
            <w:tcW w:w="2610" w:type="dxa"/>
            <w:tcBorders>
              <w:top w:val="nil"/>
              <w:left w:val="nil"/>
              <w:bottom w:val="nil"/>
              <w:right w:val="nil"/>
            </w:tcBorders>
            <w:shd w:val="clear" w:color="auto" w:fill="auto"/>
            <w:noWrap/>
            <w:vAlign w:val="center"/>
            <w:hideMark/>
          </w:tcPr>
          <w:p w14:paraId="7892DEE1" w14:textId="77777777" w:rsidR="00331192" w:rsidRPr="007B4DF5" w:rsidRDefault="00331192" w:rsidP="0053519D">
            <w:pPr>
              <w:spacing w:before="0" w:after="0" w:line="240" w:lineRule="auto"/>
              <w:jc w:val="right"/>
              <w:rPr>
                <w:rFonts w:eastAsia="Times New Roman" w:cs="Arial"/>
                <w:b/>
                <w:bCs/>
                <w:sz w:val="20"/>
                <w:szCs w:val="20"/>
                <w:lang w:eastAsia="en-GB"/>
              </w:rPr>
            </w:pPr>
          </w:p>
        </w:tc>
        <w:tc>
          <w:tcPr>
            <w:tcW w:w="1204" w:type="dxa"/>
            <w:tcBorders>
              <w:top w:val="nil"/>
              <w:left w:val="nil"/>
              <w:bottom w:val="nil"/>
              <w:right w:val="nil"/>
            </w:tcBorders>
            <w:shd w:val="clear" w:color="auto" w:fill="auto"/>
            <w:noWrap/>
            <w:vAlign w:val="center"/>
            <w:hideMark/>
          </w:tcPr>
          <w:p w14:paraId="357D61FD" w14:textId="0EB0E8A0"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[0.0651]</w:t>
            </w:r>
          </w:p>
        </w:tc>
        <w:tc>
          <w:tcPr>
            <w:tcW w:w="1204" w:type="dxa"/>
            <w:tcBorders>
              <w:top w:val="nil"/>
              <w:left w:val="nil"/>
              <w:bottom w:val="nil"/>
              <w:right w:val="nil"/>
            </w:tcBorders>
            <w:shd w:val="clear" w:color="auto" w:fill="auto"/>
            <w:noWrap/>
            <w:vAlign w:val="center"/>
            <w:hideMark/>
          </w:tcPr>
          <w:p w14:paraId="2624F151" w14:textId="2597E384"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[0.0773]</w:t>
            </w:r>
          </w:p>
        </w:tc>
        <w:tc>
          <w:tcPr>
            <w:tcW w:w="1206" w:type="dxa"/>
            <w:tcBorders>
              <w:top w:val="nil"/>
              <w:left w:val="nil"/>
              <w:bottom w:val="nil"/>
              <w:right w:val="nil"/>
            </w:tcBorders>
            <w:shd w:val="clear" w:color="auto" w:fill="auto"/>
            <w:noWrap/>
            <w:vAlign w:val="center"/>
            <w:hideMark/>
          </w:tcPr>
          <w:p w14:paraId="724A720F" w14:textId="4E5FDC79"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[0.1355]</w:t>
            </w:r>
          </w:p>
        </w:tc>
        <w:tc>
          <w:tcPr>
            <w:tcW w:w="1205" w:type="dxa"/>
            <w:gridSpan w:val="2"/>
            <w:tcBorders>
              <w:top w:val="nil"/>
              <w:left w:val="nil"/>
              <w:bottom w:val="nil"/>
              <w:right w:val="nil"/>
            </w:tcBorders>
            <w:shd w:val="clear" w:color="auto" w:fill="auto"/>
            <w:noWrap/>
            <w:vAlign w:val="center"/>
            <w:hideMark/>
          </w:tcPr>
          <w:p w14:paraId="2D06AE26" w14:textId="03D6B255"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[0.0884]</w:t>
            </w:r>
          </w:p>
        </w:tc>
        <w:tc>
          <w:tcPr>
            <w:tcW w:w="1211" w:type="dxa"/>
            <w:tcBorders>
              <w:top w:val="nil"/>
              <w:left w:val="nil"/>
              <w:bottom w:val="nil"/>
              <w:right w:val="single" w:sz="4" w:space="0" w:color="auto"/>
            </w:tcBorders>
            <w:shd w:val="clear" w:color="auto" w:fill="auto"/>
            <w:noWrap/>
            <w:vAlign w:val="center"/>
            <w:hideMark/>
          </w:tcPr>
          <w:p w14:paraId="7453B5A7" w14:textId="0EFF0F32"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[0.2716]</w:t>
            </w:r>
          </w:p>
        </w:tc>
        <w:tc>
          <w:tcPr>
            <w:tcW w:w="1205" w:type="dxa"/>
            <w:tcBorders>
              <w:top w:val="nil"/>
              <w:left w:val="single" w:sz="4" w:space="0" w:color="auto"/>
              <w:bottom w:val="nil"/>
              <w:right w:val="nil"/>
            </w:tcBorders>
            <w:shd w:val="clear" w:color="auto" w:fill="auto"/>
            <w:noWrap/>
            <w:vAlign w:val="center"/>
            <w:hideMark/>
          </w:tcPr>
          <w:p w14:paraId="4A6CBD4E" w14:textId="6EA4B213"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[0.0723]</w:t>
            </w:r>
          </w:p>
        </w:tc>
        <w:tc>
          <w:tcPr>
            <w:tcW w:w="1205" w:type="dxa"/>
            <w:tcBorders>
              <w:top w:val="nil"/>
              <w:left w:val="nil"/>
              <w:bottom w:val="nil"/>
              <w:right w:val="nil"/>
            </w:tcBorders>
            <w:shd w:val="clear" w:color="auto" w:fill="auto"/>
            <w:noWrap/>
            <w:vAlign w:val="center"/>
            <w:hideMark/>
          </w:tcPr>
          <w:p w14:paraId="48A73A11" w14:textId="0B053FB3"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[0.0893]</w:t>
            </w:r>
          </w:p>
        </w:tc>
        <w:tc>
          <w:tcPr>
            <w:tcW w:w="1312" w:type="dxa"/>
            <w:tcBorders>
              <w:top w:val="nil"/>
              <w:left w:val="nil"/>
              <w:bottom w:val="nil"/>
              <w:right w:val="nil"/>
            </w:tcBorders>
            <w:shd w:val="clear" w:color="auto" w:fill="auto"/>
            <w:noWrap/>
            <w:vAlign w:val="center"/>
            <w:hideMark/>
          </w:tcPr>
          <w:p w14:paraId="526B8B1F" w14:textId="5EB66363"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[0.1506]</w:t>
            </w:r>
          </w:p>
        </w:tc>
        <w:tc>
          <w:tcPr>
            <w:tcW w:w="1099" w:type="dxa"/>
            <w:tcBorders>
              <w:top w:val="nil"/>
              <w:left w:val="nil"/>
              <w:bottom w:val="nil"/>
              <w:right w:val="nil"/>
            </w:tcBorders>
            <w:shd w:val="clear" w:color="auto" w:fill="auto"/>
            <w:noWrap/>
            <w:vAlign w:val="center"/>
            <w:hideMark/>
          </w:tcPr>
          <w:p w14:paraId="02C50227" w14:textId="72C3CFE4"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[0.0985]</w:t>
            </w:r>
          </w:p>
        </w:tc>
        <w:tc>
          <w:tcPr>
            <w:tcW w:w="1209" w:type="dxa"/>
            <w:tcBorders>
              <w:top w:val="nil"/>
              <w:left w:val="nil"/>
              <w:bottom w:val="nil"/>
              <w:right w:val="nil"/>
            </w:tcBorders>
            <w:shd w:val="clear" w:color="auto" w:fill="auto"/>
            <w:noWrap/>
            <w:vAlign w:val="center"/>
            <w:hideMark/>
          </w:tcPr>
          <w:p w14:paraId="5AF03622" w14:textId="1745D4B0"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[0.3129]</w:t>
            </w:r>
          </w:p>
        </w:tc>
      </w:tr>
      <w:tr w:rsidR="00331192" w:rsidRPr="007B4DF5" w14:paraId="5EB6E062" w14:textId="77777777" w:rsidTr="0053519D">
        <w:trPr>
          <w:trHeight w:val="218"/>
        </w:trPr>
        <w:tc>
          <w:tcPr>
            <w:tcW w:w="2610" w:type="dxa"/>
            <w:tcBorders>
              <w:top w:val="nil"/>
              <w:left w:val="nil"/>
              <w:bottom w:val="nil"/>
              <w:right w:val="nil"/>
            </w:tcBorders>
            <w:shd w:val="clear" w:color="auto" w:fill="auto"/>
            <w:noWrap/>
            <w:vAlign w:val="center"/>
          </w:tcPr>
          <w:p w14:paraId="24118410" w14:textId="77777777" w:rsidR="00331192" w:rsidRPr="007B4DF5" w:rsidRDefault="00331192" w:rsidP="0053519D">
            <w:pPr>
              <w:spacing w:before="0" w:after="0" w:line="240" w:lineRule="auto"/>
              <w:jc w:val="center"/>
              <w:rPr>
                <w:rFonts w:eastAsia="Times New Roman" w:cs="Arial"/>
                <w:b/>
                <w:bCs/>
                <w:i/>
                <w:sz w:val="20"/>
                <w:szCs w:val="20"/>
                <w:lang w:eastAsia="en-GB"/>
              </w:rPr>
            </w:pPr>
          </w:p>
          <w:p w14:paraId="4F041E26" w14:textId="037AB7EA" w:rsidR="00331192" w:rsidRPr="007B4DF5" w:rsidRDefault="00C21B2F" w:rsidP="0053519D">
            <w:pPr>
              <w:spacing w:before="0" w:after="0" w:line="240" w:lineRule="auto"/>
              <w:rPr>
                <w:rFonts w:eastAsia="Times New Roman" w:cs="Arial"/>
                <w:b/>
                <w:bCs/>
                <w:i/>
                <w:sz w:val="20"/>
                <w:szCs w:val="20"/>
                <w:lang w:eastAsia="en-GB"/>
              </w:rPr>
            </w:pPr>
            <w:r>
              <w:rPr>
                <w:rFonts w:eastAsia="Times New Roman" w:cs="Arial"/>
                <w:b/>
                <w:bCs/>
                <w:i/>
                <w:sz w:val="20"/>
                <w:szCs w:val="20"/>
                <w:lang w:eastAsia="en-GB"/>
              </w:rPr>
              <w:t xml:space="preserve">Workplace </w:t>
            </w:r>
            <w:r w:rsidR="00331192" w:rsidRPr="007B4DF5">
              <w:rPr>
                <w:rFonts w:eastAsia="Times New Roman" w:cs="Arial"/>
                <w:b/>
                <w:bCs/>
                <w:i/>
                <w:sz w:val="20"/>
                <w:szCs w:val="20"/>
                <w:lang w:eastAsia="en-GB"/>
              </w:rPr>
              <w:t>Practices</w:t>
            </w:r>
          </w:p>
          <w:p w14:paraId="6C056474" w14:textId="77777777" w:rsidR="00331192" w:rsidRPr="007B4DF5" w:rsidRDefault="00331192" w:rsidP="0053519D">
            <w:pPr>
              <w:spacing w:before="0" w:after="0" w:line="240" w:lineRule="auto"/>
              <w:rPr>
                <w:rFonts w:eastAsia="Times New Roman" w:cs="Arial"/>
                <w:b/>
                <w:bCs/>
                <w:i/>
                <w:sz w:val="20"/>
                <w:szCs w:val="20"/>
                <w:lang w:eastAsia="en-GB"/>
              </w:rPr>
            </w:pPr>
          </w:p>
        </w:tc>
        <w:tc>
          <w:tcPr>
            <w:tcW w:w="1204" w:type="dxa"/>
            <w:tcBorders>
              <w:top w:val="nil"/>
              <w:left w:val="nil"/>
              <w:bottom w:val="nil"/>
              <w:right w:val="nil"/>
            </w:tcBorders>
            <w:shd w:val="clear" w:color="auto" w:fill="auto"/>
            <w:noWrap/>
            <w:vAlign w:val="center"/>
          </w:tcPr>
          <w:p w14:paraId="25EBAF60"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204" w:type="dxa"/>
            <w:tcBorders>
              <w:top w:val="nil"/>
              <w:left w:val="nil"/>
              <w:bottom w:val="nil"/>
              <w:right w:val="nil"/>
            </w:tcBorders>
            <w:shd w:val="clear" w:color="auto" w:fill="auto"/>
            <w:noWrap/>
            <w:vAlign w:val="center"/>
          </w:tcPr>
          <w:p w14:paraId="5DB3CBD1"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206" w:type="dxa"/>
            <w:tcBorders>
              <w:top w:val="nil"/>
              <w:left w:val="nil"/>
              <w:bottom w:val="nil"/>
              <w:right w:val="nil"/>
            </w:tcBorders>
            <w:shd w:val="clear" w:color="auto" w:fill="auto"/>
            <w:noWrap/>
            <w:vAlign w:val="center"/>
          </w:tcPr>
          <w:p w14:paraId="559EF7E0"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205" w:type="dxa"/>
            <w:gridSpan w:val="2"/>
            <w:tcBorders>
              <w:top w:val="nil"/>
              <w:left w:val="nil"/>
              <w:bottom w:val="nil"/>
              <w:right w:val="nil"/>
            </w:tcBorders>
            <w:shd w:val="clear" w:color="auto" w:fill="auto"/>
            <w:noWrap/>
            <w:vAlign w:val="center"/>
          </w:tcPr>
          <w:p w14:paraId="4E983C3E"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211" w:type="dxa"/>
            <w:tcBorders>
              <w:top w:val="nil"/>
              <w:left w:val="nil"/>
              <w:bottom w:val="nil"/>
              <w:right w:val="single" w:sz="4" w:space="0" w:color="auto"/>
            </w:tcBorders>
            <w:shd w:val="clear" w:color="auto" w:fill="auto"/>
            <w:noWrap/>
            <w:vAlign w:val="center"/>
          </w:tcPr>
          <w:p w14:paraId="414BF7A1"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205" w:type="dxa"/>
            <w:tcBorders>
              <w:top w:val="nil"/>
              <w:left w:val="single" w:sz="4" w:space="0" w:color="auto"/>
              <w:bottom w:val="nil"/>
              <w:right w:val="nil"/>
            </w:tcBorders>
            <w:shd w:val="clear" w:color="auto" w:fill="auto"/>
            <w:noWrap/>
            <w:vAlign w:val="center"/>
          </w:tcPr>
          <w:p w14:paraId="1A67C4EA"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205" w:type="dxa"/>
            <w:tcBorders>
              <w:top w:val="nil"/>
              <w:left w:val="nil"/>
              <w:bottom w:val="nil"/>
              <w:right w:val="nil"/>
            </w:tcBorders>
            <w:shd w:val="clear" w:color="auto" w:fill="auto"/>
            <w:noWrap/>
            <w:vAlign w:val="center"/>
          </w:tcPr>
          <w:p w14:paraId="19FA0E4A"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312" w:type="dxa"/>
            <w:tcBorders>
              <w:top w:val="nil"/>
              <w:left w:val="nil"/>
              <w:bottom w:val="nil"/>
              <w:right w:val="nil"/>
            </w:tcBorders>
            <w:shd w:val="clear" w:color="auto" w:fill="auto"/>
            <w:noWrap/>
            <w:vAlign w:val="center"/>
          </w:tcPr>
          <w:p w14:paraId="2902F916"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099" w:type="dxa"/>
            <w:tcBorders>
              <w:top w:val="nil"/>
              <w:left w:val="nil"/>
              <w:bottom w:val="nil"/>
              <w:right w:val="nil"/>
            </w:tcBorders>
            <w:shd w:val="clear" w:color="auto" w:fill="auto"/>
            <w:noWrap/>
            <w:vAlign w:val="center"/>
          </w:tcPr>
          <w:p w14:paraId="721A906A"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209" w:type="dxa"/>
            <w:tcBorders>
              <w:top w:val="nil"/>
              <w:left w:val="nil"/>
              <w:bottom w:val="nil"/>
              <w:right w:val="nil"/>
            </w:tcBorders>
            <w:shd w:val="clear" w:color="auto" w:fill="auto"/>
            <w:noWrap/>
            <w:vAlign w:val="center"/>
          </w:tcPr>
          <w:p w14:paraId="00232108" w14:textId="77777777" w:rsidR="00331192" w:rsidRPr="007B4DF5" w:rsidRDefault="00331192" w:rsidP="0053519D">
            <w:pPr>
              <w:spacing w:before="0" w:after="0" w:line="240" w:lineRule="auto"/>
              <w:jc w:val="center"/>
              <w:rPr>
                <w:rFonts w:eastAsia="Times New Roman" w:cs="Arial"/>
                <w:bCs/>
                <w:sz w:val="20"/>
                <w:szCs w:val="20"/>
                <w:lang w:eastAsia="en-GB"/>
              </w:rPr>
            </w:pPr>
          </w:p>
        </w:tc>
      </w:tr>
      <w:tr w:rsidR="00331192" w:rsidRPr="007B4DF5" w14:paraId="2E390E7B" w14:textId="77777777" w:rsidTr="0053519D">
        <w:trPr>
          <w:trHeight w:val="218"/>
        </w:trPr>
        <w:tc>
          <w:tcPr>
            <w:tcW w:w="2610" w:type="dxa"/>
            <w:tcBorders>
              <w:top w:val="nil"/>
              <w:left w:val="nil"/>
              <w:bottom w:val="nil"/>
              <w:right w:val="nil"/>
            </w:tcBorders>
            <w:shd w:val="clear" w:color="auto" w:fill="auto"/>
            <w:noWrap/>
            <w:vAlign w:val="center"/>
            <w:hideMark/>
          </w:tcPr>
          <w:p w14:paraId="56C25A59" w14:textId="77777777" w:rsidR="00331192" w:rsidRPr="007B4DF5" w:rsidRDefault="00331192" w:rsidP="0053519D">
            <w:pPr>
              <w:spacing w:before="0" w:after="0" w:line="240" w:lineRule="auto"/>
              <w:jc w:val="right"/>
              <w:rPr>
                <w:rFonts w:eastAsia="Times New Roman" w:cs="Arial"/>
                <w:b/>
                <w:bCs/>
                <w:sz w:val="20"/>
                <w:szCs w:val="20"/>
                <w:lang w:eastAsia="en-GB"/>
              </w:rPr>
            </w:pPr>
            <w:r w:rsidRPr="007B4DF5">
              <w:rPr>
                <w:rFonts w:eastAsia="Times New Roman" w:cs="Arial"/>
                <w:b/>
                <w:bCs/>
                <w:sz w:val="20"/>
                <w:szCs w:val="20"/>
                <w:lang w:eastAsia="en-GB"/>
              </w:rPr>
              <w:t>Performance related pay</w:t>
            </w:r>
          </w:p>
        </w:tc>
        <w:tc>
          <w:tcPr>
            <w:tcW w:w="1204" w:type="dxa"/>
            <w:tcBorders>
              <w:top w:val="nil"/>
              <w:left w:val="nil"/>
              <w:bottom w:val="nil"/>
              <w:right w:val="nil"/>
            </w:tcBorders>
            <w:shd w:val="clear" w:color="auto" w:fill="auto"/>
            <w:noWrap/>
            <w:vAlign w:val="center"/>
            <w:hideMark/>
          </w:tcPr>
          <w:p w14:paraId="7910E47E" w14:textId="1DC95C8E"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0.1386***</w:t>
            </w:r>
          </w:p>
        </w:tc>
        <w:tc>
          <w:tcPr>
            <w:tcW w:w="1204" w:type="dxa"/>
            <w:tcBorders>
              <w:top w:val="nil"/>
              <w:left w:val="nil"/>
              <w:bottom w:val="nil"/>
              <w:right w:val="nil"/>
            </w:tcBorders>
            <w:shd w:val="clear" w:color="auto" w:fill="auto"/>
            <w:noWrap/>
            <w:vAlign w:val="center"/>
            <w:hideMark/>
          </w:tcPr>
          <w:p w14:paraId="181A9FA6" w14:textId="320D7E38"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0.1478**</w:t>
            </w:r>
          </w:p>
        </w:tc>
        <w:tc>
          <w:tcPr>
            <w:tcW w:w="1206" w:type="dxa"/>
            <w:tcBorders>
              <w:top w:val="nil"/>
              <w:left w:val="nil"/>
              <w:bottom w:val="nil"/>
              <w:right w:val="nil"/>
            </w:tcBorders>
            <w:shd w:val="clear" w:color="auto" w:fill="auto"/>
            <w:noWrap/>
            <w:vAlign w:val="center"/>
            <w:hideMark/>
          </w:tcPr>
          <w:p w14:paraId="506B701B" w14:textId="5A6A159A"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0.0930</w:t>
            </w:r>
          </w:p>
        </w:tc>
        <w:tc>
          <w:tcPr>
            <w:tcW w:w="1205" w:type="dxa"/>
            <w:gridSpan w:val="2"/>
            <w:tcBorders>
              <w:top w:val="nil"/>
              <w:left w:val="nil"/>
              <w:bottom w:val="nil"/>
              <w:right w:val="nil"/>
            </w:tcBorders>
            <w:shd w:val="clear" w:color="auto" w:fill="auto"/>
            <w:noWrap/>
            <w:vAlign w:val="center"/>
            <w:hideMark/>
          </w:tcPr>
          <w:p w14:paraId="44B89C9E" w14:textId="49A9BEBB"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0.0953</w:t>
            </w:r>
          </w:p>
        </w:tc>
        <w:tc>
          <w:tcPr>
            <w:tcW w:w="1211" w:type="dxa"/>
            <w:tcBorders>
              <w:top w:val="nil"/>
              <w:left w:val="nil"/>
              <w:bottom w:val="nil"/>
              <w:right w:val="single" w:sz="4" w:space="0" w:color="auto"/>
            </w:tcBorders>
            <w:shd w:val="clear" w:color="auto" w:fill="auto"/>
            <w:noWrap/>
            <w:vAlign w:val="center"/>
            <w:hideMark/>
          </w:tcPr>
          <w:p w14:paraId="795D26F2" w14:textId="727BDC2E"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0.1902**</w:t>
            </w:r>
          </w:p>
        </w:tc>
        <w:tc>
          <w:tcPr>
            <w:tcW w:w="1205" w:type="dxa"/>
            <w:tcBorders>
              <w:top w:val="nil"/>
              <w:left w:val="single" w:sz="4" w:space="0" w:color="auto"/>
              <w:bottom w:val="nil"/>
              <w:right w:val="nil"/>
            </w:tcBorders>
            <w:shd w:val="clear" w:color="auto" w:fill="auto"/>
            <w:noWrap/>
            <w:vAlign w:val="center"/>
            <w:hideMark/>
          </w:tcPr>
          <w:p w14:paraId="05AC120C" w14:textId="3CEE63E5"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0.1253***</w:t>
            </w:r>
          </w:p>
        </w:tc>
        <w:tc>
          <w:tcPr>
            <w:tcW w:w="1205" w:type="dxa"/>
            <w:tcBorders>
              <w:top w:val="nil"/>
              <w:left w:val="nil"/>
              <w:bottom w:val="nil"/>
              <w:right w:val="nil"/>
            </w:tcBorders>
            <w:shd w:val="clear" w:color="auto" w:fill="auto"/>
            <w:noWrap/>
            <w:vAlign w:val="center"/>
            <w:hideMark/>
          </w:tcPr>
          <w:p w14:paraId="353CFADA" w14:textId="2D17D2A0"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0.1273*</w:t>
            </w:r>
          </w:p>
        </w:tc>
        <w:tc>
          <w:tcPr>
            <w:tcW w:w="1312" w:type="dxa"/>
            <w:tcBorders>
              <w:top w:val="nil"/>
              <w:left w:val="nil"/>
              <w:bottom w:val="nil"/>
              <w:right w:val="nil"/>
            </w:tcBorders>
            <w:shd w:val="clear" w:color="auto" w:fill="auto"/>
            <w:noWrap/>
            <w:vAlign w:val="center"/>
            <w:hideMark/>
          </w:tcPr>
          <w:p w14:paraId="7F704247" w14:textId="188E9655"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0.0535</w:t>
            </w:r>
          </w:p>
        </w:tc>
        <w:tc>
          <w:tcPr>
            <w:tcW w:w="1099" w:type="dxa"/>
            <w:tcBorders>
              <w:top w:val="nil"/>
              <w:left w:val="nil"/>
              <w:bottom w:val="nil"/>
              <w:right w:val="nil"/>
            </w:tcBorders>
            <w:shd w:val="clear" w:color="auto" w:fill="auto"/>
            <w:noWrap/>
            <w:vAlign w:val="center"/>
            <w:hideMark/>
          </w:tcPr>
          <w:p w14:paraId="10AB89C5" w14:textId="2FDDD3EA"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0.0335</w:t>
            </w:r>
          </w:p>
        </w:tc>
        <w:tc>
          <w:tcPr>
            <w:tcW w:w="1209" w:type="dxa"/>
            <w:tcBorders>
              <w:top w:val="nil"/>
              <w:left w:val="nil"/>
              <w:bottom w:val="nil"/>
              <w:right w:val="nil"/>
            </w:tcBorders>
            <w:shd w:val="clear" w:color="auto" w:fill="auto"/>
            <w:noWrap/>
            <w:vAlign w:val="center"/>
            <w:hideMark/>
          </w:tcPr>
          <w:p w14:paraId="1FD0F44E" w14:textId="5D0CBCFB"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0.2740***</w:t>
            </w:r>
          </w:p>
        </w:tc>
      </w:tr>
      <w:tr w:rsidR="00331192" w:rsidRPr="007B4DF5" w14:paraId="5BA854E6" w14:textId="77777777" w:rsidTr="0053519D">
        <w:trPr>
          <w:trHeight w:val="218"/>
        </w:trPr>
        <w:tc>
          <w:tcPr>
            <w:tcW w:w="2610" w:type="dxa"/>
            <w:tcBorders>
              <w:top w:val="nil"/>
              <w:left w:val="nil"/>
              <w:bottom w:val="nil"/>
              <w:right w:val="nil"/>
            </w:tcBorders>
            <w:shd w:val="clear" w:color="auto" w:fill="auto"/>
            <w:noWrap/>
            <w:vAlign w:val="center"/>
            <w:hideMark/>
          </w:tcPr>
          <w:p w14:paraId="5DED5CB9" w14:textId="77777777" w:rsidR="00331192" w:rsidRPr="007B4DF5" w:rsidRDefault="00331192" w:rsidP="0053519D">
            <w:pPr>
              <w:spacing w:before="0" w:after="0" w:line="240" w:lineRule="auto"/>
              <w:jc w:val="right"/>
              <w:rPr>
                <w:rFonts w:eastAsia="Times New Roman" w:cs="Arial"/>
                <w:b/>
                <w:bCs/>
                <w:sz w:val="20"/>
                <w:szCs w:val="20"/>
                <w:lang w:eastAsia="en-GB"/>
              </w:rPr>
            </w:pPr>
          </w:p>
        </w:tc>
        <w:tc>
          <w:tcPr>
            <w:tcW w:w="1204" w:type="dxa"/>
            <w:tcBorders>
              <w:top w:val="nil"/>
              <w:left w:val="nil"/>
              <w:bottom w:val="nil"/>
              <w:right w:val="nil"/>
            </w:tcBorders>
            <w:shd w:val="clear" w:color="auto" w:fill="auto"/>
            <w:noWrap/>
            <w:vAlign w:val="center"/>
            <w:hideMark/>
          </w:tcPr>
          <w:p w14:paraId="760B0F74" w14:textId="59B7832D"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[0.0391]</w:t>
            </w:r>
          </w:p>
        </w:tc>
        <w:tc>
          <w:tcPr>
            <w:tcW w:w="1204" w:type="dxa"/>
            <w:tcBorders>
              <w:top w:val="nil"/>
              <w:left w:val="nil"/>
              <w:bottom w:val="nil"/>
              <w:right w:val="nil"/>
            </w:tcBorders>
            <w:shd w:val="clear" w:color="auto" w:fill="auto"/>
            <w:noWrap/>
            <w:vAlign w:val="center"/>
            <w:hideMark/>
          </w:tcPr>
          <w:p w14:paraId="215CC4B6" w14:textId="051EA423"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[0.0636]</w:t>
            </w:r>
          </w:p>
        </w:tc>
        <w:tc>
          <w:tcPr>
            <w:tcW w:w="1206" w:type="dxa"/>
            <w:tcBorders>
              <w:top w:val="nil"/>
              <w:left w:val="nil"/>
              <w:bottom w:val="nil"/>
              <w:right w:val="nil"/>
            </w:tcBorders>
            <w:shd w:val="clear" w:color="auto" w:fill="auto"/>
            <w:noWrap/>
            <w:vAlign w:val="center"/>
            <w:hideMark/>
          </w:tcPr>
          <w:p w14:paraId="7EF33F6C" w14:textId="1AFE1398"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[0.0694]</w:t>
            </w:r>
          </w:p>
        </w:tc>
        <w:tc>
          <w:tcPr>
            <w:tcW w:w="1205" w:type="dxa"/>
            <w:gridSpan w:val="2"/>
            <w:tcBorders>
              <w:top w:val="nil"/>
              <w:left w:val="nil"/>
              <w:bottom w:val="nil"/>
              <w:right w:val="nil"/>
            </w:tcBorders>
            <w:shd w:val="clear" w:color="auto" w:fill="auto"/>
            <w:noWrap/>
            <w:vAlign w:val="center"/>
            <w:hideMark/>
          </w:tcPr>
          <w:p w14:paraId="54D5131C" w14:textId="321188A4"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[0.0697]</w:t>
            </w:r>
          </w:p>
        </w:tc>
        <w:tc>
          <w:tcPr>
            <w:tcW w:w="1211" w:type="dxa"/>
            <w:tcBorders>
              <w:top w:val="nil"/>
              <w:left w:val="nil"/>
              <w:bottom w:val="nil"/>
              <w:right w:val="single" w:sz="4" w:space="0" w:color="auto"/>
            </w:tcBorders>
            <w:shd w:val="clear" w:color="auto" w:fill="auto"/>
            <w:noWrap/>
            <w:vAlign w:val="center"/>
            <w:hideMark/>
          </w:tcPr>
          <w:p w14:paraId="0D4B0333" w14:textId="3E5D0390"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[0.0855]</w:t>
            </w:r>
          </w:p>
        </w:tc>
        <w:tc>
          <w:tcPr>
            <w:tcW w:w="1205" w:type="dxa"/>
            <w:tcBorders>
              <w:top w:val="nil"/>
              <w:left w:val="single" w:sz="4" w:space="0" w:color="auto"/>
              <w:bottom w:val="nil"/>
              <w:right w:val="nil"/>
            </w:tcBorders>
            <w:shd w:val="clear" w:color="auto" w:fill="auto"/>
            <w:noWrap/>
            <w:vAlign w:val="center"/>
            <w:hideMark/>
          </w:tcPr>
          <w:p w14:paraId="11C66FD5" w14:textId="34B8C4C4"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[0.0404]</w:t>
            </w:r>
          </w:p>
        </w:tc>
        <w:tc>
          <w:tcPr>
            <w:tcW w:w="1205" w:type="dxa"/>
            <w:tcBorders>
              <w:top w:val="nil"/>
              <w:left w:val="nil"/>
              <w:bottom w:val="nil"/>
              <w:right w:val="nil"/>
            </w:tcBorders>
            <w:shd w:val="clear" w:color="auto" w:fill="auto"/>
            <w:noWrap/>
            <w:vAlign w:val="center"/>
            <w:hideMark/>
          </w:tcPr>
          <w:p w14:paraId="04BCE99E" w14:textId="45622A88"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[0.0659]</w:t>
            </w:r>
          </w:p>
        </w:tc>
        <w:tc>
          <w:tcPr>
            <w:tcW w:w="1312" w:type="dxa"/>
            <w:tcBorders>
              <w:top w:val="nil"/>
              <w:left w:val="nil"/>
              <w:bottom w:val="nil"/>
              <w:right w:val="nil"/>
            </w:tcBorders>
            <w:shd w:val="clear" w:color="auto" w:fill="auto"/>
            <w:noWrap/>
            <w:vAlign w:val="center"/>
            <w:hideMark/>
          </w:tcPr>
          <w:p w14:paraId="5E5AFE74" w14:textId="30B74C43"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[0.0715]</w:t>
            </w:r>
          </w:p>
        </w:tc>
        <w:tc>
          <w:tcPr>
            <w:tcW w:w="1099" w:type="dxa"/>
            <w:tcBorders>
              <w:top w:val="nil"/>
              <w:left w:val="nil"/>
              <w:bottom w:val="nil"/>
              <w:right w:val="nil"/>
            </w:tcBorders>
            <w:shd w:val="clear" w:color="auto" w:fill="auto"/>
            <w:noWrap/>
            <w:vAlign w:val="center"/>
            <w:hideMark/>
          </w:tcPr>
          <w:p w14:paraId="63E0A0D9" w14:textId="1F37B6E7"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[0.0723]</w:t>
            </w:r>
          </w:p>
        </w:tc>
        <w:tc>
          <w:tcPr>
            <w:tcW w:w="1209" w:type="dxa"/>
            <w:tcBorders>
              <w:top w:val="nil"/>
              <w:left w:val="nil"/>
              <w:bottom w:val="nil"/>
              <w:right w:val="nil"/>
            </w:tcBorders>
            <w:shd w:val="clear" w:color="auto" w:fill="auto"/>
            <w:noWrap/>
            <w:vAlign w:val="center"/>
            <w:hideMark/>
          </w:tcPr>
          <w:p w14:paraId="3B879693" w14:textId="71D582B0"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[0.0877]</w:t>
            </w:r>
          </w:p>
        </w:tc>
      </w:tr>
      <w:tr w:rsidR="00331192" w:rsidRPr="007B4DF5" w14:paraId="7982EC20" w14:textId="77777777" w:rsidTr="0053519D">
        <w:trPr>
          <w:trHeight w:val="218"/>
        </w:trPr>
        <w:tc>
          <w:tcPr>
            <w:tcW w:w="2610" w:type="dxa"/>
            <w:tcBorders>
              <w:top w:val="nil"/>
              <w:left w:val="nil"/>
              <w:bottom w:val="nil"/>
              <w:right w:val="nil"/>
            </w:tcBorders>
            <w:shd w:val="clear" w:color="auto" w:fill="auto"/>
            <w:noWrap/>
            <w:vAlign w:val="center"/>
            <w:hideMark/>
          </w:tcPr>
          <w:p w14:paraId="63CDF10A" w14:textId="77777777" w:rsidR="00331192" w:rsidRPr="007B4DF5" w:rsidRDefault="00331192" w:rsidP="0053519D">
            <w:pPr>
              <w:spacing w:before="0" w:after="0" w:line="240" w:lineRule="auto"/>
              <w:jc w:val="right"/>
              <w:rPr>
                <w:rFonts w:eastAsia="Times New Roman" w:cs="Arial"/>
                <w:b/>
                <w:bCs/>
                <w:sz w:val="20"/>
                <w:szCs w:val="20"/>
                <w:lang w:eastAsia="en-GB"/>
              </w:rPr>
            </w:pPr>
            <w:r w:rsidRPr="007B4DF5">
              <w:rPr>
                <w:rFonts w:eastAsia="Times New Roman" w:cs="Arial"/>
                <w:b/>
                <w:bCs/>
                <w:sz w:val="20"/>
                <w:szCs w:val="20"/>
                <w:lang w:eastAsia="en-GB"/>
              </w:rPr>
              <w:t>Training</w:t>
            </w:r>
          </w:p>
        </w:tc>
        <w:tc>
          <w:tcPr>
            <w:tcW w:w="1204" w:type="dxa"/>
            <w:tcBorders>
              <w:top w:val="nil"/>
              <w:left w:val="nil"/>
              <w:bottom w:val="nil"/>
              <w:right w:val="nil"/>
            </w:tcBorders>
            <w:shd w:val="clear" w:color="auto" w:fill="auto"/>
            <w:noWrap/>
            <w:vAlign w:val="center"/>
            <w:hideMark/>
          </w:tcPr>
          <w:p w14:paraId="6EA505A4" w14:textId="7021921E"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0.1829***</w:t>
            </w:r>
          </w:p>
        </w:tc>
        <w:tc>
          <w:tcPr>
            <w:tcW w:w="1204" w:type="dxa"/>
            <w:tcBorders>
              <w:top w:val="nil"/>
              <w:left w:val="nil"/>
              <w:bottom w:val="nil"/>
              <w:right w:val="nil"/>
            </w:tcBorders>
            <w:shd w:val="clear" w:color="auto" w:fill="auto"/>
            <w:noWrap/>
            <w:vAlign w:val="center"/>
            <w:hideMark/>
          </w:tcPr>
          <w:p w14:paraId="4BD64BD4" w14:textId="4688E8F0"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0.2201***</w:t>
            </w:r>
          </w:p>
        </w:tc>
        <w:tc>
          <w:tcPr>
            <w:tcW w:w="1206" w:type="dxa"/>
            <w:tcBorders>
              <w:top w:val="nil"/>
              <w:left w:val="nil"/>
              <w:bottom w:val="nil"/>
              <w:right w:val="nil"/>
            </w:tcBorders>
            <w:shd w:val="clear" w:color="auto" w:fill="auto"/>
            <w:noWrap/>
            <w:vAlign w:val="center"/>
            <w:hideMark/>
          </w:tcPr>
          <w:p w14:paraId="7727E98A" w14:textId="49873CD7"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0.1451*</w:t>
            </w:r>
          </w:p>
        </w:tc>
        <w:tc>
          <w:tcPr>
            <w:tcW w:w="1205" w:type="dxa"/>
            <w:gridSpan w:val="2"/>
            <w:tcBorders>
              <w:top w:val="nil"/>
              <w:left w:val="nil"/>
              <w:bottom w:val="nil"/>
              <w:right w:val="nil"/>
            </w:tcBorders>
            <w:shd w:val="clear" w:color="auto" w:fill="auto"/>
            <w:noWrap/>
            <w:vAlign w:val="center"/>
            <w:hideMark/>
          </w:tcPr>
          <w:p w14:paraId="5137580E" w14:textId="03E363D2"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0.1155*</w:t>
            </w:r>
          </w:p>
        </w:tc>
        <w:tc>
          <w:tcPr>
            <w:tcW w:w="1211" w:type="dxa"/>
            <w:tcBorders>
              <w:top w:val="nil"/>
              <w:left w:val="nil"/>
              <w:bottom w:val="nil"/>
              <w:right w:val="single" w:sz="4" w:space="0" w:color="auto"/>
            </w:tcBorders>
            <w:shd w:val="clear" w:color="auto" w:fill="auto"/>
            <w:noWrap/>
            <w:vAlign w:val="center"/>
            <w:hideMark/>
          </w:tcPr>
          <w:p w14:paraId="5339F3EA" w14:textId="51CA7B4C"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0.1872*</w:t>
            </w:r>
          </w:p>
        </w:tc>
        <w:tc>
          <w:tcPr>
            <w:tcW w:w="1205" w:type="dxa"/>
            <w:tcBorders>
              <w:top w:val="nil"/>
              <w:left w:val="single" w:sz="4" w:space="0" w:color="auto"/>
              <w:bottom w:val="nil"/>
              <w:right w:val="nil"/>
            </w:tcBorders>
            <w:shd w:val="clear" w:color="auto" w:fill="auto"/>
            <w:noWrap/>
            <w:vAlign w:val="center"/>
            <w:hideMark/>
          </w:tcPr>
          <w:p w14:paraId="714F483F" w14:textId="4EE1588C"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0.1430***</w:t>
            </w:r>
          </w:p>
        </w:tc>
        <w:tc>
          <w:tcPr>
            <w:tcW w:w="1205" w:type="dxa"/>
            <w:tcBorders>
              <w:top w:val="nil"/>
              <w:left w:val="nil"/>
              <w:bottom w:val="nil"/>
              <w:right w:val="nil"/>
            </w:tcBorders>
            <w:shd w:val="clear" w:color="auto" w:fill="auto"/>
            <w:noWrap/>
            <w:vAlign w:val="center"/>
            <w:hideMark/>
          </w:tcPr>
          <w:p w14:paraId="09939CD7" w14:textId="72D2498C"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0.1742***</w:t>
            </w:r>
          </w:p>
        </w:tc>
        <w:tc>
          <w:tcPr>
            <w:tcW w:w="1312" w:type="dxa"/>
            <w:tcBorders>
              <w:top w:val="nil"/>
              <w:left w:val="nil"/>
              <w:bottom w:val="nil"/>
              <w:right w:val="nil"/>
            </w:tcBorders>
            <w:shd w:val="clear" w:color="auto" w:fill="auto"/>
            <w:noWrap/>
            <w:vAlign w:val="center"/>
            <w:hideMark/>
          </w:tcPr>
          <w:p w14:paraId="7EF492A2" w14:textId="5E482764"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0.1192</w:t>
            </w:r>
          </w:p>
        </w:tc>
        <w:tc>
          <w:tcPr>
            <w:tcW w:w="1099" w:type="dxa"/>
            <w:tcBorders>
              <w:top w:val="nil"/>
              <w:left w:val="nil"/>
              <w:bottom w:val="nil"/>
              <w:right w:val="nil"/>
            </w:tcBorders>
            <w:shd w:val="clear" w:color="auto" w:fill="auto"/>
            <w:noWrap/>
            <w:vAlign w:val="center"/>
            <w:hideMark/>
          </w:tcPr>
          <w:p w14:paraId="07AA4957" w14:textId="7B8DB2F8"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0.0841</w:t>
            </w:r>
          </w:p>
        </w:tc>
        <w:tc>
          <w:tcPr>
            <w:tcW w:w="1209" w:type="dxa"/>
            <w:tcBorders>
              <w:top w:val="nil"/>
              <w:left w:val="nil"/>
              <w:bottom w:val="nil"/>
              <w:right w:val="nil"/>
            </w:tcBorders>
            <w:shd w:val="clear" w:color="auto" w:fill="auto"/>
            <w:noWrap/>
            <w:vAlign w:val="center"/>
            <w:hideMark/>
          </w:tcPr>
          <w:p w14:paraId="2ACC4514" w14:textId="5AC81E53"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0.1071</w:t>
            </w:r>
          </w:p>
        </w:tc>
      </w:tr>
      <w:tr w:rsidR="00331192" w:rsidRPr="007B4DF5" w14:paraId="709AFA0C" w14:textId="77777777" w:rsidTr="0053519D">
        <w:trPr>
          <w:trHeight w:val="218"/>
        </w:trPr>
        <w:tc>
          <w:tcPr>
            <w:tcW w:w="2610" w:type="dxa"/>
            <w:tcBorders>
              <w:top w:val="nil"/>
              <w:left w:val="nil"/>
              <w:bottom w:val="nil"/>
              <w:right w:val="nil"/>
            </w:tcBorders>
            <w:shd w:val="clear" w:color="auto" w:fill="auto"/>
            <w:noWrap/>
            <w:vAlign w:val="center"/>
            <w:hideMark/>
          </w:tcPr>
          <w:p w14:paraId="2EA97BFD" w14:textId="77777777" w:rsidR="00331192" w:rsidRPr="007B4DF5" w:rsidRDefault="00331192" w:rsidP="0053519D">
            <w:pPr>
              <w:spacing w:before="0" w:after="0" w:line="240" w:lineRule="auto"/>
              <w:jc w:val="right"/>
              <w:rPr>
                <w:rFonts w:eastAsia="Times New Roman" w:cs="Arial"/>
                <w:b/>
                <w:bCs/>
                <w:sz w:val="20"/>
                <w:szCs w:val="20"/>
                <w:lang w:eastAsia="en-GB"/>
              </w:rPr>
            </w:pPr>
          </w:p>
        </w:tc>
        <w:tc>
          <w:tcPr>
            <w:tcW w:w="1204" w:type="dxa"/>
            <w:tcBorders>
              <w:top w:val="nil"/>
              <w:left w:val="nil"/>
              <w:bottom w:val="nil"/>
              <w:right w:val="nil"/>
            </w:tcBorders>
            <w:shd w:val="clear" w:color="auto" w:fill="auto"/>
            <w:noWrap/>
            <w:vAlign w:val="center"/>
            <w:hideMark/>
          </w:tcPr>
          <w:p w14:paraId="37067632" w14:textId="09643FAE"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[0.0417]</w:t>
            </w:r>
          </w:p>
        </w:tc>
        <w:tc>
          <w:tcPr>
            <w:tcW w:w="1204" w:type="dxa"/>
            <w:tcBorders>
              <w:top w:val="nil"/>
              <w:left w:val="nil"/>
              <w:bottom w:val="nil"/>
              <w:right w:val="nil"/>
            </w:tcBorders>
            <w:shd w:val="clear" w:color="auto" w:fill="auto"/>
            <w:noWrap/>
            <w:vAlign w:val="center"/>
            <w:hideMark/>
          </w:tcPr>
          <w:p w14:paraId="0DF13B7A" w14:textId="1E85E358"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[0.0639]</w:t>
            </w:r>
          </w:p>
        </w:tc>
        <w:tc>
          <w:tcPr>
            <w:tcW w:w="1206" w:type="dxa"/>
            <w:tcBorders>
              <w:top w:val="nil"/>
              <w:left w:val="nil"/>
              <w:bottom w:val="nil"/>
              <w:right w:val="nil"/>
            </w:tcBorders>
            <w:shd w:val="clear" w:color="auto" w:fill="auto"/>
            <w:noWrap/>
            <w:vAlign w:val="center"/>
            <w:hideMark/>
          </w:tcPr>
          <w:p w14:paraId="7A836C97" w14:textId="77D3BA3F"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[0.0758]</w:t>
            </w:r>
          </w:p>
        </w:tc>
        <w:tc>
          <w:tcPr>
            <w:tcW w:w="1205" w:type="dxa"/>
            <w:gridSpan w:val="2"/>
            <w:tcBorders>
              <w:top w:val="nil"/>
              <w:left w:val="nil"/>
              <w:bottom w:val="nil"/>
              <w:right w:val="nil"/>
            </w:tcBorders>
            <w:shd w:val="clear" w:color="auto" w:fill="auto"/>
            <w:noWrap/>
            <w:vAlign w:val="center"/>
            <w:hideMark/>
          </w:tcPr>
          <w:p w14:paraId="1EE9E2AE" w14:textId="724A3E00"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[0.0661]</w:t>
            </w:r>
          </w:p>
        </w:tc>
        <w:tc>
          <w:tcPr>
            <w:tcW w:w="1211" w:type="dxa"/>
            <w:tcBorders>
              <w:top w:val="nil"/>
              <w:left w:val="nil"/>
              <w:bottom w:val="nil"/>
              <w:right w:val="single" w:sz="4" w:space="0" w:color="auto"/>
            </w:tcBorders>
            <w:shd w:val="clear" w:color="auto" w:fill="auto"/>
            <w:noWrap/>
            <w:vAlign w:val="center"/>
            <w:hideMark/>
          </w:tcPr>
          <w:p w14:paraId="0DA9F093" w14:textId="27C20E8A"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[0.1049]</w:t>
            </w:r>
          </w:p>
        </w:tc>
        <w:tc>
          <w:tcPr>
            <w:tcW w:w="1205" w:type="dxa"/>
            <w:tcBorders>
              <w:top w:val="nil"/>
              <w:left w:val="single" w:sz="4" w:space="0" w:color="auto"/>
              <w:bottom w:val="nil"/>
              <w:right w:val="nil"/>
            </w:tcBorders>
            <w:shd w:val="clear" w:color="auto" w:fill="auto"/>
            <w:noWrap/>
            <w:vAlign w:val="center"/>
            <w:hideMark/>
          </w:tcPr>
          <w:p w14:paraId="4B7EF631" w14:textId="1C83892E"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[0.0424]</w:t>
            </w:r>
          </w:p>
        </w:tc>
        <w:tc>
          <w:tcPr>
            <w:tcW w:w="1205" w:type="dxa"/>
            <w:tcBorders>
              <w:top w:val="nil"/>
              <w:left w:val="nil"/>
              <w:bottom w:val="nil"/>
              <w:right w:val="nil"/>
            </w:tcBorders>
            <w:shd w:val="clear" w:color="auto" w:fill="auto"/>
            <w:noWrap/>
            <w:vAlign w:val="center"/>
            <w:hideMark/>
          </w:tcPr>
          <w:p w14:paraId="60B797E1" w14:textId="11671E04"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[0.0642]</w:t>
            </w:r>
          </w:p>
        </w:tc>
        <w:tc>
          <w:tcPr>
            <w:tcW w:w="1312" w:type="dxa"/>
            <w:tcBorders>
              <w:top w:val="nil"/>
              <w:left w:val="nil"/>
              <w:bottom w:val="nil"/>
              <w:right w:val="nil"/>
            </w:tcBorders>
            <w:shd w:val="clear" w:color="auto" w:fill="auto"/>
            <w:noWrap/>
            <w:vAlign w:val="center"/>
            <w:hideMark/>
          </w:tcPr>
          <w:p w14:paraId="7E4A8A05" w14:textId="17079383"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[0.0766]</w:t>
            </w:r>
          </w:p>
        </w:tc>
        <w:tc>
          <w:tcPr>
            <w:tcW w:w="1099" w:type="dxa"/>
            <w:tcBorders>
              <w:top w:val="nil"/>
              <w:left w:val="nil"/>
              <w:bottom w:val="nil"/>
              <w:right w:val="nil"/>
            </w:tcBorders>
            <w:shd w:val="clear" w:color="auto" w:fill="auto"/>
            <w:noWrap/>
            <w:vAlign w:val="center"/>
            <w:hideMark/>
          </w:tcPr>
          <w:p w14:paraId="0C9DE89E" w14:textId="1EE24773"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[0.0667]</w:t>
            </w:r>
          </w:p>
        </w:tc>
        <w:tc>
          <w:tcPr>
            <w:tcW w:w="1209" w:type="dxa"/>
            <w:tcBorders>
              <w:top w:val="nil"/>
              <w:left w:val="nil"/>
              <w:bottom w:val="nil"/>
              <w:right w:val="nil"/>
            </w:tcBorders>
            <w:shd w:val="clear" w:color="auto" w:fill="auto"/>
            <w:noWrap/>
            <w:vAlign w:val="center"/>
            <w:hideMark/>
          </w:tcPr>
          <w:p w14:paraId="20F1A02F" w14:textId="2FE685DF"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[0.1084]</w:t>
            </w:r>
          </w:p>
        </w:tc>
      </w:tr>
      <w:tr w:rsidR="00331192" w:rsidRPr="007B4DF5" w14:paraId="06E1B3B4" w14:textId="77777777" w:rsidTr="0053519D">
        <w:trPr>
          <w:trHeight w:val="218"/>
        </w:trPr>
        <w:tc>
          <w:tcPr>
            <w:tcW w:w="2610" w:type="dxa"/>
            <w:tcBorders>
              <w:top w:val="nil"/>
              <w:left w:val="nil"/>
              <w:right w:val="nil"/>
            </w:tcBorders>
            <w:shd w:val="clear" w:color="auto" w:fill="auto"/>
            <w:noWrap/>
            <w:vAlign w:val="center"/>
            <w:hideMark/>
          </w:tcPr>
          <w:p w14:paraId="04778970" w14:textId="77777777" w:rsidR="00331192" w:rsidRPr="007B4DF5" w:rsidRDefault="00331192" w:rsidP="0053519D">
            <w:pPr>
              <w:spacing w:before="0" w:after="0" w:line="240" w:lineRule="auto"/>
              <w:jc w:val="right"/>
              <w:rPr>
                <w:rFonts w:eastAsia="Times New Roman" w:cs="Arial"/>
                <w:b/>
                <w:bCs/>
                <w:sz w:val="20"/>
                <w:szCs w:val="20"/>
                <w:lang w:eastAsia="en-GB"/>
              </w:rPr>
            </w:pPr>
            <w:r w:rsidRPr="007B4DF5">
              <w:rPr>
                <w:rFonts w:eastAsia="Times New Roman" w:cs="Arial"/>
                <w:b/>
                <w:bCs/>
                <w:sz w:val="20"/>
                <w:szCs w:val="20"/>
                <w:lang w:eastAsia="en-GB"/>
              </w:rPr>
              <w:t>Teamwork</w:t>
            </w:r>
          </w:p>
        </w:tc>
        <w:tc>
          <w:tcPr>
            <w:tcW w:w="1204" w:type="dxa"/>
            <w:tcBorders>
              <w:top w:val="nil"/>
              <w:left w:val="nil"/>
              <w:right w:val="nil"/>
            </w:tcBorders>
            <w:shd w:val="clear" w:color="auto" w:fill="auto"/>
            <w:noWrap/>
            <w:vAlign w:val="center"/>
            <w:hideMark/>
          </w:tcPr>
          <w:p w14:paraId="78E03087" w14:textId="58FB863B"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0.2036***</w:t>
            </w:r>
          </w:p>
        </w:tc>
        <w:tc>
          <w:tcPr>
            <w:tcW w:w="1204" w:type="dxa"/>
            <w:tcBorders>
              <w:top w:val="nil"/>
              <w:left w:val="nil"/>
              <w:right w:val="nil"/>
            </w:tcBorders>
            <w:shd w:val="clear" w:color="auto" w:fill="auto"/>
            <w:noWrap/>
            <w:vAlign w:val="center"/>
            <w:hideMark/>
          </w:tcPr>
          <w:p w14:paraId="4BB296A4" w14:textId="341EACCD"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0.2284***</w:t>
            </w:r>
          </w:p>
        </w:tc>
        <w:tc>
          <w:tcPr>
            <w:tcW w:w="1206" w:type="dxa"/>
            <w:tcBorders>
              <w:top w:val="nil"/>
              <w:left w:val="nil"/>
              <w:right w:val="nil"/>
            </w:tcBorders>
            <w:shd w:val="clear" w:color="auto" w:fill="auto"/>
            <w:noWrap/>
            <w:vAlign w:val="center"/>
            <w:hideMark/>
          </w:tcPr>
          <w:p w14:paraId="1D49E520" w14:textId="5445A048"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0.1723*</w:t>
            </w:r>
          </w:p>
        </w:tc>
        <w:tc>
          <w:tcPr>
            <w:tcW w:w="1205" w:type="dxa"/>
            <w:gridSpan w:val="2"/>
            <w:tcBorders>
              <w:top w:val="nil"/>
              <w:left w:val="nil"/>
              <w:right w:val="nil"/>
            </w:tcBorders>
            <w:shd w:val="clear" w:color="auto" w:fill="auto"/>
            <w:noWrap/>
            <w:vAlign w:val="center"/>
            <w:hideMark/>
          </w:tcPr>
          <w:p w14:paraId="36E7C468" w14:textId="660547F9"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0.3271***</w:t>
            </w:r>
          </w:p>
        </w:tc>
        <w:tc>
          <w:tcPr>
            <w:tcW w:w="1211" w:type="dxa"/>
            <w:tcBorders>
              <w:top w:val="nil"/>
              <w:left w:val="nil"/>
              <w:right w:val="single" w:sz="4" w:space="0" w:color="auto"/>
            </w:tcBorders>
            <w:shd w:val="clear" w:color="auto" w:fill="auto"/>
            <w:noWrap/>
            <w:vAlign w:val="center"/>
            <w:hideMark/>
          </w:tcPr>
          <w:p w14:paraId="7466A411" w14:textId="682E49FE"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0.1419</w:t>
            </w:r>
          </w:p>
        </w:tc>
        <w:tc>
          <w:tcPr>
            <w:tcW w:w="1205" w:type="dxa"/>
            <w:tcBorders>
              <w:top w:val="nil"/>
              <w:left w:val="single" w:sz="4" w:space="0" w:color="auto"/>
              <w:right w:val="nil"/>
            </w:tcBorders>
            <w:shd w:val="clear" w:color="auto" w:fill="auto"/>
            <w:noWrap/>
            <w:vAlign w:val="center"/>
            <w:hideMark/>
          </w:tcPr>
          <w:p w14:paraId="20B11BA9" w14:textId="5BC011DB"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0.1523***</w:t>
            </w:r>
          </w:p>
        </w:tc>
        <w:tc>
          <w:tcPr>
            <w:tcW w:w="1205" w:type="dxa"/>
            <w:tcBorders>
              <w:top w:val="nil"/>
              <w:left w:val="nil"/>
              <w:right w:val="nil"/>
            </w:tcBorders>
            <w:shd w:val="clear" w:color="auto" w:fill="auto"/>
            <w:noWrap/>
            <w:vAlign w:val="center"/>
            <w:hideMark/>
          </w:tcPr>
          <w:p w14:paraId="457EE30F" w14:textId="486C8758"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0.1759**</w:t>
            </w:r>
          </w:p>
        </w:tc>
        <w:tc>
          <w:tcPr>
            <w:tcW w:w="1312" w:type="dxa"/>
            <w:tcBorders>
              <w:top w:val="nil"/>
              <w:left w:val="nil"/>
              <w:right w:val="nil"/>
            </w:tcBorders>
            <w:shd w:val="clear" w:color="auto" w:fill="auto"/>
            <w:noWrap/>
            <w:vAlign w:val="center"/>
            <w:hideMark/>
          </w:tcPr>
          <w:p w14:paraId="2FD986EC" w14:textId="09F1772E"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0.1380</w:t>
            </w:r>
          </w:p>
        </w:tc>
        <w:tc>
          <w:tcPr>
            <w:tcW w:w="1099" w:type="dxa"/>
            <w:tcBorders>
              <w:top w:val="nil"/>
              <w:left w:val="nil"/>
              <w:right w:val="nil"/>
            </w:tcBorders>
            <w:shd w:val="clear" w:color="auto" w:fill="auto"/>
            <w:noWrap/>
            <w:vAlign w:val="center"/>
            <w:hideMark/>
          </w:tcPr>
          <w:p w14:paraId="4719E8B8" w14:textId="3827D39C"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0.2543***</w:t>
            </w:r>
          </w:p>
        </w:tc>
        <w:tc>
          <w:tcPr>
            <w:tcW w:w="1209" w:type="dxa"/>
            <w:tcBorders>
              <w:top w:val="nil"/>
              <w:left w:val="nil"/>
              <w:right w:val="nil"/>
            </w:tcBorders>
            <w:shd w:val="clear" w:color="auto" w:fill="auto"/>
            <w:noWrap/>
            <w:vAlign w:val="center"/>
            <w:hideMark/>
          </w:tcPr>
          <w:p w14:paraId="4801C4A4" w14:textId="3EE65ED2"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0.0631</w:t>
            </w:r>
          </w:p>
        </w:tc>
      </w:tr>
      <w:tr w:rsidR="00331192" w:rsidRPr="007B4DF5" w14:paraId="596FBBB3" w14:textId="77777777" w:rsidTr="0053519D">
        <w:trPr>
          <w:trHeight w:val="218"/>
        </w:trPr>
        <w:tc>
          <w:tcPr>
            <w:tcW w:w="2610" w:type="dxa"/>
            <w:tcBorders>
              <w:top w:val="nil"/>
              <w:left w:val="nil"/>
              <w:right w:val="nil"/>
            </w:tcBorders>
            <w:shd w:val="clear" w:color="auto" w:fill="auto"/>
            <w:noWrap/>
            <w:vAlign w:val="center"/>
            <w:hideMark/>
          </w:tcPr>
          <w:p w14:paraId="1BB7B7FD" w14:textId="77777777" w:rsidR="00331192" w:rsidRPr="007B4DF5" w:rsidRDefault="00331192" w:rsidP="0053519D">
            <w:pPr>
              <w:spacing w:before="0" w:after="0" w:line="240" w:lineRule="auto"/>
              <w:jc w:val="right"/>
              <w:rPr>
                <w:rFonts w:eastAsia="Times New Roman" w:cs="Arial"/>
                <w:b/>
                <w:bCs/>
                <w:sz w:val="20"/>
                <w:szCs w:val="20"/>
                <w:lang w:eastAsia="en-GB"/>
              </w:rPr>
            </w:pPr>
          </w:p>
        </w:tc>
        <w:tc>
          <w:tcPr>
            <w:tcW w:w="1204" w:type="dxa"/>
            <w:tcBorders>
              <w:top w:val="nil"/>
              <w:left w:val="nil"/>
              <w:right w:val="nil"/>
            </w:tcBorders>
            <w:shd w:val="clear" w:color="auto" w:fill="auto"/>
            <w:noWrap/>
            <w:vAlign w:val="center"/>
            <w:hideMark/>
          </w:tcPr>
          <w:p w14:paraId="721A3634" w14:textId="7F0C0937"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[0.0523]</w:t>
            </w:r>
          </w:p>
        </w:tc>
        <w:tc>
          <w:tcPr>
            <w:tcW w:w="1204" w:type="dxa"/>
            <w:tcBorders>
              <w:top w:val="nil"/>
              <w:left w:val="nil"/>
              <w:right w:val="nil"/>
            </w:tcBorders>
            <w:shd w:val="clear" w:color="auto" w:fill="auto"/>
            <w:noWrap/>
            <w:vAlign w:val="center"/>
            <w:hideMark/>
          </w:tcPr>
          <w:p w14:paraId="729E6C2A" w14:textId="71F800C0"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[0.0698]</w:t>
            </w:r>
          </w:p>
        </w:tc>
        <w:tc>
          <w:tcPr>
            <w:tcW w:w="1206" w:type="dxa"/>
            <w:tcBorders>
              <w:top w:val="nil"/>
              <w:left w:val="nil"/>
              <w:right w:val="nil"/>
            </w:tcBorders>
            <w:shd w:val="clear" w:color="auto" w:fill="auto"/>
            <w:noWrap/>
            <w:vAlign w:val="center"/>
            <w:hideMark/>
          </w:tcPr>
          <w:p w14:paraId="42A86A17" w14:textId="3FD29948"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[0.1001]</w:t>
            </w:r>
          </w:p>
        </w:tc>
        <w:tc>
          <w:tcPr>
            <w:tcW w:w="1205" w:type="dxa"/>
            <w:gridSpan w:val="2"/>
            <w:tcBorders>
              <w:top w:val="nil"/>
              <w:left w:val="nil"/>
              <w:right w:val="nil"/>
            </w:tcBorders>
            <w:shd w:val="clear" w:color="auto" w:fill="auto"/>
            <w:noWrap/>
            <w:vAlign w:val="center"/>
            <w:hideMark/>
          </w:tcPr>
          <w:p w14:paraId="51FABE4F" w14:textId="345B7406"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[0.0925]</w:t>
            </w:r>
          </w:p>
        </w:tc>
        <w:tc>
          <w:tcPr>
            <w:tcW w:w="1211" w:type="dxa"/>
            <w:tcBorders>
              <w:top w:val="nil"/>
              <w:left w:val="nil"/>
              <w:right w:val="single" w:sz="4" w:space="0" w:color="auto"/>
            </w:tcBorders>
            <w:shd w:val="clear" w:color="auto" w:fill="auto"/>
            <w:noWrap/>
            <w:vAlign w:val="center"/>
            <w:hideMark/>
          </w:tcPr>
          <w:p w14:paraId="1B63C141" w14:textId="24BF53D8"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[0.1454]</w:t>
            </w:r>
          </w:p>
        </w:tc>
        <w:tc>
          <w:tcPr>
            <w:tcW w:w="1205" w:type="dxa"/>
            <w:tcBorders>
              <w:top w:val="nil"/>
              <w:left w:val="single" w:sz="4" w:space="0" w:color="auto"/>
              <w:right w:val="nil"/>
            </w:tcBorders>
            <w:shd w:val="clear" w:color="auto" w:fill="auto"/>
            <w:noWrap/>
            <w:vAlign w:val="center"/>
            <w:hideMark/>
          </w:tcPr>
          <w:p w14:paraId="5CF9AB4F" w14:textId="24AEF1E8"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[0.0527]</w:t>
            </w:r>
          </w:p>
        </w:tc>
        <w:tc>
          <w:tcPr>
            <w:tcW w:w="1205" w:type="dxa"/>
            <w:tcBorders>
              <w:top w:val="nil"/>
              <w:left w:val="nil"/>
              <w:right w:val="nil"/>
            </w:tcBorders>
            <w:shd w:val="clear" w:color="auto" w:fill="auto"/>
            <w:noWrap/>
            <w:vAlign w:val="center"/>
            <w:hideMark/>
          </w:tcPr>
          <w:p w14:paraId="712DE796" w14:textId="4E06795E"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[0.0695]</w:t>
            </w:r>
          </w:p>
        </w:tc>
        <w:tc>
          <w:tcPr>
            <w:tcW w:w="1312" w:type="dxa"/>
            <w:tcBorders>
              <w:top w:val="nil"/>
              <w:left w:val="nil"/>
              <w:right w:val="nil"/>
            </w:tcBorders>
            <w:shd w:val="clear" w:color="auto" w:fill="auto"/>
            <w:noWrap/>
            <w:vAlign w:val="center"/>
            <w:hideMark/>
          </w:tcPr>
          <w:p w14:paraId="091A694B" w14:textId="474C73A6"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[0.1019]</w:t>
            </w:r>
          </w:p>
        </w:tc>
        <w:tc>
          <w:tcPr>
            <w:tcW w:w="1099" w:type="dxa"/>
            <w:tcBorders>
              <w:top w:val="nil"/>
              <w:left w:val="nil"/>
              <w:right w:val="nil"/>
            </w:tcBorders>
            <w:shd w:val="clear" w:color="auto" w:fill="auto"/>
            <w:noWrap/>
            <w:vAlign w:val="center"/>
            <w:hideMark/>
          </w:tcPr>
          <w:p w14:paraId="55462934" w14:textId="49140857"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[0.0946]</w:t>
            </w:r>
          </w:p>
        </w:tc>
        <w:tc>
          <w:tcPr>
            <w:tcW w:w="1209" w:type="dxa"/>
            <w:tcBorders>
              <w:top w:val="nil"/>
              <w:left w:val="nil"/>
              <w:right w:val="nil"/>
            </w:tcBorders>
            <w:shd w:val="clear" w:color="auto" w:fill="auto"/>
            <w:noWrap/>
            <w:vAlign w:val="center"/>
            <w:hideMark/>
          </w:tcPr>
          <w:p w14:paraId="7FA78A40" w14:textId="6CBA3304" w:rsidR="00331192" w:rsidRPr="00331192" w:rsidRDefault="00331192" w:rsidP="0053519D">
            <w:pPr>
              <w:spacing w:before="0" w:after="0" w:line="240" w:lineRule="auto"/>
              <w:jc w:val="center"/>
              <w:rPr>
                <w:rFonts w:eastAsia="Times New Roman" w:cs="Arial"/>
                <w:bCs/>
                <w:sz w:val="20"/>
                <w:szCs w:val="20"/>
                <w:lang w:eastAsia="en-GB"/>
              </w:rPr>
            </w:pPr>
            <w:r w:rsidRPr="00331192">
              <w:rPr>
                <w:rFonts w:cs="Arial"/>
                <w:sz w:val="20"/>
                <w:szCs w:val="20"/>
              </w:rPr>
              <w:t>[0.1493]</w:t>
            </w:r>
          </w:p>
        </w:tc>
      </w:tr>
      <w:tr w:rsidR="00331192" w:rsidRPr="007B4DF5" w14:paraId="65FD4ECE" w14:textId="77777777" w:rsidTr="0053519D">
        <w:trPr>
          <w:trHeight w:val="218"/>
        </w:trPr>
        <w:tc>
          <w:tcPr>
            <w:tcW w:w="2610" w:type="dxa"/>
            <w:tcBorders>
              <w:top w:val="nil"/>
              <w:left w:val="nil"/>
              <w:right w:val="nil"/>
            </w:tcBorders>
            <w:shd w:val="clear" w:color="auto" w:fill="auto"/>
            <w:noWrap/>
            <w:vAlign w:val="center"/>
          </w:tcPr>
          <w:p w14:paraId="2E80A502" w14:textId="77777777" w:rsidR="00331192" w:rsidRPr="007B4DF5" w:rsidRDefault="00331192" w:rsidP="0053519D">
            <w:pPr>
              <w:spacing w:before="0" w:after="0" w:line="240" w:lineRule="auto"/>
              <w:jc w:val="center"/>
              <w:rPr>
                <w:rFonts w:eastAsia="Times New Roman" w:cs="Arial"/>
                <w:b/>
                <w:bCs/>
                <w:sz w:val="20"/>
                <w:szCs w:val="20"/>
                <w:lang w:eastAsia="en-GB"/>
              </w:rPr>
            </w:pPr>
          </w:p>
        </w:tc>
        <w:tc>
          <w:tcPr>
            <w:tcW w:w="1204" w:type="dxa"/>
            <w:tcBorders>
              <w:top w:val="nil"/>
              <w:left w:val="nil"/>
              <w:right w:val="nil"/>
            </w:tcBorders>
            <w:shd w:val="clear" w:color="auto" w:fill="auto"/>
            <w:noWrap/>
            <w:vAlign w:val="center"/>
          </w:tcPr>
          <w:p w14:paraId="1847158C"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204" w:type="dxa"/>
            <w:tcBorders>
              <w:top w:val="nil"/>
              <w:left w:val="nil"/>
              <w:right w:val="nil"/>
            </w:tcBorders>
            <w:shd w:val="clear" w:color="auto" w:fill="auto"/>
            <w:noWrap/>
            <w:vAlign w:val="center"/>
          </w:tcPr>
          <w:p w14:paraId="7A124AD6"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206" w:type="dxa"/>
            <w:tcBorders>
              <w:top w:val="nil"/>
              <w:left w:val="nil"/>
              <w:right w:val="nil"/>
            </w:tcBorders>
            <w:shd w:val="clear" w:color="auto" w:fill="auto"/>
            <w:noWrap/>
            <w:vAlign w:val="center"/>
          </w:tcPr>
          <w:p w14:paraId="2ACDEFAD"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205" w:type="dxa"/>
            <w:gridSpan w:val="2"/>
            <w:tcBorders>
              <w:top w:val="nil"/>
              <w:left w:val="nil"/>
              <w:right w:val="nil"/>
            </w:tcBorders>
            <w:shd w:val="clear" w:color="auto" w:fill="auto"/>
            <w:noWrap/>
            <w:vAlign w:val="center"/>
          </w:tcPr>
          <w:p w14:paraId="3970841C"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211" w:type="dxa"/>
            <w:tcBorders>
              <w:top w:val="nil"/>
              <w:left w:val="nil"/>
              <w:right w:val="single" w:sz="4" w:space="0" w:color="auto"/>
            </w:tcBorders>
            <w:shd w:val="clear" w:color="auto" w:fill="auto"/>
            <w:noWrap/>
            <w:vAlign w:val="center"/>
          </w:tcPr>
          <w:p w14:paraId="2C88EBDB"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205" w:type="dxa"/>
            <w:tcBorders>
              <w:top w:val="nil"/>
              <w:left w:val="single" w:sz="4" w:space="0" w:color="auto"/>
              <w:right w:val="nil"/>
            </w:tcBorders>
            <w:shd w:val="clear" w:color="auto" w:fill="auto"/>
            <w:noWrap/>
            <w:vAlign w:val="center"/>
          </w:tcPr>
          <w:p w14:paraId="1BCD078E"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205" w:type="dxa"/>
            <w:tcBorders>
              <w:top w:val="nil"/>
              <w:left w:val="nil"/>
              <w:right w:val="nil"/>
            </w:tcBorders>
            <w:shd w:val="clear" w:color="auto" w:fill="auto"/>
            <w:noWrap/>
            <w:vAlign w:val="center"/>
          </w:tcPr>
          <w:p w14:paraId="23A781A5"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312" w:type="dxa"/>
            <w:tcBorders>
              <w:top w:val="nil"/>
              <w:left w:val="nil"/>
              <w:right w:val="nil"/>
            </w:tcBorders>
            <w:shd w:val="clear" w:color="auto" w:fill="auto"/>
            <w:noWrap/>
            <w:vAlign w:val="center"/>
          </w:tcPr>
          <w:p w14:paraId="6C254D1D"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099" w:type="dxa"/>
            <w:tcBorders>
              <w:top w:val="nil"/>
              <w:left w:val="nil"/>
              <w:right w:val="nil"/>
            </w:tcBorders>
            <w:shd w:val="clear" w:color="auto" w:fill="auto"/>
            <w:noWrap/>
            <w:vAlign w:val="center"/>
          </w:tcPr>
          <w:p w14:paraId="6E0C37E2" w14:textId="77777777" w:rsidR="00331192" w:rsidRPr="007B4DF5" w:rsidRDefault="00331192" w:rsidP="0053519D">
            <w:pPr>
              <w:spacing w:before="0" w:after="0" w:line="240" w:lineRule="auto"/>
              <w:jc w:val="center"/>
              <w:rPr>
                <w:rFonts w:eastAsia="Times New Roman" w:cs="Arial"/>
                <w:bCs/>
                <w:sz w:val="20"/>
                <w:szCs w:val="20"/>
                <w:lang w:eastAsia="en-GB"/>
              </w:rPr>
            </w:pPr>
          </w:p>
        </w:tc>
        <w:tc>
          <w:tcPr>
            <w:tcW w:w="1209" w:type="dxa"/>
            <w:tcBorders>
              <w:top w:val="nil"/>
              <w:left w:val="nil"/>
              <w:right w:val="nil"/>
            </w:tcBorders>
            <w:shd w:val="clear" w:color="auto" w:fill="auto"/>
            <w:noWrap/>
            <w:vAlign w:val="center"/>
          </w:tcPr>
          <w:p w14:paraId="65C8DE19" w14:textId="77777777" w:rsidR="00331192" w:rsidRPr="007B4DF5" w:rsidRDefault="00331192" w:rsidP="0053519D">
            <w:pPr>
              <w:spacing w:before="0" w:after="0" w:line="240" w:lineRule="auto"/>
              <w:jc w:val="center"/>
              <w:rPr>
                <w:rFonts w:eastAsia="Times New Roman" w:cs="Arial"/>
                <w:bCs/>
                <w:sz w:val="20"/>
                <w:szCs w:val="20"/>
                <w:lang w:eastAsia="en-GB"/>
              </w:rPr>
            </w:pPr>
          </w:p>
        </w:tc>
      </w:tr>
      <w:tr w:rsidR="00331192" w:rsidRPr="007B4DF5" w14:paraId="391F9022" w14:textId="77777777" w:rsidTr="0053519D">
        <w:trPr>
          <w:trHeight w:val="218"/>
        </w:trPr>
        <w:tc>
          <w:tcPr>
            <w:tcW w:w="2610" w:type="dxa"/>
            <w:tcBorders>
              <w:top w:val="nil"/>
              <w:left w:val="nil"/>
              <w:right w:val="nil"/>
            </w:tcBorders>
            <w:shd w:val="clear" w:color="auto" w:fill="auto"/>
            <w:noWrap/>
            <w:vAlign w:val="center"/>
          </w:tcPr>
          <w:p w14:paraId="41C519FD" w14:textId="77777777" w:rsidR="00331192" w:rsidRPr="007B4DF5" w:rsidRDefault="00331192" w:rsidP="0053519D">
            <w:pPr>
              <w:spacing w:before="0" w:after="0" w:line="240" w:lineRule="auto"/>
              <w:jc w:val="right"/>
              <w:rPr>
                <w:rFonts w:eastAsia="Times New Roman" w:cs="Arial"/>
                <w:b/>
                <w:bCs/>
                <w:sz w:val="20"/>
                <w:szCs w:val="20"/>
                <w:lang w:eastAsia="en-GB"/>
              </w:rPr>
            </w:pPr>
            <w:r w:rsidRPr="007B4DF5">
              <w:rPr>
                <w:rFonts w:eastAsia="Times New Roman" w:cs="Arial"/>
                <w:b/>
                <w:bCs/>
                <w:sz w:val="20"/>
                <w:szCs w:val="20"/>
                <w:lang w:eastAsia="en-GB"/>
              </w:rPr>
              <w:t>Country dummies</w:t>
            </w:r>
          </w:p>
        </w:tc>
        <w:tc>
          <w:tcPr>
            <w:tcW w:w="1204" w:type="dxa"/>
            <w:tcBorders>
              <w:top w:val="nil"/>
              <w:left w:val="nil"/>
              <w:right w:val="nil"/>
            </w:tcBorders>
            <w:shd w:val="clear" w:color="auto" w:fill="auto"/>
            <w:noWrap/>
            <w:vAlign w:val="center"/>
          </w:tcPr>
          <w:p w14:paraId="4182E0FE"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Yes</w:t>
            </w:r>
          </w:p>
        </w:tc>
        <w:tc>
          <w:tcPr>
            <w:tcW w:w="1204" w:type="dxa"/>
            <w:tcBorders>
              <w:top w:val="nil"/>
              <w:left w:val="nil"/>
              <w:right w:val="nil"/>
            </w:tcBorders>
            <w:shd w:val="clear" w:color="auto" w:fill="auto"/>
            <w:noWrap/>
            <w:vAlign w:val="center"/>
          </w:tcPr>
          <w:p w14:paraId="54FE4132"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Yes</w:t>
            </w:r>
          </w:p>
        </w:tc>
        <w:tc>
          <w:tcPr>
            <w:tcW w:w="1206" w:type="dxa"/>
            <w:tcBorders>
              <w:top w:val="nil"/>
              <w:left w:val="nil"/>
              <w:right w:val="nil"/>
            </w:tcBorders>
            <w:shd w:val="clear" w:color="auto" w:fill="auto"/>
            <w:noWrap/>
            <w:vAlign w:val="center"/>
          </w:tcPr>
          <w:p w14:paraId="3917FB99"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Yes</w:t>
            </w:r>
          </w:p>
        </w:tc>
        <w:tc>
          <w:tcPr>
            <w:tcW w:w="1205" w:type="dxa"/>
            <w:gridSpan w:val="2"/>
            <w:tcBorders>
              <w:top w:val="nil"/>
              <w:left w:val="nil"/>
              <w:right w:val="nil"/>
            </w:tcBorders>
            <w:shd w:val="clear" w:color="auto" w:fill="auto"/>
            <w:noWrap/>
            <w:vAlign w:val="center"/>
          </w:tcPr>
          <w:p w14:paraId="681BEDA7"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Yes</w:t>
            </w:r>
          </w:p>
        </w:tc>
        <w:tc>
          <w:tcPr>
            <w:tcW w:w="1211" w:type="dxa"/>
            <w:tcBorders>
              <w:top w:val="nil"/>
              <w:left w:val="nil"/>
              <w:right w:val="single" w:sz="4" w:space="0" w:color="auto"/>
            </w:tcBorders>
            <w:shd w:val="clear" w:color="auto" w:fill="auto"/>
            <w:noWrap/>
            <w:vAlign w:val="center"/>
          </w:tcPr>
          <w:p w14:paraId="12790E0A"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Yes</w:t>
            </w:r>
          </w:p>
        </w:tc>
        <w:tc>
          <w:tcPr>
            <w:tcW w:w="1205" w:type="dxa"/>
            <w:tcBorders>
              <w:top w:val="nil"/>
              <w:left w:val="single" w:sz="4" w:space="0" w:color="auto"/>
              <w:right w:val="nil"/>
            </w:tcBorders>
            <w:shd w:val="clear" w:color="auto" w:fill="auto"/>
            <w:noWrap/>
            <w:vAlign w:val="center"/>
          </w:tcPr>
          <w:p w14:paraId="491C5E76"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Yes</w:t>
            </w:r>
          </w:p>
        </w:tc>
        <w:tc>
          <w:tcPr>
            <w:tcW w:w="1205" w:type="dxa"/>
            <w:tcBorders>
              <w:top w:val="nil"/>
              <w:left w:val="nil"/>
              <w:right w:val="nil"/>
            </w:tcBorders>
            <w:shd w:val="clear" w:color="auto" w:fill="auto"/>
            <w:noWrap/>
            <w:vAlign w:val="center"/>
          </w:tcPr>
          <w:p w14:paraId="6060C3FC"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Yes</w:t>
            </w:r>
          </w:p>
        </w:tc>
        <w:tc>
          <w:tcPr>
            <w:tcW w:w="1312" w:type="dxa"/>
            <w:tcBorders>
              <w:top w:val="nil"/>
              <w:left w:val="nil"/>
              <w:right w:val="nil"/>
            </w:tcBorders>
            <w:shd w:val="clear" w:color="auto" w:fill="auto"/>
            <w:noWrap/>
            <w:vAlign w:val="center"/>
          </w:tcPr>
          <w:p w14:paraId="7B4B82B2"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Yes</w:t>
            </w:r>
          </w:p>
        </w:tc>
        <w:tc>
          <w:tcPr>
            <w:tcW w:w="1099" w:type="dxa"/>
            <w:tcBorders>
              <w:top w:val="nil"/>
              <w:left w:val="nil"/>
              <w:right w:val="nil"/>
            </w:tcBorders>
            <w:shd w:val="clear" w:color="auto" w:fill="auto"/>
            <w:noWrap/>
            <w:vAlign w:val="center"/>
          </w:tcPr>
          <w:p w14:paraId="1AE1D2F0"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Yes</w:t>
            </w:r>
          </w:p>
        </w:tc>
        <w:tc>
          <w:tcPr>
            <w:tcW w:w="1209" w:type="dxa"/>
            <w:tcBorders>
              <w:top w:val="nil"/>
              <w:left w:val="nil"/>
              <w:right w:val="nil"/>
            </w:tcBorders>
            <w:shd w:val="clear" w:color="auto" w:fill="auto"/>
            <w:noWrap/>
            <w:vAlign w:val="center"/>
          </w:tcPr>
          <w:p w14:paraId="646606CB"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Yes</w:t>
            </w:r>
          </w:p>
        </w:tc>
      </w:tr>
      <w:tr w:rsidR="00331192" w:rsidRPr="007B4DF5" w14:paraId="55DA1C0E" w14:textId="77777777" w:rsidTr="0053519D">
        <w:trPr>
          <w:trHeight w:val="218"/>
        </w:trPr>
        <w:tc>
          <w:tcPr>
            <w:tcW w:w="2610" w:type="dxa"/>
            <w:tcBorders>
              <w:top w:val="nil"/>
              <w:left w:val="nil"/>
              <w:bottom w:val="single" w:sz="4" w:space="0" w:color="auto"/>
              <w:right w:val="nil"/>
            </w:tcBorders>
            <w:shd w:val="clear" w:color="auto" w:fill="auto"/>
            <w:noWrap/>
            <w:vAlign w:val="center"/>
          </w:tcPr>
          <w:p w14:paraId="0AE941E5" w14:textId="77777777" w:rsidR="00331192" w:rsidRPr="007B4DF5" w:rsidRDefault="00331192" w:rsidP="0053519D">
            <w:pPr>
              <w:spacing w:before="0" w:after="0" w:line="240" w:lineRule="auto"/>
              <w:jc w:val="right"/>
              <w:rPr>
                <w:rFonts w:eastAsia="Times New Roman" w:cs="Arial"/>
                <w:b/>
                <w:bCs/>
                <w:sz w:val="20"/>
                <w:szCs w:val="20"/>
                <w:lang w:eastAsia="en-GB"/>
              </w:rPr>
            </w:pPr>
            <w:r w:rsidRPr="007B4DF5">
              <w:rPr>
                <w:rFonts w:eastAsia="Times New Roman" w:cs="Arial"/>
                <w:b/>
                <w:bCs/>
                <w:sz w:val="20"/>
                <w:szCs w:val="20"/>
                <w:lang w:eastAsia="en-GB"/>
              </w:rPr>
              <w:t>Other controls</w:t>
            </w:r>
          </w:p>
        </w:tc>
        <w:tc>
          <w:tcPr>
            <w:tcW w:w="1204" w:type="dxa"/>
            <w:tcBorders>
              <w:top w:val="nil"/>
              <w:left w:val="nil"/>
              <w:bottom w:val="single" w:sz="4" w:space="0" w:color="auto"/>
              <w:right w:val="nil"/>
            </w:tcBorders>
            <w:shd w:val="clear" w:color="auto" w:fill="auto"/>
            <w:noWrap/>
            <w:vAlign w:val="center"/>
          </w:tcPr>
          <w:p w14:paraId="3191A3FE"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No</w:t>
            </w:r>
          </w:p>
        </w:tc>
        <w:tc>
          <w:tcPr>
            <w:tcW w:w="1204" w:type="dxa"/>
            <w:tcBorders>
              <w:top w:val="nil"/>
              <w:left w:val="nil"/>
              <w:bottom w:val="single" w:sz="4" w:space="0" w:color="auto"/>
              <w:right w:val="nil"/>
            </w:tcBorders>
            <w:shd w:val="clear" w:color="auto" w:fill="auto"/>
            <w:noWrap/>
            <w:vAlign w:val="center"/>
          </w:tcPr>
          <w:p w14:paraId="3B4D0AC9"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No</w:t>
            </w:r>
          </w:p>
        </w:tc>
        <w:tc>
          <w:tcPr>
            <w:tcW w:w="1206" w:type="dxa"/>
            <w:tcBorders>
              <w:top w:val="nil"/>
              <w:left w:val="nil"/>
              <w:bottom w:val="single" w:sz="4" w:space="0" w:color="auto"/>
              <w:right w:val="nil"/>
            </w:tcBorders>
            <w:shd w:val="clear" w:color="auto" w:fill="auto"/>
            <w:noWrap/>
            <w:vAlign w:val="center"/>
          </w:tcPr>
          <w:p w14:paraId="15A38DC0"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No</w:t>
            </w:r>
          </w:p>
        </w:tc>
        <w:tc>
          <w:tcPr>
            <w:tcW w:w="1205" w:type="dxa"/>
            <w:gridSpan w:val="2"/>
            <w:tcBorders>
              <w:top w:val="nil"/>
              <w:left w:val="nil"/>
              <w:bottom w:val="single" w:sz="4" w:space="0" w:color="auto"/>
              <w:right w:val="nil"/>
            </w:tcBorders>
            <w:shd w:val="clear" w:color="auto" w:fill="auto"/>
            <w:noWrap/>
            <w:vAlign w:val="center"/>
          </w:tcPr>
          <w:p w14:paraId="3E81B23A"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No</w:t>
            </w:r>
          </w:p>
        </w:tc>
        <w:tc>
          <w:tcPr>
            <w:tcW w:w="1211" w:type="dxa"/>
            <w:tcBorders>
              <w:top w:val="nil"/>
              <w:left w:val="nil"/>
              <w:bottom w:val="single" w:sz="4" w:space="0" w:color="auto"/>
              <w:right w:val="single" w:sz="4" w:space="0" w:color="auto"/>
            </w:tcBorders>
            <w:shd w:val="clear" w:color="auto" w:fill="auto"/>
            <w:noWrap/>
            <w:vAlign w:val="center"/>
          </w:tcPr>
          <w:p w14:paraId="109F2CBF"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No</w:t>
            </w:r>
          </w:p>
        </w:tc>
        <w:tc>
          <w:tcPr>
            <w:tcW w:w="1205" w:type="dxa"/>
            <w:tcBorders>
              <w:top w:val="nil"/>
              <w:left w:val="single" w:sz="4" w:space="0" w:color="auto"/>
              <w:bottom w:val="single" w:sz="4" w:space="0" w:color="auto"/>
              <w:right w:val="nil"/>
            </w:tcBorders>
            <w:shd w:val="clear" w:color="auto" w:fill="auto"/>
            <w:noWrap/>
            <w:vAlign w:val="center"/>
          </w:tcPr>
          <w:p w14:paraId="45844E6A"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Yes</w:t>
            </w:r>
          </w:p>
        </w:tc>
        <w:tc>
          <w:tcPr>
            <w:tcW w:w="1205" w:type="dxa"/>
            <w:tcBorders>
              <w:top w:val="nil"/>
              <w:left w:val="nil"/>
              <w:bottom w:val="single" w:sz="4" w:space="0" w:color="auto"/>
              <w:right w:val="nil"/>
            </w:tcBorders>
            <w:shd w:val="clear" w:color="auto" w:fill="auto"/>
            <w:noWrap/>
            <w:vAlign w:val="center"/>
          </w:tcPr>
          <w:p w14:paraId="7FC106BB"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Yes</w:t>
            </w:r>
          </w:p>
        </w:tc>
        <w:tc>
          <w:tcPr>
            <w:tcW w:w="1312" w:type="dxa"/>
            <w:tcBorders>
              <w:top w:val="nil"/>
              <w:left w:val="nil"/>
              <w:bottom w:val="single" w:sz="4" w:space="0" w:color="auto"/>
              <w:right w:val="nil"/>
            </w:tcBorders>
            <w:shd w:val="clear" w:color="auto" w:fill="auto"/>
            <w:noWrap/>
            <w:vAlign w:val="center"/>
          </w:tcPr>
          <w:p w14:paraId="2B2C260D"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Yes</w:t>
            </w:r>
          </w:p>
        </w:tc>
        <w:tc>
          <w:tcPr>
            <w:tcW w:w="1099" w:type="dxa"/>
            <w:tcBorders>
              <w:top w:val="nil"/>
              <w:left w:val="nil"/>
              <w:bottom w:val="single" w:sz="4" w:space="0" w:color="auto"/>
              <w:right w:val="nil"/>
            </w:tcBorders>
            <w:shd w:val="clear" w:color="auto" w:fill="auto"/>
            <w:noWrap/>
            <w:vAlign w:val="center"/>
          </w:tcPr>
          <w:p w14:paraId="57BC8CC6"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Yes</w:t>
            </w:r>
          </w:p>
        </w:tc>
        <w:tc>
          <w:tcPr>
            <w:tcW w:w="1209" w:type="dxa"/>
            <w:tcBorders>
              <w:top w:val="nil"/>
              <w:left w:val="nil"/>
              <w:bottom w:val="single" w:sz="4" w:space="0" w:color="auto"/>
              <w:right w:val="nil"/>
            </w:tcBorders>
            <w:shd w:val="clear" w:color="auto" w:fill="auto"/>
            <w:noWrap/>
            <w:vAlign w:val="center"/>
          </w:tcPr>
          <w:p w14:paraId="77716FC7" w14:textId="77777777" w:rsidR="00331192" w:rsidRPr="007B4DF5" w:rsidRDefault="00331192" w:rsidP="0053519D">
            <w:pPr>
              <w:spacing w:before="0" w:after="0" w:line="240" w:lineRule="auto"/>
              <w:jc w:val="center"/>
              <w:rPr>
                <w:rFonts w:eastAsia="Times New Roman" w:cs="Arial"/>
                <w:bCs/>
                <w:sz w:val="20"/>
                <w:szCs w:val="20"/>
                <w:lang w:eastAsia="en-GB"/>
              </w:rPr>
            </w:pPr>
            <w:r w:rsidRPr="007B4DF5">
              <w:rPr>
                <w:rFonts w:eastAsia="Times New Roman" w:cs="Arial"/>
                <w:bCs/>
                <w:sz w:val="20"/>
                <w:szCs w:val="20"/>
                <w:lang w:eastAsia="en-GB"/>
              </w:rPr>
              <w:t>Yes</w:t>
            </w:r>
          </w:p>
        </w:tc>
      </w:tr>
      <w:tr w:rsidR="00331192" w:rsidRPr="007B4DF5" w14:paraId="045B968B" w14:textId="77777777" w:rsidTr="0053519D">
        <w:trPr>
          <w:trHeight w:val="218"/>
        </w:trPr>
        <w:tc>
          <w:tcPr>
            <w:tcW w:w="2610" w:type="dxa"/>
            <w:tcBorders>
              <w:top w:val="nil"/>
              <w:left w:val="nil"/>
              <w:bottom w:val="single" w:sz="4" w:space="0" w:color="auto"/>
              <w:right w:val="nil"/>
            </w:tcBorders>
            <w:shd w:val="clear" w:color="auto" w:fill="auto"/>
            <w:noWrap/>
            <w:vAlign w:val="center"/>
          </w:tcPr>
          <w:p w14:paraId="2B731B2E" w14:textId="77777777" w:rsidR="00331192" w:rsidRPr="00331192" w:rsidRDefault="00331192" w:rsidP="0053519D">
            <w:pPr>
              <w:spacing w:before="0" w:after="0" w:line="240" w:lineRule="auto"/>
              <w:jc w:val="right"/>
              <w:rPr>
                <w:rFonts w:eastAsia="Times New Roman" w:cs="Arial"/>
                <w:b/>
                <w:bCs/>
                <w:sz w:val="20"/>
                <w:szCs w:val="20"/>
                <w:lang w:eastAsia="en-GB"/>
              </w:rPr>
            </w:pPr>
            <w:r w:rsidRPr="00331192">
              <w:rPr>
                <w:rFonts w:eastAsia="Times New Roman" w:cs="Arial"/>
                <w:b/>
                <w:bCs/>
                <w:sz w:val="20"/>
                <w:szCs w:val="20"/>
                <w:lang w:eastAsia="en-GB"/>
              </w:rPr>
              <w:t>Observations</w:t>
            </w:r>
          </w:p>
        </w:tc>
        <w:tc>
          <w:tcPr>
            <w:tcW w:w="1204" w:type="dxa"/>
            <w:tcBorders>
              <w:top w:val="nil"/>
              <w:left w:val="nil"/>
              <w:bottom w:val="single" w:sz="4" w:space="0" w:color="auto"/>
              <w:right w:val="nil"/>
            </w:tcBorders>
            <w:shd w:val="clear" w:color="auto" w:fill="auto"/>
            <w:noWrap/>
            <w:vAlign w:val="center"/>
          </w:tcPr>
          <w:p w14:paraId="79E6823C" w14:textId="263DDEFD" w:rsidR="00331192" w:rsidRPr="00331192" w:rsidRDefault="00331192" w:rsidP="0053519D">
            <w:pPr>
              <w:spacing w:before="0" w:after="0" w:line="240" w:lineRule="auto"/>
              <w:jc w:val="center"/>
              <w:rPr>
                <w:rFonts w:eastAsia="MS Mincho" w:cs="Times New Roman"/>
                <w:sz w:val="20"/>
                <w:szCs w:val="20"/>
              </w:rPr>
            </w:pPr>
            <w:r w:rsidRPr="00331192">
              <w:rPr>
                <w:rFonts w:cs="Arial"/>
                <w:sz w:val="20"/>
                <w:szCs w:val="20"/>
              </w:rPr>
              <w:t>10,048</w:t>
            </w:r>
          </w:p>
        </w:tc>
        <w:tc>
          <w:tcPr>
            <w:tcW w:w="1204" w:type="dxa"/>
            <w:tcBorders>
              <w:top w:val="nil"/>
              <w:left w:val="nil"/>
              <w:bottom w:val="single" w:sz="4" w:space="0" w:color="auto"/>
              <w:right w:val="nil"/>
            </w:tcBorders>
            <w:shd w:val="clear" w:color="auto" w:fill="auto"/>
            <w:noWrap/>
            <w:vAlign w:val="center"/>
          </w:tcPr>
          <w:p w14:paraId="1B1F1F6D" w14:textId="561AB511" w:rsidR="00331192" w:rsidRPr="00331192" w:rsidRDefault="00331192" w:rsidP="0053519D">
            <w:pPr>
              <w:spacing w:before="0" w:after="0" w:line="240" w:lineRule="auto"/>
              <w:jc w:val="center"/>
              <w:rPr>
                <w:rFonts w:eastAsia="MS Mincho" w:cs="Times New Roman"/>
                <w:sz w:val="20"/>
                <w:szCs w:val="20"/>
              </w:rPr>
            </w:pPr>
            <w:r w:rsidRPr="00331192">
              <w:rPr>
                <w:rFonts w:cs="Arial"/>
                <w:sz w:val="20"/>
                <w:szCs w:val="20"/>
              </w:rPr>
              <w:t>3,216</w:t>
            </w:r>
          </w:p>
        </w:tc>
        <w:tc>
          <w:tcPr>
            <w:tcW w:w="1206" w:type="dxa"/>
            <w:tcBorders>
              <w:top w:val="nil"/>
              <w:left w:val="nil"/>
              <w:bottom w:val="single" w:sz="4" w:space="0" w:color="auto"/>
              <w:right w:val="nil"/>
            </w:tcBorders>
            <w:shd w:val="clear" w:color="auto" w:fill="auto"/>
            <w:noWrap/>
            <w:vAlign w:val="center"/>
          </w:tcPr>
          <w:p w14:paraId="1405542B" w14:textId="169C138B" w:rsidR="00331192" w:rsidRPr="00331192" w:rsidRDefault="00331192" w:rsidP="0053519D">
            <w:pPr>
              <w:spacing w:before="0" w:after="0" w:line="240" w:lineRule="auto"/>
              <w:jc w:val="center"/>
              <w:rPr>
                <w:rFonts w:eastAsia="MS Mincho" w:cs="Times New Roman"/>
                <w:sz w:val="20"/>
                <w:szCs w:val="20"/>
              </w:rPr>
            </w:pPr>
            <w:r w:rsidRPr="00331192">
              <w:rPr>
                <w:rFonts w:cs="Arial"/>
                <w:sz w:val="20"/>
                <w:szCs w:val="20"/>
              </w:rPr>
              <w:t>3,462</w:t>
            </w:r>
          </w:p>
        </w:tc>
        <w:tc>
          <w:tcPr>
            <w:tcW w:w="1205" w:type="dxa"/>
            <w:gridSpan w:val="2"/>
            <w:tcBorders>
              <w:top w:val="nil"/>
              <w:left w:val="nil"/>
              <w:bottom w:val="single" w:sz="4" w:space="0" w:color="auto"/>
              <w:right w:val="nil"/>
            </w:tcBorders>
            <w:shd w:val="clear" w:color="auto" w:fill="auto"/>
            <w:noWrap/>
            <w:vAlign w:val="center"/>
          </w:tcPr>
          <w:p w14:paraId="2B7AB89C" w14:textId="171062BD" w:rsidR="00331192" w:rsidRPr="00331192" w:rsidRDefault="00331192" w:rsidP="0053519D">
            <w:pPr>
              <w:spacing w:before="0" w:after="0" w:line="240" w:lineRule="auto"/>
              <w:jc w:val="center"/>
              <w:rPr>
                <w:rFonts w:eastAsia="MS Mincho" w:cs="Times New Roman"/>
                <w:sz w:val="20"/>
                <w:szCs w:val="20"/>
              </w:rPr>
            </w:pPr>
            <w:r w:rsidRPr="00331192">
              <w:rPr>
                <w:rFonts w:cs="Arial"/>
                <w:sz w:val="20"/>
                <w:szCs w:val="20"/>
              </w:rPr>
              <w:t>1,992</w:t>
            </w:r>
          </w:p>
        </w:tc>
        <w:tc>
          <w:tcPr>
            <w:tcW w:w="1211" w:type="dxa"/>
            <w:tcBorders>
              <w:top w:val="single" w:sz="4" w:space="0" w:color="auto"/>
              <w:left w:val="nil"/>
              <w:bottom w:val="single" w:sz="4" w:space="0" w:color="auto"/>
              <w:right w:val="single" w:sz="4" w:space="0" w:color="auto"/>
            </w:tcBorders>
            <w:shd w:val="clear" w:color="auto" w:fill="auto"/>
            <w:noWrap/>
            <w:vAlign w:val="center"/>
          </w:tcPr>
          <w:p w14:paraId="1E08FAFC" w14:textId="60E93DD6" w:rsidR="00331192" w:rsidRPr="00331192" w:rsidRDefault="00331192" w:rsidP="0053519D">
            <w:pPr>
              <w:spacing w:before="0" w:after="0" w:line="240" w:lineRule="auto"/>
              <w:jc w:val="center"/>
              <w:rPr>
                <w:rFonts w:eastAsia="MS Mincho" w:cs="Times New Roman"/>
                <w:sz w:val="20"/>
                <w:szCs w:val="20"/>
              </w:rPr>
            </w:pPr>
            <w:r w:rsidRPr="00331192">
              <w:rPr>
                <w:rFonts w:cs="Arial"/>
                <w:sz w:val="20"/>
                <w:szCs w:val="20"/>
              </w:rPr>
              <w:t>1,378</w:t>
            </w:r>
          </w:p>
        </w:tc>
        <w:tc>
          <w:tcPr>
            <w:tcW w:w="1205" w:type="dxa"/>
            <w:tcBorders>
              <w:top w:val="single" w:sz="4" w:space="0" w:color="auto"/>
              <w:left w:val="single" w:sz="4" w:space="0" w:color="auto"/>
              <w:bottom w:val="single" w:sz="4" w:space="0" w:color="auto"/>
              <w:right w:val="nil"/>
            </w:tcBorders>
            <w:shd w:val="clear" w:color="auto" w:fill="auto"/>
            <w:noWrap/>
            <w:vAlign w:val="center"/>
          </w:tcPr>
          <w:p w14:paraId="599165DE" w14:textId="5C7F1548" w:rsidR="00331192" w:rsidRPr="00331192" w:rsidRDefault="00331192" w:rsidP="0053519D">
            <w:pPr>
              <w:spacing w:before="0" w:after="0" w:line="240" w:lineRule="auto"/>
              <w:jc w:val="center"/>
              <w:rPr>
                <w:rFonts w:eastAsia="MS Mincho" w:cs="Times New Roman"/>
                <w:sz w:val="20"/>
                <w:szCs w:val="20"/>
              </w:rPr>
            </w:pPr>
            <w:r w:rsidRPr="00331192">
              <w:rPr>
                <w:rFonts w:cs="Arial"/>
                <w:sz w:val="20"/>
                <w:szCs w:val="20"/>
              </w:rPr>
              <w:t>10,048</w:t>
            </w:r>
          </w:p>
        </w:tc>
        <w:tc>
          <w:tcPr>
            <w:tcW w:w="1205" w:type="dxa"/>
            <w:tcBorders>
              <w:top w:val="nil"/>
              <w:left w:val="nil"/>
              <w:bottom w:val="single" w:sz="4" w:space="0" w:color="auto"/>
              <w:right w:val="nil"/>
            </w:tcBorders>
            <w:shd w:val="clear" w:color="auto" w:fill="auto"/>
            <w:noWrap/>
            <w:vAlign w:val="center"/>
          </w:tcPr>
          <w:p w14:paraId="39FDEB10" w14:textId="121E5DFE" w:rsidR="00331192" w:rsidRPr="00331192" w:rsidRDefault="00331192" w:rsidP="0053519D">
            <w:pPr>
              <w:spacing w:before="0" w:after="0" w:line="240" w:lineRule="auto"/>
              <w:jc w:val="center"/>
              <w:rPr>
                <w:rFonts w:eastAsia="MS Mincho" w:cs="Times New Roman"/>
                <w:sz w:val="20"/>
                <w:szCs w:val="20"/>
              </w:rPr>
            </w:pPr>
            <w:r w:rsidRPr="00331192">
              <w:rPr>
                <w:rFonts w:cs="Arial"/>
                <w:sz w:val="20"/>
                <w:szCs w:val="20"/>
              </w:rPr>
              <w:t>3,216</w:t>
            </w:r>
          </w:p>
        </w:tc>
        <w:tc>
          <w:tcPr>
            <w:tcW w:w="1312" w:type="dxa"/>
            <w:tcBorders>
              <w:top w:val="nil"/>
              <w:left w:val="nil"/>
              <w:bottom w:val="single" w:sz="4" w:space="0" w:color="auto"/>
              <w:right w:val="nil"/>
            </w:tcBorders>
            <w:shd w:val="clear" w:color="auto" w:fill="auto"/>
            <w:noWrap/>
            <w:vAlign w:val="center"/>
          </w:tcPr>
          <w:p w14:paraId="5D2F907D" w14:textId="0F42B9F3" w:rsidR="00331192" w:rsidRPr="00331192" w:rsidRDefault="00331192" w:rsidP="0053519D">
            <w:pPr>
              <w:spacing w:before="0" w:after="0" w:line="240" w:lineRule="auto"/>
              <w:jc w:val="center"/>
              <w:rPr>
                <w:rFonts w:eastAsia="MS Mincho" w:cs="Times New Roman"/>
                <w:sz w:val="20"/>
                <w:szCs w:val="20"/>
              </w:rPr>
            </w:pPr>
            <w:r w:rsidRPr="00331192">
              <w:rPr>
                <w:rFonts w:cs="Arial"/>
                <w:sz w:val="20"/>
                <w:szCs w:val="20"/>
              </w:rPr>
              <w:t>3,462</w:t>
            </w:r>
          </w:p>
        </w:tc>
        <w:tc>
          <w:tcPr>
            <w:tcW w:w="1099" w:type="dxa"/>
            <w:tcBorders>
              <w:top w:val="nil"/>
              <w:left w:val="nil"/>
              <w:bottom w:val="single" w:sz="4" w:space="0" w:color="auto"/>
              <w:right w:val="nil"/>
            </w:tcBorders>
            <w:shd w:val="clear" w:color="auto" w:fill="auto"/>
            <w:noWrap/>
            <w:vAlign w:val="center"/>
          </w:tcPr>
          <w:p w14:paraId="04C6F6C9" w14:textId="0A47B34C" w:rsidR="00331192" w:rsidRPr="00331192" w:rsidRDefault="00331192" w:rsidP="0053519D">
            <w:pPr>
              <w:spacing w:before="0" w:after="0" w:line="240" w:lineRule="auto"/>
              <w:jc w:val="center"/>
              <w:rPr>
                <w:rFonts w:eastAsia="MS Mincho" w:cs="Times New Roman"/>
                <w:sz w:val="20"/>
                <w:szCs w:val="20"/>
              </w:rPr>
            </w:pPr>
            <w:r w:rsidRPr="00331192">
              <w:rPr>
                <w:rFonts w:cs="Arial"/>
                <w:sz w:val="20"/>
                <w:szCs w:val="20"/>
              </w:rPr>
              <w:t>1,992</w:t>
            </w:r>
          </w:p>
        </w:tc>
        <w:tc>
          <w:tcPr>
            <w:tcW w:w="1209" w:type="dxa"/>
            <w:tcBorders>
              <w:top w:val="nil"/>
              <w:left w:val="nil"/>
              <w:bottom w:val="single" w:sz="4" w:space="0" w:color="auto"/>
              <w:right w:val="nil"/>
            </w:tcBorders>
            <w:shd w:val="clear" w:color="auto" w:fill="auto"/>
            <w:noWrap/>
            <w:vAlign w:val="center"/>
          </w:tcPr>
          <w:p w14:paraId="5FF63BA8" w14:textId="17D4BF54" w:rsidR="00331192" w:rsidRPr="00331192" w:rsidRDefault="00331192" w:rsidP="0053519D">
            <w:pPr>
              <w:spacing w:before="0" w:after="0" w:line="240" w:lineRule="auto"/>
              <w:jc w:val="center"/>
              <w:rPr>
                <w:rFonts w:eastAsia="MS Mincho" w:cs="Times New Roman"/>
                <w:sz w:val="20"/>
                <w:szCs w:val="20"/>
              </w:rPr>
            </w:pPr>
            <w:r w:rsidRPr="00331192">
              <w:rPr>
                <w:rFonts w:cs="Arial"/>
                <w:sz w:val="20"/>
                <w:szCs w:val="20"/>
              </w:rPr>
              <w:t>1,378</w:t>
            </w:r>
          </w:p>
        </w:tc>
      </w:tr>
    </w:tbl>
    <w:p w14:paraId="6934C9CC" w14:textId="77777777" w:rsidR="009E4EBD" w:rsidRDefault="009E4EBD" w:rsidP="0053519D">
      <w:pPr>
        <w:spacing w:before="0" w:after="0" w:line="240" w:lineRule="auto"/>
        <w:rPr>
          <w:rFonts w:eastAsia="MS Mincho" w:cs="Times New Roman"/>
          <w:sz w:val="18"/>
          <w:szCs w:val="18"/>
        </w:rPr>
      </w:pPr>
    </w:p>
    <w:p w14:paraId="2C1D42F9" w14:textId="77777777" w:rsidR="009E4EBD" w:rsidRPr="007B4DF5" w:rsidRDefault="009E4EBD" w:rsidP="0053519D">
      <w:pPr>
        <w:spacing w:before="0" w:after="0" w:line="240" w:lineRule="auto"/>
        <w:rPr>
          <w:rFonts w:eastAsia="MS Mincho" w:cs="Times New Roman"/>
          <w:sz w:val="18"/>
          <w:szCs w:val="18"/>
        </w:rPr>
      </w:pPr>
      <w:r w:rsidRPr="007B4DF5">
        <w:rPr>
          <w:rFonts w:eastAsia="MS Mincho" w:cs="Times New Roman"/>
          <w:sz w:val="18"/>
          <w:szCs w:val="18"/>
        </w:rPr>
        <w:t xml:space="preserve">Source: ECS 2009 and authors’ calculations. </w:t>
      </w:r>
    </w:p>
    <w:p w14:paraId="799F23FE" w14:textId="77777777" w:rsidR="009E4EBD" w:rsidRPr="007B4DF5" w:rsidRDefault="009E4EBD" w:rsidP="009E4EBD">
      <w:pPr>
        <w:spacing w:before="0" w:after="0" w:line="240" w:lineRule="auto"/>
        <w:rPr>
          <w:rFonts w:eastAsia="MS Mincho" w:cs="Times New Roman"/>
          <w:sz w:val="20"/>
          <w:szCs w:val="20"/>
        </w:rPr>
      </w:pPr>
      <w:r w:rsidRPr="007B4DF5">
        <w:rPr>
          <w:rFonts w:eastAsia="MS Mincho" w:cs="Times New Roman"/>
          <w:sz w:val="18"/>
          <w:szCs w:val="18"/>
        </w:rPr>
        <w:t xml:space="preserve">Notes: Weighted data; other controls described in text; robust standard errors in brackets; *** </w:t>
      </w:r>
      <w:r w:rsidRPr="007B4DF5">
        <w:rPr>
          <w:rFonts w:eastAsia="MS Mincho" w:cs="Times New Roman"/>
          <w:i/>
          <w:sz w:val="18"/>
          <w:szCs w:val="18"/>
        </w:rPr>
        <w:t>p</w:t>
      </w:r>
      <w:r w:rsidRPr="007B4DF5">
        <w:rPr>
          <w:rFonts w:eastAsia="MS Mincho" w:cs="Times New Roman"/>
          <w:sz w:val="18"/>
          <w:szCs w:val="18"/>
        </w:rPr>
        <w:t xml:space="preserve">&lt;0.01; ** </w:t>
      </w:r>
      <w:r w:rsidRPr="007B4DF5">
        <w:rPr>
          <w:rFonts w:eastAsia="MS Mincho" w:cs="Times New Roman"/>
          <w:i/>
          <w:sz w:val="18"/>
          <w:szCs w:val="18"/>
        </w:rPr>
        <w:t>p</w:t>
      </w:r>
      <w:r w:rsidRPr="007B4DF5">
        <w:rPr>
          <w:rFonts w:eastAsia="MS Mincho" w:cs="Times New Roman"/>
          <w:sz w:val="18"/>
          <w:szCs w:val="18"/>
        </w:rPr>
        <w:t xml:space="preserve">&lt;0.05; * </w:t>
      </w:r>
      <w:r w:rsidRPr="007B4DF5">
        <w:rPr>
          <w:rFonts w:eastAsia="MS Mincho" w:cs="Times New Roman"/>
          <w:i/>
          <w:sz w:val="18"/>
          <w:szCs w:val="18"/>
        </w:rPr>
        <w:t>p</w:t>
      </w:r>
      <w:r w:rsidRPr="007B4DF5">
        <w:rPr>
          <w:rFonts w:eastAsia="MS Mincho" w:cs="Times New Roman"/>
          <w:sz w:val="18"/>
          <w:szCs w:val="18"/>
        </w:rPr>
        <w:t>&lt;0.1.</w:t>
      </w:r>
      <w:r w:rsidRPr="007B4DF5">
        <w:rPr>
          <w:rFonts w:eastAsia="MS Mincho" w:cs="Times New Roman"/>
          <w:sz w:val="20"/>
          <w:szCs w:val="20"/>
        </w:rPr>
        <w:t xml:space="preserve"> </w:t>
      </w:r>
    </w:p>
    <w:sectPr w:rsidR="009E4EBD" w:rsidRPr="007B4DF5" w:rsidSect="009E4EBD">
      <w:footerReference w:type="even" r:id="rId9"/>
      <w:footerReference w:type="default" r:id="rId10"/>
      <w:pgSz w:w="16840" w:h="11900" w:orient="landscape"/>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CF8FC" w14:textId="77777777" w:rsidR="00D9072C" w:rsidRDefault="00D9072C" w:rsidP="003240C2">
      <w:r>
        <w:separator/>
      </w:r>
    </w:p>
  </w:endnote>
  <w:endnote w:type="continuationSeparator" w:id="0">
    <w:p w14:paraId="5C82657A" w14:textId="77777777" w:rsidR="00D9072C" w:rsidRDefault="00D9072C" w:rsidP="003240C2">
      <w:r>
        <w:continuationSeparator/>
      </w:r>
    </w:p>
  </w:endnote>
  <w:endnote w:id="1">
    <w:p w14:paraId="4FE261EF" w14:textId="77777777" w:rsidR="00D9072C" w:rsidRDefault="00D9072C" w:rsidP="003C3C13">
      <w:pPr>
        <w:pStyle w:val="EndnoteText"/>
      </w:pPr>
      <w:r>
        <w:rPr>
          <w:rStyle w:val="EndnoteReference"/>
        </w:rPr>
        <w:endnoteRef/>
      </w:r>
      <w:r>
        <w:t xml:space="preserve"> </w:t>
      </w:r>
      <w:r w:rsidRPr="00975055">
        <w:t>EU-15 consists of the fifteen EU member states (Austria, Belgium, Denmark, Finland, France, Germany, Greece, Ireland, Italy, Luxembourg, Netherlands, Portugal, Spain, Sweden, and the United Kingdom) prior to the accession of the ten candidate countries in May 2004.</w:t>
      </w:r>
    </w:p>
  </w:endnote>
  <w:endnote w:id="2">
    <w:p w14:paraId="0C69A052" w14:textId="4E333F74" w:rsidR="00D9072C" w:rsidRDefault="00D9072C">
      <w:pPr>
        <w:pStyle w:val="EndnoteText"/>
      </w:pPr>
      <w:r>
        <w:rPr>
          <w:rStyle w:val="EndnoteReference"/>
        </w:rPr>
        <w:endnoteRef/>
      </w:r>
      <w:r>
        <w:t xml:space="preserve"> </w:t>
      </w:r>
      <w:r w:rsidRPr="009F69E3">
        <w:t>A coding mistake in the survey did not offer the option to managers in Spain to record trade union presence in their workplaces (Bryson et al., 2012: 31, fn. 21). Thus, to avoid the misclassification of Spanish establishments in the different employee representation categories we decided to exclude Spain from the analysis.</w:t>
      </w:r>
    </w:p>
  </w:endnote>
  <w:endnote w:id="3">
    <w:p w14:paraId="26B2C016" w14:textId="1F16293F" w:rsidR="00D9072C" w:rsidRDefault="00D9072C">
      <w:pPr>
        <w:pStyle w:val="EndnoteText"/>
      </w:pPr>
      <w:r>
        <w:rPr>
          <w:rStyle w:val="EndnoteReference"/>
        </w:rPr>
        <w:endnoteRef/>
      </w:r>
      <w:r>
        <w:t xml:space="preserve"> The choice of bargaining level indicators is dictated by the way the relevant question is asked in the ECS: the respondents cannot distinguish among different types of higher level bargaining. Moreover, other, more qualitative, aspects of the practice of bargaining that may be thought to be of relative importance, such as the degree of bargaining coordination within and between sectors and firms in different countries, is not available in the ECS. </w:t>
      </w:r>
    </w:p>
  </w:endnote>
  <w:endnote w:id="4">
    <w:p w14:paraId="5DB539F4" w14:textId="58CDD82B" w:rsidR="00D9072C" w:rsidRPr="00CC76BD" w:rsidRDefault="00D9072C">
      <w:pPr>
        <w:pStyle w:val="EndnoteText"/>
      </w:pPr>
      <w:r>
        <w:rPr>
          <w:rStyle w:val="EndnoteReference"/>
        </w:rPr>
        <w:endnoteRef/>
      </w:r>
      <w:r>
        <w:t xml:space="preserve"> Modelling country-level heterogeneity with the inclusion of country dummies is the most appropriate choice when the interest lies in </w:t>
      </w:r>
      <w:r w:rsidRPr="00B27305">
        <w:rPr>
          <w:i/>
        </w:rPr>
        <w:t>within-country</w:t>
      </w:r>
      <w:r>
        <w:t xml:space="preserve"> variation, the number of countries is small, and there is no interest in and explicit modelling of country-level variables as predictors of the outcome of interest (see Bryan and Jenkins</w:t>
      </w:r>
      <w:r w:rsidRPr="006A62EA">
        <w:t xml:space="preserve"> </w:t>
      </w:r>
      <w:r>
        <w:fldChar w:fldCharType="begin"/>
      </w:r>
      <w:r>
        <w:instrText xml:space="preserve"> ADDIN ZOTERO_ITEM CSL_CITATION {"citationID":"kASqaluT","properties":{"formattedCitation":"(2016)","plainCitation":"(2016)"},"citationItems":[{"id":484,"uris":["http://zotero.org/users/2360415/items/CX8KRG8S"],"uri":["http://zotero.org/users/2360415/items/CX8KRG8S"],"itemData":{"id":484,"type":"article-journal","title":"Multivel modelling of country effects: a cautionary tale","container-title":"European Sociological Review","page":"3-22","volume":"32","issue":"1","author":[{"family":"Bryan","given":"M.L."},{"family":"Jenkins","given":"S.P."}],"issued":{"date-parts":[["2016"]]}},"suppress-author":true}],"schema":"https://github.com/citation-style-language/schema/raw/master/csl-citation.json"} </w:instrText>
      </w:r>
      <w:r>
        <w:fldChar w:fldCharType="separate"/>
      </w:r>
      <w:r w:rsidRPr="006A62EA">
        <w:t>(2016)</w:t>
      </w:r>
      <w:r>
        <w:fldChar w:fldCharType="end"/>
      </w:r>
      <w:r>
        <w:t xml:space="preserve"> for a detailed discussion). As a robustness check though, we also estimated model specifications without country dummies. The results were very similar to the ones reported. </w:t>
      </w:r>
    </w:p>
  </w:endnote>
  <w:endnote w:id="5">
    <w:p w14:paraId="391C1638" w14:textId="0ECC0161" w:rsidR="00D9072C" w:rsidRDefault="00D9072C">
      <w:pPr>
        <w:pStyle w:val="EndnoteText"/>
      </w:pPr>
      <w:r>
        <w:rPr>
          <w:rStyle w:val="EndnoteReference"/>
        </w:rPr>
        <w:endnoteRef/>
      </w:r>
      <w:r>
        <w:t xml:space="preserve"> </w:t>
      </w:r>
      <w:r w:rsidRPr="00D80982">
        <w:t>Sample means for the rest of control variables are available from the authors on request.</w:t>
      </w:r>
    </w:p>
  </w:endnote>
  <w:endnote w:id="6">
    <w:p w14:paraId="1A93CAA1" w14:textId="710AD6EB" w:rsidR="00D9072C" w:rsidRDefault="00D9072C">
      <w:pPr>
        <w:pStyle w:val="EndnoteText"/>
      </w:pPr>
      <w:r>
        <w:rPr>
          <w:rStyle w:val="EndnoteReference"/>
        </w:rPr>
        <w:endnoteRef/>
      </w:r>
      <w:r>
        <w:t xml:space="preserve"> </w:t>
      </w:r>
      <w:r w:rsidRPr="00D80982">
        <w:t>For ease of exposition only the results for the variables of interest are presented. Full results are available from the authors on request.</w:t>
      </w:r>
    </w:p>
  </w:endnote>
  <w:endnote w:id="7">
    <w:p w14:paraId="2E054D23" w14:textId="6D96454A" w:rsidR="00D9072C" w:rsidRDefault="00D9072C">
      <w:pPr>
        <w:pStyle w:val="EndnoteText"/>
      </w:pPr>
      <w:r>
        <w:rPr>
          <w:rStyle w:val="EndnoteReference"/>
        </w:rPr>
        <w:endnoteRef/>
      </w:r>
      <w:r>
        <w:t xml:space="preserve"> </w:t>
      </w:r>
      <w:r w:rsidRPr="00D80982">
        <w:t>For each marginal effect calculated, the rest of the variables are set at their sample means.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588698"/>
      <w:docPartObj>
        <w:docPartGallery w:val="Page Numbers (Bottom of Page)"/>
        <w:docPartUnique/>
      </w:docPartObj>
    </w:sdtPr>
    <w:sdtEndPr>
      <w:rPr>
        <w:noProof/>
      </w:rPr>
    </w:sdtEndPr>
    <w:sdtContent>
      <w:p w14:paraId="61CEA382" w14:textId="3B03C2B3" w:rsidR="00D9072C" w:rsidRDefault="00D9072C">
        <w:pPr>
          <w:pStyle w:val="Footer"/>
          <w:jc w:val="center"/>
        </w:pPr>
        <w:r>
          <w:fldChar w:fldCharType="begin"/>
        </w:r>
        <w:r>
          <w:instrText xml:space="preserve"> PAGE   \* MERGEFORMAT </w:instrText>
        </w:r>
        <w:r>
          <w:fldChar w:fldCharType="separate"/>
        </w:r>
        <w:r w:rsidR="00C60C5A">
          <w:rPr>
            <w:noProof/>
          </w:rPr>
          <w:t>1</w:t>
        </w:r>
        <w:r>
          <w:rPr>
            <w:noProof/>
          </w:rPr>
          <w:fldChar w:fldCharType="end"/>
        </w:r>
      </w:p>
    </w:sdtContent>
  </w:sdt>
  <w:p w14:paraId="254B360B" w14:textId="77777777" w:rsidR="00D9072C" w:rsidRDefault="00D90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8878C" w14:textId="77777777" w:rsidR="00D9072C" w:rsidRDefault="00D9072C" w:rsidP="00382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E55207" w14:textId="77777777" w:rsidR="00D9072C" w:rsidRDefault="00D9072C" w:rsidP="004D7207">
    <w:pPr>
      <w:pStyle w:val="Footer"/>
      <w:ind w:right="360"/>
    </w:pPr>
  </w:p>
  <w:p w14:paraId="00E7A937" w14:textId="77777777" w:rsidR="00D9072C" w:rsidRDefault="00D9072C"/>
  <w:p w14:paraId="641DC001" w14:textId="77777777" w:rsidR="00D9072C" w:rsidRDefault="00D9072C"/>
  <w:p w14:paraId="2988A4D2" w14:textId="77777777" w:rsidR="00D9072C" w:rsidRDefault="00D9072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7F03" w14:textId="77777777" w:rsidR="00D9072C" w:rsidRDefault="00D9072C" w:rsidP="00382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3BC">
      <w:rPr>
        <w:rStyle w:val="PageNumber"/>
        <w:noProof/>
      </w:rPr>
      <w:t>39</w:t>
    </w:r>
    <w:r>
      <w:rPr>
        <w:rStyle w:val="PageNumber"/>
      </w:rPr>
      <w:fldChar w:fldCharType="end"/>
    </w:r>
  </w:p>
  <w:p w14:paraId="4295F568" w14:textId="77777777" w:rsidR="00D9072C" w:rsidRDefault="00D9072C" w:rsidP="005351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D4162" w14:textId="77777777" w:rsidR="00D9072C" w:rsidRDefault="00D9072C" w:rsidP="003240C2">
      <w:r>
        <w:separator/>
      </w:r>
    </w:p>
  </w:footnote>
  <w:footnote w:type="continuationSeparator" w:id="0">
    <w:p w14:paraId="43AB55D4" w14:textId="77777777" w:rsidR="00D9072C" w:rsidRDefault="00D9072C" w:rsidP="00324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0A57"/>
    <w:multiLevelType w:val="hybridMultilevel"/>
    <w:tmpl w:val="2E9A5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16EA5"/>
    <w:multiLevelType w:val="hybridMultilevel"/>
    <w:tmpl w:val="4ED80728"/>
    <w:lvl w:ilvl="0" w:tplc="13DC31BC">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54073"/>
    <w:multiLevelType w:val="multilevel"/>
    <w:tmpl w:val="10F00CF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5AF2BE2"/>
    <w:multiLevelType w:val="hybridMultilevel"/>
    <w:tmpl w:val="EE98C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E4FED"/>
    <w:multiLevelType w:val="hybridMultilevel"/>
    <w:tmpl w:val="159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C7CD5"/>
    <w:multiLevelType w:val="hybridMultilevel"/>
    <w:tmpl w:val="F8AA25DE"/>
    <w:lvl w:ilvl="0" w:tplc="64B6F8D8">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hdrShapeDefaults>
    <o:shapedefaults v:ext="edit" spidmax="6145"/>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38"/>
    <w:rsid w:val="00000457"/>
    <w:rsid w:val="000014F3"/>
    <w:rsid w:val="00002602"/>
    <w:rsid w:val="00003EB4"/>
    <w:rsid w:val="00005EC6"/>
    <w:rsid w:val="00006EBD"/>
    <w:rsid w:val="0001052F"/>
    <w:rsid w:val="000106E2"/>
    <w:rsid w:val="00013047"/>
    <w:rsid w:val="00014EC4"/>
    <w:rsid w:val="0001507F"/>
    <w:rsid w:val="0001635A"/>
    <w:rsid w:val="00017965"/>
    <w:rsid w:val="00020463"/>
    <w:rsid w:val="00020A8C"/>
    <w:rsid w:val="00021906"/>
    <w:rsid w:val="00021992"/>
    <w:rsid w:val="00022A68"/>
    <w:rsid w:val="000248B4"/>
    <w:rsid w:val="000254CE"/>
    <w:rsid w:val="00027FBE"/>
    <w:rsid w:val="00031D01"/>
    <w:rsid w:val="00032A78"/>
    <w:rsid w:val="00034A79"/>
    <w:rsid w:val="00035682"/>
    <w:rsid w:val="00040404"/>
    <w:rsid w:val="0004227A"/>
    <w:rsid w:val="000454AB"/>
    <w:rsid w:val="00046733"/>
    <w:rsid w:val="00047C20"/>
    <w:rsid w:val="00050715"/>
    <w:rsid w:val="0005166F"/>
    <w:rsid w:val="000544C9"/>
    <w:rsid w:val="00057BE7"/>
    <w:rsid w:val="00060F63"/>
    <w:rsid w:val="00061171"/>
    <w:rsid w:val="00061DEB"/>
    <w:rsid w:val="0006205E"/>
    <w:rsid w:val="0006353F"/>
    <w:rsid w:val="00064307"/>
    <w:rsid w:val="0006478E"/>
    <w:rsid w:val="00066FA7"/>
    <w:rsid w:val="00071664"/>
    <w:rsid w:val="00073083"/>
    <w:rsid w:val="0007348F"/>
    <w:rsid w:val="00074E18"/>
    <w:rsid w:val="00076E30"/>
    <w:rsid w:val="000801BF"/>
    <w:rsid w:val="00080B28"/>
    <w:rsid w:val="00080D99"/>
    <w:rsid w:val="00080E1A"/>
    <w:rsid w:val="0008377D"/>
    <w:rsid w:val="00083A1E"/>
    <w:rsid w:val="00084361"/>
    <w:rsid w:val="00084CC8"/>
    <w:rsid w:val="00087D58"/>
    <w:rsid w:val="00092C37"/>
    <w:rsid w:val="00092E4C"/>
    <w:rsid w:val="0009382F"/>
    <w:rsid w:val="00093F8E"/>
    <w:rsid w:val="00094028"/>
    <w:rsid w:val="00096A5A"/>
    <w:rsid w:val="00097464"/>
    <w:rsid w:val="000A0A9C"/>
    <w:rsid w:val="000A0DFE"/>
    <w:rsid w:val="000A193D"/>
    <w:rsid w:val="000A3DEF"/>
    <w:rsid w:val="000A48FB"/>
    <w:rsid w:val="000A7B1F"/>
    <w:rsid w:val="000B185A"/>
    <w:rsid w:val="000B1889"/>
    <w:rsid w:val="000B34B8"/>
    <w:rsid w:val="000B3DBC"/>
    <w:rsid w:val="000B4CB7"/>
    <w:rsid w:val="000B53FF"/>
    <w:rsid w:val="000B6F52"/>
    <w:rsid w:val="000C3255"/>
    <w:rsid w:val="000C462E"/>
    <w:rsid w:val="000C5914"/>
    <w:rsid w:val="000C5A82"/>
    <w:rsid w:val="000C606F"/>
    <w:rsid w:val="000C6B84"/>
    <w:rsid w:val="000D1B8B"/>
    <w:rsid w:val="000D2AC6"/>
    <w:rsid w:val="000D46F6"/>
    <w:rsid w:val="000D4E47"/>
    <w:rsid w:val="000D6B90"/>
    <w:rsid w:val="000D7CC8"/>
    <w:rsid w:val="000E0C6F"/>
    <w:rsid w:val="000E1504"/>
    <w:rsid w:val="000E222A"/>
    <w:rsid w:val="000E37D2"/>
    <w:rsid w:val="000E4430"/>
    <w:rsid w:val="000E7BBC"/>
    <w:rsid w:val="000F0255"/>
    <w:rsid w:val="000F19BC"/>
    <w:rsid w:val="000F39CB"/>
    <w:rsid w:val="000F624E"/>
    <w:rsid w:val="000F6C34"/>
    <w:rsid w:val="00100719"/>
    <w:rsid w:val="00101E6F"/>
    <w:rsid w:val="00107274"/>
    <w:rsid w:val="00110124"/>
    <w:rsid w:val="00111A1E"/>
    <w:rsid w:val="00112EA8"/>
    <w:rsid w:val="00113E90"/>
    <w:rsid w:val="00114103"/>
    <w:rsid w:val="001205CA"/>
    <w:rsid w:val="00122F3F"/>
    <w:rsid w:val="001239C2"/>
    <w:rsid w:val="00123A81"/>
    <w:rsid w:val="00123B96"/>
    <w:rsid w:val="001241E3"/>
    <w:rsid w:val="001244C4"/>
    <w:rsid w:val="00126D36"/>
    <w:rsid w:val="001324BC"/>
    <w:rsid w:val="00134450"/>
    <w:rsid w:val="001364EF"/>
    <w:rsid w:val="001377A2"/>
    <w:rsid w:val="00137FC3"/>
    <w:rsid w:val="00140A05"/>
    <w:rsid w:val="00140A20"/>
    <w:rsid w:val="00140C6E"/>
    <w:rsid w:val="001412F5"/>
    <w:rsid w:val="00141D1E"/>
    <w:rsid w:val="0014347B"/>
    <w:rsid w:val="00143D08"/>
    <w:rsid w:val="00145F77"/>
    <w:rsid w:val="0014761F"/>
    <w:rsid w:val="0014783D"/>
    <w:rsid w:val="0015187C"/>
    <w:rsid w:val="0015200E"/>
    <w:rsid w:val="00154D97"/>
    <w:rsid w:val="00157124"/>
    <w:rsid w:val="0016205C"/>
    <w:rsid w:val="0016480C"/>
    <w:rsid w:val="001651D6"/>
    <w:rsid w:val="00166B07"/>
    <w:rsid w:val="00167AB0"/>
    <w:rsid w:val="00172AF4"/>
    <w:rsid w:val="00173F1E"/>
    <w:rsid w:val="0017490A"/>
    <w:rsid w:val="00175500"/>
    <w:rsid w:val="00175A7B"/>
    <w:rsid w:val="00177DB1"/>
    <w:rsid w:val="00180F52"/>
    <w:rsid w:val="0018194F"/>
    <w:rsid w:val="00184E09"/>
    <w:rsid w:val="0018609D"/>
    <w:rsid w:val="001868D3"/>
    <w:rsid w:val="00186977"/>
    <w:rsid w:val="001916BF"/>
    <w:rsid w:val="001917E5"/>
    <w:rsid w:val="00192E25"/>
    <w:rsid w:val="0019430F"/>
    <w:rsid w:val="00194F86"/>
    <w:rsid w:val="0019715B"/>
    <w:rsid w:val="001A0220"/>
    <w:rsid w:val="001A1233"/>
    <w:rsid w:val="001A1D82"/>
    <w:rsid w:val="001B5DEF"/>
    <w:rsid w:val="001B68BB"/>
    <w:rsid w:val="001C0367"/>
    <w:rsid w:val="001C0D8E"/>
    <w:rsid w:val="001C1BDD"/>
    <w:rsid w:val="001C221C"/>
    <w:rsid w:val="001C4F58"/>
    <w:rsid w:val="001C55DD"/>
    <w:rsid w:val="001C60A7"/>
    <w:rsid w:val="001C60E5"/>
    <w:rsid w:val="001D1AFE"/>
    <w:rsid w:val="001D36B6"/>
    <w:rsid w:val="001D5A7D"/>
    <w:rsid w:val="001D5CD0"/>
    <w:rsid w:val="001D6C6D"/>
    <w:rsid w:val="001E14D9"/>
    <w:rsid w:val="001E17E4"/>
    <w:rsid w:val="001E1B36"/>
    <w:rsid w:val="001E1FB1"/>
    <w:rsid w:val="001E2E43"/>
    <w:rsid w:val="001E3DBB"/>
    <w:rsid w:val="001E663A"/>
    <w:rsid w:val="001E6F09"/>
    <w:rsid w:val="001E7BB5"/>
    <w:rsid w:val="001E7CAB"/>
    <w:rsid w:val="001F0E46"/>
    <w:rsid w:val="001F18D3"/>
    <w:rsid w:val="001F1E5F"/>
    <w:rsid w:val="001F441D"/>
    <w:rsid w:val="001F5505"/>
    <w:rsid w:val="001F5B12"/>
    <w:rsid w:val="00202738"/>
    <w:rsid w:val="00204F29"/>
    <w:rsid w:val="00211331"/>
    <w:rsid w:val="00211C6B"/>
    <w:rsid w:val="0021246B"/>
    <w:rsid w:val="002131CE"/>
    <w:rsid w:val="00213E2D"/>
    <w:rsid w:val="00214467"/>
    <w:rsid w:val="00216E44"/>
    <w:rsid w:val="00220294"/>
    <w:rsid w:val="00220F15"/>
    <w:rsid w:val="00221759"/>
    <w:rsid w:val="00224672"/>
    <w:rsid w:val="00224868"/>
    <w:rsid w:val="002257D2"/>
    <w:rsid w:val="002265A9"/>
    <w:rsid w:val="00226FCC"/>
    <w:rsid w:val="00234B69"/>
    <w:rsid w:val="00235B40"/>
    <w:rsid w:val="002360ED"/>
    <w:rsid w:val="00236448"/>
    <w:rsid w:val="00241D30"/>
    <w:rsid w:val="00242B1E"/>
    <w:rsid w:val="002448FD"/>
    <w:rsid w:val="00251D3A"/>
    <w:rsid w:val="00252951"/>
    <w:rsid w:val="00253F1E"/>
    <w:rsid w:val="002544A1"/>
    <w:rsid w:val="0025501F"/>
    <w:rsid w:val="00257A5C"/>
    <w:rsid w:val="00260167"/>
    <w:rsid w:val="00260728"/>
    <w:rsid w:val="00260762"/>
    <w:rsid w:val="00260BFF"/>
    <w:rsid w:val="002623A3"/>
    <w:rsid w:val="002652CC"/>
    <w:rsid w:val="00267F72"/>
    <w:rsid w:val="002719A4"/>
    <w:rsid w:val="002752E7"/>
    <w:rsid w:val="00280A87"/>
    <w:rsid w:val="00285DC1"/>
    <w:rsid w:val="00286588"/>
    <w:rsid w:val="00287121"/>
    <w:rsid w:val="00292A81"/>
    <w:rsid w:val="00292D4B"/>
    <w:rsid w:val="00293D8D"/>
    <w:rsid w:val="0029405C"/>
    <w:rsid w:val="002948B7"/>
    <w:rsid w:val="00295D45"/>
    <w:rsid w:val="002A0583"/>
    <w:rsid w:val="002A3130"/>
    <w:rsid w:val="002B068C"/>
    <w:rsid w:val="002B45EE"/>
    <w:rsid w:val="002C3EFA"/>
    <w:rsid w:val="002C4822"/>
    <w:rsid w:val="002C4997"/>
    <w:rsid w:val="002C5CC9"/>
    <w:rsid w:val="002E1471"/>
    <w:rsid w:val="002E2F8D"/>
    <w:rsid w:val="002E596A"/>
    <w:rsid w:val="002E6B71"/>
    <w:rsid w:val="002E763B"/>
    <w:rsid w:val="002E7D76"/>
    <w:rsid w:val="002F385E"/>
    <w:rsid w:val="002F4342"/>
    <w:rsid w:val="002F63EA"/>
    <w:rsid w:val="002F6F98"/>
    <w:rsid w:val="002F72BA"/>
    <w:rsid w:val="002F764E"/>
    <w:rsid w:val="002F7C99"/>
    <w:rsid w:val="00300868"/>
    <w:rsid w:val="003019B8"/>
    <w:rsid w:val="003036C6"/>
    <w:rsid w:val="00304FB3"/>
    <w:rsid w:val="00305E34"/>
    <w:rsid w:val="003061BD"/>
    <w:rsid w:val="0030670E"/>
    <w:rsid w:val="00306F1B"/>
    <w:rsid w:val="0030712A"/>
    <w:rsid w:val="0031504B"/>
    <w:rsid w:val="00315345"/>
    <w:rsid w:val="00315830"/>
    <w:rsid w:val="00320673"/>
    <w:rsid w:val="00322776"/>
    <w:rsid w:val="003240C2"/>
    <w:rsid w:val="00324E56"/>
    <w:rsid w:val="003260F7"/>
    <w:rsid w:val="00327B8F"/>
    <w:rsid w:val="00331192"/>
    <w:rsid w:val="00331744"/>
    <w:rsid w:val="00334A2F"/>
    <w:rsid w:val="0033551A"/>
    <w:rsid w:val="003357AE"/>
    <w:rsid w:val="00340259"/>
    <w:rsid w:val="003407CD"/>
    <w:rsid w:val="00341068"/>
    <w:rsid w:val="003412BB"/>
    <w:rsid w:val="0034142D"/>
    <w:rsid w:val="00346140"/>
    <w:rsid w:val="00346C28"/>
    <w:rsid w:val="00347BB4"/>
    <w:rsid w:val="00347D2C"/>
    <w:rsid w:val="003508D0"/>
    <w:rsid w:val="00352F7C"/>
    <w:rsid w:val="003532BA"/>
    <w:rsid w:val="00354458"/>
    <w:rsid w:val="0035595A"/>
    <w:rsid w:val="00356A0C"/>
    <w:rsid w:val="00357BF6"/>
    <w:rsid w:val="00361546"/>
    <w:rsid w:val="00362726"/>
    <w:rsid w:val="00362DAF"/>
    <w:rsid w:val="003667BA"/>
    <w:rsid w:val="00366B52"/>
    <w:rsid w:val="00380451"/>
    <w:rsid w:val="00382113"/>
    <w:rsid w:val="00382238"/>
    <w:rsid w:val="003826DC"/>
    <w:rsid w:val="00382860"/>
    <w:rsid w:val="00384291"/>
    <w:rsid w:val="00387540"/>
    <w:rsid w:val="00387B7F"/>
    <w:rsid w:val="00387C14"/>
    <w:rsid w:val="003909B7"/>
    <w:rsid w:val="00391CCA"/>
    <w:rsid w:val="00394886"/>
    <w:rsid w:val="0039661C"/>
    <w:rsid w:val="003A1293"/>
    <w:rsid w:val="003A2659"/>
    <w:rsid w:val="003A2F38"/>
    <w:rsid w:val="003A37D8"/>
    <w:rsid w:val="003A3C76"/>
    <w:rsid w:val="003A4257"/>
    <w:rsid w:val="003A44B5"/>
    <w:rsid w:val="003A501C"/>
    <w:rsid w:val="003A5207"/>
    <w:rsid w:val="003B06D5"/>
    <w:rsid w:val="003B0A0D"/>
    <w:rsid w:val="003B114D"/>
    <w:rsid w:val="003B266E"/>
    <w:rsid w:val="003B3E64"/>
    <w:rsid w:val="003B491B"/>
    <w:rsid w:val="003B4BB6"/>
    <w:rsid w:val="003B6600"/>
    <w:rsid w:val="003B687D"/>
    <w:rsid w:val="003C380E"/>
    <w:rsid w:val="003C3C13"/>
    <w:rsid w:val="003D06D7"/>
    <w:rsid w:val="003D0E44"/>
    <w:rsid w:val="003D1B6B"/>
    <w:rsid w:val="003D2A33"/>
    <w:rsid w:val="003D3389"/>
    <w:rsid w:val="003D3E61"/>
    <w:rsid w:val="003D4D6E"/>
    <w:rsid w:val="003D6781"/>
    <w:rsid w:val="003D6EB2"/>
    <w:rsid w:val="003E1633"/>
    <w:rsid w:val="003E331D"/>
    <w:rsid w:val="003E6D77"/>
    <w:rsid w:val="003E74E8"/>
    <w:rsid w:val="003E7E36"/>
    <w:rsid w:val="003F2A41"/>
    <w:rsid w:val="003F4B61"/>
    <w:rsid w:val="003F673A"/>
    <w:rsid w:val="00401933"/>
    <w:rsid w:val="00401C74"/>
    <w:rsid w:val="00403239"/>
    <w:rsid w:val="00406B4D"/>
    <w:rsid w:val="00407E35"/>
    <w:rsid w:val="00411CCF"/>
    <w:rsid w:val="00412F98"/>
    <w:rsid w:val="00414D36"/>
    <w:rsid w:val="004151EC"/>
    <w:rsid w:val="004155E6"/>
    <w:rsid w:val="00415C0B"/>
    <w:rsid w:val="004177FC"/>
    <w:rsid w:val="00421281"/>
    <w:rsid w:val="004229AD"/>
    <w:rsid w:val="004247CD"/>
    <w:rsid w:val="00430094"/>
    <w:rsid w:val="00430863"/>
    <w:rsid w:val="004314CF"/>
    <w:rsid w:val="0043166A"/>
    <w:rsid w:val="00431C6C"/>
    <w:rsid w:val="00433935"/>
    <w:rsid w:val="00435568"/>
    <w:rsid w:val="00436949"/>
    <w:rsid w:val="00441A60"/>
    <w:rsid w:val="00441EA5"/>
    <w:rsid w:val="00442FE8"/>
    <w:rsid w:val="004439D1"/>
    <w:rsid w:val="00444E44"/>
    <w:rsid w:val="004474AC"/>
    <w:rsid w:val="00447AB5"/>
    <w:rsid w:val="00447C9A"/>
    <w:rsid w:val="004500AE"/>
    <w:rsid w:val="00451192"/>
    <w:rsid w:val="00452091"/>
    <w:rsid w:val="0045384A"/>
    <w:rsid w:val="00453CA2"/>
    <w:rsid w:val="0045563E"/>
    <w:rsid w:val="00456B8E"/>
    <w:rsid w:val="00460935"/>
    <w:rsid w:val="004614FF"/>
    <w:rsid w:val="004656BB"/>
    <w:rsid w:val="00466183"/>
    <w:rsid w:val="00466A90"/>
    <w:rsid w:val="00470AAD"/>
    <w:rsid w:val="0047194F"/>
    <w:rsid w:val="00471F86"/>
    <w:rsid w:val="0047238D"/>
    <w:rsid w:val="004743F8"/>
    <w:rsid w:val="00474C5E"/>
    <w:rsid w:val="004807DC"/>
    <w:rsid w:val="00480A79"/>
    <w:rsid w:val="00481338"/>
    <w:rsid w:val="004818C1"/>
    <w:rsid w:val="0048262E"/>
    <w:rsid w:val="004878D3"/>
    <w:rsid w:val="00487C1E"/>
    <w:rsid w:val="00493C30"/>
    <w:rsid w:val="004948BF"/>
    <w:rsid w:val="00495D33"/>
    <w:rsid w:val="004A05FB"/>
    <w:rsid w:val="004A2FF9"/>
    <w:rsid w:val="004A4513"/>
    <w:rsid w:val="004A69A9"/>
    <w:rsid w:val="004B3446"/>
    <w:rsid w:val="004B4FEE"/>
    <w:rsid w:val="004B506B"/>
    <w:rsid w:val="004B5164"/>
    <w:rsid w:val="004B67E4"/>
    <w:rsid w:val="004C1F52"/>
    <w:rsid w:val="004C41FF"/>
    <w:rsid w:val="004C4A7B"/>
    <w:rsid w:val="004C6FCF"/>
    <w:rsid w:val="004D30D3"/>
    <w:rsid w:val="004D509A"/>
    <w:rsid w:val="004D5CA3"/>
    <w:rsid w:val="004D7207"/>
    <w:rsid w:val="004D7540"/>
    <w:rsid w:val="004D7AD1"/>
    <w:rsid w:val="004D7B5A"/>
    <w:rsid w:val="004E499A"/>
    <w:rsid w:val="004E4E1E"/>
    <w:rsid w:val="004E6550"/>
    <w:rsid w:val="004F04ED"/>
    <w:rsid w:val="004F156D"/>
    <w:rsid w:val="004F3352"/>
    <w:rsid w:val="004F345A"/>
    <w:rsid w:val="004F573C"/>
    <w:rsid w:val="004F65FB"/>
    <w:rsid w:val="0050039B"/>
    <w:rsid w:val="0050163F"/>
    <w:rsid w:val="005025E0"/>
    <w:rsid w:val="005027F2"/>
    <w:rsid w:val="005042EF"/>
    <w:rsid w:val="0050779D"/>
    <w:rsid w:val="005112FF"/>
    <w:rsid w:val="0051235C"/>
    <w:rsid w:val="005128DC"/>
    <w:rsid w:val="00514358"/>
    <w:rsid w:val="00515000"/>
    <w:rsid w:val="0051563A"/>
    <w:rsid w:val="00515AA2"/>
    <w:rsid w:val="00515D69"/>
    <w:rsid w:val="005169DF"/>
    <w:rsid w:val="00524A6E"/>
    <w:rsid w:val="00524EE7"/>
    <w:rsid w:val="00526378"/>
    <w:rsid w:val="00526CEF"/>
    <w:rsid w:val="00531A7A"/>
    <w:rsid w:val="00531F23"/>
    <w:rsid w:val="005343EC"/>
    <w:rsid w:val="00534465"/>
    <w:rsid w:val="0053519D"/>
    <w:rsid w:val="00537409"/>
    <w:rsid w:val="00541B9D"/>
    <w:rsid w:val="005424F1"/>
    <w:rsid w:val="005474F2"/>
    <w:rsid w:val="00550B32"/>
    <w:rsid w:val="00554271"/>
    <w:rsid w:val="005559EF"/>
    <w:rsid w:val="00556B6C"/>
    <w:rsid w:val="00556BC4"/>
    <w:rsid w:val="00556E16"/>
    <w:rsid w:val="00557C70"/>
    <w:rsid w:val="00560B4D"/>
    <w:rsid w:val="00562241"/>
    <w:rsid w:val="00563DD6"/>
    <w:rsid w:val="0056548B"/>
    <w:rsid w:val="00565537"/>
    <w:rsid w:val="00566690"/>
    <w:rsid w:val="00570CDC"/>
    <w:rsid w:val="00572372"/>
    <w:rsid w:val="00572C19"/>
    <w:rsid w:val="00574DF1"/>
    <w:rsid w:val="00575902"/>
    <w:rsid w:val="0058010E"/>
    <w:rsid w:val="00580314"/>
    <w:rsid w:val="00580810"/>
    <w:rsid w:val="0058143D"/>
    <w:rsid w:val="00583238"/>
    <w:rsid w:val="005835FF"/>
    <w:rsid w:val="00584AF1"/>
    <w:rsid w:val="005850E4"/>
    <w:rsid w:val="00593E26"/>
    <w:rsid w:val="005948C7"/>
    <w:rsid w:val="00594C84"/>
    <w:rsid w:val="00594F7E"/>
    <w:rsid w:val="005A01F0"/>
    <w:rsid w:val="005A1F19"/>
    <w:rsid w:val="005A25C2"/>
    <w:rsid w:val="005A5999"/>
    <w:rsid w:val="005A74DB"/>
    <w:rsid w:val="005A7F0C"/>
    <w:rsid w:val="005B0C04"/>
    <w:rsid w:val="005B135B"/>
    <w:rsid w:val="005B2D66"/>
    <w:rsid w:val="005B2E4B"/>
    <w:rsid w:val="005B5952"/>
    <w:rsid w:val="005B6B6F"/>
    <w:rsid w:val="005B6D4E"/>
    <w:rsid w:val="005C0C1F"/>
    <w:rsid w:val="005C34A8"/>
    <w:rsid w:val="005C3B1C"/>
    <w:rsid w:val="005C482F"/>
    <w:rsid w:val="005C58A9"/>
    <w:rsid w:val="005C66DF"/>
    <w:rsid w:val="005D2094"/>
    <w:rsid w:val="005D274D"/>
    <w:rsid w:val="005D2791"/>
    <w:rsid w:val="005D335F"/>
    <w:rsid w:val="005D4115"/>
    <w:rsid w:val="005D44EF"/>
    <w:rsid w:val="005D4A65"/>
    <w:rsid w:val="005D50B8"/>
    <w:rsid w:val="005D5B57"/>
    <w:rsid w:val="005D7FF7"/>
    <w:rsid w:val="005E37ED"/>
    <w:rsid w:val="005E4199"/>
    <w:rsid w:val="005E41CE"/>
    <w:rsid w:val="005E455B"/>
    <w:rsid w:val="005E49AA"/>
    <w:rsid w:val="005E6CB4"/>
    <w:rsid w:val="005E6E7C"/>
    <w:rsid w:val="005F135A"/>
    <w:rsid w:val="005F28EA"/>
    <w:rsid w:val="005F3890"/>
    <w:rsid w:val="005F426E"/>
    <w:rsid w:val="005F520C"/>
    <w:rsid w:val="005F63E8"/>
    <w:rsid w:val="00600DB4"/>
    <w:rsid w:val="00601387"/>
    <w:rsid w:val="006031AE"/>
    <w:rsid w:val="00604A84"/>
    <w:rsid w:val="0060584C"/>
    <w:rsid w:val="006066D6"/>
    <w:rsid w:val="006077FB"/>
    <w:rsid w:val="00610645"/>
    <w:rsid w:val="00610D6A"/>
    <w:rsid w:val="00616E65"/>
    <w:rsid w:val="00617485"/>
    <w:rsid w:val="00617489"/>
    <w:rsid w:val="0062134D"/>
    <w:rsid w:val="0062143A"/>
    <w:rsid w:val="0062300A"/>
    <w:rsid w:val="00623329"/>
    <w:rsid w:val="00623856"/>
    <w:rsid w:val="00623DFF"/>
    <w:rsid w:val="00624499"/>
    <w:rsid w:val="00624533"/>
    <w:rsid w:val="00625482"/>
    <w:rsid w:val="00627B40"/>
    <w:rsid w:val="00630437"/>
    <w:rsid w:val="00632068"/>
    <w:rsid w:val="0063236F"/>
    <w:rsid w:val="00635DDE"/>
    <w:rsid w:val="00646023"/>
    <w:rsid w:val="0064611B"/>
    <w:rsid w:val="006468DA"/>
    <w:rsid w:val="00646D20"/>
    <w:rsid w:val="00647472"/>
    <w:rsid w:val="006474D8"/>
    <w:rsid w:val="00652B74"/>
    <w:rsid w:val="00656F87"/>
    <w:rsid w:val="00667EC1"/>
    <w:rsid w:val="006719F4"/>
    <w:rsid w:val="00671D1F"/>
    <w:rsid w:val="00672C35"/>
    <w:rsid w:val="006730DE"/>
    <w:rsid w:val="0067653B"/>
    <w:rsid w:val="00676F14"/>
    <w:rsid w:val="00677B0D"/>
    <w:rsid w:val="00680191"/>
    <w:rsid w:val="00680767"/>
    <w:rsid w:val="00681E0A"/>
    <w:rsid w:val="00685789"/>
    <w:rsid w:val="00686FC7"/>
    <w:rsid w:val="00687EC1"/>
    <w:rsid w:val="006901EB"/>
    <w:rsid w:val="00690953"/>
    <w:rsid w:val="00690CDE"/>
    <w:rsid w:val="0069313C"/>
    <w:rsid w:val="00694A4B"/>
    <w:rsid w:val="00694BED"/>
    <w:rsid w:val="0069565D"/>
    <w:rsid w:val="0069684F"/>
    <w:rsid w:val="006A0013"/>
    <w:rsid w:val="006A5DE0"/>
    <w:rsid w:val="006A62EA"/>
    <w:rsid w:val="006A7071"/>
    <w:rsid w:val="006B0259"/>
    <w:rsid w:val="006B0ABE"/>
    <w:rsid w:val="006B1105"/>
    <w:rsid w:val="006B2E2D"/>
    <w:rsid w:val="006B3E3D"/>
    <w:rsid w:val="006B5A55"/>
    <w:rsid w:val="006B6BC9"/>
    <w:rsid w:val="006B78F2"/>
    <w:rsid w:val="006C0B0F"/>
    <w:rsid w:val="006C1C91"/>
    <w:rsid w:val="006C34DC"/>
    <w:rsid w:val="006C4E5D"/>
    <w:rsid w:val="006C54EF"/>
    <w:rsid w:val="006C69D6"/>
    <w:rsid w:val="006C7DCD"/>
    <w:rsid w:val="006D0EEB"/>
    <w:rsid w:val="006D3E52"/>
    <w:rsid w:val="006D4224"/>
    <w:rsid w:val="006D7481"/>
    <w:rsid w:val="006E01C9"/>
    <w:rsid w:val="006E0F90"/>
    <w:rsid w:val="006E23BC"/>
    <w:rsid w:val="006E3C27"/>
    <w:rsid w:val="006E5BF7"/>
    <w:rsid w:val="006E5E17"/>
    <w:rsid w:val="006E644E"/>
    <w:rsid w:val="006F4E00"/>
    <w:rsid w:val="007006E9"/>
    <w:rsid w:val="00701AF1"/>
    <w:rsid w:val="00701F8D"/>
    <w:rsid w:val="00702D74"/>
    <w:rsid w:val="00704C82"/>
    <w:rsid w:val="007057C6"/>
    <w:rsid w:val="00705DA9"/>
    <w:rsid w:val="00706A53"/>
    <w:rsid w:val="00707201"/>
    <w:rsid w:val="0070754E"/>
    <w:rsid w:val="007119D5"/>
    <w:rsid w:val="00714B7E"/>
    <w:rsid w:val="00714FF4"/>
    <w:rsid w:val="00715084"/>
    <w:rsid w:val="0072069E"/>
    <w:rsid w:val="00723EC1"/>
    <w:rsid w:val="00724279"/>
    <w:rsid w:val="00725E14"/>
    <w:rsid w:val="00726131"/>
    <w:rsid w:val="0072615B"/>
    <w:rsid w:val="007268A3"/>
    <w:rsid w:val="00726C72"/>
    <w:rsid w:val="0073120F"/>
    <w:rsid w:val="0073147B"/>
    <w:rsid w:val="007345A9"/>
    <w:rsid w:val="00734E96"/>
    <w:rsid w:val="0074174C"/>
    <w:rsid w:val="007418AB"/>
    <w:rsid w:val="007436E9"/>
    <w:rsid w:val="00744923"/>
    <w:rsid w:val="007508EB"/>
    <w:rsid w:val="00751720"/>
    <w:rsid w:val="007543F6"/>
    <w:rsid w:val="00755C5D"/>
    <w:rsid w:val="00756154"/>
    <w:rsid w:val="00756441"/>
    <w:rsid w:val="00757A58"/>
    <w:rsid w:val="0076098A"/>
    <w:rsid w:val="00761AA7"/>
    <w:rsid w:val="0076218E"/>
    <w:rsid w:val="007638C0"/>
    <w:rsid w:val="007665F0"/>
    <w:rsid w:val="00767CB8"/>
    <w:rsid w:val="00767D77"/>
    <w:rsid w:val="0077104F"/>
    <w:rsid w:val="00771FD5"/>
    <w:rsid w:val="00774B86"/>
    <w:rsid w:val="007777D3"/>
    <w:rsid w:val="00782310"/>
    <w:rsid w:val="00782649"/>
    <w:rsid w:val="00783B87"/>
    <w:rsid w:val="007932C5"/>
    <w:rsid w:val="007940C3"/>
    <w:rsid w:val="00796976"/>
    <w:rsid w:val="007A1024"/>
    <w:rsid w:val="007A2AAB"/>
    <w:rsid w:val="007A2B1C"/>
    <w:rsid w:val="007A3C3C"/>
    <w:rsid w:val="007B12C8"/>
    <w:rsid w:val="007B3C8F"/>
    <w:rsid w:val="007B456E"/>
    <w:rsid w:val="007B4DF5"/>
    <w:rsid w:val="007C3AE1"/>
    <w:rsid w:val="007C6A18"/>
    <w:rsid w:val="007D02EB"/>
    <w:rsid w:val="007D05B3"/>
    <w:rsid w:val="007D1479"/>
    <w:rsid w:val="007D1972"/>
    <w:rsid w:val="007D29E8"/>
    <w:rsid w:val="007D2E6D"/>
    <w:rsid w:val="007D65B0"/>
    <w:rsid w:val="007D66EA"/>
    <w:rsid w:val="007D7BE0"/>
    <w:rsid w:val="007E0170"/>
    <w:rsid w:val="007E0DBE"/>
    <w:rsid w:val="007E6EF7"/>
    <w:rsid w:val="007E6F61"/>
    <w:rsid w:val="007F006B"/>
    <w:rsid w:val="007F01D4"/>
    <w:rsid w:val="007F0B93"/>
    <w:rsid w:val="007F1FB5"/>
    <w:rsid w:val="007F3FE2"/>
    <w:rsid w:val="007F4E38"/>
    <w:rsid w:val="007F6501"/>
    <w:rsid w:val="007F660B"/>
    <w:rsid w:val="00801BA9"/>
    <w:rsid w:val="0080366C"/>
    <w:rsid w:val="0080501D"/>
    <w:rsid w:val="008058BB"/>
    <w:rsid w:val="00810162"/>
    <w:rsid w:val="00812AF1"/>
    <w:rsid w:val="00816B87"/>
    <w:rsid w:val="0081720C"/>
    <w:rsid w:val="00817789"/>
    <w:rsid w:val="00820E5E"/>
    <w:rsid w:val="00820EA0"/>
    <w:rsid w:val="008216B3"/>
    <w:rsid w:val="008226B0"/>
    <w:rsid w:val="00823731"/>
    <w:rsid w:val="00825570"/>
    <w:rsid w:val="00827870"/>
    <w:rsid w:val="00830F9B"/>
    <w:rsid w:val="00831313"/>
    <w:rsid w:val="00831D8C"/>
    <w:rsid w:val="008321C1"/>
    <w:rsid w:val="008352B6"/>
    <w:rsid w:val="008353C0"/>
    <w:rsid w:val="008369A9"/>
    <w:rsid w:val="00841A72"/>
    <w:rsid w:val="0084307A"/>
    <w:rsid w:val="00847A02"/>
    <w:rsid w:val="00850FB2"/>
    <w:rsid w:val="00855F6F"/>
    <w:rsid w:val="0086049E"/>
    <w:rsid w:val="00863C68"/>
    <w:rsid w:val="008660F8"/>
    <w:rsid w:val="0086616C"/>
    <w:rsid w:val="00866362"/>
    <w:rsid w:val="00866812"/>
    <w:rsid w:val="00871043"/>
    <w:rsid w:val="00872F19"/>
    <w:rsid w:val="00875E10"/>
    <w:rsid w:val="00876553"/>
    <w:rsid w:val="0088035E"/>
    <w:rsid w:val="00882147"/>
    <w:rsid w:val="00884B3E"/>
    <w:rsid w:val="0088534C"/>
    <w:rsid w:val="00894004"/>
    <w:rsid w:val="00894BD8"/>
    <w:rsid w:val="00896579"/>
    <w:rsid w:val="008974C2"/>
    <w:rsid w:val="00897F58"/>
    <w:rsid w:val="008A34F6"/>
    <w:rsid w:val="008A39B8"/>
    <w:rsid w:val="008B0B5F"/>
    <w:rsid w:val="008B1D34"/>
    <w:rsid w:val="008B4CF8"/>
    <w:rsid w:val="008B6294"/>
    <w:rsid w:val="008B657E"/>
    <w:rsid w:val="008B74E8"/>
    <w:rsid w:val="008B757C"/>
    <w:rsid w:val="008C2B2C"/>
    <w:rsid w:val="008C46F7"/>
    <w:rsid w:val="008C5D17"/>
    <w:rsid w:val="008C6593"/>
    <w:rsid w:val="008C69A2"/>
    <w:rsid w:val="008C6A1A"/>
    <w:rsid w:val="008D2C99"/>
    <w:rsid w:val="008D34CF"/>
    <w:rsid w:val="008D6A7D"/>
    <w:rsid w:val="008E0FAC"/>
    <w:rsid w:val="008E2594"/>
    <w:rsid w:val="008E28BE"/>
    <w:rsid w:val="008E31FC"/>
    <w:rsid w:val="008E3A5A"/>
    <w:rsid w:val="008E7C80"/>
    <w:rsid w:val="008F08C9"/>
    <w:rsid w:val="008F14DD"/>
    <w:rsid w:val="008F1910"/>
    <w:rsid w:val="008F1B2D"/>
    <w:rsid w:val="008F2999"/>
    <w:rsid w:val="008F39F1"/>
    <w:rsid w:val="008F4186"/>
    <w:rsid w:val="008F4C22"/>
    <w:rsid w:val="008F6409"/>
    <w:rsid w:val="009012A1"/>
    <w:rsid w:val="009027E6"/>
    <w:rsid w:val="00907796"/>
    <w:rsid w:val="00907851"/>
    <w:rsid w:val="00910363"/>
    <w:rsid w:val="00911637"/>
    <w:rsid w:val="00912881"/>
    <w:rsid w:val="0091294F"/>
    <w:rsid w:val="00912C0B"/>
    <w:rsid w:val="0091393B"/>
    <w:rsid w:val="0091471C"/>
    <w:rsid w:val="00915E8E"/>
    <w:rsid w:val="00917FB0"/>
    <w:rsid w:val="0092034A"/>
    <w:rsid w:val="00920C38"/>
    <w:rsid w:val="009232C0"/>
    <w:rsid w:val="009247D1"/>
    <w:rsid w:val="00931375"/>
    <w:rsid w:val="00933555"/>
    <w:rsid w:val="00934307"/>
    <w:rsid w:val="009365BA"/>
    <w:rsid w:val="00940C78"/>
    <w:rsid w:val="009420AE"/>
    <w:rsid w:val="0094460E"/>
    <w:rsid w:val="00944CEE"/>
    <w:rsid w:val="00945163"/>
    <w:rsid w:val="00945941"/>
    <w:rsid w:val="00946573"/>
    <w:rsid w:val="0094691E"/>
    <w:rsid w:val="00946E2E"/>
    <w:rsid w:val="009477D0"/>
    <w:rsid w:val="00947B15"/>
    <w:rsid w:val="00950A1C"/>
    <w:rsid w:val="00952399"/>
    <w:rsid w:val="00953A93"/>
    <w:rsid w:val="00954DAF"/>
    <w:rsid w:val="00956A88"/>
    <w:rsid w:val="009600FE"/>
    <w:rsid w:val="009621A6"/>
    <w:rsid w:val="00962424"/>
    <w:rsid w:val="00964C45"/>
    <w:rsid w:val="00965CD6"/>
    <w:rsid w:val="00970EB1"/>
    <w:rsid w:val="00971F08"/>
    <w:rsid w:val="009734AA"/>
    <w:rsid w:val="009738D9"/>
    <w:rsid w:val="00975055"/>
    <w:rsid w:val="0097559A"/>
    <w:rsid w:val="00982B6C"/>
    <w:rsid w:val="00983345"/>
    <w:rsid w:val="0098386C"/>
    <w:rsid w:val="009857F8"/>
    <w:rsid w:val="009875B8"/>
    <w:rsid w:val="00987D8A"/>
    <w:rsid w:val="00990D7F"/>
    <w:rsid w:val="00990D84"/>
    <w:rsid w:val="00990ECD"/>
    <w:rsid w:val="00991131"/>
    <w:rsid w:val="009972E3"/>
    <w:rsid w:val="009A0B9A"/>
    <w:rsid w:val="009A1164"/>
    <w:rsid w:val="009A2CB4"/>
    <w:rsid w:val="009A4860"/>
    <w:rsid w:val="009A4DB8"/>
    <w:rsid w:val="009A5148"/>
    <w:rsid w:val="009A72A3"/>
    <w:rsid w:val="009A73AC"/>
    <w:rsid w:val="009B1E0C"/>
    <w:rsid w:val="009B3803"/>
    <w:rsid w:val="009B3C79"/>
    <w:rsid w:val="009B654F"/>
    <w:rsid w:val="009B68C5"/>
    <w:rsid w:val="009B6996"/>
    <w:rsid w:val="009C0363"/>
    <w:rsid w:val="009C09AB"/>
    <w:rsid w:val="009C209B"/>
    <w:rsid w:val="009C3083"/>
    <w:rsid w:val="009C50D7"/>
    <w:rsid w:val="009C56C6"/>
    <w:rsid w:val="009C5E2C"/>
    <w:rsid w:val="009D139D"/>
    <w:rsid w:val="009D27D3"/>
    <w:rsid w:val="009D3B02"/>
    <w:rsid w:val="009D3B2F"/>
    <w:rsid w:val="009D3B42"/>
    <w:rsid w:val="009D5CFE"/>
    <w:rsid w:val="009E25BA"/>
    <w:rsid w:val="009E4EBD"/>
    <w:rsid w:val="009E50F5"/>
    <w:rsid w:val="009E588F"/>
    <w:rsid w:val="009E6727"/>
    <w:rsid w:val="009F1B21"/>
    <w:rsid w:val="009F4A8C"/>
    <w:rsid w:val="009F69E3"/>
    <w:rsid w:val="009F7306"/>
    <w:rsid w:val="00A028BC"/>
    <w:rsid w:val="00A04676"/>
    <w:rsid w:val="00A10029"/>
    <w:rsid w:val="00A10F15"/>
    <w:rsid w:val="00A128FC"/>
    <w:rsid w:val="00A13845"/>
    <w:rsid w:val="00A13A90"/>
    <w:rsid w:val="00A14397"/>
    <w:rsid w:val="00A14BE4"/>
    <w:rsid w:val="00A15A0D"/>
    <w:rsid w:val="00A23780"/>
    <w:rsid w:val="00A249D4"/>
    <w:rsid w:val="00A250CD"/>
    <w:rsid w:val="00A251C4"/>
    <w:rsid w:val="00A26555"/>
    <w:rsid w:val="00A26841"/>
    <w:rsid w:val="00A274CD"/>
    <w:rsid w:val="00A316F8"/>
    <w:rsid w:val="00A34AF1"/>
    <w:rsid w:val="00A350E9"/>
    <w:rsid w:val="00A3610A"/>
    <w:rsid w:val="00A37444"/>
    <w:rsid w:val="00A42002"/>
    <w:rsid w:val="00A43B6A"/>
    <w:rsid w:val="00A46355"/>
    <w:rsid w:val="00A4667A"/>
    <w:rsid w:val="00A47376"/>
    <w:rsid w:val="00A51192"/>
    <w:rsid w:val="00A527EE"/>
    <w:rsid w:val="00A66227"/>
    <w:rsid w:val="00A66844"/>
    <w:rsid w:val="00A6699F"/>
    <w:rsid w:val="00A7070D"/>
    <w:rsid w:val="00A71B58"/>
    <w:rsid w:val="00A73FC6"/>
    <w:rsid w:val="00A756D0"/>
    <w:rsid w:val="00A76D63"/>
    <w:rsid w:val="00A77C29"/>
    <w:rsid w:val="00A77E4E"/>
    <w:rsid w:val="00A805B6"/>
    <w:rsid w:val="00A806F2"/>
    <w:rsid w:val="00A84184"/>
    <w:rsid w:val="00A8518A"/>
    <w:rsid w:val="00A9143A"/>
    <w:rsid w:val="00A93514"/>
    <w:rsid w:val="00A9658F"/>
    <w:rsid w:val="00A97234"/>
    <w:rsid w:val="00AA0C4B"/>
    <w:rsid w:val="00AA315A"/>
    <w:rsid w:val="00AA566D"/>
    <w:rsid w:val="00AA6764"/>
    <w:rsid w:val="00AB14AB"/>
    <w:rsid w:val="00AB22EC"/>
    <w:rsid w:val="00AB37C3"/>
    <w:rsid w:val="00AB40AE"/>
    <w:rsid w:val="00AB6ECC"/>
    <w:rsid w:val="00AC160F"/>
    <w:rsid w:val="00AC1E7A"/>
    <w:rsid w:val="00AC21CE"/>
    <w:rsid w:val="00AC2ECE"/>
    <w:rsid w:val="00AC77C0"/>
    <w:rsid w:val="00AD06E7"/>
    <w:rsid w:val="00AD3A2D"/>
    <w:rsid w:val="00AD4A95"/>
    <w:rsid w:val="00AD5F40"/>
    <w:rsid w:val="00AD729D"/>
    <w:rsid w:val="00AD7ADB"/>
    <w:rsid w:val="00AD7E7F"/>
    <w:rsid w:val="00AE0319"/>
    <w:rsid w:val="00AE6C07"/>
    <w:rsid w:val="00AE7581"/>
    <w:rsid w:val="00AF126F"/>
    <w:rsid w:val="00AF1724"/>
    <w:rsid w:val="00AF2E2E"/>
    <w:rsid w:val="00AF3E93"/>
    <w:rsid w:val="00AF4336"/>
    <w:rsid w:val="00AF55CB"/>
    <w:rsid w:val="00B00C5B"/>
    <w:rsid w:val="00B00E0F"/>
    <w:rsid w:val="00B019E1"/>
    <w:rsid w:val="00B10D56"/>
    <w:rsid w:val="00B11479"/>
    <w:rsid w:val="00B12F15"/>
    <w:rsid w:val="00B13D02"/>
    <w:rsid w:val="00B16CDA"/>
    <w:rsid w:val="00B201BE"/>
    <w:rsid w:val="00B2068A"/>
    <w:rsid w:val="00B22358"/>
    <w:rsid w:val="00B23057"/>
    <w:rsid w:val="00B26624"/>
    <w:rsid w:val="00B27305"/>
    <w:rsid w:val="00B30C22"/>
    <w:rsid w:val="00B3121C"/>
    <w:rsid w:val="00B33066"/>
    <w:rsid w:val="00B33709"/>
    <w:rsid w:val="00B34323"/>
    <w:rsid w:val="00B35965"/>
    <w:rsid w:val="00B36DB9"/>
    <w:rsid w:val="00B408C5"/>
    <w:rsid w:val="00B43503"/>
    <w:rsid w:val="00B43C85"/>
    <w:rsid w:val="00B452F4"/>
    <w:rsid w:val="00B4563C"/>
    <w:rsid w:val="00B45A8F"/>
    <w:rsid w:val="00B464E6"/>
    <w:rsid w:val="00B47485"/>
    <w:rsid w:val="00B51100"/>
    <w:rsid w:val="00B57F8C"/>
    <w:rsid w:val="00B62110"/>
    <w:rsid w:val="00B6321E"/>
    <w:rsid w:val="00B645E0"/>
    <w:rsid w:val="00B66AC2"/>
    <w:rsid w:val="00B67189"/>
    <w:rsid w:val="00B67451"/>
    <w:rsid w:val="00B67FA7"/>
    <w:rsid w:val="00B7150C"/>
    <w:rsid w:val="00B72C71"/>
    <w:rsid w:val="00B733C3"/>
    <w:rsid w:val="00B741D8"/>
    <w:rsid w:val="00B75F33"/>
    <w:rsid w:val="00B76348"/>
    <w:rsid w:val="00B769E0"/>
    <w:rsid w:val="00B77967"/>
    <w:rsid w:val="00B829E2"/>
    <w:rsid w:val="00B8312A"/>
    <w:rsid w:val="00B85138"/>
    <w:rsid w:val="00B85AED"/>
    <w:rsid w:val="00B86396"/>
    <w:rsid w:val="00B90312"/>
    <w:rsid w:val="00B9184F"/>
    <w:rsid w:val="00B91E9C"/>
    <w:rsid w:val="00B928C3"/>
    <w:rsid w:val="00B94234"/>
    <w:rsid w:val="00B955EF"/>
    <w:rsid w:val="00B95EC8"/>
    <w:rsid w:val="00B96C61"/>
    <w:rsid w:val="00B96C82"/>
    <w:rsid w:val="00BA14B2"/>
    <w:rsid w:val="00BA2207"/>
    <w:rsid w:val="00BA39C1"/>
    <w:rsid w:val="00BA3D8A"/>
    <w:rsid w:val="00BA3F28"/>
    <w:rsid w:val="00BA469E"/>
    <w:rsid w:val="00BA5789"/>
    <w:rsid w:val="00BA57AA"/>
    <w:rsid w:val="00BA7C8F"/>
    <w:rsid w:val="00BB4048"/>
    <w:rsid w:val="00BB65B1"/>
    <w:rsid w:val="00BC17D1"/>
    <w:rsid w:val="00BC17DB"/>
    <w:rsid w:val="00BC2CCA"/>
    <w:rsid w:val="00BC2F4B"/>
    <w:rsid w:val="00BC51DB"/>
    <w:rsid w:val="00BC5694"/>
    <w:rsid w:val="00BC63FD"/>
    <w:rsid w:val="00BC66E8"/>
    <w:rsid w:val="00BD0EEB"/>
    <w:rsid w:val="00BD1E7D"/>
    <w:rsid w:val="00BD4DC6"/>
    <w:rsid w:val="00BD6308"/>
    <w:rsid w:val="00BE0580"/>
    <w:rsid w:val="00BE0D22"/>
    <w:rsid w:val="00BE0E16"/>
    <w:rsid w:val="00BE22A3"/>
    <w:rsid w:val="00BE2471"/>
    <w:rsid w:val="00BE2D6A"/>
    <w:rsid w:val="00BE2DB2"/>
    <w:rsid w:val="00BE4315"/>
    <w:rsid w:val="00BF04D6"/>
    <w:rsid w:val="00BF38B0"/>
    <w:rsid w:val="00BF56F9"/>
    <w:rsid w:val="00BF7342"/>
    <w:rsid w:val="00C00268"/>
    <w:rsid w:val="00C004DD"/>
    <w:rsid w:val="00C01358"/>
    <w:rsid w:val="00C02580"/>
    <w:rsid w:val="00C02CB4"/>
    <w:rsid w:val="00C047F7"/>
    <w:rsid w:val="00C047FE"/>
    <w:rsid w:val="00C06B22"/>
    <w:rsid w:val="00C10FCC"/>
    <w:rsid w:val="00C10FE7"/>
    <w:rsid w:val="00C14C22"/>
    <w:rsid w:val="00C1624D"/>
    <w:rsid w:val="00C177D7"/>
    <w:rsid w:val="00C17BD2"/>
    <w:rsid w:val="00C21B2F"/>
    <w:rsid w:val="00C238E2"/>
    <w:rsid w:val="00C24843"/>
    <w:rsid w:val="00C25F8C"/>
    <w:rsid w:val="00C27916"/>
    <w:rsid w:val="00C31D11"/>
    <w:rsid w:val="00C334B6"/>
    <w:rsid w:val="00C35048"/>
    <w:rsid w:val="00C36C20"/>
    <w:rsid w:val="00C36D85"/>
    <w:rsid w:val="00C40178"/>
    <w:rsid w:val="00C40563"/>
    <w:rsid w:val="00C41134"/>
    <w:rsid w:val="00C42C2A"/>
    <w:rsid w:val="00C43519"/>
    <w:rsid w:val="00C468C1"/>
    <w:rsid w:val="00C47426"/>
    <w:rsid w:val="00C5067F"/>
    <w:rsid w:val="00C50E68"/>
    <w:rsid w:val="00C541BD"/>
    <w:rsid w:val="00C55D54"/>
    <w:rsid w:val="00C57E57"/>
    <w:rsid w:val="00C6053C"/>
    <w:rsid w:val="00C60C5A"/>
    <w:rsid w:val="00C610AA"/>
    <w:rsid w:val="00C61535"/>
    <w:rsid w:val="00C625E6"/>
    <w:rsid w:val="00C643F3"/>
    <w:rsid w:val="00C64535"/>
    <w:rsid w:val="00C65B2A"/>
    <w:rsid w:val="00C66898"/>
    <w:rsid w:val="00C67458"/>
    <w:rsid w:val="00C702D3"/>
    <w:rsid w:val="00C710F6"/>
    <w:rsid w:val="00C71465"/>
    <w:rsid w:val="00C720AB"/>
    <w:rsid w:val="00C73A9D"/>
    <w:rsid w:val="00C75727"/>
    <w:rsid w:val="00C75832"/>
    <w:rsid w:val="00C76240"/>
    <w:rsid w:val="00C771A0"/>
    <w:rsid w:val="00C77C81"/>
    <w:rsid w:val="00C77EEB"/>
    <w:rsid w:val="00C802FD"/>
    <w:rsid w:val="00C8314B"/>
    <w:rsid w:val="00C8548D"/>
    <w:rsid w:val="00C859E1"/>
    <w:rsid w:val="00C86716"/>
    <w:rsid w:val="00C86A51"/>
    <w:rsid w:val="00C8749E"/>
    <w:rsid w:val="00C879CE"/>
    <w:rsid w:val="00C90911"/>
    <w:rsid w:val="00C92029"/>
    <w:rsid w:val="00C92213"/>
    <w:rsid w:val="00C92275"/>
    <w:rsid w:val="00C92731"/>
    <w:rsid w:val="00C96BF0"/>
    <w:rsid w:val="00CA3075"/>
    <w:rsid w:val="00CA41EC"/>
    <w:rsid w:val="00CA43FD"/>
    <w:rsid w:val="00CA6AB1"/>
    <w:rsid w:val="00CB0871"/>
    <w:rsid w:val="00CB1BAC"/>
    <w:rsid w:val="00CB7E74"/>
    <w:rsid w:val="00CC0B37"/>
    <w:rsid w:val="00CC1692"/>
    <w:rsid w:val="00CC3BF6"/>
    <w:rsid w:val="00CC629F"/>
    <w:rsid w:val="00CC76BD"/>
    <w:rsid w:val="00CC7EE9"/>
    <w:rsid w:val="00CD0071"/>
    <w:rsid w:val="00CD1429"/>
    <w:rsid w:val="00CD480A"/>
    <w:rsid w:val="00CD5ACA"/>
    <w:rsid w:val="00CD7A15"/>
    <w:rsid w:val="00CE249B"/>
    <w:rsid w:val="00CE3D03"/>
    <w:rsid w:val="00CE4220"/>
    <w:rsid w:val="00CE5DBA"/>
    <w:rsid w:val="00CE5E30"/>
    <w:rsid w:val="00CE6413"/>
    <w:rsid w:val="00CF22DB"/>
    <w:rsid w:val="00CF38CE"/>
    <w:rsid w:val="00CF49E7"/>
    <w:rsid w:val="00CF510A"/>
    <w:rsid w:val="00CF5850"/>
    <w:rsid w:val="00CF7139"/>
    <w:rsid w:val="00D02185"/>
    <w:rsid w:val="00D026E4"/>
    <w:rsid w:val="00D046BE"/>
    <w:rsid w:val="00D0540C"/>
    <w:rsid w:val="00D05D81"/>
    <w:rsid w:val="00D07021"/>
    <w:rsid w:val="00D079CB"/>
    <w:rsid w:val="00D10038"/>
    <w:rsid w:val="00D10755"/>
    <w:rsid w:val="00D12172"/>
    <w:rsid w:val="00D13FEB"/>
    <w:rsid w:val="00D14625"/>
    <w:rsid w:val="00D1672C"/>
    <w:rsid w:val="00D16A92"/>
    <w:rsid w:val="00D16DA3"/>
    <w:rsid w:val="00D178DD"/>
    <w:rsid w:val="00D22387"/>
    <w:rsid w:val="00D24C21"/>
    <w:rsid w:val="00D253D6"/>
    <w:rsid w:val="00D31EE0"/>
    <w:rsid w:val="00D36897"/>
    <w:rsid w:val="00D36B20"/>
    <w:rsid w:val="00D36F64"/>
    <w:rsid w:val="00D413E9"/>
    <w:rsid w:val="00D421C0"/>
    <w:rsid w:val="00D4259C"/>
    <w:rsid w:val="00D42697"/>
    <w:rsid w:val="00D43E73"/>
    <w:rsid w:val="00D44147"/>
    <w:rsid w:val="00D44EBB"/>
    <w:rsid w:val="00D50499"/>
    <w:rsid w:val="00D53693"/>
    <w:rsid w:val="00D53A44"/>
    <w:rsid w:val="00D543FC"/>
    <w:rsid w:val="00D5553C"/>
    <w:rsid w:val="00D575E7"/>
    <w:rsid w:val="00D60E56"/>
    <w:rsid w:val="00D64391"/>
    <w:rsid w:val="00D6560D"/>
    <w:rsid w:val="00D65F5C"/>
    <w:rsid w:val="00D664F2"/>
    <w:rsid w:val="00D66E83"/>
    <w:rsid w:val="00D701CB"/>
    <w:rsid w:val="00D708C8"/>
    <w:rsid w:val="00D71F70"/>
    <w:rsid w:val="00D736AE"/>
    <w:rsid w:val="00D737B6"/>
    <w:rsid w:val="00D7387A"/>
    <w:rsid w:val="00D73CF4"/>
    <w:rsid w:val="00D74AB1"/>
    <w:rsid w:val="00D74ED3"/>
    <w:rsid w:val="00D7514C"/>
    <w:rsid w:val="00D757A6"/>
    <w:rsid w:val="00D80982"/>
    <w:rsid w:val="00D81664"/>
    <w:rsid w:val="00D816EF"/>
    <w:rsid w:val="00D83537"/>
    <w:rsid w:val="00D862E5"/>
    <w:rsid w:val="00D86A7C"/>
    <w:rsid w:val="00D86DDF"/>
    <w:rsid w:val="00D90722"/>
    <w:rsid w:val="00D9072C"/>
    <w:rsid w:val="00D908B9"/>
    <w:rsid w:val="00D91757"/>
    <w:rsid w:val="00D949E6"/>
    <w:rsid w:val="00DA26C2"/>
    <w:rsid w:val="00DA54AD"/>
    <w:rsid w:val="00DA5AF0"/>
    <w:rsid w:val="00DA5FF6"/>
    <w:rsid w:val="00DA73CE"/>
    <w:rsid w:val="00DA7EE4"/>
    <w:rsid w:val="00DA7F28"/>
    <w:rsid w:val="00DB02BD"/>
    <w:rsid w:val="00DB401B"/>
    <w:rsid w:val="00DB4B8C"/>
    <w:rsid w:val="00DB76E3"/>
    <w:rsid w:val="00DC12CB"/>
    <w:rsid w:val="00DC1C6C"/>
    <w:rsid w:val="00DC3EEE"/>
    <w:rsid w:val="00DC62F4"/>
    <w:rsid w:val="00DC6CF9"/>
    <w:rsid w:val="00DC74B8"/>
    <w:rsid w:val="00DD0227"/>
    <w:rsid w:val="00DD2C18"/>
    <w:rsid w:val="00DD624A"/>
    <w:rsid w:val="00DD6C23"/>
    <w:rsid w:val="00DE1FF1"/>
    <w:rsid w:val="00DE264F"/>
    <w:rsid w:val="00DE3410"/>
    <w:rsid w:val="00DE39EC"/>
    <w:rsid w:val="00DF0919"/>
    <w:rsid w:val="00DF14FD"/>
    <w:rsid w:val="00DF1667"/>
    <w:rsid w:val="00DF2936"/>
    <w:rsid w:val="00DF3990"/>
    <w:rsid w:val="00DF440E"/>
    <w:rsid w:val="00DF5586"/>
    <w:rsid w:val="00DF5779"/>
    <w:rsid w:val="00DF7B0A"/>
    <w:rsid w:val="00E01D82"/>
    <w:rsid w:val="00E01ECB"/>
    <w:rsid w:val="00E03711"/>
    <w:rsid w:val="00E0644A"/>
    <w:rsid w:val="00E077AD"/>
    <w:rsid w:val="00E07B6C"/>
    <w:rsid w:val="00E103C5"/>
    <w:rsid w:val="00E10714"/>
    <w:rsid w:val="00E10EA6"/>
    <w:rsid w:val="00E112C1"/>
    <w:rsid w:val="00E123A1"/>
    <w:rsid w:val="00E13B93"/>
    <w:rsid w:val="00E15B96"/>
    <w:rsid w:val="00E2108A"/>
    <w:rsid w:val="00E23442"/>
    <w:rsid w:val="00E243C2"/>
    <w:rsid w:val="00E24D5B"/>
    <w:rsid w:val="00E2652C"/>
    <w:rsid w:val="00E3047E"/>
    <w:rsid w:val="00E350DE"/>
    <w:rsid w:val="00E37157"/>
    <w:rsid w:val="00E4020D"/>
    <w:rsid w:val="00E4297F"/>
    <w:rsid w:val="00E45736"/>
    <w:rsid w:val="00E45E24"/>
    <w:rsid w:val="00E46552"/>
    <w:rsid w:val="00E47C26"/>
    <w:rsid w:val="00E50AD0"/>
    <w:rsid w:val="00E51F4C"/>
    <w:rsid w:val="00E56CB1"/>
    <w:rsid w:val="00E56E59"/>
    <w:rsid w:val="00E61771"/>
    <w:rsid w:val="00E62763"/>
    <w:rsid w:val="00E6289A"/>
    <w:rsid w:val="00E633DE"/>
    <w:rsid w:val="00E63F67"/>
    <w:rsid w:val="00E64392"/>
    <w:rsid w:val="00E6547A"/>
    <w:rsid w:val="00E672EB"/>
    <w:rsid w:val="00E704B1"/>
    <w:rsid w:val="00E70C39"/>
    <w:rsid w:val="00E71CB6"/>
    <w:rsid w:val="00E722C7"/>
    <w:rsid w:val="00E74B97"/>
    <w:rsid w:val="00E75D41"/>
    <w:rsid w:val="00E80C97"/>
    <w:rsid w:val="00E81D08"/>
    <w:rsid w:val="00E82520"/>
    <w:rsid w:val="00E82A2F"/>
    <w:rsid w:val="00E93510"/>
    <w:rsid w:val="00E94714"/>
    <w:rsid w:val="00E94E27"/>
    <w:rsid w:val="00E962CE"/>
    <w:rsid w:val="00E967E9"/>
    <w:rsid w:val="00EA079C"/>
    <w:rsid w:val="00EA1EB8"/>
    <w:rsid w:val="00EA2911"/>
    <w:rsid w:val="00EA3B1D"/>
    <w:rsid w:val="00EA5D01"/>
    <w:rsid w:val="00EA605F"/>
    <w:rsid w:val="00EA6467"/>
    <w:rsid w:val="00EA7D15"/>
    <w:rsid w:val="00EB25E7"/>
    <w:rsid w:val="00EB3183"/>
    <w:rsid w:val="00EB36A9"/>
    <w:rsid w:val="00EB766C"/>
    <w:rsid w:val="00EB7CAB"/>
    <w:rsid w:val="00EC135E"/>
    <w:rsid w:val="00EC2B8E"/>
    <w:rsid w:val="00EC31E0"/>
    <w:rsid w:val="00EC324C"/>
    <w:rsid w:val="00ED257F"/>
    <w:rsid w:val="00ED2A91"/>
    <w:rsid w:val="00ED3FBB"/>
    <w:rsid w:val="00ED4604"/>
    <w:rsid w:val="00ED497B"/>
    <w:rsid w:val="00ED68DE"/>
    <w:rsid w:val="00ED69C6"/>
    <w:rsid w:val="00EE04A9"/>
    <w:rsid w:val="00EE1402"/>
    <w:rsid w:val="00EE16C6"/>
    <w:rsid w:val="00EE3B6C"/>
    <w:rsid w:val="00EE4179"/>
    <w:rsid w:val="00EE59CD"/>
    <w:rsid w:val="00EE5C09"/>
    <w:rsid w:val="00EE6424"/>
    <w:rsid w:val="00EE725D"/>
    <w:rsid w:val="00EF0FF1"/>
    <w:rsid w:val="00EF3A05"/>
    <w:rsid w:val="00EF4560"/>
    <w:rsid w:val="00EF4B9E"/>
    <w:rsid w:val="00F0156E"/>
    <w:rsid w:val="00F02AF0"/>
    <w:rsid w:val="00F0547D"/>
    <w:rsid w:val="00F11ADB"/>
    <w:rsid w:val="00F1492A"/>
    <w:rsid w:val="00F20E79"/>
    <w:rsid w:val="00F216FB"/>
    <w:rsid w:val="00F235F5"/>
    <w:rsid w:val="00F23B86"/>
    <w:rsid w:val="00F24137"/>
    <w:rsid w:val="00F26FBC"/>
    <w:rsid w:val="00F30152"/>
    <w:rsid w:val="00F30153"/>
    <w:rsid w:val="00F32673"/>
    <w:rsid w:val="00F3489F"/>
    <w:rsid w:val="00F35BDD"/>
    <w:rsid w:val="00F4047B"/>
    <w:rsid w:val="00F413A0"/>
    <w:rsid w:val="00F418DF"/>
    <w:rsid w:val="00F41B92"/>
    <w:rsid w:val="00F433EA"/>
    <w:rsid w:val="00F479F4"/>
    <w:rsid w:val="00F5099D"/>
    <w:rsid w:val="00F5262D"/>
    <w:rsid w:val="00F53CCB"/>
    <w:rsid w:val="00F5458F"/>
    <w:rsid w:val="00F54FF0"/>
    <w:rsid w:val="00F601E8"/>
    <w:rsid w:val="00F60939"/>
    <w:rsid w:val="00F61A27"/>
    <w:rsid w:val="00F6255D"/>
    <w:rsid w:val="00F64A66"/>
    <w:rsid w:val="00F6715A"/>
    <w:rsid w:val="00F67A10"/>
    <w:rsid w:val="00F71A81"/>
    <w:rsid w:val="00F73001"/>
    <w:rsid w:val="00F75858"/>
    <w:rsid w:val="00F76367"/>
    <w:rsid w:val="00F76AFB"/>
    <w:rsid w:val="00F8159B"/>
    <w:rsid w:val="00F82535"/>
    <w:rsid w:val="00F83605"/>
    <w:rsid w:val="00F9235D"/>
    <w:rsid w:val="00F93E30"/>
    <w:rsid w:val="00F94338"/>
    <w:rsid w:val="00F949FD"/>
    <w:rsid w:val="00F963FB"/>
    <w:rsid w:val="00FA1559"/>
    <w:rsid w:val="00FA2F3F"/>
    <w:rsid w:val="00FA3A90"/>
    <w:rsid w:val="00FA3D4E"/>
    <w:rsid w:val="00FA43BB"/>
    <w:rsid w:val="00FA5374"/>
    <w:rsid w:val="00FB2C23"/>
    <w:rsid w:val="00FB5EEB"/>
    <w:rsid w:val="00FB5F07"/>
    <w:rsid w:val="00FB77D5"/>
    <w:rsid w:val="00FB7FBC"/>
    <w:rsid w:val="00FC00EC"/>
    <w:rsid w:val="00FC0452"/>
    <w:rsid w:val="00FC0947"/>
    <w:rsid w:val="00FC0FD2"/>
    <w:rsid w:val="00FC3F20"/>
    <w:rsid w:val="00FC4469"/>
    <w:rsid w:val="00FC5683"/>
    <w:rsid w:val="00FC5724"/>
    <w:rsid w:val="00FD09C6"/>
    <w:rsid w:val="00FD5D12"/>
    <w:rsid w:val="00FD70B3"/>
    <w:rsid w:val="00FE026C"/>
    <w:rsid w:val="00FE6F99"/>
    <w:rsid w:val="00FE70BB"/>
    <w:rsid w:val="00FE70EC"/>
    <w:rsid w:val="00FE769A"/>
    <w:rsid w:val="00FF1181"/>
    <w:rsid w:val="00FF2A40"/>
    <w:rsid w:val="00FF5272"/>
    <w:rsid w:val="00FF6648"/>
    <w:rsid w:val="00FF6D78"/>
    <w:rsid w:val="00FF70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424437"/>
  <w14:defaultImageDpi w14:val="300"/>
  <w15:docId w15:val="{92405600-1178-4966-B94E-9A9FB0BF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0A7"/>
    <w:pPr>
      <w:spacing w:before="120" w:after="120" w:line="480" w:lineRule="auto"/>
      <w:jc w:val="both"/>
    </w:pPr>
    <w:rPr>
      <w:rFonts w:ascii="Cambria" w:hAnsi="Cambria"/>
      <w:lang w:val="en-GB"/>
    </w:rPr>
  </w:style>
  <w:style w:type="paragraph" w:styleId="Heading1">
    <w:name w:val="heading 1"/>
    <w:basedOn w:val="Normal"/>
    <w:next w:val="Normal"/>
    <w:link w:val="Heading1Char"/>
    <w:uiPriority w:val="9"/>
    <w:qFormat/>
    <w:rsid w:val="006F4E00"/>
    <w:pPr>
      <w:keepNext/>
      <w:keepLines/>
      <w:spacing w:before="480" w:after="240"/>
      <w:outlineLvl w:val="0"/>
    </w:pPr>
    <w:rPr>
      <w:rFonts w:asciiTheme="minorHAnsi" w:eastAsiaTheme="majorEastAsia" w:hAnsiTheme="minorHAnsi" w:cstheme="majorBidi"/>
      <w:b/>
      <w:bCs/>
      <w:sz w:val="26"/>
      <w:szCs w:val="28"/>
    </w:rPr>
  </w:style>
  <w:style w:type="paragraph" w:styleId="Heading2">
    <w:name w:val="heading 2"/>
    <w:basedOn w:val="Normal"/>
    <w:next w:val="Normal"/>
    <w:link w:val="Heading2Char"/>
    <w:uiPriority w:val="9"/>
    <w:unhideWhenUsed/>
    <w:qFormat/>
    <w:rsid w:val="00094028"/>
    <w:pPr>
      <w:keepNext/>
      <w:keepLines/>
      <w:spacing w:before="240" w:after="240"/>
      <w:outlineLvl w:val="1"/>
    </w:pPr>
    <w:rPr>
      <w:rFonts w:asciiTheme="minorHAnsi" w:eastAsiaTheme="majorEastAsia" w:hAnsiTheme="minorHAnsi"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0C2"/>
    <w:pPr>
      <w:tabs>
        <w:tab w:val="center" w:pos="4320"/>
        <w:tab w:val="right" w:pos="8640"/>
      </w:tabs>
    </w:pPr>
  </w:style>
  <w:style w:type="character" w:customStyle="1" w:styleId="HeaderChar">
    <w:name w:val="Header Char"/>
    <w:basedOn w:val="DefaultParagraphFont"/>
    <w:link w:val="Header"/>
    <w:uiPriority w:val="99"/>
    <w:rsid w:val="003240C2"/>
    <w:rPr>
      <w:lang w:val="en-GB"/>
    </w:rPr>
  </w:style>
  <w:style w:type="paragraph" w:styleId="Footer">
    <w:name w:val="footer"/>
    <w:basedOn w:val="Normal"/>
    <w:link w:val="FooterChar"/>
    <w:uiPriority w:val="99"/>
    <w:unhideWhenUsed/>
    <w:rsid w:val="003240C2"/>
    <w:pPr>
      <w:tabs>
        <w:tab w:val="center" w:pos="4320"/>
        <w:tab w:val="right" w:pos="8640"/>
      </w:tabs>
    </w:pPr>
  </w:style>
  <w:style w:type="character" w:customStyle="1" w:styleId="FooterChar">
    <w:name w:val="Footer Char"/>
    <w:basedOn w:val="DefaultParagraphFont"/>
    <w:link w:val="Footer"/>
    <w:uiPriority w:val="99"/>
    <w:rsid w:val="003240C2"/>
    <w:rPr>
      <w:lang w:val="en-GB"/>
    </w:rPr>
  </w:style>
  <w:style w:type="character" w:styleId="Hyperlink">
    <w:name w:val="Hyperlink"/>
    <w:basedOn w:val="DefaultParagraphFont"/>
    <w:uiPriority w:val="99"/>
    <w:unhideWhenUsed/>
    <w:rsid w:val="002E763B"/>
    <w:rPr>
      <w:color w:val="0000FF" w:themeColor="hyperlink"/>
      <w:u w:val="single"/>
    </w:rPr>
  </w:style>
  <w:style w:type="character" w:customStyle="1" w:styleId="rwrro">
    <w:name w:val="rwrro"/>
    <w:basedOn w:val="DefaultParagraphFont"/>
    <w:rsid w:val="002E763B"/>
  </w:style>
  <w:style w:type="paragraph" w:styleId="ListParagraph">
    <w:name w:val="List Paragraph"/>
    <w:basedOn w:val="Normal"/>
    <w:uiPriority w:val="34"/>
    <w:qFormat/>
    <w:rsid w:val="00145F77"/>
    <w:pPr>
      <w:ind w:left="720"/>
      <w:contextualSpacing/>
    </w:pPr>
  </w:style>
  <w:style w:type="paragraph" w:styleId="Bibliography">
    <w:name w:val="Bibliography"/>
    <w:basedOn w:val="Normal"/>
    <w:next w:val="Normal"/>
    <w:uiPriority w:val="37"/>
    <w:unhideWhenUsed/>
    <w:rsid w:val="001E663A"/>
    <w:pPr>
      <w:spacing w:after="240"/>
      <w:ind w:left="720" w:hanging="720"/>
    </w:pPr>
  </w:style>
  <w:style w:type="character" w:styleId="PageNumber">
    <w:name w:val="page number"/>
    <w:basedOn w:val="DefaultParagraphFont"/>
    <w:uiPriority w:val="99"/>
    <w:semiHidden/>
    <w:unhideWhenUsed/>
    <w:rsid w:val="004D7207"/>
  </w:style>
  <w:style w:type="paragraph" w:customStyle="1" w:styleId="UneditedReferences">
    <w:name w:val="Unedited References"/>
    <w:basedOn w:val="Normal"/>
    <w:link w:val="UneditedReferencesChar"/>
    <w:rsid w:val="004B4FEE"/>
    <w:rPr>
      <w:rFonts w:ascii="Calibri" w:eastAsia="Times New Roman" w:hAnsi="Calibri" w:cs="Arial Unicode MS"/>
      <w:color w:val="0000FF"/>
      <w:lang w:eastAsia="en-GB"/>
    </w:rPr>
  </w:style>
  <w:style w:type="character" w:customStyle="1" w:styleId="UneditedReferencesChar">
    <w:name w:val="Unedited References Char"/>
    <w:link w:val="UneditedReferences"/>
    <w:rsid w:val="004B4FEE"/>
    <w:rPr>
      <w:rFonts w:ascii="Calibri" w:eastAsia="Times New Roman" w:hAnsi="Calibri" w:cs="Arial Unicode MS"/>
      <w:color w:val="0000FF"/>
      <w:lang w:val="en-GB" w:eastAsia="en-GB"/>
    </w:rPr>
  </w:style>
  <w:style w:type="paragraph" w:styleId="FootnoteText">
    <w:name w:val="footnote text"/>
    <w:basedOn w:val="Normal"/>
    <w:link w:val="FootnoteTextChar"/>
    <w:uiPriority w:val="99"/>
    <w:semiHidden/>
    <w:unhideWhenUsed/>
    <w:rsid w:val="004B4FEE"/>
    <w:rPr>
      <w:sz w:val="20"/>
      <w:szCs w:val="20"/>
    </w:rPr>
  </w:style>
  <w:style w:type="character" w:customStyle="1" w:styleId="FootnoteTextChar">
    <w:name w:val="Footnote Text Char"/>
    <w:basedOn w:val="DefaultParagraphFont"/>
    <w:link w:val="FootnoteText"/>
    <w:uiPriority w:val="99"/>
    <w:semiHidden/>
    <w:rsid w:val="004B4FEE"/>
    <w:rPr>
      <w:sz w:val="20"/>
      <w:szCs w:val="20"/>
      <w:lang w:val="en-GB"/>
    </w:rPr>
  </w:style>
  <w:style w:type="character" w:styleId="FootnoteReference">
    <w:name w:val="footnote reference"/>
    <w:basedOn w:val="DefaultParagraphFont"/>
    <w:uiPriority w:val="99"/>
    <w:semiHidden/>
    <w:unhideWhenUsed/>
    <w:rsid w:val="004B4FEE"/>
    <w:rPr>
      <w:vertAlign w:val="superscript"/>
    </w:rPr>
  </w:style>
  <w:style w:type="paragraph" w:styleId="BalloonText">
    <w:name w:val="Balloon Text"/>
    <w:basedOn w:val="Normal"/>
    <w:link w:val="BalloonTextChar"/>
    <w:uiPriority w:val="99"/>
    <w:semiHidden/>
    <w:unhideWhenUsed/>
    <w:rsid w:val="004B4FEE"/>
    <w:rPr>
      <w:rFonts w:ascii="Tahoma" w:hAnsi="Tahoma" w:cs="Tahoma"/>
      <w:sz w:val="16"/>
      <w:szCs w:val="16"/>
    </w:rPr>
  </w:style>
  <w:style w:type="character" w:customStyle="1" w:styleId="BalloonTextChar">
    <w:name w:val="Balloon Text Char"/>
    <w:basedOn w:val="DefaultParagraphFont"/>
    <w:link w:val="BalloonText"/>
    <w:uiPriority w:val="99"/>
    <w:semiHidden/>
    <w:rsid w:val="004B4FEE"/>
    <w:rPr>
      <w:rFonts w:ascii="Tahoma" w:hAnsi="Tahoma" w:cs="Tahoma"/>
      <w:sz w:val="16"/>
      <w:szCs w:val="16"/>
      <w:lang w:val="en-GB"/>
    </w:rPr>
  </w:style>
  <w:style w:type="table" w:styleId="TableGrid">
    <w:name w:val="Table Grid"/>
    <w:basedOn w:val="TableNormal"/>
    <w:uiPriority w:val="59"/>
    <w:rsid w:val="004B4FE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580314"/>
    <w:rPr>
      <w:vertAlign w:val="superscript"/>
    </w:rPr>
  </w:style>
  <w:style w:type="character" w:styleId="CommentReference">
    <w:name w:val="annotation reference"/>
    <w:basedOn w:val="DefaultParagraphFont"/>
    <w:uiPriority w:val="99"/>
    <w:semiHidden/>
    <w:unhideWhenUsed/>
    <w:rsid w:val="008B657E"/>
    <w:rPr>
      <w:sz w:val="18"/>
      <w:szCs w:val="18"/>
    </w:rPr>
  </w:style>
  <w:style w:type="paragraph" w:styleId="CommentText">
    <w:name w:val="annotation text"/>
    <w:basedOn w:val="Normal"/>
    <w:link w:val="CommentTextChar"/>
    <w:uiPriority w:val="99"/>
    <w:semiHidden/>
    <w:unhideWhenUsed/>
    <w:rsid w:val="008B657E"/>
  </w:style>
  <w:style w:type="character" w:customStyle="1" w:styleId="CommentTextChar">
    <w:name w:val="Comment Text Char"/>
    <w:basedOn w:val="DefaultParagraphFont"/>
    <w:link w:val="CommentText"/>
    <w:uiPriority w:val="99"/>
    <w:semiHidden/>
    <w:rsid w:val="008B657E"/>
    <w:rPr>
      <w:lang w:val="en-GB"/>
    </w:rPr>
  </w:style>
  <w:style w:type="paragraph" w:styleId="CommentSubject">
    <w:name w:val="annotation subject"/>
    <w:basedOn w:val="CommentText"/>
    <w:next w:val="CommentText"/>
    <w:link w:val="CommentSubjectChar"/>
    <w:uiPriority w:val="99"/>
    <w:semiHidden/>
    <w:unhideWhenUsed/>
    <w:rsid w:val="008B657E"/>
    <w:rPr>
      <w:b/>
      <w:bCs/>
      <w:sz w:val="20"/>
      <w:szCs w:val="20"/>
    </w:rPr>
  </w:style>
  <w:style w:type="character" w:customStyle="1" w:styleId="CommentSubjectChar">
    <w:name w:val="Comment Subject Char"/>
    <w:basedOn w:val="CommentTextChar"/>
    <w:link w:val="CommentSubject"/>
    <w:uiPriority w:val="99"/>
    <w:semiHidden/>
    <w:rsid w:val="008B657E"/>
    <w:rPr>
      <w:b/>
      <w:bCs/>
      <w:sz w:val="20"/>
      <w:szCs w:val="20"/>
      <w:lang w:val="en-GB"/>
    </w:rPr>
  </w:style>
  <w:style w:type="numbering" w:customStyle="1" w:styleId="NoList1">
    <w:name w:val="No List1"/>
    <w:next w:val="NoList"/>
    <w:uiPriority w:val="99"/>
    <w:semiHidden/>
    <w:unhideWhenUsed/>
    <w:rsid w:val="007B4DF5"/>
  </w:style>
  <w:style w:type="table" w:customStyle="1" w:styleId="TableGrid1">
    <w:name w:val="Table Grid1"/>
    <w:basedOn w:val="TableNormal"/>
    <w:next w:val="TableGrid"/>
    <w:uiPriority w:val="59"/>
    <w:rsid w:val="007B4DF5"/>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1EB8"/>
    <w:rPr>
      <w:sz w:val="20"/>
      <w:szCs w:val="20"/>
    </w:rPr>
  </w:style>
  <w:style w:type="character" w:customStyle="1" w:styleId="EndnoteTextChar">
    <w:name w:val="Endnote Text Char"/>
    <w:basedOn w:val="DefaultParagraphFont"/>
    <w:link w:val="EndnoteText"/>
    <w:uiPriority w:val="99"/>
    <w:semiHidden/>
    <w:rsid w:val="00EA1EB8"/>
    <w:rPr>
      <w:sz w:val="20"/>
      <w:szCs w:val="20"/>
      <w:lang w:val="en-GB"/>
    </w:rPr>
  </w:style>
  <w:style w:type="paragraph" w:styleId="Revision">
    <w:name w:val="Revision"/>
    <w:hidden/>
    <w:uiPriority w:val="99"/>
    <w:semiHidden/>
    <w:rsid w:val="00234B69"/>
    <w:rPr>
      <w:lang w:val="en-GB"/>
    </w:rPr>
  </w:style>
  <w:style w:type="character" w:customStyle="1" w:styleId="Heading1Char">
    <w:name w:val="Heading 1 Char"/>
    <w:basedOn w:val="DefaultParagraphFont"/>
    <w:link w:val="Heading1"/>
    <w:uiPriority w:val="9"/>
    <w:rsid w:val="006F4E00"/>
    <w:rPr>
      <w:rFonts w:eastAsiaTheme="majorEastAsia" w:cstheme="majorBidi"/>
      <w:b/>
      <w:bCs/>
      <w:sz w:val="26"/>
      <w:szCs w:val="28"/>
      <w:lang w:val="en-GB"/>
    </w:rPr>
  </w:style>
  <w:style w:type="character" w:customStyle="1" w:styleId="Heading2Char">
    <w:name w:val="Heading 2 Char"/>
    <w:basedOn w:val="DefaultParagraphFont"/>
    <w:link w:val="Heading2"/>
    <w:uiPriority w:val="9"/>
    <w:rsid w:val="00094028"/>
    <w:rPr>
      <w:rFonts w:eastAsiaTheme="majorEastAsia" w:cstheme="majorBidi"/>
      <w:bCs/>
      <w:i/>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79185">
      <w:bodyDiv w:val="1"/>
      <w:marLeft w:val="0"/>
      <w:marRight w:val="0"/>
      <w:marTop w:val="0"/>
      <w:marBottom w:val="0"/>
      <w:divBdr>
        <w:top w:val="none" w:sz="0" w:space="0" w:color="auto"/>
        <w:left w:val="none" w:sz="0" w:space="0" w:color="auto"/>
        <w:bottom w:val="none" w:sz="0" w:space="0" w:color="auto"/>
        <w:right w:val="none" w:sz="0" w:space="0" w:color="auto"/>
      </w:divBdr>
      <w:divsChild>
        <w:div w:id="1261909814">
          <w:marLeft w:val="0"/>
          <w:marRight w:val="0"/>
          <w:marTop w:val="0"/>
          <w:marBottom w:val="0"/>
          <w:divBdr>
            <w:top w:val="none" w:sz="0" w:space="0" w:color="auto"/>
            <w:left w:val="none" w:sz="0" w:space="0" w:color="auto"/>
            <w:bottom w:val="none" w:sz="0" w:space="0" w:color="auto"/>
            <w:right w:val="none" w:sz="0" w:space="0" w:color="auto"/>
          </w:divBdr>
        </w:div>
        <w:div w:id="931665195">
          <w:marLeft w:val="0"/>
          <w:marRight w:val="0"/>
          <w:marTop w:val="0"/>
          <w:marBottom w:val="0"/>
          <w:divBdr>
            <w:top w:val="none" w:sz="0" w:space="0" w:color="auto"/>
            <w:left w:val="none" w:sz="0" w:space="0" w:color="auto"/>
            <w:bottom w:val="none" w:sz="0" w:space="0" w:color="auto"/>
            <w:right w:val="none" w:sz="0" w:space="0" w:color="auto"/>
          </w:divBdr>
        </w:div>
      </w:divsChild>
    </w:div>
    <w:div w:id="474832871">
      <w:bodyDiv w:val="1"/>
      <w:marLeft w:val="0"/>
      <w:marRight w:val="0"/>
      <w:marTop w:val="0"/>
      <w:marBottom w:val="0"/>
      <w:divBdr>
        <w:top w:val="none" w:sz="0" w:space="0" w:color="auto"/>
        <w:left w:val="none" w:sz="0" w:space="0" w:color="auto"/>
        <w:bottom w:val="none" w:sz="0" w:space="0" w:color="auto"/>
        <w:right w:val="none" w:sz="0" w:space="0" w:color="auto"/>
      </w:divBdr>
    </w:div>
    <w:div w:id="938370404">
      <w:bodyDiv w:val="1"/>
      <w:marLeft w:val="0"/>
      <w:marRight w:val="0"/>
      <w:marTop w:val="0"/>
      <w:marBottom w:val="0"/>
      <w:divBdr>
        <w:top w:val="none" w:sz="0" w:space="0" w:color="auto"/>
        <w:left w:val="none" w:sz="0" w:space="0" w:color="auto"/>
        <w:bottom w:val="none" w:sz="0" w:space="0" w:color="auto"/>
        <w:right w:val="none" w:sz="0" w:space="0" w:color="auto"/>
      </w:divBdr>
      <w:divsChild>
        <w:div w:id="295110299">
          <w:marLeft w:val="0"/>
          <w:marRight w:val="0"/>
          <w:marTop w:val="0"/>
          <w:marBottom w:val="0"/>
          <w:divBdr>
            <w:top w:val="none" w:sz="0" w:space="0" w:color="auto"/>
            <w:left w:val="none" w:sz="0" w:space="0" w:color="auto"/>
            <w:bottom w:val="none" w:sz="0" w:space="0" w:color="auto"/>
            <w:right w:val="none" w:sz="0" w:space="0" w:color="auto"/>
          </w:divBdr>
        </w:div>
        <w:div w:id="1863589511">
          <w:marLeft w:val="0"/>
          <w:marRight w:val="0"/>
          <w:marTop w:val="0"/>
          <w:marBottom w:val="0"/>
          <w:divBdr>
            <w:top w:val="none" w:sz="0" w:space="0" w:color="auto"/>
            <w:left w:val="none" w:sz="0" w:space="0" w:color="auto"/>
            <w:bottom w:val="none" w:sz="0" w:space="0" w:color="auto"/>
            <w:right w:val="none" w:sz="0" w:space="0" w:color="auto"/>
          </w:divBdr>
        </w:div>
      </w:divsChild>
    </w:div>
    <w:div w:id="1174536445">
      <w:bodyDiv w:val="1"/>
      <w:marLeft w:val="0"/>
      <w:marRight w:val="0"/>
      <w:marTop w:val="0"/>
      <w:marBottom w:val="0"/>
      <w:divBdr>
        <w:top w:val="none" w:sz="0" w:space="0" w:color="auto"/>
        <w:left w:val="none" w:sz="0" w:space="0" w:color="auto"/>
        <w:bottom w:val="none" w:sz="0" w:space="0" w:color="auto"/>
        <w:right w:val="none" w:sz="0" w:space="0" w:color="auto"/>
      </w:divBdr>
    </w:div>
    <w:div w:id="1266963284">
      <w:bodyDiv w:val="1"/>
      <w:marLeft w:val="0"/>
      <w:marRight w:val="0"/>
      <w:marTop w:val="0"/>
      <w:marBottom w:val="0"/>
      <w:divBdr>
        <w:top w:val="none" w:sz="0" w:space="0" w:color="auto"/>
        <w:left w:val="none" w:sz="0" w:space="0" w:color="auto"/>
        <w:bottom w:val="none" w:sz="0" w:space="0" w:color="auto"/>
        <w:right w:val="none" w:sz="0" w:space="0" w:color="auto"/>
      </w:divBdr>
      <w:divsChild>
        <w:div w:id="1853687485">
          <w:marLeft w:val="0"/>
          <w:marRight w:val="0"/>
          <w:marTop w:val="0"/>
          <w:marBottom w:val="0"/>
          <w:divBdr>
            <w:top w:val="none" w:sz="0" w:space="0" w:color="auto"/>
            <w:left w:val="none" w:sz="0" w:space="0" w:color="auto"/>
            <w:bottom w:val="none" w:sz="0" w:space="0" w:color="auto"/>
            <w:right w:val="none" w:sz="0" w:space="0" w:color="auto"/>
          </w:divBdr>
        </w:div>
        <w:div w:id="407843842">
          <w:marLeft w:val="0"/>
          <w:marRight w:val="0"/>
          <w:marTop w:val="0"/>
          <w:marBottom w:val="0"/>
          <w:divBdr>
            <w:top w:val="none" w:sz="0" w:space="0" w:color="auto"/>
            <w:left w:val="none" w:sz="0" w:space="0" w:color="auto"/>
            <w:bottom w:val="none" w:sz="0" w:space="0" w:color="auto"/>
            <w:right w:val="none" w:sz="0" w:space="0" w:color="auto"/>
          </w:divBdr>
        </w:div>
      </w:divsChild>
    </w:div>
    <w:div w:id="1662003692">
      <w:bodyDiv w:val="1"/>
      <w:marLeft w:val="0"/>
      <w:marRight w:val="0"/>
      <w:marTop w:val="0"/>
      <w:marBottom w:val="0"/>
      <w:divBdr>
        <w:top w:val="none" w:sz="0" w:space="0" w:color="auto"/>
        <w:left w:val="none" w:sz="0" w:space="0" w:color="auto"/>
        <w:bottom w:val="none" w:sz="0" w:space="0" w:color="auto"/>
        <w:right w:val="none" w:sz="0" w:space="0" w:color="auto"/>
      </w:divBdr>
    </w:div>
    <w:div w:id="1670213997">
      <w:bodyDiv w:val="1"/>
      <w:marLeft w:val="0"/>
      <w:marRight w:val="0"/>
      <w:marTop w:val="0"/>
      <w:marBottom w:val="0"/>
      <w:divBdr>
        <w:top w:val="none" w:sz="0" w:space="0" w:color="auto"/>
        <w:left w:val="none" w:sz="0" w:space="0" w:color="auto"/>
        <w:bottom w:val="none" w:sz="0" w:space="0" w:color="auto"/>
        <w:right w:val="none" w:sz="0" w:space="0" w:color="auto"/>
      </w:divBdr>
      <w:divsChild>
        <w:div w:id="743139916">
          <w:marLeft w:val="0"/>
          <w:marRight w:val="0"/>
          <w:marTop w:val="0"/>
          <w:marBottom w:val="0"/>
          <w:divBdr>
            <w:top w:val="none" w:sz="0" w:space="0" w:color="auto"/>
            <w:left w:val="none" w:sz="0" w:space="0" w:color="auto"/>
            <w:bottom w:val="none" w:sz="0" w:space="0" w:color="auto"/>
            <w:right w:val="none" w:sz="0" w:space="0" w:color="auto"/>
          </w:divBdr>
        </w:div>
        <w:div w:id="1818241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7C5B-7260-41DC-A892-99BD5587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20171</Words>
  <Characters>114981</Characters>
  <Application>Microsoft Office Word</Application>
  <DocSecurity>4</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134883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Balfour S.</cp:lastModifiedBy>
  <cp:revision>2</cp:revision>
  <cp:lastPrinted>2016-05-30T11:21:00Z</cp:lastPrinted>
  <dcterms:created xsi:type="dcterms:W3CDTF">2016-09-20T11:23:00Z</dcterms:created>
  <dcterms:modified xsi:type="dcterms:W3CDTF">2016-09-20T11:23:00Z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id="mfalxKTN"/&gt;&lt;style id="http://www.zotero.org/styles/sage-harvard" hasBibliography="1" bibliographyStyleHasBeenSet="1"/&gt;&lt;prefs&gt;&lt;pref name="fieldType" value="Field"/&gt;&lt;pref name="storeReferences" val</vt:lpwstr>
  </property>
  <property fmtid="{D5CDD505-2E9C-101B-9397-08002B2CF9AE}" pid="3" name="ZOTERO_PREF_2">
    <vt:lpwstr>ue="true"/&gt;&lt;pref name="automaticJournalAbbreviations" value="true"/&gt;&lt;pref name="noteType" value="0"/&gt;&lt;/prefs&gt;&lt;/data&gt;</vt:lpwstr>
  </property>
</Properties>
</file>